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B8055">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cs="Times New Roman"/>
          <w:color w:val="auto"/>
          <w:highlight w:val="none"/>
          <w:lang w:val="en-US" w:eastAsia="zh-CN"/>
        </w:rPr>
      </w:pPr>
    </w:p>
    <w:p w14:paraId="7CFD0EE6">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cs="Times New Roman"/>
          <w:color w:val="auto"/>
          <w:highlight w:val="none"/>
          <w:lang w:val="en-US" w:eastAsia="zh-CN"/>
        </w:rPr>
      </w:pPr>
    </w:p>
    <w:p w14:paraId="1012912E">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cs="Times New Roman"/>
          <w:color w:val="auto"/>
          <w:highlight w:val="none"/>
          <w:lang w:val="en-US" w:eastAsia="zh-CN"/>
        </w:rPr>
      </w:pPr>
    </w:p>
    <w:p w14:paraId="7F17738D">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cs="Times New Roman"/>
          <w:color w:val="auto"/>
          <w:highlight w:val="none"/>
          <w:lang w:val="en-US" w:eastAsia="zh-CN"/>
        </w:rPr>
      </w:pPr>
    </w:p>
    <w:p w14:paraId="461D1C04">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岫岩满族自治县国民经济和社会发展第十五个五年规划纲要</w:t>
      </w:r>
    </w:p>
    <w:p w14:paraId="213AB0D9">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征求意见</w:t>
      </w:r>
      <w:r>
        <w:rPr>
          <w:rFonts w:hint="default" w:ascii="Times New Roman" w:hAnsi="Times New Roman" w:eastAsia="楷体_GB2312" w:cs="Times New Roman"/>
          <w:color w:val="auto"/>
          <w:sz w:val="32"/>
          <w:szCs w:val="32"/>
          <w:highlight w:val="none"/>
          <w:lang w:val="en-US" w:eastAsia="zh-CN"/>
        </w:rPr>
        <w:t>稿）</w:t>
      </w:r>
    </w:p>
    <w:p w14:paraId="343D5ACD">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cs="Times New Roman"/>
          <w:color w:val="auto"/>
          <w:highlight w:val="none"/>
          <w:lang w:val="en-US" w:eastAsia="zh-CN"/>
        </w:rPr>
      </w:pPr>
    </w:p>
    <w:p w14:paraId="5C8EA763">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cs="Times New Roman"/>
          <w:color w:val="auto"/>
          <w:highlight w:val="none"/>
          <w:lang w:val="en-US" w:eastAsia="zh-CN"/>
        </w:rPr>
      </w:pPr>
    </w:p>
    <w:p w14:paraId="0CC4EAAB">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cs="Times New Roman"/>
          <w:color w:val="auto"/>
          <w:highlight w:val="none"/>
          <w:lang w:val="en-US" w:eastAsia="zh-CN"/>
        </w:rPr>
      </w:pPr>
    </w:p>
    <w:p w14:paraId="00C0E6DC">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cs="Times New Roman"/>
          <w:color w:val="auto"/>
          <w:highlight w:val="none"/>
          <w:lang w:val="en-US" w:eastAsia="zh-CN"/>
        </w:rPr>
      </w:pPr>
    </w:p>
    <w:p w14:paraId="5F08F95E">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cs="Times New Roman"/>
          <w:color w:val="auto"/>
          <w:highlight w:val="none"/>
          <w:lang w:val="en-US" w:eastAsia="zh-CN"/>
        </w:rPr>
      </w:pPr>
    </w:p>
    <w:p w14:paraId="6F940381">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cs="Times New Roman"/>
          <w:color w:val="auto"/>
          <w:highlight w:val="none"/>
          <w:lang w:val="en-US" w:eastAsia="zh-CN"/>
        </w:rPr>
      </w:pPr>
    </w:p>
    <w:p w14:paraId="1966670C">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cs="Times New Roman"/>
          <w:color w:val="auto"/>
          <w:highlight w:val="none"/>
          <w:lang w:val="en-US" w:eastAsia="zh-CN"/>
        </w:rPr>
      </w:pPr>
    </w:p>
    <w:p w14:paraId="326CDDE1">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eastAsia="楷体_GB2312" w:cs="Times New Roman"/>
          <w:kern w:val="2"/>
          <w:sz w:val="28"/>
          <w:szCs w:val="28"/>
          <w:lang w:val="en-US" w:eastAsia="zh-CN" w:bidi="ar-SA"/>
        </w:rPr>
      </w:pPr>
      <w:r>
        <w:rPr>
          <w:rFonts w:hint="eastAsia" w:ascii="Times New Roman" w:hAnsi="Times New Roman" w:eastAsia="楷体_GB2312" w:cs="Times New Roman"/>
          <w:kern w:val="2"/>
          <w:sz w:val="28"/>
          <w:szCs w:val="28"/>
          <w:lang w:val="en-US" w:eastAsia="zh-CN" w:bidi="ar-SA"/>
        </w:rPr>
        <w:t>岫岩满族自治县人民政府</w:t>
      </w:r>
    </w:p>
    <w:p w14:paraId="399D15EC">
      <w:pPr>
        <w:pStyle w:val="41"/>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t>2025年12月</w:t>
      </w:r>
    </w:p>
    <w:p w14:paraId="2A84BDC6">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sdt>
      <w:sdtPr>
        <w:rPr>
          <w:rFonts w:hint="default" w:ascii="Times New Roman" w:hAnsi="Times New Roman" w:cs="Times New Roman"/>
          <w:color w:val="auto"/>
          <w:sz w:val="44"/>
          <w:szCs w:val="44"/>
          <w:highlight w:val="none"/>
          <w:lang w:val="en-US" w:eastAsia="zh-CN"/>
        </w:rPr>
        <w:id w:val="147472006"/>
        <w15:color w:val="DBDBDB"/>
        <w:docPartObj>
          <w:docPartGallery w:val="Table of Contents"/>
          <w:docPartUnique/>
        </w:docPartObj>
      </w:sdtPr>
      <w:sdtEndPr>
        <w:rPr>
          <w:rFonts w:hint="default" w:ascii="Times New Roman" w:hAnsi="Times New Roman" w:eastAsia="方正小标宋_GBK" w:cs="Times New Roman"/>
          <w:color w:val="auto"/>
          <w:kern w:val="2"/>
          <w:sz w:val="40"/>
          <w:szCs w:val="40"/>
          <w:highlight w:val="none"/>
          <w:lang w:val="en-US" w:eastAsia="zh-CN" w:bidi="ar-SA"/>
        </w:rPr>
      </w:sdtEndPr>
      <w:sdtContent>
        <w:p w14:paraId="1597821F">
          <w:pPr>
            <w:pStyle w:val="2"/>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jc w:val="center"/>
            <w:textAlignment w:val="auto"/>
            <w:rPr>
              <w:rFonts w:hint="default" w:ascii="Times New Roman" w:hAnsi="Times New Roman" w:eastAsia="方正小标宋_GBK" w:cs="Times New Roman"/>
              <w:bCs/>
              <w:color w:val="auto"/>
              <w:kern w:val="44"/>
              <w:sz w:val="36"/>
              <w:szCs w:val="22"/>
              <w:highlight w:val="none"/>
              <w:lang w:val="en-US" w:eastAsia="zh-CN" w:bidi="ar-SA"/>
            </w:rPr>
          </w:pPr>
          <w:bookmarkStart w:id="0" w:name="_Toc31441"/>
          <w:bookmarkStart w:id="1" w:name="_Toc27128"/>
          <w:bookmarkStart w:id="2" w:name="_Toc2054"/>
          <w:bookmarkStart w:id="3" w:name="_Toc16991"/>
          <w:bookmarkStart w:id="4" w:name="_Toc7036"/>
          <w:r>
            <w:rPr>
              <w:rFonts w:hint="default" w:ascii="Times New Roman" w:hAnsi="Times New Roman" w:cs="Times New Roman"/>
              <w:color w:val="auto"/>
              <w:sz w:val="36"/>
              <w:szCs w:val="36"/>
              <w:highlight w:val="none"/>
            </w:rPr>
            <w:t>目录</w:t>
          </w:r>
          <w:bookmarkEnd w:id="0"/>
          <w:bookmarkEnd w:id="1"/>
          <w:bookmarkEnd w:id="2"/>
          <w:bookmarkEnd w:id="3"/>
          <w:bookmarkEnd w:id="4"/>
          <w:r>
            <w:rPr>
              <w:rFonts w:hint="default" w:ascii="Times New Roman" w:hAnsi="Times New Roman" w:cs="Times New Roman"/>
              <w:color w:val="auto"/>
              <w:sz w:val="18"/>
              <w:szCs w:val="18"/>
              <w:highlight w:val="none"/>
              <w:lang w:val="en-US" w:eastAsia="zh-CN"/>
            </w:rPr>
            <w:fldChar w:fldCharType="begin"/>
          </w:r>
          <w:r>
            <w:rPr>
              <w:rFonts w:hint="default" w:ascii="Times New Roman" w:hAnsi="Times New Roman" w:cs="Times New Roman"/>
              <w:color w:val="auto"/>
              <w:sz w:val="18"/>
              <w:szCs w:val="18"/>
              <w:highlight w:val="none"/>
              <w:lang w:val="en-US" w:eastAsia="zh-CN"/>
            </w:rPr>
            <w:instrText xml:space="preserve">TOC \o "1-2" \h \u </w:instrText>
          </w:r>
          <w:r>
            <w:rPr>
              <w:rFonts w:hint="default" w:ascii="Times New Roman" w:hAnsi="Times New Roman" w:cs="Times New Roman"/>
              <w:color w:val="auto"/>
              <w:sz w:val="18"/>
              <w:szCs w:val="18"/>
              <w:highlight w:val="none"/>
              <w:lang w:val="en-US" w:eastAsia="zh-CN"/>
            </w:rPr>
            <w:fldChar w:fldCharType="separate"/>
          </w:r>
        </w:p>
        <w:p w14:paraId="41893194">
          <w:pPr>
            <w:pStyle w:val="1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方正小标宋_GBK" w:cs="Times New Roman"/>
              <w:color w:val="auto"/>
              <w:sz w:val="28"/>
              <w:szCs w:val="32"/>
              <w:highlight w:val="none"/>
              <w:lang w:val="en-US" w:eastAsia="zh-CN"/>
            </w:rPr>
          </w:pP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HYPERLINK \l _Toc13244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第一章回顾发展基础与时代方位，定位岫岩新征程起点</w:t>
          </w:r>
          <w:r>
            <w:rPr>
              <w:rFonts w:hint="default" w:ascii="Times New Roman" w:hAnsi="Times New Roman" w:eastAsia="方正小标宋_GBK" w:cs="Times New Roman"/>
              <w:color w:val="auto"/>
              <w:sz w:val="28"/>
              <w:szCs w:val="32"/>
              <w:highlight w:val="none"/>
              <w:lang w:val="en-US" w:eastAsia="zh-CN"/>
            </w:rPr>
            <w:tab/>
          </w: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PAGEREF _Toc13244 \h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1</w:t>
          </w:r>
          <w:r>
            <w:rPr>
              <w:rFonts w:hint="default" w:ascii="Times New Roman" w:hAnsi="Times New Roman" w:eastAsia="方正小标宋_GBK" w:cs="Times New Roman"/>
              <w:color w:val="auto"/>
              <w:sz w:val="28"/>
              <w:szCs w:val="32"/>
              <w:highlight w:val="none"/>
              <w:lang w:val="en-US" w:eastAsia="zh-CN"/>
            </w:rPr>
            <w:fldChar w:fldCharType="end"/>
          </w:r>
          <w:r>
            <w:rPr>
              <w:rFonts w:hint="default" w:ascii="Times New Roman" w:hAnsi="Times New Roman" w:eastAsia="方正小标宋_GBK" w:cs="Times New Roman"/>
              <w:color w:val="auto"/>
              <w:sz w:val="28"/>
              <w:szCs w:val="32"/>
              <w:highlight w:val="none"/>
              <w:lang w:val="en-US" w:eastAsia="zh-CN"/>
            </w:rPr>
            <w:fldChar w:fldCharType="end"/>
          </w:r>
        </w:p>
        <w:p w14:paraId="07C07FD2">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_Toc24365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第一节“十四五”时期发展成就</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_Toc24365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1</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5080B40C">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_Toc5980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eastAsia" w:ascii="Times New Roman" w:hAnsi="Times New Roman" w:eastAsia="楷体_GB2312" w:cs="Times New Roman"/>
              <w:bCs w:val="0"/>
              <w:color w:val="auto"/>
              <w:sz w:val="28"/>
              <w:szCs w:val="28"/>
              <w:highlight w:val="none"/>
              <w:lang w:val="en-US" w:eastAsia="zh-CN"/>
            </w:rPr>
            <w:t>第二节</w:t>
          </w:r>
          <w:r>
            <w:rPr>
              <w:rFonts w:hint="default" w:ascii="Times New Roman" w:hAnsi="Times New Roman" w:eastAsia="楷体_GB2312" w:cs="Times New Roman"/>
              <w:bCs w:val="0"/>
              <w:color w:val="auto"/>
              <w:sz w:val="28"/>
              <w:szCs w:val="28"/>
              <w:highlight w:val="none"/>
              <w:lang w:val="en-US" w:eastAsia="zh-CN"/>
            </w:rPr>
            <w:t>全县经济社会发展面临的挑战</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_Toc5980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9</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3ACE433C">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_Toc5502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eastAsia" w:ascii="Times New Roman" w:hAnsi="Times New Roman" w:eastAsia="楷体_GB2312" w:cs="Times New Roman"/>
              <w:bCs w:val="0"/>
              <w:color w:val="auto"/>
              <w:sz w:val="28"/>
              <w:szCs w:val="28"/>
              <w:highlight w:val="none"/>
              <w:lang w:val="en-US" w:eastAsia="zh-CN"/>
            </w:rPr>
            <w:t>第三节</w:t>
          </w:r>
          <w:r>
            <w:rPr>
              <w:rFonts w:hint="default" w:ascii="Times New Roman" w:hAnsi="Times New Roman" w:eastAsia="楷体_GB2312" w:cs="Times New Roman"/>
              <w:bCs w:val="0"/>
              <w:color w:val="auto"/>
              <w:sz w:val="28"/>
              <w:szCs w:val="28"/>
              <w:highlight w:val="none"/>
              <w:lang w:val="en-US" w:eastAsia="zh-CN"/>
            </w:rPr>
            <w:t>全县经济社会发展面临的机遇</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_Toc5502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11</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1A4A72AA">
          <w:pPr>
            <w:pStyle w:val="1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方正小标宋_GBK" w:cs="Times New Roman"/>
              <w:color w:val="auto"/>
              <w:sz w:val="28"/>
              <w:szCs w:val="32"/>
              <w:highlight w:val="none"/>
              <w:lang w:val="en-US" w:eastAsia="zh-CN"/>
            </w:rPr>
          </w:pP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HYPERLINK \l _Toc25717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第二章擘画发展蓝图，开启中国式现代化岫岩新篇章</w:t>
          </w:r>
          <w:r>
            <w:rPr>
              <w:rFonts w:hint="default" w:ascii="Times New Roman" w:hAnsi="Times New Roman" w:eastAsia="方正小标宋_GBK" w:cs="Times New Roman"/>
              <w:color w:val="auto"/>
              <w:sz w:val="28"/>
              <w:szCs w:val="32"/>
              <w:highlight w:val="none"/>
              <w:lang w:val="en-US" w:eastAsia="zh-CN"/>
            </w:rPr>
            <w:tab/>
          </w: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PAGEREF _Toc25717 \h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14</w:t>
          </w:r>
          <w:r>
            <w:rPr>
              <w:rFonts w:hint="default" w:ascii="Times New Roman" w:hAnsi="Times New Roman" w:eastAsia="方正小标宋_GBK" w:cs="Times New Roman"/>
              <w:color w:val="auto"/>
              <w:sz w:val="28"/>
              <w:szCs w:val="32"/>
              <w:highlight w:val="none"/>
              <w:lang w:val="en-US" w:eastAsia="zh-CN"/>
            </w:rPr>
            <w:fldChar w:fldCharType="end"/>
          </w:r>
          <w:r>
            <w:rPr>
              <w:rFonts w:hint="default" w:ascii="Times New Roman" w:hAnsi="Times New Roman" w:eastAsia="方正小标宋_GBK" w:cs="Times New Roman"/>
              <w:color w:val="auto"/>
              <w:sz w:val="28"/>
              <w:szCs w:val="32"/>
              <w:highlight w:val="none"/>
              <w:lang w:val="en-US" w:eastAsia="zh-CN"/>
            </w:rPr>
            <w:fldChar w:fldCharType="end"/>
          </w:r>
        </w:p>
        <w:p w14:paraId="38AF688D">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_Toc8999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第一节指导思想</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_Toc8999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14</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67618192">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_Toc3393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第二节基本原则</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_Toc3393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14</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015A4236">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_Toc8596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第三节主要目标</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_Toc8596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16</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7C08DDFE">
          <w:pPr>
            <w:pStyle w:val="1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方正小标宋_GBK" w:cs="Times New Roman"/>
              <w:color w:val="auto"/>
              <w:sz w:val="28"/>
              <w:szCs w:val="32"/>
              <w:highlight w:val="none"/>
              <w:lang w:val="en-US" w:eastAsia="zh-CN"/>
            </w:rPr>
          </w:pP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HYPERLINK \l _Toc23847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第三章加快培育新质生产力，构建现代化产业体系</w:t>
          </w:r>
          <w:r>
            <w:rPr>
              <w:rFonts w:hint="default" w:ascii="Times New Roman" w:hAnsi="Times New Roman" w:eastAsia="方正小标宋_GBK" w:cs="Times New Roman"/>
              <w:color w:val="auto"/>
              <w:sz w:val="28"/>
              <w:szCs w:val="32"/>
              <w:highlight w:val="none"/>
              <w:lang w:val="en-US" w:eastAsia="zh-CN"/>
            </w:rPr>
            <w:tab/>
          </w: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PAGEREF _Toc23847 \h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19</w:t>
          </w:r>
          <w:r>
            <w:rPr>
              <w:rFonts w:hint="default" w:ascii="Times New Roman" w:hAnsi="Times New Roman" w:eastAsia="方正小标宋_GBK" w:cs="Times New Roman"/>
              <w:color w:val="auto"/>
              <w:sz w:val="28"/>
              <w:szCs w:val="32"/>
              <w:highlight w:val="none"/>
              <w:lang w:val="en-US" w:eastAsia="zh-CN"/>
            </w:rPr>
            <w:fldChar w:fldCharType="end"/>
          </w:r>
          <w:r>
            <w:rPr>
              <w:rFonts w:hint="default" w:ascii="Times New Roman" w:hAnsi="Times New Roman" w:eastAsia="方正小标宋_GBK" w:cs="Times New Roman"/>
              <w:color w:val="auto"/>
              <w:sz w:val="28"/>
              <w:szCs w:val="32"/>
              <w:highlight w:val="none"/>
              <w:lang w:val="en-US" w:eastAsia="zh-CN"/>
            </w:rPr>
            <w:fldChar w:fldCharType="end"/>
          </w:r>
        </w:p>
        <w:p w14:paraId="287D71E8">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_Toc12154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第一节推动传统优势产业转型升级</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_Toc12154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19</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792067B7">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_Toc7500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eastAsia" w:ascii="Times New Roman" w:hAnsi="Times New Roman" w:eastAsia="楷体_GB2312" w:cs="Times New Roman"/>
              <w:bCs w:val="0"/>
              <w:color w:val="auto"/>
              <w:sz w:val="28"/>
              <w:szCs w:val="28"/>
              <w:highlight w:val="none"/>
              <w:lang w:val="en-US" w:eastAsia="zh-CN"/>
            </w:rPr>
            <w:t>第二节</w:t>
          </w:r>
          <w:r>
            <w:rPr>
              <w:rFonts w:hint="default" w:ascii="Times New Roman" w:hAnsi="Times New Roman" w:eastAsia="楷体_GB2312" w:cs="Times New Roman"/>
              <w:bCs w:val="0"/>
              <w:color w:val="auto"/>
              <w:sz w:val="28"/>
              <w:szCs w:val="28"/>
              <w:highlight w:val="none"/>
              <w:lang w:val="en-US" w:eastAsia="zh-CN"/>
            </w:rPr>
            <w:t>壮大发展新兴产业集群</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_Toc7500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25</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6C444D19">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_Toc2469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eastAsia" w:ascii="Times New Roman" w:hAnsi="Times New Roman" w:eastAsia="楷体_GB2312" w:cs="Times New Roman"/>
              <w:bCs w:val="0"/>
              <w:color w:val="auto"/>
              <w:sz w:val="28"/>
              <w:szCs w:val="28"/>
              <w:highlight w:val="none"/>
              <w:lang w:val="en-US" w:eastAsia="zh-CN"/>
            </w:rPr>
            <w:t>第三节</w:t>
          </w:r>
          <w:r>
            <w:rPr>
              <w:rFonts w:hint="default" w:ascii="Times New Roman" w:hAnsi="Times New Roman" w:eastAsia="楷体_GB2312" w:cs="Times New Roman"/>
              <w:bCs w:val="0"/>
              <w:color w:val="auto"/>
              <w:sz w:val="28"/>
              <w:szCs w:val="28"/>
              <w:highlight w:val="none"/>
              <w:lang w:val="en-US" w:eastAsia="zh-CN"/>
            </w:rPr>
            <w:t>拓展前沿技术赋能场景</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_Toc2469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33</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34363EA3">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_Toc13982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eastAsia" w:ascii="Times New Roman" w:hAnsi="Times New Roman" w:eastAsia="楷体_GB2312" w:cs="Times New Roman"/>
              <w:bCs w:val="0"/>
              <w:color w:val="auto"/>
              <w:sz w:val="28"/>
              <w:szCs w:val="28"/>
              <w:highlight w:val="none"/>
              <w:lang w:val="en-US" w:eastAsia="zh-CN"/>
            </w:rPr>
            <w:t>第四节</w:t>
          </w:r>
          <w:r>
            <w:rPr>
              <w:rFonts w:hint="default" w:ascii="Times New Roman" w:hAnsi="Times New Roman" w:eastAsia="楷体_GB2312" w:cs="Times New Roman"/>
              <w:bCs w:val="0"/>
              <w:color w:val="auto"/>
              <w:sz w:val="28"/>
              <w:szCs w:val="28"/>
              <w:highlight w:val="none"/>
              <w:lang w:val="en-US" w:eastAsia="zh-CN"/>
            </w:rPr>
            <w:t>提升现代服务业水平</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_Toc13982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37</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3583416B">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_Toc24402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eastAsia" w:ascii="Times New Roman" w:hAnsi="Times New Roman" w:eastAsia="楷体_GB2312" w:cs="Times New Roman"/>
              <w:bCs w:val="0"/>
              <w:color w:val="auto"/>
              <w:sz w:val="28"/>
              <w:szCs w:val="28"/>
              <w:highlight w:val="none"/>
              <w:lang w:val="en-US" w:eastAsia="zh-CN"/>
            </w:rPr>
            <w:t>第五节</w:t>
          </w:r>
          <w:r>
            <w:rPr>
              <w:rFonts w:hint="default" w:ascii="Times New Roman" w:hAnsi="Times New Roman" w:eastAsia="楷体_GB2312" w:cs="Times New Roman"/>
              <w:bCs w:val="0"/>
              <w:color w:val="auto"/>
              <w:sz w:val="28"/>
              <w:szCs w:val="28"/>
              <w:highlight w:val="none"/>
              <w:lang w:val="en-US" w:eastAsia="zh-CN"/>
            </w:rPr>
            <w:t>推进辽宁岫岩玉产业开发区建设</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_Toc24402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43</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39BFE3E7">
          <w:pPr>
            <w:pStyle w:val="1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方正小标宋_GBK" w:cs="Times New Roman"/>
              <w:color w:val="auto"/>
              <w:sz w:val="28"/>
              <w:szCs w:val="32"/>
              <w:highlight w:val="none"/>
              <w:lang w:val="en-US" w:eastAsia="zh-CN"/>
            </w:rPr>
          </w:pP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HYPERLINK \l _Toc1353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第四章全面推进乡村振兴，打造宜居宜业和美乡村</w:t>
          </w:r>
          <w:r>
            <w:rPr>
              <w:rFonts w:hint="default" w:ascii="Times New Roman" w:hAnsi="Times New Roman" w:eastAsia="方正小标宋_GBK" w:cs="Times New Roman"/>
              <w:color w:val="auto"/>
              <w:sz w:val="28"/>
              <w:szCs w:val="32"/>
              <w:highlight w:val="none"/>
              <w:lang w:val="en-US" w:eastAsia="zh-CN"/>
            </w:rPr>
            <w:tab/>
          </w: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PAGEREF _Toc1353 \h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46</w:t>
          </w:r>
          <w:r>
            <w:rPr>
              <w:rFonts w:hint="default" w:ascii="Times New Roman" w:hAnsi="Times New Roman" w:eastAsia="方正小标宋_GBK" w:cs="Times New Roman"/>
              <w:color w:val="auto"/>
              <w:sz w:val="28"/>
              <w:szCs w:val="32"/>
              <w:highlight w:val="none"/>
              <w:lang w:val="en-US" w:eastAsia="zh-CN"/>
            </w:rPr>
            <w:fldChar w:fldCharType="end"/>
          </w:r>
          <w:r>
            <w:rPr>
              <w:rFonts w:hint="default" w:ascii="Times New Roman" w:hAnsi="Times New Roman" w:eastAsia="方正小标宋_GBK" w:cs="Times New Roman"/>
              <w:color w:val="auto"/>
              <w:sz w:val="28"/>
              <w:szCs w:val="32"/>
              <w:highlight w:val="none"/>
              <w:lang w:val="en-US" w:eastAsia="zh-CN"/>
            </w:rPr>
            <w:fldChar w:fldCharType="end"/>
          </w:r>
        </w:p>
        <w:p w14:paraId="5C817F9B">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_Toc26203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第一节</w:t>
          </w:r>
          <w:r>
            <w:rPr>
              <w:rFonts w:hint="eastAsia" w:ascii="Times New Roman" w:hAnsi="Times New Roman" w:eastAsia="楷体_GB2312" w:cs="Times New Roman"/>
              <w:bCs w:val="0"/>
              <w:color w:val="auto"/>
              <w:sz w:val="28"/>
              <w:szCs w:val="28"/>
              <w:highlight w:val="none"/>
              <w:lang w:val="en-US" w:eastAsia="zh-CN"/>
            </w:rPr>
            <w:t>发展壮大</w:t>
          </w:r>
          <w:r>
            <w:rPr>
              <w:rFonts w:hint="default" w:ascii="Times New Roman" w:hAnsi="Times New Roman" w:eastAsia="楷体_GB2312" w:cs="Times New Roman"/>
              <w:bCs w:val="0"/>
              <w:color w:val="auto"/>
              <w:sz w:val="28"/>
              <w:szCs w:val="28"/>
              <w:highlight w:val="none"/>
              <w:lang w:val="en-US" w:eastAsia="zh-CN"/>
            </w:rPr>
            <w:t>高效生态农业</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_Toc26203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46</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4545905E">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_Toc28850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第二节</w:t>
          </w:r>
          <w:r>
            <w:rPr>
              <w:rFonts w:hint="eastAsia" w:ascii="Times New Roman" w:hAnsi="Times New Roman" w:eastAsia="楷体_GB2312" w:cs="Times New Roman"/>
              <w:bCs w:val="0"/>
              <w:color w:val="auto"/>
              <w:sz w:val="28"/>
              <w:szCs w:val="28"/>
              <w:highlight w:val="none"/>
              <w:lang w:val="en-US" w:eastAsia="zh-CN"/>
            </w:rPr>
            <w:t>实施</w:t>
          </w:r>
          <w:r>
            <w:rPr>
              <w:rFonts w:hint="default" w:ascii="Times New Roman" w:hAnsi="Times New Roman" w:eastAsia="楷体_GB2312" w:cs="Times New Roman"/>
              <w:bCs w:val="0"/>
              <w:color w:val="auto"/>
              <w:sz w:val="28"/>
              <w:szCs w:val="28"/>
              <w:highlight w:val="none"/>
              <w:lang w:val="en-US" w:eastAsia="zh-CN"/>
            </w:rPr>
            <w:t>美丽宜居乡村</w:t>
          </w:r>
          <w:r>
            <w:rPr>
              <w:rFonts w:hint="eastAsia" w:ascii="Times New Roman" w:hAnsi="Times New Roman" w:eastAsia="楷体_GB2312" w:cs="Times New Roman"/>
              <w:bCs w:val="0"/>
              <w:color w:val="auto"/>
              <w:sz w:val="28"/>
              <w:szCs w:val="28"/>
              <w:highlight w:val="none"/>
              <w:lang w:val="en-US" w:eastAsia="zh-CN"/>
            </w:rPr>
            <w:t>建设</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_Toc28850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50</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0FF833BC">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_Toc5561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第三节</w:t>
          </w:r>
          <w:r>
            <w:rPr>
              <w:rFonts w:hint="eastAsia" w:ascii="Times New Roman" w:hAnsi="Times New Roman" w:eastAsia="楷体_GB2312" w:cs="Times New Roman"/>
              <w:bCs w:val="0"/>
              <w:color w:val="auto"/>
              <w:sz w:val="28"/>
              <w:szCs w:val="28"/>
              <w:highlight w:val="none"/>
              <w:lang w:val="en-US" w:eastAsia="zh-CN"/>
            </w:rPr>
            <w:t>深化</w:t>
          </w:r>
          <w:r>
            <w:rPr>
              <w:rFonts w:hint="default" w:ascii="Times New Roman" w:hAnsi="Times New Roman" w:eastAsia="楷体_GB2312" w:cs="Times New Roman"/>
              <w:bCs w:val="0"/>
              <w:color w:val="auto"/>
              <w:sz w:val="28"/>
              <w:szCs w:val="28"/>
              <w:highlight w:val="none"/>
              <w:lang w:val="en-US" w:eastAsia="zh-CN"/>
            </w:rPr>
            <w:t>乡村文化治理效能</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_Toc5561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54</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202C839A">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_Toc13421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第四节巩固拓展脱贫攻坚成果</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_Toc13421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55</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71D38B0A">
          <w:pPr>
            <w:pStyle w:val="1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方正小标宋_GBK" w:cs="Times New Roman"/>
              <w:color w:val="auto"/>
              <w:sz w:val="28"/>
              <w:szCs w:val="32"/>
              <w:highlight w:val="none"/>
              <w:lang w:val="en-US" w:eastAsia="zh-CN"/>
            </w:rPr>
          </w:pP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HYPERLINK \l _Toc24877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第五章提升县城承载能力，高质量推进新型城镇化</w:t>
          </w:r>
          <w:r>
            <w:rPr>
              <w:rFonts w:hint="default" w:ascii="Times New Roman" w:hAnsi="Times New Roman" w:eastAsia="方正小标宋_GBK" w:cs="Times New Roman"/>
              <w:color w:val="auto"/>
              <w:sz w:val="28"/>
              <w:szCs w:val="32"/>
              <w:highlight w:val="none"/>
              <w:lang w:val="en-US" w:eastAsia="zh-CN"/>
            </w:rPr>
            <w:tab/>
          </w: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PAGEREF _Toc24877 \h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56</w:t>
          </w:r>
          <w:r>
            <w:rPr>
              <w:rFonts w:hint="default" w:ascii="Times New Roman" w:hAnsi="Times New Roman" w:eastAsia="方正小标宋_GBK" w:cs="Times New Roman"/>
              <w:color w:val="auto"/>
              <w:sz w:val="28"/>
              <w:szCs w:val="32"/>
              <w:highlight w:val="none"/>
              <w:lang w:val="en-US" w:eastAsia="zh-CN"/>
            </w:rPr>
            <w:fldChar w:fldCharType="end"/>
          </w:r>
          <w:r>
            <w:rPr>
              <w:rFonts w:hint="default" w:ascii="Times New Roman" w:hAnsi="Times New Roman" w:eastAsia="方正小标宋_GBK" w:cs="Times New Roman"/>
              <w:color w:val="auto"/>
              <w:sz w:val="28"/>
              <w:szCs w:val="32"/>
              <w:highlight w:val="none"/>
              <w:lang w:val="en-US" w:eastAsia="zh-CN"/>
            </w:rPr>
            <w:fldChar w:fldCharType="end"/>
          </w:r>
        </w:p>
        <w:p w14:paraId="391E6872">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_Toc27082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第一节构建县域城镇发展新格局</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_Toc27082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56</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481292A7">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_Toc26378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第二节增强县城核心服务功能</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_Toc26378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57</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32200FD7">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_Toc7921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第三节推动乡镇差异化特色发展</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_Toc7921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59</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4BC13112">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_Toc18808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第四节促进农业人口全面融入城市</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_Toc18808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60</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5C765DC9">
          <w:pPr>
            <w:pStyle w:val="1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方正小标宋_GBK" w:cs="Times New Roman"/>
              <w:color w:val="auto"/>
              <w:sz w:val="28"/>
              <w:szCs w:val="32"/>
              <w:highlight w:val="none"/>
              <w:lang w:val="en-US" w:eastAsia="zh-CN"/>
            </w:rPr>
          </w:pP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HYPERLINK \l _Toc28575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第六章构筑现代化基建支撑，夯实高质量发展根基</w:t>
          </w:r>
          <w:r>
            <w:rPr>
              <w:rFonts w:hint="default" w:ascii="Times New Roman" w:hAnsi="Times New Roman" w:eastAsia="方正小标宋_GBK" w:cs="Times New Roman"/>
              <w:color w:val="auto"/>
              <w:sz w:val="28"/>
              <w:szCs w:val="32"/>
              <w:highlight w:val="none"/>
              <w:lang w:val="en-US" w:eastAsia="zh-CN"/>
            </w:rPr>
            <w:tab/>
          </w: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PAGEREF _Toc28575 \h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62</w:t>
          </w:r>
          <w:r>
            <w:rPr>
              <w:rFonts w:hint="default" w:ascii="Times New Roman" w:hAnsi="Times New Roman" w:eastAsia="方正小标宋_GBK" w:cs="Times New Roman"/>
              <w:color w:val="auto"/>
              <w:sz w:val="28"/>
              <w:szCs w:val="32"/>
              <w:highlight w:val="none"/>
              <w:lang w:val="en-US" w:eastAsia="zh-CN"/>
            </w:rPr>
            <w:fldChar w:fldCharType="end"/>
          </w:r>
          <w:r>
            <w:rPr>
              <w:rFonts w:hint="default" w:ascii="Times New Roman" w:hAnsi="Times New Roman" w:eastAsia="方正小标宋_GBK" w:cs="Times New Roman"/>
              <w:color w:val="auto"/>
              <w:sz w:val="28"/>
              <w:szCs w:val="32"/>
              <w:highlight w:val="none"/>
              <w:lang w:val="en-US" w:eastAsia="zh-CN"/>
            </w:rPr>
            <w:fldChar w:fldCharType="end"/>
          </w:r>
        </w:p>
        <w:p w14:paraId="4DBCEA86">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_Toc30376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第一节构建高效畅通的综合交通网络</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_Toc30376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62</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125250C9">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_Toc29952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第二节建设安全可靠的现代水利设施</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_Toc29952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64</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6936FB57">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_Toc32721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第三节建设安全绿色的能源保障体系</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_Toc32721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65</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64D78259">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_Toc19779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第四节布局智慧高效的新型基础设施</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_Toc19779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66</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0867FABD">
          <w:pPr>
            <w:pStyle w:val="1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方正小标宋_GBK" w:cs="Times New Roman"/>
              <w:color w:val="auto"/>
              <w:sz w:val="28"/>
              <w:szCs w:val="32"/>
              <w:highlight w:val="none"/>
              <w:lang w:val="en-US" w:eastAsia="zh-CN"/>
            </w:rPr>
          </w:pP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HYPERLINK \l _Toc23791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第七章谱写绿色低碳发展新篇，高水平建设生态水乡</w:t>
          </w:r>
          <w:r>
            <w:rPr>
              <w:rFonts w:hint="default" w:ascii="Times New Roman" w:hAnsi="Times New Roman" w:eastAsia="方正小标宋_GBK" w:cs="Times New Roman"/>
              <w:color w:val="auto"/>
              <w:sz w:val="28"/>
              <w:szCs w:val="32"/>
              <w:highlight w:val="none"/>
              <w:lang w:val="en-US" w:eastAsia="zh-CN"/>
            </w:rPr>
            <w:tab/>
          </w: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PAGEREF _Toc23791 \h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68</w:t>
          </w:r>
          <w:r>
            <w:rPr>
              <w:rFonts w:hint="default" w:ascii="Times New Roman" w:hAnsi="Times New Roman" w:eastAsia="方正小标宋_GBK" w:cs="Times New Roman"/>
              <w:color w:val="auto"/>
              <w:sz w:val="28"/>
              <w:szCs w:val="32"/>
              <w:highlight w:val="none"/>
              <w:lang w:val="en-US" w:eastAsia="zh-CN"/>
            </w:rPr>
            <w:fldChar w:fldCharType="end"/>
          </w:r>
          <w:r>
            <w:rPr>
              <w:rFonts w:hint="default" w:ascii="Times New Roman" w:hAnsi="Times New Roman" w:eastAsia="方正小标宋_GBK" w:cs="Times New Roman"/>
              <w:color w:val="auto"/>
              <w:sz w:val="28"/>
              <w:szCs w:val="32"/>
              <w:highlight w:val="none"/>
              <w:lang w:val="en-US" w:eastAsia="zh-CN"/>
            </w:rPr>
            <w:fldChar w:fldCharType="end"/>
          </w:r>
        </w:p>
        <w:p w14:paraId="0A39F5F2">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_Toc16595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第一节筑牢生态安全屏障</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_Toc16595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68</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4066ABC8">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_Toc11162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第二节系统治理环境污染</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_Toc11162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69</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359D598A">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_Toc31329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第三节加快发展方式绿色低碳转型</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_Toc31329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70</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77D7B392">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_Toc10603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第四节提升生态治理现代化水平</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_Toc10603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74</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065089CB">
          <w:pPr>
            <w:pStyle w:val="1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方正小标宋_GBK" w:cs="Times New Roman"/>
              <w:color w:val="auto"/>
              <w:sz w:val="28"/>
              <w:szCs w:val="32"/>
              <w:highlight w:val="none"/>
              <w:lang w:val="en-US" w:eastAsia="zh-CN"/>
            </w:rPr>
          </w:pP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HYPERLINK \l _Toc12315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第八章持续增进人民福祉，绘就普惠共享图景</w:t>
          </w:r>
          <w:r>
            <w:rPr>
              <w:rFonts w:hint="default" w:ascii="Times New Roman" w:hAnsi="Times New Roman" w:eastAsia="方正小标宋_GBK" w:cs="Times New Roman"/>
              <w:color w:val="auto"/>
              <w:sz w:val="28"/>
              <w:szCs w:val="32"/>
              <w:highlight w:val="none"/>
              <w:lang w:val="en-US" w:eastAsia="zh-CN"/>
            </w:rPr>
            <w:tab/>
          </w: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PAGEREF _Toc12315 \h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76</w:t>
          </w:r>
          <w:r>
            <w:rPr>
              <w:rFonts w:hint="default" w:ascii="Times New Roman" w:hAnsi="Times New Roman" w:eastAsia="方正小标宋_GBK" w:cs="Times New Roman"/>
              <w:color w:val="auto"/>
              <w:sz w:val="28"/>
              <w:szCs w:val="32"/>
              <w:highlight w:val="none"/>
              <w:lang w:val="en-US" w:eastAsia="zh-CN"/>
            </w:rPr>
            <w:fldChar w:fldCharType="end"/>
          </w:r>
          <w:r>
            <w:rPr>
              <w:rFonts w:hint="default" w:ascii="Times New Roman" w:hAnsi="Times New Roman" w:eastAsia="方正小标宋_GBK" w:cs="Times New Roman"/>
              <w:color w:val="auto"/>
              <w:sz w:val="28"/>
              <w:szCs w:val="32"/>
              <w:highlight w:val="none"/>
              <w:lang w:val="en-US" w:eastAsia="zh-CN"/>
            </w:rPr>
            <w:fldChar w:fldCharType="end"/>
          </w:r>
        </w:p>
        <w:p w14:paraId="45AD1783">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_Toc28371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第一节促进高质量充分就业</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_Toc28371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76</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056791A2">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_Toc20422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第二节办好人民满意教育</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_Toc20422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77</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10D44C4F">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_Toc21832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第三节推进健康岫岩建设</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_Toc21832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79</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6AAF9553">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_Toc3231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第四节健全多层次社会保障体系</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_Toc3231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82</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3AE5FE37">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_Toc3123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第五节推动文体事业繁荣发展</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_Toc3123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84</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0EFFEBC5">
          <w:pPr>
            <w:pStyle w:val="1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方正小标宋_GBK" w:cs="Times New Roman"/>
              <w:color w:val="auto"/>
              <w:sz w:val="28"/>
              <w:szCs w:val="32"/>
              <w:highlight w:val="none"/>
              <w:lang w:val="en-US" w:eastAsia="zh-CN"/>
            </w:rPr>
          </w:pP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HYPERLINK \l _Toc25888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第九章创新社会治理体系，维护社会和谐稳定</w:t>
          </w:r>
          <w:r>
            <w:rPr>
              <w:rFonts w:hint="default" w:ascii="Times New Roman" w:hAnsi="Times New Roman" w:eastAsia="方正小标宋_GBK" w:cs="Times New Roman"/>
              <w:color w:val="auto"/>
              <w:sz w:val="28"/>
              <w:szCs w:val="32"/>
              <w:highlight w:val="none"/>
              <w:lang w:val="en-US" w:eastAsia="zh-CN"/>
            </w:rPr>
            <w:tab/>
          </w: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PAGEREF _Toc25888 \h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87</w:t>
          </w:r>
          <w:r>
            <w:rPr>
              <w:rFonts w:hint="default" w:ascii="Times New Roman" w:hAnsi="Times New Roman" w:eastAsia="方正小标宋_GBK" w:cs="Times New Roman"/>
              <w:color w:val="auto"/>
              <w:sz w:val="28"/>
              <w:szCs w:val="32"/>
              <w:highlight w:val="none"/>
              <w:lang w:val="en-US" w:eastAsia="zh-CN"/>
            </w:rPr>
            <w:fldChar w:fldCharType="end"/>
          </w:r>
          <w:r>
            <w:rPr>
              <w:rFonts w:hint="default" w:ascii="Times New Roman" w:hAnsi="Times New Roman" w:eastAsia="方正小标宋_GBK" w:cs="Times New Roman"/>
              <w:color w:val="auto"/>
              <w:sz w:val="28"/>
              <w:szCs w:val="32"/>
              <w:highlight w:val="none"/>
              <w:lang w:val="en-US" w:eastAsia="zh-CN"/>
            </w:rPr>
            <w:fldChar w:fldCharType="end"/>
          </w:r>
        </w:p>
        <w:p w14:paraId="4C8F2BB4">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_Toc14858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第一节深化推进依法治县</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_Toc14858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87</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7F1232C0">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_Toc10278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第二节推动社会治理创新</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_Toc10278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88</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654AA904">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_Toc13175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第三节健全应急管理体系</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_Toc13175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90</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2C0D582A">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_Toc31750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第四节强化平安岫岩建设</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_Toc31750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92</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29D006EC">
          <w:pPr>
            <w:pStyle w:val="1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方正小标宋_GBK" w:cs="Times New Roman"/>
              <w:color w:val="auto"/>
              <w:sz w:val="28"/>
              <w:szCs w:val="32"/>
              <w:highlight w:val="none"/>
              <w:lang w:val="en-US" w:eastAsia="zh-CN"/>
            </w:rPr>
          </w:pP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HYPERLINK \l _Toc24703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第十章激发改革开放活力，塑造县域发展优势</w:t>
          </w:r>
          <w:r>
            <w:rPr>
              <w:rFonts w:hint="default" w:ascii="Times New Roman" w:hAnsi="Times New Roman" w:eastAsia="方正小标宋_GBK" w:cs="Times New Roman"/>
              <w:color w:val="auto"/>
              <w:sz w:val="28"/>
              <w:szCs w:val="32"/>
              <w:highlight w:val="none"/>
              <w:lang w:val="en-US" w:eastAsia="zh-CN"/>
            </w:rPr>
            <w:tab/>
          </w: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PAGEREF _Toc24703 \h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96</w:t>
          </w:r>
          <w:r>
            <w:rPr>
              <w:rFonts w:hint="default" w:ascii="Times New Roman" w:hAnsi="Times New Roman" w:eastAsia="方正小标宋_GBK" w:cs="Times New Roman"/>
              <w:color w:val="auto"/>
              <w:sz w:val="28"/>
              <w:szCs w:val="32"/>
              <w:highlight w:val="none"/>
              <w:lang w:val="en-US" w:eastAsia="zh-CN"/>
            </w:rPr>
            <w:fldChar w:fldCharType="end"/>
          </w:r>
          <w:r>
            <w:rPr>
              <w:rFonts w:hint="default" w:ascii="Times New Roman" w:hAnsi="Times New Roman" w:eastAsia="方正小标宋_GBK" w:cs="Times New Roman"/>
              <w:color w:val="auto"/>
              <w:sz w:val="28"/>
              <w:szCs w:val="32"/>
              <w:highlight w:val="none"/>
              <w:lang w:val="en-US" w:eastAsia="zh-CN"/>
            </w:rPr>
            <w:fldChar w:fldCharType="end"/>
          </w:r>
        </w:p>
        <w:p w14:paraId="37703E42">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_Toc16279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第一节持续优化营商环境</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_Toc16279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96</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07C38EE9">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_Toc26619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第二节深化重点领域改革</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_Toc26619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98</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321A649C">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_Toc7225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第三节增强科技创新能力</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_Toc7225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101</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56C452C8">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_Toc15345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第四节加强对外开放合作</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_Toc15345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103</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395A4CF6">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_Toc6495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第五节实施人才强县工程</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_Toc6495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106</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1078B7DD">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_Toc13703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第六节积极扩大有效投资</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_Toc13703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108</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1B22C576">
          <w:pPr>
            <w:pStyle w:val="1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方正小标宋_GBK" w:cs="Times New Roman"/>
              <w:color w:val="auto"/>
              <w:sz w:val="28"/>
              <w:szCs w:val="32"/>
              <w:highlight w:val="none"/>
              <w:lang w:val="en-US" w:eastAsia="zh-CN"/>
            </w:rPr>
          </w:pP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HYPERLINK \l _Toc17706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第十一章强化规划实施保障，确保蓝图变为现实</w:t>
          </w:r>
          <w:r>
            <w:rPr>
              <w:rFonts w:hint="default" w:ascii="Times New Roman" w:hAnsi="Times New Roman" w:eastAsia="方正小标宋_GBK" w:cs="Times New Roman"/>
              <w:color w:val="auto"/>
              <w:sz w:val="28"/>
              <w:szCs w:val="32"/>
              <w:highlight w:val="none"/>
              <w:lang w:val="en-US" w:eastAsia="zh-CN"/>
            </w:rPr>
            <w:tab/>
          </w:r>
          <w:r>
            <w:rPr>
              <w:rFonts w:hint="default" w:ascii="Times New Roman" w:hAnsi="Times New Roman" w:eastAsia="方正小标宋_GBK" w:cs="Times New Roman"/>
              <w:color w:val="auto"/>
              <w:sz w:val="28"/>
              <w:szCs w:val="32"/>
              <w:highlight w:val="none"/>
              <w:lang w:val="en-US" w:eastAsia="zh-CN"/>
            </w:rPr>
            <w:fldChar w:fldCharType="begin"/>
          </w:r>
          <w:r>
            <w:rPr>
              <w:rFonts w:hint="default" w:ascii="Times New Roman" w:hAnsi="Times New Roman" w:eastAsia="方正小标宋_GBK" w:cs="Times New Roman"/>
              <w:color w:val="auto"/>
              <w:sz w:val="28"/>
              <w:szCs w:val="32"/>
              <w:highlight w:val="none"/>
              <w:lang w:val="en-US" w:eastAsia="zh-CN"/>
            </w:rPr>
            <w:instrText xml:space="preserve"> PAGEREF _Toc17706 \h </w:instrText>
          </w:r>
          <w:r>
            <w:rPr>
              <w:rFonts w:hint="default" w:ascii="Times New Roman" w:hAnsi="Times New Roman" w:eastAsia="方正小标宋_GBK" w:cs="Times New Roman"/>
              <w:color w:val="auto"/>
              <w:sz w:val="28"/>
              <w:szCs w:val="32"/>
              <w:highlight w:val="none"/>
              <w:lang w:val="en-US" w:eastAsia="zh-CN"/>
            </w:rPr>
            <w:fldChar w:fldCharType="separate"/>
          </w:r>
          <w:r>
            <w:rPr>
              <w:rFonts w:hint="default" w:ascii="Times New Roman" w:hAnsi="Times New Roman" w:eastAsia="方正小标宋_GBK" w:cs="Times New Roman"/>
              <w:color w:val="auto"/>
              <w:sz w:val="28"/>
              <w:szCs w:val="32"/>
              <w:highlight w:val="none"/>
              <w:lang w:val="en-US" w:eastAsia="zh-CN"/>
            </w:rPr>
            <w:t>110</w:t>
          </w:r>
          <w:r>
            <w:rPr>
              <w:rFonts w:hint="default" w:ascii="Times New Roman" w:hAnsi="Times New Roman" w:eastAsia="方正小标宋_GBK" w:cs="Times New Roman"/>
              <w:color w:val="auto"/>
              <w:sz w:val="28"/>
              <w:szCs w:val="32"/>
              <w:highlight w:val="none"/>
              <w:lang w:val="en-US" w:eastAsia="zh-CN"/>
            </w:rPr>
            <w:fldChar w:fldCharType="end"/>
          </w:r>
          <w:r>
            <w:rPr>
              <w:rFonts w:hint="default" w:ascii="Times New Roman" w:hAnsi="Times New Roman" w:eastAsia="方正小标宋_GBK" w:cs="Times New Roman"/>
              <w:color w:val="auto"/>
              <w:sz w:val="28"/>
              <w:szCs w:val="32"/>
              <w:highlight w:val="none"/>
              <w:lang w:val="en-US" w:eastAsia="zh-CN"/>
            </w:rPr>
            <w:fldChar w:fldCharType="end"/>
          </w:r>
        </w:p>
        <w:p w14:paraId="6B65C7BE">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_Toc9631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第一节加强党的全面领导</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_Toc9631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110</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2DF265DF">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_Toc25363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第二节凝聚社会各界共识</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_Toc25363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111</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5962E75C">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_Toc10091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第三节健全统一规划体系</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_Toc10091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111</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7881415F">
          <w:pPr>
            <w:pStyle w:val="12"/>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default" w:ascii="Times New Roman" w:hAnsi="Times New Roman" w:eastAsia="楷体_GB2312" w:cs="Times New Roman"/>
              <w:bCs w:val="0"/>
              <w:color w:val="auto"/>
              <w:sz w:val="28"/>
              <w:szCs w:val="28"/>
              <w:highlight w:val="none"/>
              <w:lang w:val="en-US" w:eastAsia="zh-CN"/>
            </w:rPr>
          </w:pP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HYPERLINK \l _Toc22716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第四节完善规划实施机制</w:t>
          </w:r>
          <w:r>
            <w:rPr>
              <w:rFonts w:hint="default" w:ascii="Times New Roman" w:hAnsi="Times New Roman" w:eastAsia="楷体_GB2312" w:cs="Times New Roman"/>
              <w:bCs w:val="0"/>
              <w:color w:val="auto"/>
              <w:sz w:val="28"/>
              <w:szCs w:val="28"/>
              <w:highlight w:val="none"/>
              <w:lang w:val="en-US" w:eastAsia="zh-CN"/>
            </w:rPr>
            <w:tab/>
          </w:r>
          <w:r>
            <w:rPr>
              <w:rFonts w:hint="default" w:ascii="Times New Roman" w:hAnsi="Times New Roman" w:eastAsia="楷体_GB2312" w:cs="Times New Roman"/>
              <w:bCs w:val="0"/>
              <w:color w:val="auto"/>
              <w:sz w:val="28"/>
              <w:szCs w:val="28"/>
              <w:highlight w:val="none"/>
              <w:lang w:val="en-US" w:eastAsia="zh-CN"/>
            </w:rPr>
            <w:fldChar w:fldCharType="begin"/>
          </w:r>
          <w:r>
            <w:rPr>
              <w:rFonts w:hint="default" w:ascii="Times New Roman" w:hAnsi="Times New Roman" w:eastAsia="楷体_GB2312" w:cs="Times New Roman"/>
              <w:bCs w:val="0"/>
              <w:color w:val="auto"/>
              <w:sz w:val="28"/>
              <w:szCs w:val="28"/>
              <w:highlight w:val="none"/>
              <w:lang w:val="en-US" w:eastAsia="zh-CN"/>
            </w:rPr>
            <w:instrText xml:space="preserve"> PAGEREF _Toc22716 \h </w:instrText>
          </w:r>
          <w:r>
            <w:rPr>
              <w:rFonts w:hint="default" w:ascii="Times New Roman" w:hAnsi="Times New Roman" w:eastAsia="楷体_GB2312" w:cs="Times New Roman"/>
              <w:bCs w:val="0"/>
              <w:color w:val="auto"/>
              <w:sz w:val="28"/>
              <w:szCs w:val="28"/>
              <w:highlight w:val="none"/>
              <w:lang w:val="en-US" w:eastAsia="zh-CN"/>
            </w:rPr>
            <w:fldChar w:fldCharType="separate"/>
          </w:r>
          <w:r>
            <w:rPr>
              <w:rFonts w:hint="default" w:ascii="Times New Roman" w:hAnsi="Times New Roman" w:eastAsia="楷体_GB2312" w:cs="Times New Roman"/>
              <w:bCs w:val="0"/>
              <w:color w:val="auto"/>
              <w:sz w:val="28"/>
              <w:szCs w:val="28"/>
              <w:highlight w:val="none"/>
              <w:lang w:val="en-US" w:eastAsia="zh-CN"/>
            </w:rPr>
            <w:t>112</w:t>
          </w:r>
          <w:r>
            <w:rPr>
              <w:rFonts w:hint="default" w:ascii="Times New Roman" w:hAnsi="Times New Roman" w:eastAsia="楷体_GB2312" w:cs="Times New Roman"/>
              <w:bCs w:val="0"/>
              <w:color w:val="auto"/>
              <w:sz w:val="28"/>
              <w:szCs w:val="28"/>
              <w:highlight w:val="none"/>
              <w:lang w:val="en-US" w:eastAsia="zh-CN"/>
            </w:rPr>
            <w:fldChar w:fldCharType="end"/>
          </w:r>
          <w:r>
            <w:rPr>
              <w:rFonts w:hint="default" w:ascii="Times New Roman" w:hAnsi="Times New Roman" w:eastAsia="楷体_GB2312" w:cs="Times New Roman"/>
              <w:bCs w:val="0"/>
              <w:color w:val="auto"/>
              <w:sz w:val="28"/>
              <w:szCs w:val="28"/>
              <w:highlight w:val="none"/>
              <w:lang w:val="en-US" w:eastAsia="zh-CN"/>
            </w:rPr>
            <w:fldChar w:fldCharType="end"/>
          </w:r>
        </w:p>
        <w:p w14:paraId="708443ED">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jc w:val="both"/>
            <w:textAlignment w:val="auto"/>
            <w:rPr>
              <w:rFonts w:hint="default" w:ascii="Times New Roman" w:hAnsi="Times New Roman" w:eastAsia="方正小标宋_GBK" w:cs="Times New Roman"/>
              <w:color w:val="auto"/>
              <w:kern w:val="2"/>
              <w:sz w:val="40"/>
              <w:szCs w:val="40"/>
              <w:highlight w:val="none"/>
              <w:lang w:val="en-US" w:eastAsia="zh-CN" w:bidi="ar-SA"/>
            </w:rPr>
          </w:pPr>
          <w:r>
            <w:rPr>
              <w:rFonts w:hint="default" w:ascii="Times New Roman" w:hAnsi="Times New Roman" w:cs="Times New Roman"/>
              <w:color w:val="auto"/>
              <w:szCs w:val="22"/>
              <w:highlight w:val="none"/>
              <w:lang w:val="en-US" w:eastAsia="zh-CN"/>
            </w:rPr>
            <w:fldChar w:fldCharType="end"/>
          </w:r>
        </w:p>
      </w:sdtContent>
    </w:sdt>
    <w:p w14:paraId="2C4D1F48">
      <w:pPr>
        <w:pStyle w:val="2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Times New Roman" w:hAnsi="Times New Roman" w:eastAsia="方正小标宋_GBK" w:cs="Times New Roman"/>
          <w:color w:val="auto"/>
          <w:kern w:val="2"/>
          <w:sz w:val="44"/>
          <w:szCs w:val="44"/>
          <w:highlight w:val="none"/>
          <w:lang w:val="en-US" w:eastAsia="zh-CN" w:bidi="ar-SA"/>
        </w:rPr>
      </w:pPr>
    </w:p>
    <w:p w14:paraId="0E9329D6">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D23AAE0">
      <w:pPr>
        <w:pStyle w:val="2"/>
        <w:bidi w:val="0"/>
        <w:rPr>
          <w:rFonts w:hint="default" w:ascii="Times New Roman" w:hAnsi="Times New Roman" w:cs="Times New Roman"/>
          <w:color w:val="auto"/>
          <w:highlight w:val="none"/>
        </w:rPr>
        <w:sectPr>
          <w:pgSz w:w="11906" w:h="16838"/>
          <w:pgMar w:top="1440" w:right="1800" w:bottom="1440" w:left="1800" w:header="851" w:footer="992" w:gutter="0"/>
          <w:cols w:space="425" w:num="1"/>
          <w:docGrid w:type="lines" w:linePitch="312" w:charSpace="0"/>
        </w:sectPr>
      </w:pPr>
    </w:p>
    <w:p w14:paraId="4E2ECB4C">
      <w:pPr>
        <w:pStyle w:val="2"/>
        <w:bidi w:val="0"/>
        <w:rPr>
          <w:rFonts w:hint="default" w:ascii="Times New Roman" w:hAnsi="Times New Roman" w:cs="Times New Roman"/>
          <w:color w:val="auto"/>
          <w:highlight w:val="none"/>
          <w:lang w:val="en-US" w:eastAsia="zh-CN"/>
        </w:rPr>
      </w:pPr>
      <w:bookmarkStart w:id="5" w:name="_Toc9641"/>
      <w:bookmarkStart w:id="6" w:name="_Toc27321"/>
      <w:r>
        <w:rPr>
          <w:rFonts w:hint="default" w:ascii="Times New Roman" w:hAnsi="Times New Roman" w:cs="Times New Roman"/>
          <w:color w:val="auto"/>
          <w:highlight w:val="none"/>
          <w:lang w:val="en-US" w:eastAsia="zh-CN"/>
        </w:rPr>
        <w:t>前言</w:t>
      </w:r>
      <w:bookmarkEnd w:id="5"/>
      <w:bookmarkEnd w:id="6"/>
    </w:p>
    <w:p w14:paraId="23495079">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十五五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时期，是我国全面建设社会主义现代化国家、向第二个百年奋斗目标进军的关键时期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是推动东北全面振兴取得新突破的重要阶段，也是岫岩满族自治县立足新发展阶段、贯彻新发展理念、融入新发展格局，奋力谱写中国式现代化岫岩新篇章的战略机遇期和攻坚突破期。《岫岩满族自治县国民经济和社会发展第十五个五年规划纲要》根据《中共岫岩满族自治县委关于制定国民经济和社会发展第十五个五年规划的建议》编制</w:t>
      </w:r>
      <w:r>
        <w:rPr>
          <w:rFonts w:hint="default" w:ascii="Times New Roman" w:hAnsi="Times New Roman" w:cs="Times New Roman"/>
          <w:color w:val="000000"/>
          <w:szCs w:val="32"/>
          <w:highlight w:val="none"/>
        </w:rPr>
        <w:t>，系统阐明“十五五”时期全</w:t>
      </w:r>
      <w:r>
        <w:rPr>
          <w:rFonts w:hint="default" w:ascii="Times New Roman" w:hAnsi="Times New Roman" w:cs="Times New Roman"/>
          <w:color w:val="000000"/>
          <w:szCs w:val="32"/>
          <w:highlight w:val="none"/>
          <w:lang w:val="en-US" w:eastAsia="zh-CN"/>
        </w:rPr>
        <w:t>县</w:t>
      </w:r>
      <w:r>
        <w:rPr>
          <w:rFonts w:hint="default" w:ascii="Times New Roman" w:hAnsi="Times New Roman" w:cs="Times New Roman"/>
          <w:color w:val="000000"/>
          <w:szCs w:val="32"/>
          <w:highlight w:val="none"/>
        </w:rPr>
        <w:t>经济社会发展思路、主要目标、重大举措和政策导向，是政府履行法定职责的重要依据，是全</w:t>
      </w:r>
      <w:r>
        <w:rPr>
          <w:rFonts w:hint="default" w:ascii="Times New Roman" w:hAnsi="Times New Roman" w:cs="Times New Roman"/>
          <w:color w:val="000000"/>
          <w:szCs w:val="32"/>
          <w:highlight w:val="none"/>
          <w:lang w:val="en-US" w:eastAsia="zh-CN"/>
        </w:rPr>
        <w:t>县</w:t>
      </w:r>
      <w:r>
        <w:rPr>
          <w:rFonts w:hint="default" w:ascii="Times New Roman" w:hAnsi="Times New Roman" w:cs="Times New Roman"/>
          <w:color w:val="000000"/>
          <w:szCs w:val="32"/>
          <w:highlight w:val="none"/>
        </w:rPr>
        <w:t>人民共同奋斗的行动纲领。</w:t>
      </w:r>
    </w:p>
    <w:p w14:paraId="740CD185">
      <w:pPr>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420" w:lineRule="atLeast"/>
        <w:jc w:val="left"/>
        <w:rPr>
          <w:rFonts w:hint="default" w:ascii="Times New Roman" w:hAnsi="Times New Roman" w:cs="Times New Roman"/>
          <w:color w:val="auto"/>
          <w:sz w:val="21"/>
          <w:szCs w:val="21"/>
          <w:highlight w:val="none"/>
        </w:rPr>
      </w:pPr>
    </w:p>
    <w:p w14:paraId="1786D653">
      <w:pPr>
        <w:pStyle w:val="2"/>
        <w:bidi w:val="0"/>
        <w:rPr>
          <w:rFonts w:hint="default" w:ascii="Times New Roman" w:hAnsi="Times New Roman" w:cs="Times New Roman"/>
          <w:color w:val="auto"/>
          <w:highlight w:val="none"/>
        </w:rPr>
        <w:sectPr>
          <w:footerReference r:id="rId5" w:type="default"/>
          <w:pgSz w:w="11906" w:h="16838"/>
          <w:pgMar w:top="1440" w:right="1800" w:bottom="1440" w:left="1800" w:header="851" w:footer="992" w:gutter="0"/>
          <w:pgNumType w:start="1"/>
          <w:cols w:space="425" w:num="1"/>
          <w:docGrid w:type="lines" w:linePitch="312" w:charSpace="0"/>
        </w:sectPr>
      </w:pPr>
    </w:p>
    <w:p w14:paraId="00FA211C">
      <w:pPr>
        <w:pStyle w:val="2"/>
        <w:bidi w:val="0"/>
        <w:rPr>
          <w:rFonts w:hint="default" w:ascii="Times New Roman" w:hAnsi="Times New Roman" w:cs="Times New Roman"/>
          <w:color w:val="auto"/>
          <w:highlight w:val="none"/>
          <w:lang w:eastAsia="zh-CN"/>
        </w:rPr>
      </w:pPr>
      <w:bookmarkStart w:id="7" w:name="_Toc13244"/>
      <w:r>
        <w:rPr>
          <w:rFonts w:hint="default" w:ascii="Times New Roman" w:hAnsi="Times New Roman" w:cs="Times New Roman"/>
          <w:color w:val="auto"/>
          <w:highlight w:val="none"/>
        </w:rPr>
        <w:t>第一章回顾发展基础与时代方位，定位岫岩新征程起点</w:t>
      </w:r>
      <w:bookmarkEnd w:id="7"/>
    </w:p>
    <w:p w14:paraId="65A7DF6E">
      <w:pPr>
        <w:pStyle w:val="3"/>
        <w:bidi w:val="0"/>
        <w:rPr>
          <w:rFonts w:hint="default" w:ascii="Times New Roman" w:hAnsi="Times New Roman" w:cs="Times New Roman"/>
          <w:color w:val="auto"/>
          <w:highlight w:val="none"/>
          <w:lang w:val="en-US" w:eastAsia="zh-CN"/>
        </w:rPr>
      </w:pPr>
      <w:bookmarkStart w:id="8" w:name="_Toc24365"/>
      <w:r>
        <w:rPr>
          <w:rFonts w:hint="default" w:ascii="Times New Roman" w:hAnsi="Times New Roman" w:cs="Times New Roman"/>
          <w:color w:val="auto"/>
          <w:highlight w:val="none"/>
        </w:rPr>
        <w:t>第一节“十四五”时期发展</w:t>
      </w:r>
      <w:r>
        <w:rPr>
          <w:rFonts w:hint="default" w:ascii="Times New Roman" w:hAnsi="Times New Roman" w:cs="Times New Roman"/>
          <w:color w:val="auto"/>
          <w:highlight w:val="none"/>
          <w:lang w:val="en-US" w:eastAsia="zh-CN"/>
        </w:rPr>
        <w:t>成就</w:t>
      </w:r>
      <w:bookmarkEnd w:id="8"/>
    </w:p>
    <w:p w14:paraId="778BD518">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十四五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时期，是</w:t>
      </w:r>
      <w:r>
        <w:rPr>
          <w:rFonts w:hint="default" w:ascii="Times New Roman" w:hAnsi="Times New Roman" w:cs="Times New Roman"/>
          <w:color w:val="auto"/>
          <w:highlight w:val="none"/>
          <w:lang w:val="en-US" w:eastAsia="zh-CN"/>
        </w:rPr>
        <w:t>我县</w:t>
      </w:r>
      <w:r>
        <w:rPr>
          <w:rFonts w:hint="default" w:ascii="Times New Roman" w:hAnsi="Times New Roman" w:cs="Times New Roman"/>
          <w:color w:val="auto"/>
          <w:highlight w:val="none"/>
        </w:rPr>
        <w:t>发展进程中极不平凡的五年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面对复杂严峻的外部环境和艰巨繁重的改革发展稳定任务，全县上下坚持以习近平新时代中国特色社会主义思想为指导，</w:t>
      </w:r>
      <w:r>
        <w:rPr>
          <w:rFonts w:hint="default" w:ascii="Times New Roman" w:hAnsi="Times New Roman" w:cs="Times New Roman"/>
          <w:color w:val="auto"/>
          <w:highlight w:val="none"/>
          <w:lang w:val="en-US" w:eastAsia="zh-CN"/>
        </w:rPr>
        <w:t>全面贯彻落实党的二十大关于推动东北全面振兴取得新突破的战略部署，大力实施全面振兴新突破三年行动，</w:t>
      </w:r>
      <w:r>
        <w:rPr>
          <w:rFonts w:hint="default" w:ascii="Times New Roman" w:hAnsi="Times New Roman" w:cs="Times New Roman"/>
          <w:color w:val="auto"/>
          <w:highlight w:val="none"/>
        </w:rPr>
        <w:t>紧紧围绕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十四五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规划确定的目标任务，攻坚克难、砥砺奋进，经济社会发展取得显著成就，为开启全面建设社会主义现代化岫岩新征程奠定了坚实基础。</w:t>
      </w:r>
    </w:p>
    <w:p w14:paraId="6B58065B">
      <w:pPr>
        <w:pStyle w:val="4"/>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综合实力迈上新台阶</w:t>
      </w:r>
    </w:p>
    <w:p w14:paraId="738E0555">
      <w:pPr>
        <w:bidi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十四五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时期，我县</w:t>
      </w:r>
      <w:r>
        <w:rPr>
          <w:rFonts w:hint="default" w:ascii="Times New Roman" w:hAnsi="Times New Roman" w:cs="Times New Roman"/>
          <w:color w:val="auto"/>
          <w:highlight w:val="none"/>
        </w:rPr>
        <w:t>积极应对复杂多变的外部环境和各类风险挑战，全力推动经济社会高质量发展，综合实力显著增强。地区生产总值</w:t>
      </w:r>
      <w:r>
        <w:rPr>
          <w:rFonts w:hint="default" w:ascii="Times New Roman" w:hAnsi="Times New Roman" w:cs="Times New Roman"/>
          <w:color w:val="auto"/>
          <w:highlight w:val="none"/>
          <w:lang w:val="en-US" w:eastAsia="zh-CN"/>
        </w:rPr>
        <w:t>从</w:t>
      </w:r>
      <w:r>
        <w:rPr>
          <w:rFonts w:hint="default" w:ascii="Times New Roman" w:hAnsi="Times New Roman" w:cs="Times New Roman"/>
          <w:color w:val="auto"/>
          <w:highlight w:val="none"/>
        </w:rPr>
        <w:t>2020年的</w:t>
      </w:r>
      <w:r>
        <w:rPr>
          <w:rFonts w:hint="default" w:ascii="Times New Roman" w:hAnsi="Times New Roman" w:cs="Times New Roman"/>
          <w:color w:val="auto"/>
          <w:highlight w:val="none"/>
          <w:lang w:val="en-US" w:eastAsia="zh-CN"/>
        </w:rPr>
        <w:t>144.42</w:t>
      </w:r>
      <w:r>
        <w:rPr>
          <w:rFonts w:hint="default" w:ascii="Times New Roman" w:hAnsi="Times New Roman" w:cs="Times New Roman"/>
          <w:color w:val="auto"/>
          <w:highlight w:val="none"/>
        </w:rPr>
        <w:t>亿元增长至202</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年的</w:t>
      </w:r>
      <w:r>
        <w:rPr>
          <w:rFonts w:hint="default" w:ascii="Times New Roman" w:hAnsi="Times New Roman" w:cs="Times New Roman"/>
          <w:color w:val="auto"/>
          <w:highlight w:val="none"/>
          <w:lang w:val="en-US" w:eastAsia="zh-CN"/>
        </w:rPr>
        <w:t>178.5</w:t>
      </w:r>
      <w:r>
        <w:rPr>
          <w:rFonts w:hint="default" w:ascii="Times New Roman" w:hAnsi="Times New Roman" w:cs="Times New Roman"/>
          <w:color w:val="auto"/>
          <w:highlight w:val="none"/>
        </w:rPr>
        <w:t>亿元，年均增长</w:t>
      </w:r>
      <w:r>
        <w:rPr>
          <w:rFonts w:hint="default" w:ascii="Times New Roman" w:hAnsi="Times New Roman" w:cs="Times New Roman"/>
          <w:color w:val="auto"/>
          <w:highlight w:val="none"/>
          <w:lang w:val="en-US" w:eastAsia="zh-CN"/>
        </w:rPr>
        <w:t>5.4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人均GDP突破</w:t>
      </w:r>
      <w:r>
        <w:rPr>
          <w:rFonts w:hint="default" w:ascii="Times New Roman" w:hAnsi="Times New Roman" w:cs="Times New Roman"/>
          <w:color w:val="auto"/>
          <w:highlight w:val="none"/>
          <w:lang w:val="en-US" w:eastAsia="zh-CN"/>
        </w:rPr>
        <w:t>3.7</w:t>
      </w:r>
      <w:r>
        <w:rPr>
          <w:rFonts w:hint="default" w:ascii="Times New Roman" w:hAnsi="Times New Roman" w:cs="Times New Roman"/>
          <w:color w:val="auto"/>
          <w:highlight w:val="none"/>
        </w:rPr>
        <w:t>万元，较“十三五”末增长</w:t>
      </w:r>
      <w:r>
        <w:rPr>
          <w:rFonts w:hint="default" w:ascii="Times New Roman" w:hAnsi="Times New Roman" w:cs="Times New Roman"/>
          <w:color w:val="auto"/>
          <w:highlight w:val="none"/>
          <w:lang w:val="en-US" w:eastAsia="zh-CN"/>
        </w:rPr>
        <w:t>28.9</w:t>
      </w:r>
      <w:r>
        <w:rPr>
          <w:rFonts w:hint="default" w:ascii="Times New Roman" w:hAnsi="Times New Roman" w:cs="Times New Roman"/>
          <w:color w:val="auto"/>
          <w:highlight w:val="none"/>
        </w:rPr>
        <w:t>%，经济发展质量和效益同步提升。产业结构持续优化，三次产业结构由“十三五”末期的</w:t>
      </w:r>
      <w:r>
        <w:rPr>
          <w:rFonts w:hint="default" w:ascii="Times New Roman" w:hAnsi="Times New Roman" w:cs="Times New Roman"/>
          <w:color w:val="auto"/>
          <w:highlight w:val="none"/>
          <w:lang w:val="en-US" w:eastAsia="zh-CN"/>
        </w:rPr>
        <w:t>17.3:26:56.7</w:t>
      </w:r>
      <w:r>
        <w:rPr>
          <w:rFonts w:hint="default" w:ascii="Times New Roman" w:hAnsi="Times New Roman" w:cs="Times New Roman"/>
          <w:color w:val="auto"/>
          <w:highlight w:val="none"/>
        </w:rPr>
        <w:t>调整到2024年的</w:t>
      </w:r>
      <w:r>
        <w:rPr>
          <w:rFonts w:hint="default" w:ascii="Times New Roman" w:hAnsi="Times New Roman" w:cs="Times New Roman"/>
          <w:color w:val="auto"/>
          <w:highlight w:val="none"/>
          <w:lang w:val="en-US" w:eastAsia="zh-CN"/>
        </w:rPr>
        <w:t>18.5:20.7:60.8</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社会消费品零售总额突破</w:t>
      </w:r>
      <w:r>
        <w:rPr>
          <w:rFonts w:hint="default" w:ascii="Times New Roman" w:hAnsi="Times New Roman" w:cs="Times New Roman"/>
          <w:color w:val="auto"/>
          <w:highlight w:val="none"/>
          <w:lang w:val="en-US" w:eastAsia="zh-CN"/>
        </w:rPr>
        <w:t>69.4</w:t>
      </w:r>
      <w:r>
        <w:rPr>
          <w:rFonts w:hint="default" w:ascii="Times New Roman" w:hAnsi="Times New Roman" w:cs="Times New Roman"/>
          <w:color w:val="auto"/>
          <w:highlight w:val="none"/>
        </w:rPr>
        <w:t>亿元，年均增长</w:t>
      </w:r>
      <w:r>
        <w:rPr>
          <w:rFonts w:hint="default" w:ascii="Times New Roman" w:hAnsi="Times New Roman" w:cs="Times New Roman"/>
          <w:color w:val="auto"/>
          <w:highlight w:val="none"/>
          <w:lang w:val="en-US" w:eastAsia="zh-CN"/>
        </w:rPr>
        <w:t>6.4</w:t>
      </w:r>
      <w:r>
        <w:rPr>
          <w:rFonts w:hint="default" w:ascii="Times New Roman" w:hAnsi="Times New Roman" w:cs="Times New Roman"/>
          <w:color w:val="auto"/>
          <w:highlight w:val="none"/>
        </w:rPr>
        <w:t>%，消费市场活力持续释放，内需对经济增长的贡献率稳步提高。预计2025年全</w:t>
      </w:r>
      <w:r>
        <w:rPr>
          <w:rFonts w:hint="default" w:ascii="Times New Roman" w:hAnsi="Times New Roman" w:cs="Times New Roman"/>
          <w:color w:val="auto"/>
          <w:highlight w:val="none"/>
          <w:lang w:val="en-US" w:eastAsia="zh-CN"/>
        </w:rPr>
        <w:t>县</w:t>
      </w:r>
      <w:r>
        <w:rPr>
          <w:rFonts w:hint="default" w:ascii="Times New Roman" w:hAnsi="Times New Roman" w:cs="Times New Roman"/>
          <w:color w:val="auto"/>
          <w:highlight w:val="none"/>
        </w:rPr>
        <w:t>地区生产总值增速达到</w:t>
      </w:r>
      <w:r>
        <w:rPr>
          <w:rFonts w:hint="default" w:ascii="Times New Roman" w:hAnsi="Times New Roman" w:cs="Times New Roman"/>
          <w:color w:val="auto"/>
          <w:highlight w:val="none"/>
          <w:lang w:val="en-US" w:eastAsia="zh-CN"/>
        </w:rPr>
        <w:t>5.5</w:t>
      </w:r>
      <w:r>
        <w:rPr>
          <w:rFonts w:hint="default" w:ascii="Times New Roman" w:hAnsi="Times New Roman" w:cs="Times New Roman"/>
          <w:color w:val="auto"/>
          <w:highlight w:val="none"/>
        </w:rPr>
        <w:t>%、一般公共预算收入增速达到</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%，全县经济综合实力迈上新台阶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十五五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高质量</w:t>
      </w:r>
      <w:r>
        <w:rPr>
          <w:rFonts w:hint="default" w:ascii="Times New Roman" w:hAnsi="Times New Roman" w:cs="Times New Roman"/>
          <w:color w:val="auto"/>
          <w:highlight w:val="none"/>
        </w:rPr>
        <w:t>发展奠定坚实基础。</w:t>
      </w:r>
    </w:p>
    <w:p w14:paraId="09E2EB34">
      <w:pPr>
        <w:pStyle w:val="4"/>
        <w:numPr>
          <w:ilvl w:val="0"/>
          <w:numId w:val="1"/>
        </w:numPr>
        <w:bidi w:val="0"/>
        <w:ind w:left="0" w:leftChars="0" w:firstLine="420" w:firstLineChars="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产业发展形成新体系</w:t>
      </w:r>
    </w:p>
    <w:p w14:paraId="0C48A724">
      <w:pPr>
        <w:bidi w:val="0"/>
        <w:rPr>
          <w:rFonts w:hint="default" w:ascii="Times New Roman" w:hAnsi="Times New Roman" w:cs="Times New Roman"/>
          <w:lang w:eastAsia="zh-CN"/>
        </w:rPr>
      </w:pPr>
      <w:r>
        <w:rPr>
          <w:rFonts w:hint="default" w:ascii="Times New Roman" w:hAnsi="Times New Roman" w:cs="Times New Roman"/>
          <w:b/>
          <w:bCs/>
        </w:rPr>
        <w:t>特色农业提质增效夯实乡村振兴基础。</w:t>
      </w:r>
      <w:r>
        <w:rPr>
          <w:rFonts w:hint="default" w:ascii="Times New Roman" w:hAnsi="Times New Roman" w:cs="Times New Roman"/>
        </w:rPr>
        <w:t>全县食用菌年种植量达3亿袋，鲜菇产量33.8万吨，年产值超21亿元</w:t>
      </w:r>
      <w:r>
        <w:rPr>
          <w:rFonts w:hint="default" w:ascii="Times New Roman" w:hAnsi="Times New Roman" w:cs="Times New Roman"/>
          <w:lang w:eastAsia="zh-CN"/>
        </w:rPr>
        <w:t>，</w:t>
      </w:r>
      <w:r>
        <w:rPr>
          <w:rFonts w:hint="default" w:ascii="Times New Roman" w:hAnsi="Times New Roman" w:cs="Times New Roman"/>
        </w:rPr>
        <w:t>带动从业者</w:t>
      </w:r>
      <w:r>
        <w:rPr>
          <w:rFonts w:hint="default" w:ascii="Times New Roman" w:hAnsi="Times New Roman" w:cs="Times New Roman"/>
          <w:lang w:val="en-US" w:eastAsia="zh-CN"/>
        </w:rPr>
        <w:t>稳定增收</w:t>
      </w:r>
      <w:r>
        <w:rPr>
          <w:rFonts w:hint="default" w:ascii="Times New Roman" w:hAnsi="Times New Roman" w:cs="Times New Roman"/>
          <w:lang w:eastAsia="zh-CN"/>
        </w:rPr>
        <w:t>。</w:t>
      </w:r>
      <w:r>
        <w:rPr>
          <w:rFonts w:hint="default" w:ascii="Times New Roman" w:hAnsi="Times New Roman" w:cs="Times New Roman"/>
        </w:rPr>
        <w:t>成功创建200余个标准化生产示范区、100多个超百万袋生产基地及30个专业村，</w:t>
      </w:r>
      <w:r>
        <w:rPr>
          <w:rFonts w:hint="default" w:ascii="Times New Roman" w:hAnsi="Times New Roman" w:cs="Times New Roman"/>
          <w:lang w:eastAsia="zh-CN"/>
        </w:rPr>
        <w:t>“</w:t>
      </w:r>
      <w:r>
        <w:rPr>
          <w:rFonts w:hint="default" w:ascii="Times New Roman" w:hAnsi="Times New Roman" w:cs="Times New Roman"/>
        </w:rPr>
        <w:t>岫岩滑子蘑</w:t>
      </w:r>
      <w:r>
        <w:rPr>
          <w:rFonts w:hint="default" w:ascii="Times New Roman" w:hAnsi="Times New Roman" w:cs="Times New Roman"/>
          <w:lang w:eastAsia="zh-CN"/>
        </w:rPr>
        <w:t>”</w:t>
      </w:r>
      <w:r>
        <w:rPr>
          <w:rFonts w:hint="default" w:ascii="Times New Roman" w:hAnsi="Times New Roman" w:cs="Times New Roman"/>
        </w:rPr>
        <w:t>正式列入国家地理标志产品保护名录</w:t>
      </w:r>
      <w:r>
        <w:rPr>
          <w:rFonts w:hint="default" w:ascii="Times New Roman" w:hAnsi="Times New Roman" w:cs="Times New Roman"/>
          <w:lang w:eastAsia="zh-CN"/>
        </w:rPr>
        <w:t>，“</w:t>
      </w:r>
      <w:r>
        <w:rPr>
          <w:rFonts w:hint="default" w:ascii="Times New Roman" w:hAnsi="Times New Roman" w:cs="Times New Roman"/>
        </w:rPr>
        <w:t>岫岩香菇</w:t>
      </w:r>
      <w:r>
        <w:rPr>
          <w:rFonts w:hint="default" w:ascii="Times New Roman" w:hAnsi="Times New Roman" w:cs="Times New Roman"/>
          <w:lang w:eastAsia="zh-CN"/>
        </w:rPr>
        <w:t>”</w:t>
      </w:r>
      <w:r>
        <w:rPr>
          <w:rFonts w:hint="default" w:ascii="Times New Roman" w:hAnsi="Times New Roman" w:cs="Times New Roman"/>
        </w:rPr>
        <w:t>入选全国名特优新农产品名录</w:t>
      </w:r>
      <w:r>
        <w:rPr>
          <w:rFonts w:hint="default" w:ascii="Times New Roman" w:hAnsi="Times New Roman" w:cs="Times New Roman"/>
          <w:lang w:eastAsia="zh-CN"/>
        </w:rPr>
        <w:t>，</w:t>
      </w:r>
      <w:r>
        <w:rPr>
          <w:rFonts w:hint="default" w:ascii="Times New Roman" w:hAnsi="Times New Roman" w:eastAsia="仿宋_GB2312" w:cs="Times New Roman"/>
          <w:color w:val="000000"/>
          <w:kern w:val="0"/>
          <w:sz w:val="32"/>
          <w:szCs w:val="32"/>
          <w:lang w:val="en-US" w:eastAsia="zh-CN" w:bidi="ar"/>
        </w:rPr>
        <w:t>“圆枣</w:t>
      </w:r>
      <w:r>
        <w:rPr>
          <w:rFonts w:hint="eastAsia" w:ascii="Times New Roman" w:hAnsi="Times New Roman" w:cs="Times New Roman"/>
          <w:color w:val="000000"/>
          <w:kern w:val="0"/>
          <w:sz w:val="32"/>
          <w:szCs w:val="32"/>
          <w:lang w:val="en-US" w:eastAsia="zh-CN" w:bidi="ar"/>
        </w:rPr>
        <w:t>猕猴桃</w:t>
      </w:r>
      <w:r>
        <w:rPr>
          <w:rFonts w:hint="default" w:ascii="Times New Roman" w:hAnsi="Times New Roman" w:eastAsia="仿宋_GB2312" w:cs="Times New Roman"/>
          <w:color w:val="000000"/>
          <w:kern w:val="0"/>
          <w:sz w:val="32"/>
          <w:szCs w:val="32"/>
          <w:lang w:val="en-US" w:eastAsia="zh-CN" w:bidi="ar"/>
        </w:rPr>
        <w:t>”获评国家绿色产品</w:t>
      </w:r>
      <w:r>
        <w:rPr>
          <w:rFonts w:hint="default" w:ascii="Times New Roman" w:hAnsi="Times New Roman" w:cs="Times New Roman"/>
          <w:lang w:eastAsia="zh-CN"/>
        </w:rPr>
        <w:t>。</w:t>
      </w:r>
      <w:r>
        <w:rPr>
          <w:rFonts w:hint="default" w:ascii="Times New Roman" w:hAnsi="Times New Roman" w:cs="Times New Roman"/>
        </w:rPr>
        <w:t>柞蚕产业依托214.5万亩柞园资源，综合产值</w:t>
      </w:r>
      <w:r>
        <w:rPr>
          <w:rFonts w:hint="default" w:ascii="Times New Roman" w:hAnsi="Times New Roman" w:cs="Times New Roman"/>
          <w:lang w:val="en-US" w:eastAsia="zh-CN"/>
        </w:rPr>
        <w:t>达</w:t>
      </w:r>
      <w:r>
        <w:rPr>
          <w:rFonts w:hint="default" w:ascii="Times New Roman" w:hAnsi="Times New Roman" w:cs="Times New Roman"/>
        </w:rPr>
        <w:t>27.16亿元，建成3个省级示范基地，出口</w:t>
      </w:r>
      <w:r>
        <w:rPr>
          <w:rFonts w:hint="default" w:ascii="Times New Roman" w:hAnsi="Times New Roman" w:cs="Times New Roman"/>
          <w:lang w:val="en-US" w:eastAsia="zh-CN"/>
        </w:rPr>
        <w:t>创汇1600万美元，稳居“中国柞蚕第一县”。深度开发辽宁绒山羊、辽丹黑猪等地方优良品种，获选“辽宁绒山羊科技特派项目试点县”，培育岩海牧业等“育繁推”一体化核心企业，畜牧业发展态势良好。</w:t>
      </w:r>
      <w:r>
        <w:rPr>
          <w:rFonts w:hint="default" w:ascii="Times New Roman" w:hAnsi="Times New Roman" w:cs="Times New Roman"/>
        </w:rPr>
        <w:t>深入实施</w:t>
      </w:r>
      <w:r>
        <w:rPr>
          <w:rFonts w:hint="default" w:ascii="Times New Roman" w:hAnsi="Times New Roman" w:cs="Times New Roman"/>
          <w:lang w:eastAsia="zh-CN"/>
        </w:rPr>
        <w:t>“</w:t>
      </w:r>
      <w:r>
        <w:rPr>
          <w:rFonts w:hint="default" w:ascii="Times New Roman" w:hAnsi="Times New Roman" w:cs="Times New Roman"/>
        </w:rPr>
        <w:t>藏粮于地、藏粮于技</w:t>
      </w:r>
      <w:r>
        <w:rPr>
          <w:rFonts w:hint="default" w:ascii="Times New Roman" w:hAnsi="Times New Roman" w:cs="Times New Roman"/>
          <w:lang w:eastAsia="zh-CN"/>
        </w:rPr>
        <w:t>”</w:t>
      </w:r>
      <w:r>
        <w:rPr>
          <w:rFonts w:hint="default" w:ascii="Times New Roman" w:hAnsi="Times New Roman" w:cs="Times New Roman"/>
        </w:rPr>
        <w:t>战略，累计建成高标准农田20.52万亩，同步实施有机肥改良土壤19.67万亩，推广北斗导航无人驾驶系统、植保无人机等智能装备</w:t>
      </w:r>
      <w:r>
        <w:rPr>
          <w:rFonts w:hint="default" w:ascii="Times New Roman" w:hAnsi="Times New Roman" w:cs="Times New Roman"/>
          <w:lang w:eastAsia="zh-CN"/>
        </w:rPr>
        <w:t>，</w:t>
      </w:r>
      <w:r>
        <w:rPr>
          <w:rFonts w:hint="default" w:ascii="Times New Roman" w:hAnsi="Times New Roman" w:cs="Times New Roman"/>
        </w:rPr>
        <w:t>农业综合机械化率提升至78.25%，农业综合生产</w:t>
      </w:r>
      <w:r>
        <w:rPr>
          <w:rFonts w:hint="default" w:ascii="Times New Roman" w:hAnsi="Times New Roman" w:cs="Times New Roman"/>
          <w:lang w:val="en-US" w:eastAsia="zh-CN"/>
        </w:rPr>
        <w:t>能力</w:t>
      </w:r>
      <w:r>
        <w:rPr>
          <w:rFonts w:hint="default" w:ascii="Times New Roman" w:hAnsi="Times New Roman" w:cs="Times New Roman"/>
        </w:rPr>
        <w:t>显著增强</w:t>
      </w:r>
      <w:r>
        <w:rPr>
          <w:rFonts w:hint="default" w:ascii="Times New Roman" w:hAnsi="Times New Roman" w:cs="Times New Roman"/>
          <w:lang w:eastAsia="zh-CN"/>
        </w:rPr>
        <w:t>。</w:t>
      </w:r>
      <w:r>
        <w:rPr>
          <w:rFonts w:hint="default" w:ascii="Times New Roman" w:hAnsi="Times New Roman" w:cs="Times New Roman"/>
        </w:rPr>
        <w:t>农业品牌与加工升级实现突破</w:t>
      </w:r>
      <w:r>
        <w:rPr>
          <w:rFonts w:hint="default" w:ascii="Times New Roman" w:hAnsi="Times New Roman" w:cs="Times New Roman"/>
          <w:lang w:eastAsia="zh-CN"/>
        </w:rPr>
        <w:t>，“</w:t>
      </w:r>
      <w:r>
        <w:rPr>
          <w:rFonts w:hint="default" w:ascii="Times New Roman" w:hAnsi="Times New Roman" w:cs="Times New Roman"/>
        </w:rPr>
        <w:t>华阳香菇</w:t>
      </w:r>
      <w:r>
        <w:rPr>
          <w:rFonts w:hint="default" w:ascii="Times New Roman" w:hAnsi="Times New Roman" w:cs="Times New Roman"/>
          <w:lang w:eastAsia="zh-CN"/>
        </w:rPr>
        <w:t>”“</w:t>
      </w:r>
      <w:r>
        <w:rPr>
          <w:rFonts w:hint="default" w:ascii="Times New Roman" w:hAnsi="Times New Roman" w:cs="Times New Roman"/>
        </w:rPr>
        <w:t>久诺小柿子</w:t>
      </w:r>
      <w:r>
        <w:rPr>
          <w:rFonts w:hint="default" w:ascii="Times New Roman" w:hAnsi="Times New Roman" w:cs="Times New Roman"/>
          <w:lang w:eastAsia="zh-CN"/>
        </w:rPr>
        <w:t>”</w:t>
      </w:r>
      <w:r>
        <w:rPr>
          <w:rFonts w:hint="default" w:ascii="Times New Roman" w:hAnsi="Times New Roman" w:cs="Times New Roman"/>
        </w:rPr>
        <w:t>填补绿色食品认证空白，培育省级龙头企业2家、市级11家，带动农户5万户；建成覆盖6</w:t>
      </w:r>
      <w:r>
        <w:rPr>
          <w:rFonts w:hint="default" w:ascii="Times New Roman" w:hAnsi="Times New Roman" w:cs="Times New Roman"/>
          <w:lang w:val="en-US" w:eastAsia="zh-CN"/>
        </w:rPr>
        <w:t>个</w:t>
      </w:r>
      <w:r>
        <w:rPr>
          <w:rFonts w:hint="default" w:ascii="Times New Roman" w:hAnsi="Times New Roman" w:cs="Times New Roman"/>
        </w:rPr>
        <w:t>乡镇的加工集聚区，农产品加工率达41%。</w:t>
      </w:r>
    </w:p>
    <w:p w14:paraId="78D5FBC9">
      <w:pPr>
        <w:bidi w:val="0"/>
        <w:rPr>
          <w:rFonts w:hint="default" w:ascii="Times New Roman" w:hAnsi="Times New Roman" w:cs="Times New Roman"/>
          <w:color w:val="auto"/>
          <w:highlight w:val="none"/>
        </w:rPr>
      </w:pPr>
      <w:r>
        <w:rPr>
          <w:rFonts w:hint="default" w:ascii="Times New Roman" w:hAnsi="Times New Roman" w:cs="Times New Roman"/>
          <w:b/>
          <w:bCs/>
        </w:rPr>
        <w:t>工业转型升级与新兴动能培育协同提速</w:t>
      </w:r>
      <w:r>
        <w:rPr>
          <w:rFonts w:hint="default" w:ascii="Times New Roman" w:hAnsi="Times New Roman" w:cs="Times New Roman"/>
          <w:b/>
          <w:bCs/>
          <w:lang w:val="en-US" w:eastAsia="zh-CN"/>
        </w:rPr>
        <w:t>。</w:t>
      </w:r>
      <w:r>
        <w:rPr>
          <w:rFonts w:hint="default" w:ascii="Times New Roman" w:hAnsi="Times New Roman" w:cs="Times New Roman"/>
          <w:color w:val="auto"/>
          <w:highlight w:val="none"/>
        </w:rPr>
        <w:t>菱镁产业高端化发展成果突出，通过矿业权整合优化，有效提高了资源开采效率和集约化程度</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恒锐镁制品有限公司</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大结晶电熔镁砂自动化清洁生产工艺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达到国际领先水平；青花矿业成功研发无铬环保新材料、轻质橄榄石砖等高端产品，产业向价值链高端迈进。高端建材产业加速布局</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积极引进绿色石材产业园、石英石以及镁建材等重大项目，拓展资源利用新领域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鞍山电磁阀有限责任公司产品形成100多个系列、2000多种规格，应用于诸多高端领域并出口多国</w:t>
      </w:r>
      <w:r>
        <w:rPr>
          <w:rFonts w:hint="default" w:ascii="Times New Roman" w:hAnsi="Times New Roman" w:cs="Times New Roman"/>
          <w:color w:val="auto"/>
          <w:highlight w:val="none"/>
        </w:rPr>
        <w:t>。深入推进工业向精深加工、绿色低碳、高端制造转型，高质量发展成效显著，成功获评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全国绿色高质高效行动县</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14:paraId="7F48FCD8">
      <w:pPr>
        <w:bidi w:val="0"/>
        <w:rPr>
          <w:rFonts w:hint="default" w:ascii="Times New Roman" w:hAnsi="Times New Roman" w:cs="Times New Roman"/>
          <w:b/>
          <w:bCs/>
          <w:color w:val="auto"/>
          <w:highlight w:val="none"/>
        </w:rPr>
      </w:pPr>
      <w:r>
        <w:rPr>
          <w:rFonts w:hint="default" w:ascii="Times New Roman" w:hAnsi="Times New Roman" w:cs="Times New Roman"/>
          <w:b/>
          <w:bCs/>
        </w:rPr>
        <w:t>“玉+”战略引领现代服务业能级跃升。</w:t>
      </w:r>
      <w:r>
        <w:rPr>
          <w:rFonts w:hint="default" w:ascii="Times New Roman" w:hAnsi="Times New Roman" w:eastAsia="楷体_GB2312" w:cs="Times New Roman"/>
          <w:color w:val="auto"/>
          <w:highlight w:val="none"/>
          <w:lang w:eastAsia="zh-CN"/>
        </w:rPr>
        <w:t>“</w:t>
      </w:r>
      <w:r>
        <w:rPr>
          <w:rFonts w:hint="default" w:ascii="Times New Roman" w:hAnsi="Times New Roman" w:cs="Times New Roman"/>
          <w:color w:val="auto"/>
          <w:highlight w:val="none"/>
        </w:rPr>
        <w:t>十四五</w:t>
      </w:r>
      <w:r>
        <w:rPr>
          <w:rFonts w:hint="default" w:ascii="Times New Roman" w:hAnsi="Times New Roman" w:eastAsia="楷体_GB2312" w:cs="Times New Roman"/>
          <w:color w:val="auto"/>
          <w:highlight w:val="none"/>
          <w:lang w:eastAsia="zh-CN"/>
        </w:rPr>
        <w:t>”</w:t>
      </w:r>
      <w:r>
        <w:rPr>
          <w:rFonts w:hint="default" w:ascii="Times New Roman" w:hAnsi="Times New Roman" w:cs="Times New Roman"/>
          <w:color w:val="auto"/>
          <w:highlight w:val="none"/>
        </w:rPr>
        <w:t>时期，依托</w:t>
      </w:r>
      <w:r>
        <w:rPr>
          <w:rFonts w:hint="default" w:ascii="Times New Roman" w:hAnsi="Times New Roman" w:cs="Times New Roman"/>
          <w:color w:val="auto"/>
          <w:highlight w:val="none"/>
          <w:lang w:val="en-US" w:eastAsia="zh-CN"/>
        </w:rPr>
        <w:t>我县</w:t>
      </w:r>
      <w:r>
        <w:rPr>
          <w:rFonts w:hint="default" w:ascii="Times New Roman" w:hAnsi="Times New Roman" w:cs="Times New Roman"/>
          <w:color w:val="auto"/>
          <w:highlight w:val="none"/>
        </w:rPr>
        <w:t>丰富玉石资源，培育近2万名玉雕工匠（含15名国家级大师），形成7大品类千余品种的产品体系，打造玉雕大师创意产业园等核心载体，获评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全国玉雕人才培训基地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，为全产业链发展奠定坚实基础。依托</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一园三馆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打造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国石玉都之旅</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精品线路，形成集赏玉、品玉、购玉于一体的文旅消费场景。启动辽宁千璞</w:t>
      </w:r>
      <w:r>
        <w:rPr>
          <w:rFonts w:hint="default" w:ascii="Times New Roman" w:hAnsi="Times New Roman" w:eastAsia="仿宋" w:cs="Times New Roman"/>
          <w:sz w:val="32"/>
          <w:szCs w:val="32"/>
        </w:rPr>
        <w:t>滙</w:t>
      </w:r>
      <w:r>
        <w:rPr>
          <w:rFonts w:hint="default" w:ascii="Times New Roman" w:hAnsi="Times New Roman" w:cs="Times New Roman"/>
          <w:color w:val="auto"/>
          <w:highlight w:val="none"/>
        </w:rPr>
        <w:t>玉产业项目建设，持续拓展产业承载空间。</w:t>
      </w:r>
      <w:r>
        <w:rPr>
          <w:rFonts w:hint="default" w:ascii="Times New Roman" w:hAnsi="Times New Roman" w:cs="Times New Roman"/>
          <w:color w:val="auto"/>
          <w:highlight w:val="none"/>
          <w:lang w:val="en-US" w:eastAsia="zh-CN"/>
        </w:rPr>
        <w:t>文旅</w:t>
      </w:r>
      <w:r>
        <w:rPr>
          <w:rFonts w:hint="default" w:ascii="Times New Roman" w:hAnsi="Times New Roman" w:cs="Times New Roman"/>
          <w:color w:val="auto"/>
          <w:highlight w:val="none"/>
        </w:rPr>
        <w:t>品牌建设实现重大突破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龙潭湾成功创建国家4A级旅游景区；阜昌办事处小虎岭村、前营镇新屯村、石庙子镇丁字峪村获评省级乡村旅游重点村；万客来玉博园晋升国家级文化产业示范基地；岫岩玉文化双创产业园等3家载体获评省级文化产业示范园区；金鼎玉雕公司入选省级非遗工坊。文旅品牌影响力显著扩大，高频亮相央视《远方的家》《中国文旅大联欢》《非遗里的中国》等高端平台，持续打造映山红旅游节、龙山冰雪嘉年华等特色品牌活动，并于2024年成功承办鞍山市文体旅融合发展大会，全域旅游格局实现质的飞跃。</w:t>
      </w:r>
      <w:r>
        <w:rPr>
          <w:rFonts w:hint="default" w:ascii="Times New Roman" w:hAnsi="Times New Roman" w:cs="Times New Roman"/>
          <w:color w:val="auto"/>
          <w:highlight w:val="none"/>
          <w:lang w:val="en-US" w:eastAsia="zh-CN"/>
        </w:rPr>
        <w:t>电子商务发展态势良好，成功打造2处省级电商基地、1处市级电商示范基地</w:t>
      </w:r>
      <w:r>
        <w:rPr>
          <w:rFonts w:hint="default" w:ascii="Times New Roman" w:hAnsi="Times New Roman" w:cs="Times New Roman"/>
          <w:color w:val="auto"/>
          <w:highlight w:val="none"/>
        </w:rPr>
        <w:t>，建成1个县级电商公共服务中心、104个镇村级电商服务站点，入选</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2023全国农村直播电商优秀案例县域案例</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14:paraId="364F901F">
      <w:pPr>
        <w:pStyle w:val="4"/>
        <w:numPr>
          <w:ilvl w:val="0"/>
          <w:numId w:val="1"/>
        </w:numPr>
        <w:bidi w:val="0"/>
        <w:ind w:left="0" w:leftChars="0" w:firstLine="420" w:firstLineChars="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城乡建设呈现新面貌</w:t>
      </w:r>
    </w:p>
    <w:p w14:paraId="2522A4AD">
      <w:pPr>
        <w:bidi w:val="0"/>
        <w:rPr>
          <w:rFonts w:hint="default" w:ascii="Times New Roman" w:hAnsi="Times New Roman" w:eastAsia="仿宋_GB2312" w:cs="Times New Roman"/>
          <w:color w:val="auto"/>
          <w:highlight w:val="none"/>
          <w:lang w:eastAsia="zh-CN"/>
        </w:rPr>
      </w:pPr>
      <w:r>
        <w:rPr>
          <w:rFonts w:hint="default" w:ascii="Times New Roman" w:hAnsi="Times New Roman" w:cs="Times New Roman"/>
          <w:b/>
          <w:bCs/>
          <w:color w:val="auto"/>
          <w:highlight w:val="none"/>
        </w:rPr>
        <w:t>城</w:t>
      </w:r>
      <w:r>
        <w:rPr>
          <w:rFonts w:hint="default" w:ascii="Times New Roman" w:hAnsi="Times New Roman" w:cs="Times New Roman"/>
          <w:b/>
          <w:bCs/>
          <w:color w:val="auto"/>
          <w:highlight w:val="none"/>
          <w:lang w:val="en-US" w:eastAsia="zh-CN"/>
        </w:rPr>
        <w:t>区</w:t>
      </w:r>
      <w:r>
        <w:rPr>
          <w:rFonts w:hint="default" w:ascii="Times New Roman" w:hAnsi="Times New Roman" w:cs="Times New Roman"/>
          <w:b/>
          <w:bCs/>
          <w:color w:val="auto"/>
          <w:highlight w:val="none"/>
        </w:rPr>
        <w:t>功能品质显著提升</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立足长远发展，实施一批补短板、强功能的重大基础设施项目。完成第一水源净水厂升级并</w:t>
      </w:r>
      <w:r>
        <w:rPr>
          <w:rFonts w:hint="eastAsia" w:ascii="Times New Roman" w:hAnsi="Times New Roman" w:cs="Times New Roman"/>
          <w:color w:val="auto"/>
          <w:highlight w:val="none"/>
          <w:lang w:val="en-US" w:eastAsia="zh-CN"/>
        </w:rPr>
        <w:t>投入运行</w:t>
      </w:r>
      <w:r>
        <w:rPr>
          <w:rFonts w:hint="default" w:ascii="Times New Roman" w:hAnsi="Times New Roman" w:cs="Times New Roman"/>
          <w:color w:val="auto"/>
          <w:highlight w:val="none"/>
        </w:rPr>
        <w:t>，推进第二水源主体工程与智慧水务建设，完成供热管网扩建、污水处理厂扩建等工程，城市供水、供暖、污水处理能力全面提升。完成碧玉街、锦丝路等主干道及</w:t>
      </w:r>
      <w:r>
        <w:rPr>
          <w:rFonts w:hint="default" w:ascii="Times New Roman" w:hAnsi="Times New Roman" w:cs="Times New Roman"/>
          <w:color w:val="auto"/>
          <w:highlight w:val="none"/>
          <w:lang w:val="en-US" w:eastAsia="zh-CN"/>
        </w:rPr>
        <w:t>多条</w:t>
      </w:r>
      <w:r>
        <w:rPr>
          <w:rFonts w:hint="default" w:ascii="Times New Roman" w:hAnsi="Times New Roman" w:cs="Times New Roman"/>
          <w:color w:val="auto"/>
          <w:highlight w:val="none"/>
        </w:rPr>
        <w:t>巷道胡同改造工程，城区通行条件显著</w:t>
      </w:r>
      <w:r>
        <w:rPr>
          <w:rFonts w:hint="default" w:ascii="Times New Roman" w:hAnsi="Times New Roman" w:cs="Times New Roman"/>
          <w:color w:val="auto"/>
          <w:highlight w:val="none"/>
          <w:lang w:val="en-US" w:eastAsia="zh-CN"/>
        </w:rPr>
        <w:t>改善</w:t>
      </w:r>
      <w:r>
        <w:rPr>
          <w:rFonts w:hint="default" w:ascii="Times New Roman" w:hAnsi="Times New Roman" w:cs="Times New Roman"/>
          <w:color w:val="auto"/>
          <w:highlight w:val="none"/>
        </w:rPr>
        <w:t>。深入实施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绿满岫岩</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工程，城市颜值和生态价值同步提升。高标准打造沿大洋河城区段的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一河两岸</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滨水景观带，成为贯穿城区的生态廊道和休闲核心</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完成</w:t>
      </w:r>
      <w:r>
        <w:rPr>
          <w:rFonts w:hint="default" w:ascii="Times New Roman" w:hAnsi="Times New Roman" w:cs="Times New Roman"/>
          <w:color w:val="auto"/>
          <w:highlight w:val="none"/>
        </w:rPr>
        <w:t>东山公园景观提升和设施改造，</w:t>
      </w:r>
      <w:r>
        <w:rPr>
          <w:rFonts w:hint="default" w:ascii="Times New Roman" w:hAnsi="Times New Roman" w:cs="Times New Roman"/>
          <w:color w:val="auto"/>
          <w:highlight w:val="none"/>
          <w:lang w:val="en-US" w:eastAsia="zh-CN"/>
        </w:rPr>
        <w:t>见缝插针新增16处口袋公园，</w:t>
      </w:r>
      <w:r>
        <w:rPr>
          <w:rFonts w:hint="default" w:ascii="Times New Roman" w:hAnsi="Times New Roman" w:cs="Times New Roman"/>
          <w:color w:val="auto"/>
          <w:highlight w:val="none"/>
        </w:rPr>
        <w:t>优化</w:t>
      </w:r>
      <w:r>
        <w:rPr>
          <w:rFonts w:hint="default" w:ascii="Times New Roman" w:hAnsi="Times New Roman" w:cs="Times New Roman"/>
          <w:color w:val="auto"/>
          <w:highlight w:val="none"/>
          <w:lang w:val="en-US" w:eastAsia="zh-CN"/>
        </w:rPr>
        <w:t>站前</w:t>
      </w:r>
      <w:r>
        <w:rPr>
          <w:rFonts w:hint="default" w:ascii="Times New Roman" w:hAnsi="Times New Roman" w:cs="Times New Roman"/>
          <w:color w:val="auto"/>
          <w:highlight w:val="none"/>
        </w:rPr>
        <w:t>广场等主要公共绿地品质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城区绿化覆盖率</w:t>
      </w:r>
      <w:r>
        <w:rPr>
          <w:rFonts w:hint="default" w:ascii="Times New Roman" w:hAnsi="Times New Roman" w:cs="Times New Roman"/>
          <w:color w:val="auto"/>
          <w:highlight w:val="none"/>
          <w:lang w:val="en-US" w:eastAsia="zh-CN"/>
        </w:rPr>
        <w:t>达</w:t>
      </w:r>
      <w:r>
        <w:rPr>
          <w:rFonts w:hint="default" w:ascii="Times New Roman" w:hAnsi="Times New Roman" w:cs="Times New Roman"/>
          <w:color w:val="auto"/>
          <w:highlight w:val="none"/>
        </w:rPr>
        <w:t>42%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稳步推进老旧小区改造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累计完成</w:t>
      </w:r>
      <w:r>
        <w:rPr>
          <w:rFonts w:hint="default" w:ascii="Times New Roman" w:hAnsi="Times New Roman" w:cs="Times New Roman"/>
          <w:color w:val="auto"/>
          <w:highlight w:val="none"/>
          <w:lang w:val="en-US" w:eastAsia="zh-CN"/>
        </w:rPr>
        <w:t>21</w:t>
      </w:r>
      <w:r>
        <w:rPr>
          <w:rFonts w:hint="default" w:ascii="Times New Roman" w:hAnsi="Times New Roman" w:cs="Times New Roman"/>
          <w:color w:val="auto"/>
          <w:highlight w:val="none"/>
        </w:rPr>
        <w:t>个老旧小区改造，惠及居民</w:t>
      </w:r>
      <w:r>
        <w:rPr>
          <w:rFonts w:hint="default" w:ascii="Times New Roman" w:hAnsi="Times New Roman" w:cs="Times New Roman"/>
          <w:color w:val="auto"/>
          <w:highlight w:val="none"/>
          <w:lang w:val="en-US" w:eastAsia="zh-CN"/>
        </w:rPr>
        <w:t>3545</w:t>
      </w:r>
      <w:r>
        <w:rPr>
          <w:rFonts w:hint="default" w:ascii="Times New Roman" w:hAnsi="Times New Roman" w:cs="Times New Roman"/>
          <w:color w:val="auto"/>
          <w:highlight w:val="none"/>
        </w:rPr>
        <w:t>户。</w:t>
      </w:r>
      <w:r>
        <w:rPr>
          <w:rFonts w:hint="default" w:ascii="Times New Roman" w:hAnsi="Times New Roman" w:cs="Times New Roman"/>
          <w:color w:val="auto"/>
          <w:highlight w:val="none"/>
          <w:lang w:val="en-US" w:eastAsia="zh-CN"/>
        </w:rPr>
        <w:t>聚焦</w:t>
      </w:r>
      <w:r>
        <w:rPr>
          <w:rFonts w:hint="default" w:ascii="Times New Roman" w:hAnsi="Times New Roman" w:cs="Times New Roman"/>
          <w:color w:val="auto"/>
          <w:highlight w:val="none"/>
        </w:rPr>
        <w:t>群众急难愁盼问题，专项整治停车秩序、占道经营和环境卫生，城区环境品质不断优化。</w:t>
      </w:r>
    </w:p>
    <w:p w14:paraId="192CF21A">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乡村</w:t>
      </w:r>
      <w:r>
        <w:rPr>
          <w:rFonts w:hint="default" w:ascii="Times New Roman" w:hAnsi="Times New Roman" w:cs="Times New Roman"/>
          <w:b/>
          <w:bCs/>
          <w:color w:val="auto"/>
          <w:highlight w:val="none"/>
          <w:lang w:val="en-US" w:eastAsia="zh-CN"/>
        </w:rPr>
        <w:t>人居环境持续改善</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脱贫攻坚成果同乡村振兴有效衔接，守住了不发生规模性返贫底线。农村人居环境整治提升行动成效显著，生活垃圾收运处置体系实现全覆盖，生活污水治理率稳步提升，农村卫生厕所普及率大幅提高，村容</w:t>
      </w:r>
      <w:r>
        <w:rPr>
          <w:rFonts w:hint="default" w:ascii="Times New Roman" w:hAnsi="Times New Roman" w:cs="Times New Roman"/>
          <w:color w:val="auto"/>
          <w:highlight w:val="none"/>
          <w:lang w:val="en-US" w:eastAsia="zh-CN"/>
        </w:rPr>
        <w:t>村貌焕然一新。“四好农村路”建设成果丰硕，新建农村公路828公里，新建桥梁119座。农村饮水安全保障水平持续巩固。创新“三主一合”“三抓三重促三新”等工作机制，累计建成省级美丽宜居村117个，乡村治理效能不断提升。</w:t>
      </w:r>
    </w:p>
    <w:p w14:paraId="4432936D">
      <w:pPr>
        <w:pStyle w:val="4"/>
        <w:numPr>
          <w:ilvl w:val="0"/>
          <w:numId w:val="1"/>
        </w:numPr>
        <w:bidi w:val="0"/>
        <w:ind w:left="0" w:leftChars="0" w:firstLine="420" w:firstLineChars="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改革开放谱写新篇章</w:t>
      </w:r>
    </w:p>
    <w:p w14:paraId="165727B1">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营商环境</w:t>
      </w:r>
      <w:r>
        <w:rPr>
          <w:rFonts w:hint="default" w:ascii="Times New Roman" w:hAnsi="Times New Roman" w:cs="Times New Roman"/>
          <w:b/>
          <w:bCs/>
          <w:color w:val="auto"/>
          <w:highlight w:val="none"/>
          <w:lang w:val="en-US" w:eastAsia="zh-CN"/>
        </w:rPr>
        <w:t>优化迈出坚实步伐</w:t>
      </w:r>
      <w:r>
        <w:rPr>
          <w:rFonts w:hint="default" w:ascii="Times New Roman" w:hAnsi="Times New Roman" w:cs="Times New Roman"/>
          <w:b/>
          <w:bCs/>
          <w:color w:val="auto"/>
          <w:highlight w:val="none"/>
        </w:rPr>
        <w:t>。</w:t>
      </w:r>
      <w:r>
        <w:rPr>
          <w:rFonts w:hint="default" w:ascii="Times New Roman" w:hAnsi="Times New Roman" w:cs="Times New Roman"/>
          <w:color w:val="auto"/>
          <w:highlight w:val="none"/>
        </w:rPr>
        <w:t>聚焦企业群众办事堵点难点，强力推进政务服务集成化，除特殊事项外，1130项政务服务事项实现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应进必进</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集中办理。深化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一网通办</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，网办率跃升至98.42%，电子政务外网覆盖县乡村三级，高频便民利企服务接入“辽事通”APP实现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掌上办</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一网协同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全面应用，升级</w:t>
      </w:r>
      <w:r>
        <w:rPr>
          <w:rFonts w:hint="default" w:ascii="Times New Roman" w:hAnsi="Times New Roman" w:cs="Times New Roman"/>
          <w:color w:val="auto"/>
          <w:highlight w:val="none"/>
          <w:lang w:val="en-US" w:eastAsia="zh-CN"/>
        </w:rPr>
        <w:t>后的</w:t>
      </w:r>
      <w:r>
        <w:rPr>
          <w:rFonts w:hint="default" w:ascii="Times New Roman" w:hAnsi="Times New Roman" w:cs="Times New Roman"/>
          <w:color w:val="auto"/>
          <w:highlight w:val="none"/>
        </w:rPr>
        <w:t>协同办公系统覆盖县乡两级，显著提升行政效能、降低运行成本。设立无差别综合窗口、分领域综合窗口及统一出件窗口，推行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前台综合受理、后台分类审批、综合窗口出件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模式，创新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潮汐窗口</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动态调节，窗口总数压缩56%，有效破解“排长队、久等候”难题。服务品质精益求精，实现从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一事跑多窗</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一窗办多事</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的根本转变。扎实开展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万件清理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监督行动，以监督实效赋能营商环境优化升级。一系列改革举措，大幅降低了制度性交易成本，提升了市场主体的获得感与便利度，为岫岩高质量发展注入了强劲动力。</w:t>
      </w:r>
    </w:p>
    <w:p w14:paraId="37E70CDD">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重点领域改革取得关键突破</w:t>
      </w:r>
      <w:r>
        <w:rPr>
          <w:rFonts w:hint="default" w:ascii="Times New Roman" w:hAnsi="Times New Roman" w:cs="Times New Roman"/>
          <w:b/>
          <w:bCs/>
          <w:color w:val="auto"/>
          <w:highlight w:val="none"/>
        </w:rPr>
        <w:t>。</w:t>
      </w:r>
      <w:r>
        <w:rPr>
          <w:rFonts w:hint="default" w:ascii="Times New Roman" w:hAnsi="Times New Roman" w:cs="Times New Roman"/>
          <w:b w:val="0"/>
          <w:bCs w:val="0"/>
          <w:color w:val="auto"/>
          <w:highlight w:val="none"/>
        </w:rPr>
        <w:t>在土地要素配置方面，成功获批国家新一轮深化集体经营性建设用地入市试点，为盘活农村土地资源、促进城乡融合探索新路径。在生态</w:t>
      </w:r>
      <w:r>
        <w:rPr>
          <w:rFonts w:hint="default" w:ascii="Times New Roman" w:hAnsi="Times New Roman" w:cs="Times New Roman"/>
          <w:b w:val="0"/>
          <w:bCs w:val="0"/>
          <w:color w:val="auto"/>
          <w:highlight w:val="none"/>
          <w:lang w:val="en-US" w:eastAsia="zh-CN"/>
        </w:rPr>
        <w:t>产品</w:t>
      </w:r>
      <w:r>
        <w:rPr>
          <w:rFonts w:hint="default" w:ascii="Times New Roman" w:hAnsi="Times New Roman" w:cs="Times New Roman"/>
          <w:b w:val="0"/>
          <w:bCs w:val="0"/>
          <w:color w:val="auto"/>
          <w:highlight w:val="none"/>
        </w:rPr>
        <w:t>价值实现机制创新上迈出关键步伐，成功实现东北地区首笔碳汇交易，在探索</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向青山要效益、向空气要效益</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的绿色转型发展道路上奠定了坚实基础。农业农村改革扎实推进</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培育新型经营主体9个，推广</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公司+合作社+农户</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模式，发展百亩以上种植户</w:t>
      </w:r>
      <w:r>
        <w:rPr>
          <w:rFonts w:hint="default" w:ascii="Times New Roman" w:hAnsi="Times New Roman" w:cs="Times New Roman"/>
          <w:b w:val="0"/>
          <w:bCs w:val="0"/>
          <w:color w:val="auto"/>
          <w:highlight w:val="none"/>
          <w:lang w:val="en-US" w:eastAsia="zh-CN"/>
        </w:rPr>
        <w:t>370户，完成社会化服务作业面积3.4万亩，创新“党建+电商”模式，依托电商服务中心开展电商培训20场次，建成镇村寄递站点105处，打造“岭沟乡沃浓直播基地”，有效提升农产品流通效率。深化教育、医疗、养老等领域改革，紧密型医共体加快构建，医保异地就医直接结算率达到97%以上。</w:t>
      </w:r>
    </w:p>
    <w:p w14:paraId="57D5B2B4">
      <w:pPr>
        <w:bidi w:val="0"/>
        <w:rPr>
          <w:rFonts w:hint="default" w:ascii="Times New Roman" w:hAnsi="Times New Roman" w:eastAsia="微软雅黑" w:cs="Times New Roman"/>
          <w:b w:val="0"/>
          <w:bCs w:val="0"/>
          <w:color w:val="auto"/>
          <w:highlight w:val="none"/>
          <w:lang w:val="en-US" w:eastAsia="zh-CN"/>
        </w:rPr>
      </w:pPr>
      <w:r>
        <w:rPr>
          <w:rFonts w:hint="default" w:ascii="Times New Roman" w:hAnsi="Times New Roman" w:cs="Times New Roman"/>
          <w:b/>
          <w:bCs/>
          <w:color w:val="auto"/>
          <w:highlight w:val="none"/>
        </w:rPr>
        <w:t>民营经济活力得到有效释放</w:t>
      </w:r>
      <w:r>
        <w:rPr>
          <w:rFonts w:hint="default" w:ascii="Times New Roman" w:hAnsi="Times New Roman" w:cs="Times New Roman"/>
          <w:b/>
          <w:bCs/>
          <w:color w:val="auto"/>
          <w:highlight w:val="none"/>
          <w:lang w:eastAsia="zh-CN"/>
        </w:rPr>
        <w:t>。</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十四五</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期间，全县新增各类市场主体</w:t>
      </w:r>
      <w:r>
        <w:rPr>
          <w:rFonts w:hint="default" w:ascii="Times New Roman" w:hAnsi="Times New Roman" w:cs="Times New Roman"/>
          <w:b w:val="0"/>
          <w:bCs w:val="0"/>
          <w:color w:val="auto"/>
          <w:highlight w:val="none"/>
          <w:lang w:val="en-US" w:eastAsia="zh-CN"/>
        </w:rPr>
        <w:t>4.7</w:t>
      </w:r>
      <w:r>
        <w:rPr>
          <w:rFonts w:hint="default" w:ascii="Times New Roman" w:hAnsi="Times New Roman" w:cs="Times New Roman"/>
          <w:b w:val="0"/>
          <w:bCs w:val="0"/>
          <w:color w:val="auto"/>
          <w:highlight w:val="none"/>
        </w:rPr>
        <w:t>万户</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市场主体蓬勃发展</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出</w:t>
      </w:r>
      <w:r>
        <w:rPr>
          <w:rFonts w:hint="default" w:ascii="Times New Roman" w:hAnsi="Times New Roman" w:cs="Times New Roman"/>
          <w:b w:val="0"/>
          <w:bCs w:val="0"/>
          <w:color w:val="auto"/>
          <w:highlight w:val="none"/>
        </w:rPr>
        <w:t>台《岫岩县2023年县域企业做大做强工作方案》《岫岩县进一步稳经济若干政策措施》等文件，采取</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两深入两服务</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、政企恳谈会</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银企对接会</w:t>
      </w:r>
      <w:r>
        <w:rPr>
          <w:rFonts w:hint="default" w:ascii="Times New Roman" w:hAnsi="Times New Roman" w:cs="Times New Roman"/>
          <w:b w:val="0"/>
          <w:bCs w:val="0"/>
          <w:color w:val="auto"/>
          <w:highlight w:val="none"/>
        </w:rPr>
        <w:t>等务实举措，为企业解决各类困难</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积极搭建</w:t>
      </w:r>
      <w:r>
        <w:rPr>
          <w:rFonts w:hint="default" w:ascii="Times New Roman" w:hAnsi="Times New Roman" w:cs="Times New Roman"/>
          <w:b w:val="0"/>
          <w:bCs w:val="0"/>
          <w:color w:val="auto"/>
          <w:highlight w:val="none"/>
        </w:rPr>
        <w:t>中国玉雕大师创意产业园</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辽宁电商创业中心等创新创业平台，</w:t>
      </w:r>
      <w:r>
        <w:rPr>
          <w:rFonts w:hint="default" w:ascii="Times New Roman" w:hAnsi="Times New Roman" w:cs="Times New Roman"/>
          <w:b w:val="0"/>
          <w:bCs w:val="0"/>
          <w:color w:val="auto"/>
          <w:highlight w:val="none"/>
          <w:lang w:val="en-US" w:eastAsia="zh-CN"/>
        </w:rPr>
        <w:t>举办</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玉星杯</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玉雕创新创业设计大赛</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创新创业氛围日益浓厚</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启动</w:t>
      </w:r>
      <w:r>
        <w:rPr>
          <w:rFonts w:hint="default" w:ascii="Times New Roman" w:hAnsi="Times New Roman" w:cs="Times New Roman"/>
          <w:b w:val="0"/>
          <w:bCs w:val="0"/>
          <w:color w:val="auto"/>
          <w:highlight w:val="none"/>
        </w:rPr>
        <w:t>“我为企业找大学”校企对接合作活动</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促进科研成果落地</w:t>
      </w:r>
      <w:r>
        <w:rPr>
          <w:rFonts w:hint="default" w:ascii="Times New Roman" w:hAnsi="Times New Roman" w:cs="Times New Roman"/>
          <w:b w:val="0"/>
          <w:bCs w:val="0"/>
          <w:color w:val="auto"/>
          <w:highlight w:val="none"/>
          <w:lang w:eastAsia="zh-CN"/>
        </w:rPr>
        <w:t>。</w:t>
      </w:r>
    </w:p>
    <w:p w14:paraId="36142595">
      <w:pPr>
        <w:pStyle w:val="4"/>
        <w:numPr>
          <w:ilvl w:val="0"/>
          <w:numId w:val="1"/>
        </w:numPr>
        <w:bidi w:val="0"/>
        <w:ind w:left="0" w:leftChars="0" w:firstLine="420" w:firstLineChars="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生态建设实现新飞跃</w:t>
      </w:r>
    </w:p>
    <w:p w14:paraId="24E558A1">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环境质量持续改善</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十四五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期间，</w:t>
      </w:r>
      <w:r>
        <w:rPr>
          <w:rFonts w:hint="default" w:ascii="Times New Roman" w:hAnsi="Times New Roman" w:cs="Times New Roman"/>
          <w:color w:val="auto"/>
          <w:highlight w:val="none"/>
          <w:lang w:val="en-US" w:eastAsia="zh-CN"/>
        </w:rPr>
        <w:t>全</w:t>
      </w:r>
      <w:r>
        <w:rPr>
          <w:rFonts w:hint="default" w:ascii="Times New Roman" w:hAnsi="Times New Roman" w:cs="Times New Roman"/>
          <w:color w:val="auto"/>
          <w:highlight w:val="none"/>
        </w:rPr>
        <w:t>县深入践行生态文明理念，环境质量创有监测记录以来最优水平。大气环境显著改善，2024年PM₂.₅浓度降至24µg/m³，较基准年下降58.5%，环境空气质量优良天数达344天，同比增加36天。水环境质量持续向好，3个国考断面、1个省考断面稳定达到Ⅱ类水质标准，县级以上集中式饮用水水源地水质达标率保持100%。土壤环境安全</w:t>
      </w:r>
      <w:r>
        <w:rPr>
          <w:rFonts w:hint="default" w:ascii="Times New Roman" w:hAnsi="Times New Roman" w:cs="Times New Roman"/>
          <w:color w:val="auto"/>
          <w:highlight w:val="none"/>
          <w:lang w:val="en-US" w:eastAsia="zh-CN"/>
        </w:rPr>
        <w:t>稳定</w:t>
      </w:r>
      <w:r>
        <w:rPr>
          <w:rFonts w:hint="default" w:ascii="Times New Roman" w:hAnsi="Times New Roman" w:cs="Times New Roman"/>
          <w:color w:val="auto"/>
          <w:highlight w:val="none"/>
        </w:rPr>
        <w:t>，建设用地污染地块安全利用率、受污染耕地安全利用率均达100%</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全面保障了人居环境健康安全。</w:t>
      </w:r>
    </w:p>
    <w:p w14:paraId="43F9C672">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污染防治攻坚战成效显著</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蓝天保卫战方面，通过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压煤、治企、控车、降尘、禁烧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综合施策，全面完成20蒸吨及以上燃煤锅炉超低排放改造，实现菱镁企业环保达标排放率100%，建成机动车尾气省、市、县三级联网监控体系，秸秆综合利用率显著提升。碧水保卫战方面，坚持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三水统筹</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实施污水管网更新改造等工程，完成5项重点水治理项目，确保国省考断面水质稳定优于考核标准，建成区黑臭水体实现动态清零。净土保卫战方面，严格建设用地土壤污染风险管控与修复，完成7个尾矿库隐患排查整治，农村畜禽粪污综合利用率达84.86%，连续五年未出现农村黑臭水体问题。通过系列攻坚行动，全县污染防治体系实现全域覆盖、全要素提升，环境治理能力现代化水平显著</w:t>
      </w:r>
      <w:r>
        <w:rPr>
          <w:rFonts w:hint="default" w:ascii="Times New Roman" w:hAnsi="Times New Roman" w:cs="Times New Roman"/>
          <w:color w:val="auto"/>
          <w:highlight w:val="none"/>
          <w:lang w:val="en-US" w:eastAsia="zh-CN"/>
        </w:rPr>
        <w:t>提升</w:t>
      </w:r>
      <w:r>
        <w:rPr>
          <w:rFonts w:hint="default" w:ascii="Times New Roman" w:hAnsi="Times New Roman" w:cs="Times New Roman"/>
          <w:color w:val="auto"/>
          <w:highlight w:val="none"/>
        </w:rPr>
        <w:t>。</w:t>
      </w:r>
    </w:p>
    <w:p w14:paraId="181841AB">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生态保护修复成效显著</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国土绿化行动深入开展，森林覆盖率</w:t>
      </w:r>
      <w:r>
        <w:rPr>
          <w:rFonts w:hint="default" w:ascii="Times New Roman" w:hAnsi="Times New Roman" w:cs="Times New Roman"/>
          <w:color w:val="auto"/>
          <w:highlight w:val="none"/>
          <w:lang w:val="en-US" w:eastAsia="zh-CN"/>
        </w:rPr>
        <w:t>达到70.16%</w:t>
      </w:r>
      <w:r>
        <w:rPr>
          <w:rFonts w:hint="default" w:ascii="Times New Roman" w:hAnsi="Times New Roman" w:cs="Times New Roman"/>
          <w:color w:val="auto"/>
          <w:highlight w:val="none"/>
        </w:rPr>
        <w:t>，森林蓄积量稳步增长。</w:t>
      </w:r>
      <w:r>
        <w:rPr>
          <w:rFonts w:hint="default" w:ascii="Times New Roman" w:hAnsi="Times New Roman" w:cs="Times New Roman"/>
          <w:color w:val="auto"/>
          <w:highlight w:val="none"/>
          <w:lang w:val="en-US" w:eastAsia="zh-CN"/>
        </w:rPr>
        <w:t>累计完成3个矿山生态修复项目，完成治理总面积413.95亩，矿山复绿行动步伐加快。</w:t>
      </w:r>
      <w:r>
        <w:rPr>
          <w:rFonts w:hint="default" w:ascii="Times New Roman" w:hAnsi="Times New Roman" w:cs="Times New Roman"/>
          <w:color w:val="auto"/>
          <w:highlight w:val="none"/>
        </w:rPr>
        <w:t>水土流失综合治理、生物多样性保护持续加强，辽东绿色生态屏障更加牢固。</w:t>
      </w:r>
    </w:p>
    <w:p w14:paraId="7865F5D2">
      <w:pPr>
        <w:pStyle w:val="4"/>
        <w:numPr>
          <w:ilvl w:val="0"/>
          <w:numId w:val="1"/>
        </w:numPr>
        <w:bidi w:val="0"/>
        <w:ind w:left="0" w:leftChars="0" w:firstLine="420" w:firstLineChars="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民生福祉达到新高度</w:t>
      </w:r>
    </w:p>
    <w:p w14:paraId="4903F94F">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十四五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期间，岫岩县坚持以人民为中心的发展思想，民生保障水平实现系统性提升。在教育领域，累计投入1.2亿元完成薄弱学校改造工程，惠及59所学校，县职教中心迁建投用，岫岩高中</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第二高级中学体育馆开工建设，义务教育营养餐实现全覆盖，高考本科上线率</w:t>
      </w:r>
      <w:r>
        <w:rPr>
          <w:rFonts w:hint="default" w:ascii="Times New Roman" w:hAnsi="Times New Roman" w:cs="Times New Roman"/>
          <w:color w:val="auto"/>
          <w:highlight w:val="none"/>
          <w:lang w:val="en-US" w:eastAsia="zh-CN"/>
        </w:rPr>
        <w:t>稳步</w:t>
      </w:r>
      <w:r>
        <w:rPr>
          <w:rFonts w:hint="default" w:ascii="Times New Roman" w:hAnsi="Times New Roman" w:cs="Times New Roman"/>
          <w:color w:val="auto"/>
          <w:highlight w:val="none"/>
        </w:rPr>
        <w:t>提升。医疗保障体系更加健全，落实基本医疗</w:t>
      </w:r>
      <w:r>
        <w:rPr>
          <w:rFonts w:hint="default" w:ascii="Times New Roman" w:hAnsi="Times New Roman" w:cs="Times New Roman"/>
          <w:color w:val="auto"/>
          <w:highlight w:val="none"/>
          <w:lang w:val="en-US" w:eastAsia="zh-CN"/>
        </w:rPr>
        <w:t>保险</w:t>
      </w:r>
      <w:r>
        <w:rPr>
          <w:rFonts w:hint="default" w:ascii="Times New Roman" w:hAnsi="Times New Roman" w:cs="Times New Roman"/>
          <w:color w:val="auto"/>
          <w:highlight w:val="none"/>
        </w:rPr>
        <w:t>、大病保险、医疗救助</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三重保障</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一站式结算，县医院重症科等3个专科获评省级重点。就业创业工作扎实推进，通过举办各类招聘活动、落实创业就业政策，有效促进了城镇新增就业，并打造出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基层劳动纠纷全周期管理一站</w:t>
      </w:r>
      <w:r>
        <w:rPr>
          <w:rFonts w:hint="default" w:ascii="Times New Roman" w:hAnsi="Times New Roman" w:cs="Times New Roman"/>
          <w:color w:val="auto"/>
          <w:highlight w:val="none"/>
          <w:lang w:val="en-US" w:eastAsia="zh-CN"/>
        </w:rPr>
        <w:t>式</w:t>
      </w:r>
      <w:r>
        <w:rPr>
          <w:rFonts w:hint="default" w:ascii="Times New Roman" w:hAnsi="Times New Roman" w:cs="Times New Roman"/>
          <w:color w:val="auto"/>
          <w:highlight w:val="none"/>
        </w:rPr>
        <w:t>调处机制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这一全省标杆。养老服务提质升级，改造敬老院15所，</w:t>
      </w:r>
      <w:r>
        <w:rPr>
          <w:rFonts w:hint="default" w:ascii="Times New Roman" w:hAnsi="Times New Roman" w:cs="Times New Roman"/>
          <w:color w:val="auto"/>
          <w:highlight w:val="none"/>
          <w:lang w:val="en-US" w:eastAsia="zh-CN"/>
        </w:rPr>
        <w:t>积极推进特困家庭</w:t>
      </w:r>
      <w:r>
        <w:rPr>
          <w:rFonts w:hint="default" w:ascii="Times New Roman" w:hAnsi="Times New Roman" w:cs="Times New Roman"/>
          <w:color w:val="auto"/>
          <w:highlight w:val="none"/>
        </w:rPr>
        <w:t>适老化改造，石灰窑村获评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全国老年友好型社区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。文化体育事业蓬勃发展，</w:t>
      </w:r>
      <w:r>
        <w:rPr>
          <w:rFonts w:hint="default" w:ascii="Times New Roman" w:hAnsi="Times New Roman" w:cs="Times New Roman"/>
          <w:color w:val="auto"/>
          <w:highlight w:val="none"/>
          <w:lang w:val="en-US" w:eastAsia="zh-CN"/>
        </w:rPr>
        <w:t>新建一批</w:t>
      </w:r>
      <w:r>
        <w:rPr>
          <w:rFonts w:hint="default" w:ascii="Times New Roman" w:hAnsi="Times New Roman" w:cs="Times New Roman"/>
          <w:color w:val="auto"/>
          <w:highlight w:val="none"/>
        </w:rPr>
        <w:t>全民健身中心和文化活动广场，卧龙山城遗址被评为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全国重点文物保护单位</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成功举办全省首个县级半程马拉松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群众获得感、幸福感显著增强。</w:t>
      </w:r>
    </w:p>
    <w:p w14:paraId="64300D6E">
      <w:pPr>
        <w:pStyle w:val="4"/>
        <w:numPr>
          <w:ilvl w:val="0"/>
          <w:numId w:val="1"/>
        </w:numPr>
        <w:bidi w:val="0"/>
        <w:ind w:left="0" w:leftChars="0" w:firstLine="420" w:firstLineChars="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党的建设取得新成效</w:t>
      </w:r>
    </w:p>
    <w:p w14:paraId="5DE8D8B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十四五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期间，</w:t>
      </w:r>
      <w:r>
        <w:rPr>
          <w:rFonts w:hint="default" w:ascii="Times New Roman" w:hAnsi="Times New Roman" w:cs="Times New Roman"/>
          <w:color w:val="auto"/>
          <w:highlight w:val="none"/>
          <w:lang w:val="en-US" w:eastAsia="zh-CN"/>
        </w:rPr>
        <w:t>我</w:t>
      </w:r>
      <w:r>
        <w:rPr>
          <w:rFonts w:hint="default" w:ascii="Times New Roman" w:hAnsi="Times New Roman" w:cs="Times New Roman"/>
          <w:color w:val="auto"/>
          <w:highlight w:val="none"/>
        </w:rPr>
        <w:t>县坚持和加强党的全面领导，坚定不移推进全面从严治党向纵深发展，党的建设特别是政府系统自身建设取得扎实成效。党的政治建设全面加强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持续巩固深化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不忘初心、牢记使命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主题教育、党史学习教育成果，深入学习贯彻习近平新时代中国特色社会主义思想和党的二十大精神及历次全会精神，强力推进省委巡视反馈意见整改，</w:t>
      </w:r>
      <w:r>
        <w:rPr>
          <w:rFonts w:hint="default" w:ascii="Times New Roman" w:hAnsi="Times New Roman" w:cs="Times New Roman"/>
          <w:color w:val="auto"/>
          <w:highlight w:val="none"/>
          <w:lang w:val="en-US" w:eastAsia="zh-CN"/>
        </w:rPr>
        <w:t>广大</w:t>
      </w:r>
      <w:r>
        <w:rPr>
          <w:rFonts w:hint="default" w:ascii="Times New Roman" w:hAnsi="Times New Roman" w:cs="Times New Roman"/>
          <w:color w:val="auto"/>
          <w:highlight w:val="none"/>
        </w:rPr>
        <w:t>党员干部深刻领悟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两个确立</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的决定性意义，增强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四个意识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、坚定</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四个自信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、做到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两个维护</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的自觉性</w:t>
      </w:r>
      <w:r>
        <w:rPr>
          <w:rFonts w:hint="default" w:ascii="Times New Roman" w:hAnsi="Times New Roman" w:cs="Times New Roman"/>
          <w:color w:val="auto"/>
          <w:highlight w:val="none"/>
          <w:lang w:val="en-US" w:eastAsia="zh-CN"/>
        </w:rPr>
        <w:t>和</w:t>
      </w:r>
      <w:r>
        <w:rPr>
          <w:rFonts w:hint="default" w:ascii="Times New Roman" w:hAnsi="Times New Roman" w:cs="Times New Roman"/>
          <w:color w:val="auto"/>
          <w:highlight w:val="none"/>
        </w:rPr>
        <w:t>坚定性显著增强，意识形态工作责任制有效落实。组织基础与作风建设持续巩固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扎实开展党纪学习教育，深入推进群众身边不正之风和腐败问题集中整治，严格落实中央八项规定及其实施细则精神，持之以恒纠治</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四风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、力戒形式主义官僚主义为基层减负，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三公</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经费持续压减，政府系统想干事、能干事、干成事的担当氛围日益浓厚。纪律建设与廉政根基不断夯实</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反腐败斗争压倒性胜利全面巩固，各级党组织全面落实党风廉政建设主体责任和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一岗双责</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，精准运用监督执纪</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四种形态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，政治生态持续向善向好。法治政府与效能建设实现</w:t>
      </w:r>
      <w:r>
        <w:rPr>
          <w:rFonts w:hint="eastAsia" w:ascii="Times New Roman" w:hAnsi="Times New Roman" w:cs="Times New Roman"/>
          <w:color w:val="auto"/>
          <w:highlight w:val="none"/>
          <w:lang w:val="en-US" w:eastAsia="zh-CN"/>
        </w:rPr>
        <w:t>新</w:t>
      </w:r>
      <w:r>
        <w:rPr>
          <w:rFonts w:hint="default" w:ascii="Times New Roman" w:hAnsi="Times New Roman" w:cs="Times New Roman"/>
          <w:color w:val="auto"/>
          <w:highlight w:val="none"/>
        </w:rPr>
        <w:t>突破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深入践行习近平法治思想，严格执行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三重一大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集体决策、重大事项请示报告制度，规范县政府常务会议等议事规则，完善规划管理、政府诉讼等机制，建立健全政府法律顾问制度</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自觉接受人大法律监督、政协民主监督，高效办结人大代表建议、政协委员提案，见面率、答复率、满意率均达100%。风清气正的政治生态和务实高效的治理效能，为岫岩县“十四五”时期高质量发展目标顺利实现提供了坚强保障。</w:t>
      </w:r>
    </w:p>
    <w:p w14:paraId="491CB847">
      <w:pPr>
        <w:pStyle w:val="3"/>
        <w:numPr>
          <w:ilvl w:val="0"/>
          <w:numId w:val="3"/>
        </w:numPr>
        <w:bidi w:val="0"/>
        <w:jc w:val="center"/>
        <w:rPr>
          <w:rFonts w:hint="default" w:ascii="Times New Roman" w:hAnsi="Times New Roman" w:cs="Times New Roman"/>
          <w:color w:val="auto"/>
          <w:highlight w:val="none"/>
          <w:lang w:val="en-US" w:eastAsia="zh-CN"/>
        </w:rPr>
      </w:pPr>
      <w:bookmarkStart w:id="9" w:name="_Toc5980"/>
      <w:r>
        <w:rPr>
          <w:rFonts w:hint="default" w:ascii="Times New Roman" w:hAnsi="Times New Roman" w:cs="Times New Roman"/>
          <w:color w:val="auto"/>
          <w:highlight w:val="none"/>
          <w:lang w:val="en-US" w:eastAsia="zh-CN"/>
        </w:rPr>
        <w:t>全县经济社会发展面临的挑战</w:t>
      </w:r>
      <w:bookmarkEnd w:id="9"/>
    </w:p>
    <w:p w14:paraId="0FD97774">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十五五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时期，是我国全面建设社会主义现代化国家新征程的关键五年，是辽宁实现全面振兴新突破的攻坚期，也是岫岩县加快转型升级、实现高质量发展的紧要关口。世界之变、时代之变、历史之变正以前所未有的方式展开，岫岩发展既面临难得的历史机遇，也面临一系列风险挑战，必须增强忧患意识，坚持底线思维。</w:t>
      </w:r>
    </w:p>
    <w:p w14:paraId="6975C821">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从国际看，</w:t>
      </w:r>
      <w:r>
        <w:rPr>
          <w:rFonts w:hint="default" w:ascii="Times New Roman" w:hAnsi="Times New Roman" w:cs="Times New Roman"/>
          <w:color w:val="auto"/>
          <w:highlight w:val="none"/>
        </w:rPr>
        <w:t>百年变局加速演进，世界进入新的动荡变革期。全球经济复苏乏力，单边主义、保护主义、地缘政治冲突加剧，国际经贸规则和产业链供应链体系深度重构，不稳定不确定难预料因素显著增多。新一轮科技革命和产业变革突飞猛进，人工智能、新能源、生物技术等颠覆性技术加速突破，各国抢占科技制高点和产业新赛道的竞争日趋白热化，对县域传统产业转型升级和新兴产业培育形成巨大压力与挑战。全球气候变化影响加剧，绿色低碳转型成为硬约束，对我县资源型产业发展模式提出更高要求。国际环境深刻变化带来的外部风险挑战传导效应日益显现，县域经济稳定发展面临更复杂的国际环境考验。</w:t>
      </w:r>
    </w:p>
    <w:p w14:paraId="0C30F2E9">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从国内看，</w:t>
      </w:r>
      <w:r>
        <w:rPr>
          <w:rFonts w:hint="default" w:ascii="Times New Roman" w:hAnsi="Times New Roman" w:cs="Times New Roman"/>
          <w:color w:val="auto"/>
          <w:highlight w:val="none"/>
        </w:rPr>
        <w:t>我国经济发展已进入高质量发展阶段，但发展不平衡不充分问题仍然突出。国内大循环为主体、国内国际双循环相互促进的新发展格局加快构建，区域竞争格局深刻调整，对县域经济融入区域分工、提升产业能级提出了更高要求。科技创新作为核心驱动力的作用愈发凸显，各地都在加速推动新旧动能转换，我县在创新能力、人才储备、高端要素集聚等方面面临更大竞争压力。推动共同富裕、补齐民生短板、提升治理效能的任务更加艰巨。国家统筹发展</w:t>
      </w:r>
      <w:r>
        <w:rPr>
          <w:rFonts w:hint="default" w:ascii="Times New Roman" w:hAnsi="Times New Roman" w:cs="Times New Roman"/>
          <w:color w:val="auto"/>
          <w:highlight w:val="none"/>
          <w:lang w:val="en-US" w:eastAsia="zh-CN"/>
        </w:rPr>
        <w:t>和</w:t>
      </w:r>
      <w:r>
        <w:rPr>
          <w:rFonts w:hint="default" w:ascii="Times New Roman" w:hAnsi="Times New Roman" w:cs="Times New Roman"/>
          <w:color w:val="auto"/>
          <w:highlight w:val="none"/>
        </w:rPr>
        <w:t>安全，对维护国家“五大安全”的要求更加严格，我县作为资源型地区和生态屏障区域，肩负着转型发展与安全稳定的双重责任。宏观政策调整、市场需求变化、成本要素上升等因素相互叠加，对县域经济特别是传统产业和企业经营带来持续挑战。</w:t>
      </w:r>
    </w:p>
    <w:p w14:paraId="68B5E637">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lang w:val="en-US" w:eastAsia="zh-CN"/>
        </w:rPr>
        <w:t>从我县自身看，</w:t>
      </w:r>
      <w:r>
        <w:rPr>
          <w:rFonts w:hint="default" w:ascii="Times New Roman" w:hAnsi="Times New Roman" w:cs="Times New Roman"/>
          <w:color w:val="auto"/>
          <w:highlight w:val="none"/>
        </w:rPr>
        <w:t>正处于爬坡过坎、转型升级的关键阶段，长期积累的结构性矛盾与新发展要求交织叠加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产业结构亟待优化升级，经济总量偏小，传统产业仍占主导地位，产业链条短、精深加工不足、附加值不高问题突出，战略性新兴产业和现代服务业体量小、支撑弱，新质生产力培育亟待破题</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发展动能转换仍需加速，科技创新能力薄弱，企业创新主体地位不突出，高层次人才匮乏，创新驱动内生动力不足，有效投资增长后劲不足，重大项目储备和招引能力有待提升，民营经济活力与市场主体竞争力有待激发，园区承载能力、产业集聚度和产出效益需进一步提高</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协调发展与民生保障存在短板，城乡发展不平衡，县域城镇化水平和质量有待提升，乡村全面振兴任务繁重，优质公共服务供给不足，交通、水利、新型基础设施等网络仍需完善升级，生态环保历史欠账与持续改善压力并存，资源环境约束趋紧。</w:t>
      </w:r>
    </w:p>
    <w:p w14:paraId="11D46D47">
      <w:pPr>
        <w:pStyle w:val="3"/>
        <w:numPr>
          <w:ilvl w:val="0"/>
          <w:numId w:val="3"/>
        </w:numPr>
        <w:bidi w:val="0"/>
        <w:ind w:left="0" w:leftChars="0" w:firstLine="643" w:firstLineChars="200"/>
        <w:rPr>
          <w:rFonts w:hint="default" w:ascii="Times New Roman" w:hAnsi="Times New Roman" w:cs="Times New Roman"/>
          <w:color w:val="auto"/>
          <w:highlight w:val="none"/>
          <w:lang w:val="en-US" w:eastAsia="zh-CN"/>
        </w:rPr>
      </w:pPr>
      <w:bookmarkStart w:id="10" w:name="_Toc5502"/>
      <w:r>
        <w:rPr>
          <w:rFonts w:hint="default" w:ascii="Times New Roman" w:hAnsi="Times New Roman" w:cs="Times New Roman"/>
          <w:color w:val="auto"/>
          <w:highlight w:val="none"/>
          <w:lang w:val="en-US" w:eastAsia="zh-CN"/>
        </w:rPr>
        <w:t>全县经济社会发展面临的机遇</w:t>
      </w:r>
      <w:bookmarkEnd w:id="10"/>
    </w:p>
    <w:p w14:paraId="770B5D00">
      <w:pPr>
        <w:bidi w:val="0"/>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rPr>
        <w:t>综合研判，</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十五五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时期，岫岩县处于大有可为的战略机遇期、政策叠加的红利释放期和动能转换的加速突破期，主要面临以下重大机遇</w:t>
      </w:r>
      <w:r>
        <w:rPr>
          <w:rFonts w:hint="default" w:ascii="Times New Roman" w:hAnsi="Times New Roman" w:cs="Times New Roman"/>
          <w:color w:val="auto"/>
          <w:highlight w:val="none"/>
          <w:lang w:eastAsia="zh-CN"/>
        </w:rPr>
        <w:t>：</w:t>
      </w:r>
    </w:p>
    <w:p w14:paraId="50C24205">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战略机遇叠加。</w:t>
      </w:r>
      <w:r>
        <w:rPr>
          <w:rFonts w:hint="default" w:ascii="Times New Roman" w:hAnsi="Times New Roman" w:cs="Times New Roman"/>
          <w:color w:val="auto"/>
          <w:highlight w:val="none"/>
        </w:rPr>
        <w:t>新一轮东北全面振兴国家战略纵深推进，政策与资源支持力度空前，为资源型地区转型和产业升级注入强劲动力。辽宁沿海经济带高质量发展与沈阳现代化都市圈建设加速，显著提升岫岩作为辽东绿色经济区重要节点的区位价值，更有利于承接产业转移、融入区域分工。国家粮食安全与乡村振兴战略深入实施，为岫岩发挥农业资源优势、建设现代农业强县提供坚实支撑。区域全面经济伙伴关系协定（RCEP）红利释放、辽宁打造对外开放新前沿，结合毗邻大连、丹东港口的优势及交通网络优化，为岫岩特色产品开拓国际市场、深化开放合作开辟广阔空间。</w:t>
      </w:r>
    </w:p>
    <w:p w14:paraId="1E107276">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支持政策有力。</w:t>
      </w:r>
      <w:r>
        <w:rPr>
          <w:rFonts w:hint="default" w:ascii="Times New Roman" w:hAnsi="Times New Roman" w:cs="Times New Roman"/>
          <w:color w:val="auto"/>
          <w:highlight w:val="none"/>
        </w:rPr>
        <w:t>中央及省市持续加大对欠发达地区、民族地区、生态功能区的政策倾斜和转移支付力度，为补齐基础设施、民生保障等短板提供强力保障，叠加稳增长、促转型、惠企纾困政策有效激发市场活力。国家和辽宁省推动文化产业高质量发展、支持资源型城市可持续发展、全面推进乡村振兴等专项政策密集出台，高度契合岫岩玉石文化、菱镁产业转型、特色农业等核心优势，为特色产业做优做强提供精准支持。辽宁省及鞍山市深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放管服</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改革、优化营商环境的系列举措，持续破除体制机制障碍，释放县域发展内生动力和创新活力。</w:t>
      </w:r>
    </w:p>
    <w:p w14:paraId="1BB56F4A">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发展基础夯实。</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岫岩玉</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品牌价值攀升，玉文化产业向创意设计、高端定制、文旅融合升级潜力巨大</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菱镁产业加速整合升级，向高端耐火材料、镁建材等精深加工领域拓展空间广阔</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特色农产品规模优势突出，现代农业体系加速构建。森林覆盖率高、水资源丰富、生态环境本底优良，</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绿水青山</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金山银山</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转化通道畅通，为生态旅游、绿色食品产业提供核心竞争力。县域路网优化提升物流通达性，水利、能源、信息等基础设施短板加快补齐，5G、物联网等新基建为智慧农业、智慧文旅、数字经济发展奠定基础。历届打下的坚实基础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十四五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显著成效厚积发展势能，全县上下思发展、谋发展、促发展的浓厚氛围，为抢抓机遇、实现赶超跨越凝聚强大合力。</w:t>
      </w:r>
    </w:p>
    <w:p w14:paraId="4328222D">
      <w:pPr>
        <w:rPr>
          <w:rFonts w:hint="default" w:ascii="Times New Roman" w:hAnsi="Times New Roman" w:cs="Times New Roman"/>
          <w:color w:val="auto"/>
          <w:highlight w:val="none"/>
        </w:rPr>
      </w:pPr>
      <w:r>
        <w:rPr>
          <w:rFonts w:hint="default" w:ascii="Times New Roman" w:hAnsi="Times New Roman" w:cs="Times New Roman"/>
          <w:color w:val="auto"/>
          <w:highlight w:val="none"/>
        </w:rPr>
        <w:t>总体来看，</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十五五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时期是岫岩实现振兴发展新突破的关键阶段。我们既面临前所未有的重大机遇，也需清醒认识并着力破解</w:t>
      </w:r>
      <w:r>
        <w:rPr>
          <w:rFonts w:hint="default" w:ascii="Times New Roman" w:hAnsi="Times New Roman" w:cs="Times New Roman"/>
          <w:color w:val="auto"/>
          <w:highlight w:val="none"/>
          <w:lang w:val="en-US" w:eastAsia="zh-CN"/>
        </w:rPr>
        <w:t>各</w:t>
      </w:r>
      <w:r>
        <w:rPr>
          <w:rFonts w:hint="default" w:ascii="Times New Roman" w:hAnsi="Times New Roman" w:cs="Times New Roman"/>
          <w:color w:val="auto"/>
          <w:highlight w:val="none"/>
        </w:rPr>
        <w:t>方面的挑战。机遇与挑战并存，但机遇大于挑战，有利条件胜过不利因素。全县上下必须牢牢把握历史性窗口期和战略性机遇期，牢牢树立机遇意识和风险意识，牢牢锚定高质量发展首要任务，坚定信心、保持定力，趋利避害、扬长补短，将战略机遇转化为发展优势，将政策红利转化为现实动能，将坚实基础转化为赶超胜势，</w:t>
      </w:r>
      <w:r>
        <w:rPr>
          <w:rFonts w:hint="default" w:ascii="Times New Roman" w:hAnsi="Times New Roman" w:cs="Times New Roman"/>
          <w:color w:val="auto"/>
          <w:highlight w:val="none"/>
          <w:lang w:val="en-US" w:eastAsia="zh-CN"/>
        </w:rPr>
        <w:t>奋力开拓</w:t>
      </w:r>
      <w:r>
        <w:rPr>
          <w:rFonts w:hint="default" w:ascii="Times New Roman" w:hAnsi="Times New Roman" w:cs="Times New Roman"/>
          <w:color w:val="auto"/>
          <w:highlight w:val="none"/>
        </w:rPr>
        <w:t>中国式现代化岫岩新</w:t>
      </w:r>
      <w:r>
        <w:rPr>
          <w:rFonts w:hint="default" w:ascii="Times New Roman" w:hAnsi="Times New Roman" w:cs="Times New Roman"/>
          <w:color w:val="auto"/>
          <w:highlight w:val="none"/>
          <w:lang w:val="en-US" w:eastAsia="zh-CN"/>
        </w:rPr>
        <w:t>征程</w:t>
      </w:r>
      <w:r>
        <w:rPr>
          <w:rFonts w:hint="default" w:ascii="Times New Roman" w:hAnsi="Times New Roman" w:cs="Times New Roman"/>
          <w:color w:val="auto"/>
          <w:highlight w:val="none"/>
        </w:rPr>
        <w:t>。</w:t>
      </w:r>
      <w:r>
        <w:rPr>
          <w:rFonts w:hint="default" w:ascii="Times New Roman" w:hAnsi="Times New Roman" w:cs="Times New Roman"/>
          <w:color w:val="auto"/>
          <w:highlight w:val="none"/>
        </w:rPr>
        <w:br w:type="page"/>
      </w:r>
    </w:p>
    <w:p w14:paraId="29980802">
      <w:pPr>
        <w:pStyle w:val="2"/>
        <w:bidi w:val="0"/>
        <w:rPr>
          <w:rFonts w:hint="default" w:ascii="Times New Roman" w:hAnsi="Times New Roman" w:cs="Times New Roman"/>
          <w:color w:val="auto"/>
          <w:highlight w:val="none"/>
          <w:lang w:eastAsia="zh-CN"/>
        </w:rPr>
      </w:pPr>
      <w:bookmarkStart w:id="11" w:name="_Toc25717"/>
      <w:r>
        <w:rPr>
          <w:rFonts w:hint="default" w:ascii="Times New Roman" w:hAnsi="Times New Roman" w:cs="Times New Roman"/>
          <w:color w:val="auto"/>
          <w:highlight w:val="none"/>
        </w:rPr>
        <w:t>第二章擘画发展蓝图，开启</w:t>
      </w:r>
      <w:r>
        <w:rPr>
          <w:rFonts w:hint="default" w:ascii="Times New Roman" w:hAnsi="Times New Roman" w:cs="Times New Roman"/>
          <w:color w:val="auto"/>
          <w:highlight w:val="none"/>
          <w:lang w:val="en-US" w:eastAsia="zh-CN"/>
        </w:rPr>
        <w:t>中国式</w:t>
      </w:r>
      <w:r>
        <w:rPr>
          <w:rFonts w:hint="default" w:ascii="Times New Roman" w:hAnsi="Times New Roman" w:cs="Times New Roman"/>
          <w:color w:val="auto"/>
          <w:highlight w:val="none"/>
        </w:rPr>
        <w:t>现代化岫岩新篇章</w:t>
      </w:r>
      <w:bookmarkEnd w:id="11"/>
    </w:p>
    <w:p w14:paraId="52FE75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default" w:ascii="Times New Roman" w:hAnsi="Times New Roman" w:eastAsia="楷体_GB2312" w:cs="Times New Roman"/>
          <w:b/>
          <w:bCs w:val="0"/>
          <w:color w:val="auto"/>
          <w:highlight w:val="none"/>
        </w:rPr>
      </w:pPr>
      <w:bookmarkStart w:id="12" w:name="_Toc8999"/>
      <w:r>
        <w:rPr>
          <w:rFonts w:hint="default" w:ascii="Times New Roman" w:hAnsi="Times New Roman" w:eastAsia="楷体_GB2312" w:cs="Times New Roman"/>
          <w:b/>
          <w:bCs w:val="0"/>
          <w:color w:val="auto"/>
          <w:highlight w:val="none"/>
        </w:rPr>
        <w:t>第一节指导思想</w:t>
      </w:r>
      <w:bookmarkEnd w:id="12"/>
    </w:p>
    <w:p w14:paraId="493BD1B6">
      <w:pPr>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坚持马克思列宁主义、毛泽东思想、邓小平理论、“三个代表”重要思想、科学发展观，全面贯彻习近平新时代中国特色社会主义思想，深入贯彻党的二十大和二十届历次全会精神，深入学习贯彻习近平总书记对辽宁振兴发展的重要讲话和重要指示精神，全面落实党中央关于东北全面振兴的决策部署，围绕全面建成社会主义现代化强国、实现第二个百年奋斗目标，统筹推进“五位一体”总体布局，协调推进“四个全面”战略布局，完整准确全面贯彻新发展理念，积极服务融入新发展格局，认真履行维护国家“五大安全”重要使命，坚持稳中求进工作总基调，坚持以经济建设为中心，以推动高质量发展为主题，以改革创新为根本动力，以满足人民日益增长的美好生活需要为根本目的，以全面从严治党为根本保障，</w:t>
      </w:r>
      <w:r>
        <w:rPr>
          <w:rFonts w:hint="default" w:ascii="Times New Roman" w:hAnsi="Times New Roman" w:cs="Times New Roman"/>
          <w:color w:val="auto"/>
          <w:highlight w:val="none"/>
          <w:lang w:eastAsia="zh-CN"/>
        </w:rPr>
        <w:t>持续优化县域营商环境，推动经济实现质的有效提升和量的合理增长，全面推进乡村振兴，促进城乡融合与区域协调，</w:t>
      </w:r>
      <w:r>
        <w:rPr>
          <w:rFonts w:hint="default" w:ascii="Times New Roman" w:hAnsi="Times New Roman" w:cs="Times New Roman"/>
          <w:color w:val="auto"/>
          <w:highlight w:val="none"/>
          <w:lang w:val="en-US" w:eastAsia="zh-CN"/>
        </w:rPr>
        <w:t>持续推动人的全面发展和促进共同富裕</w:t>
      </w:r>
      <w:r>
        <w:rPr>
          <w:rFonts w:hint="default" w:ascii="Times New Roman" w:hAnsi="Times New Roman" w:cs="Times New Roman"/>
          <w:color w:val="auto"/>
          <w:highlight w:val="none"/>
          <w:lang w:eastAsia="zh-CN"/>
        </w:rPr>
        <w:t>，加强生态文明建设，巩固拓展绿色发展优势，扎实推进全面从严治党，持续净化政治生态，奋力在全省、全市全面振兴新突破中展现岫岩担当、贡献岫岩力量，努力谱写中国式现代化岫岩新篇章。</w:t>
      </w:r>
    </w:p>
    <w:p w14:paraId="6073710E">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default" w:ascii="Times New Roman" w:hAnsi="Times New Roman" w:eastAsia="楷体_GB2312" w:cs="Times New Roman"/>
          <w:b/>
          <w:bCs w:val="0"/>
          <w:color w:val="auto"/>
          <w:highlight w:val="none"/>
        </w:rPr>
      </w:pPr>
      <w:bookmarkStart w:id="13" w:name="_Toc3393"/>
      <w:r>
        <w:rPr>
          <w:rFonts w:hint="default" w:ascii="Times New Roman" w:hAnsi="Times New Roman" w:eastAsia="楷体_GB2312" w:cs="Times New Roman"/>
          <w:b/>
          <w:bCs w:val="0"/>
          <w:color w:val="auto"/>
          <w:highlight w:val="none"/>
        </w:rPr>
        <w:t>第二节基本原则</w:t>
      </w:r>
      <w:bookmarkEnd w:id="13"/>
    </w:p>
    <w:p w14:paraId="72821AB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推动</w:t>
      </w:r>
      <w:r>
        <w:rPr>
          <w:rFonts w:hint="default" w:ascii="Times New Roman" w:hAnsi="Times New Roman" w:eastAsia="仿宋_GB2312" w:cs="Times New Roman"/>
          <w:bCs/>
          <w:sz w:val="32"/>
          <w:szCs w:val="32"/>
          <w:lang w:eastAsia="zh-CN"/>
        </w:rPr>
        <w:t>“十五五”</w:t>
      </w:r>
      <w:r>
        <w:rPr>
          <w:rFonts w:hint="default" w:ascii="Times New Roman" w:hAnsi="Times New Roman" w:eastAsia="仿宋_GB2312" w:cs="Times New Roman"/>
          <w:bCs/>
          <w:sz w:val="32"/>
          <w:szCs w:val="32"/>
        </w:rPr>
        <w:t>时期岫岩经济社会发展，</w:t>
      </w:r>
      <w:r>
        <w:rPr>
          <w:rFonts w:hint="eastAsia" w:ascii="Times New Roman" w:hAnsi="Times New Roman" w:cs="Times New Roman"/>
          <w:bCs/>
          <w:sz w:val="32"/>
          <w:szCs w:val="32"/>
          <w:lang w:val="en-US" w:eastAsia="zh-CN"/>
        </w:rPr>
        <w:t>必须严格遵守</w:t>
      </w:r>
      <w:r>
        <w:rPr>
          <w:rFonts w:hint="default" w:ascii="Times New Roman" w:hAnsi="Times New Roman" w:eastAsia="仿宋_GB2312" w:cs="Times New Roman"/>
          <w:bCs/>
          <w:sz w:val="32"/>
          <w:szCs w:val="32"/>
          <w:lang w:val="en-US" w:eastAsia="zh-CN"/>
        </w:rPr>
        <w:t>党中央</w:t>
      </w:r>
      <w:r>
        <w:rPr>
          <w:rFonts w:hint="eastAsia" w:ascii="Times New Roman" w:hAnsi="Times New Roman" w:cs="Times New Roman"/>
          <w:bCs/>
          <w:sz w:val="32"/>
          <w:szCs w:val="32"/>
          <w:lang w:val="en-US" w:eastAsia="zh-CN"/>
        </w:rPr>
        <w:t>明确的重大原则</w:t>
      </w:r>
      <w:r>
        <w:rPr>
          <w:rFonts w:hint="default" w:ascii="Times New Roman" w:hAnsi="Times New Roman" w:eastAsia="仿宋_GB2312" w:cs="Times New Roman"/>
          <w:bCs/>
          <w:sz w:val="32"/>
          <w:szCs w:val="32"/>
          <w:lang w:val="en-US" w:eastAsia="zh-CN"/>
        </w:rPr>
        <w:t>，</w:t>
      </w:r>
      <w:r>
        <w:rPr>
          <w:rFonts w:hint="eastAsia" w:ascii="Times New Roman" w:hAnsi="Times New Roman" w:cs="Times New Roman"/>
          <w:bCs/>
          <w:sz w:val="32"/>
          <w:szCs w:val="32"/>
          <w:lang w:val="en-US" w:eastAsia="zh-CN"/>
        </w:rPr>
        <w:t>用以统一思想和行动，即</w:t>
      </w:r>
      <w:r>
        <w:rPr>
          <w:rFonts w:hint="default" w:ascii="Times New Roman" w:hAnsi="Times New Roman" w:eastAsia="仿宋_GB2312" w:cs="Times New Roman"/>
          <w:bCs/>
          <w:sz w:val="32"/>
          <w:szCs w:val="32"/>
        </w:rPr>
        <w:t>坚持党的全面领导、</w:t>
      </w:r>
      <w:r>
        <w:rPr>
          <w:rFonts w:hint="default" w:ascii="Times New Roman" w:hAnsi="Times New Roman" w:eastAsia="仿宋_GB2312" w:cs="Times New Roman"/>
          <w:bCs/>
          <w:sz w:val="32"/>
          <w:szCs w:val="32"/>
          <w:lang w:val="en-US" w:eastAsia="zh-CN"/>
        </w:rPr>
        <w:t>坚持人民至上、坚持高质量发展、坚持全面深化改革、坚持有效市场和有为政府相结合、坚持统筹发展和安全。在此基础上，结合岫岩实际</w:t>
      </w:r>
      <w:r>
        <w:rPr>
          <w:rFonts w:hint="default" w:ascii="Times New Roman" w:hAnsi="Times New Roman" w:eastAsia="仿宋_GB2312" w:cs="Times New Roman"/>
          <w:bCs/>
          <w:sz w:val="32"/>
          <w:szCs w:val="32"/>
        </w:rPr>
        <w:t>，重点要把握以下</w:t>
      </w:r>
      <w:r>
        <w:rPr>
          <w:rFonts w:hint="eastAsia" w:ascii="Times New Roman" w:hAnsi="Times New Roman" w:cs="Times New Roman"/>
          <w:bCs/>
          <w:sz w:val="32"/>
          <w:szCs w:val="32"/>
          <w:lang w:val="en-US" w:eastAsia="zh-CN"/>
        </w:rPr>
        <w:t>要求</w:t>
      </w:r>
      <w:r>
        <w:rPr>
          <w:rFonts w:hint="default" w:ascii="Times New Roman" w:hAnsi="Times New Roman" w:eastAsia="仿宋_GB2312" w:cs="Times New Roman"/>
          <w:bCs/>
          <w:sz w:val="32"/>
          <w:szCs w:val="32"/>
        </w:rPr>
        <w:t>。</w:t>
      </w:r>
    </w:p>
    <w:p w14:paraId="27E6724A">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——坚持解放思想、开拓创新。</w:t>
      </w:r>
      <w:r>
        <w:rPr>
          <w:rFonts w:hint="default" w:ascii="Times New Roman" w:hAnsi="Times New Roman" w:eastAsia="仿宋_GB2312" w:cs="Times New Roman"/>
          <w:b w:val="0"/>
          <w:bCs/>
          <w:color w:val="auto"/>
          <w:sz w:val="32"/>
          <w:szCs w:val="32"/>
          <w:lang w:val="en-US" w:eastAsia="zh-CN"/>
        </w:rPr>
        <w:t>坚决破除制约岫岩振兴发展的思维定势和路径依赖，着力破解深层次体制机制障碍</w:t>
      </w:r>
      <w:r>
        <w:rPr>
          <w:rFonts w:hint="eastAsia"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以思想解放引领发展突围，以改革创新激活内生动力，探索符合县域实际的新模式、新路径，充分激发全社会创造活力，让创新源泉充分涌流。</w:t>
      </w:r>
    </w:p>
    <w:p w14:paraId="0AD2B222">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——坚持胸怀大局、奋勇争先。</w:t>
      </w:r>
      <w:r>
        <w:rPr>
          <w:rFonts w:hint="default" w:ascii="Times New Roman" w:hAnsi="Times New Roman" w:eastAsia="仿宋_GB2312" w:cs="Times New Roman"/>
          <w:b w:val="0"/>
          <w:bCs/>
          <w:color w:val="auto"/>
          <w:sz w:val="32"/>
          <w:szCs w:val="32"/>
          <w:lang w:val="en-US" w:eastAsia="zh-CN"/>
        </w:rPr>
        <w:t>自觉将岫岩发展置于全国、全省及全市大局中审视和谋划，强化机遇意识与争先精神</w:t>
      </w:r>
      <w:r>
        <w:rPr>
          <w:rFonts w:hint="eastAsia"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主动融入区域重大战略，在服务全局中找准定位、彰显特色，努力在新时代辽宁及鞍山振兴发展中展现更大担当、实现更大作为，持续提升县域贡献度。</w:t>
      </w:r>
    </w:p>
    <w:p w14:paraId="05CE8B2F">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——坚持统筹兼顾、综合施策。</w:t>
      </w:r>
      <w:r>
        <w:rPr>
          <w:rFonts w:hint="default" w:ascii="Times New Roman" w:hAnsi="Times New Roman" w:eastAsia="仿宋_GB2312" w:cs="Times New Roman"/>
          <w:b w:val="0"/>
          <w:bCs/>
          <w:color w:val="auto"/>
          <w:sz w:val="32"/>
          <w:szCs w:val="32"/>
          <w:lang w:val="en-US" w:eastAsia="zh-CN"/>
        </w:rPr>
        <w:t>牢固树立系统观念，统筹发展</w:t>
      </w:r>
      <w:r>
        <w:rPr>
          <w:rFonts w:hint="eastAsia" w:ascii="Times New Roman" w:hAnsi="Times New Roman" w:cs="Times New Roman"/>
          <w:b w:val="0"/>
          <w:bCs/>
          <w:color w:val="auto"/>
          <w:sz w:val="32"/>
          <w:szCs w:val="32"/>
          <w:lang w:val="en-US" w:eastAsia="zh-CN"/>
        </w:rPr>
        <w:t>和</w:t>
      </w:r>
      <w:r>
        <w:rPr>
          <w:rFonts w:hint="default" w:ascii="Times New Roman" w:hAnsi="Times New Roman" w:eastAsia="仿宋_GB2312" w:cs="Times New Roman"/>
          <w:b w:val="0"/>
          <w:bCs/>
          <w:color w:val="auto"/>
          <w:sz w:val="32"/>
          <w:szCs w:val="32"/>
          <w:lang w:val="en-US" w:eastAsia="zh-CN"/>
        </w:rPr>
        <w:t>安全、城乡</w:t>
      </w:r>
      <w:r>
        <w:rPr>
          <w:rFonts w:hint="eastAsia" w:ascii="Times New Roman" w:hAnsi="Times New Roman" w:cs="Times New Roman"/>
          <w:b w:val="0"/>
          <w:bCs/>
          <w:color w:val="auto"/>
          <w:sz w:val="32"/>
          <w:szCs w:val="32"/>
          <w:lang w:val="en-US" w:eastAsia="zh-CN"/>
        </w:rPr>
        <w:t>和</w:t>
      </w:r>
      <w:r>
        <w:rPr>
          <w:rFonts w:hint="default" w:ascii="Times New Roman" w:hAnsi="Times New Roman" w:eastAsia="仿宋_GB2312" w:cs="Times New Roman"/>
          <w:b w:val="0"/>
          <w:bCs/>
          <w:color w:val="auto"/>
          <w:sz w:val="32"/>
          <w:szCs w:val="32"/>
          <w:lang w:val="en-US" w:eastAsia="zh-CN"/>
        </w:rPr>
        <w:t>区域、当前</w:t>
      </w:r>
      <w:r>
        <w:rPr>
          <w:rFonts w:hint="eastAsia" w:ascii="Times New Roman" w:hAnsi="Times New Roman" w:cs="Times New Roman"/>
          <w:b w:val="0"/>
          <w:bCs/>
          <w:color w:val="auto"/>
          <w:sz w:val="32"/>
          <w:szCs w:val="32"/>
          <w:lang w:val="en-US" w:eastAsia="zh-CN"/>
        </w:rPr>
        <w:t>和</w:t>
      </w:r>
      <w:r>
        <w:rPr>
          <w:rFonts w:hint="default" w:ascii="Times New Roman" w:hAnsi="Times New Roman" w:eastAsia="仿宋_GB2312" w:cs="Times New Roman"/>
          <w:b w:val="0"/>
          <w:bCs/>
          <w:color w:val="auto"/>
          <w:sz w:val="32"/>
          <w:szCs w:val="32"/>
          <w:lang w:val="en-US" w:eastAsia="zh-CN"/>
        </w:rPr>
        <w:t>长远</w:t>
      </w:r>
      <w:r>
        <w:rPr>
          <w:rFonts w:hint="eastAsia"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着力推动传统优势产业转型升级，培育壮大新兴产业集群，前瞻布局未来增长点，加快补齐县域经济、民营经济、开放型经济短板，促进质量、结构、规模、速度、效益、安全相统一，实现更可持续、更为安全的高质量发展。</w:t>
      </w:r>
    </w:p>
    <w:p w14:paraId="16D0EEC0">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——坚持鼓足干劲、真抓实干。</w:t>
      </w:r>
      <w:r>
        <w:rPr>
          <w:rFonts w:hint="default" w:ascii="Times New Roman" w:hAnsi="Times New Roman" w:eastAsia="仿宋_GB2312" w:cs="Times New Roman"/>
          <w:b w:val="0"/>
          <w:bCs/>
          <w:color w:val="auto"/>
          <w:sz w:val="32"/>
          <w:szCs w:val="32"/>
          <w:lang w:val="en-US" w:eastAsia="zh-CN"/>
        </w:rPr>
        <w:t>准确把握岫岩振兴发展的阶段性特征，锚定“十五五”目标任务，保持战略定力，坚定发展信心。大力弘扬务实作风，以钉钉子精神狠抓落实，健全工作机制，层层压实责任，确保各项决策部署落地见效，一步一个脚印将宏伟蓝图转化为振兴发展的生动实践。</w:t>
      </w:r>
    </w:p>
    <w:p w14:paraId="1BD9658E">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default" w:ascii="Times New Roman" w:hAnsi="Times New Roman" w:eastAsia="楷体_GB2312" w:cs="Times New Roman"/>
          <w:b/>
          <w:bCs w:val="0"/>
          <w:color w:val="auto"/>
          <w:highlight w:val="none"/>
        </w:rPr>
      </w:pPr>
      <w:bookmarkStart w:id="14" w:name="_Toc8596"/>
      <w:r>
        <w:rPr>
          <w:rFonts w:hint="default" w:ascii="Times New Roman" w:hAnsi="Times New Roman" w:eastAsia="楷体_GB2312" w:cs="Times New Roman"/>
          <w:b/>
          <w:bCs w:val="0"/>
          <w:color w:val="auto"/>
          <w:highlight w:val="none"/>
        </w:rPr>
        <w:t>第</w:t>
      </w:r>
      <w:r>
        <w:rPr>
          <w:rFonts w:hint="default" w:ascii="Times New Roman" w:hAnsi="Times New Roman" w:cs="Times New Roman"/>
          <w:b/>
          <w:bCs w:val="0"/>
          <w:color w:val="auto"/>
          <w:highlight w:val="none"/>
          <w:lang w:val="en-US" w:eastAsia="zh-CN"/>
        </w:rPr>
        <w:t>三</w:t>
      </w:r>
      <w:r>
        <w:rPr>
          <w:rFonts w:hint="default" w:ascii="Times New Roman" w:hAnsi="Times New Roman" w:eastAsia="楷体_GB2312" w:cs="Times New Roman"/>
          <w:b/>
          <w:bCs w:val="0"/>
          <w:color w:val="auto"/>
          <w:highlight w:val="none"/>
        </w:rPr>
        <w:t>节</w:t>
      </w:r>
      <w:r>
        <w:rPr>
          <w:rFonts w:hint="default" w:ascii="Times New Roman" w:hAnsi="Times New Roman" w:cs="Times New Roman"/>
          <w:b/>
          <w:bCs w:val="0"/>
          <w:color w:val="auto"/>
          <w:highlight w:val="none"/>
          <w:lang w:val="en-US" w:eastAsia="zh-CN"/>
        </w:rPr>
        <w:t>主要</w:t>
      </w:r>
      <w:r>
        <w:rPr>
          <w:rFonts w:hint="default" w:ascii="Times New Roman" w:hAnsi="Times New Roman" w:eastAsia="楷体_GB2312" w:cs="Times New Roman"/>
          <w:b/>
          <w:bCs w:val="0"/>
          <w:color w:val="auto"/>
          <w:highlight w:val="none"/>
        </w:rPr>
        <w:t>目标</w:t>
      </w:r>
      <w:bookmarkEnd w:id="14"/>
    </w:p>
    <w:p w14:paraId="3E476A49">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到二〇三〇年，围绕</w:t>
      </w:r>
      <w:r>
        <w:rPr>
          <w:rFonts w:hint="default" w:ascii="Times New Roman" w:hAnsi="Times New Roman" w:eastAsia="微软雅黑" w:cs="Times New Roman"/>
          <w:color w:val="auto"/>
          <w:kern w:val="2"/>
          <w:sz w:val="32"/>
          <w:szCs w:val="32"/>
          <w:highlight w:val="none"/>
          <w:lang w:val="en-US" w:eastAsia="zh-CN" w:bidi="ar-SA"/>
        </w:rPr>
        <w:t>“中国玉都、生态水乡”</w:t>
      </w:r>
      <w:r>
        <w:rPr>
          <w:rFonts w:hint="default" w:ascii="Times New Roman" w:hAnsi="Times New Roman" w:eastAsia="仿宋_GB2312" w:cs="Times New Roman"/>
          <w:color w:val="auto"/>
          <w:kern w:val="2"/>
          <w:sz w:val="32"/>
          <w:szCs w:val="32"/>
          <w:highlight w:val="none"/>
          <w:lang w:val="en-US" w:eastAsia="zh-CN" w:bidi="ar-SA"/>
        </w:rPr>
        <w:t>总体愿景，在新时代东北全面振兴中奋勇争先，力争进入全省县域经济发展第一梯队，</w:t>
      </w:r>
      <w:r>
        <w:rPr>
          <w:rFonts w:hint="default" w:ascii="Times New Roman" w:hAnsi="Times New Roman" w:eastAsia="仿宋_GB2312" w:cs="Times New Roman"/>
          <w:sz w:val="32"/>
          <w:szCs w:val="32"/>
          <w:highlight w:val="none"/>
          <w:lang w:val="en-US" w:eastAsia="zh-CN"/>
        </w:rPr>
        <w:t>把岫岩建设成为</w:t>
      </w:r>
      <w:r>
        <w:rPr>
          <w:rFonts w:hint="default" w:ascii="Times New Roman" w:hAnsi="Times New Roman" w:eastAsia="黑体" w:cs="Times New Roman"/>
          <w:sz w:val="32"/>
          <w:szCs w:val="32"/>
          <w:highlight w:val="none"/>
          <w:lang w:val="en-US" w:eastAsia="zh-CN"/>
        </w:rPr>
        <w:t>北方地区玉石产业基地、辽宁省重要的生态文化旅游城市、彰显民族风情的幸福宜居城市</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推动县域综合实力、生态质量、民生福祉、治理效能实现全面跃升，构建起体制机制新、产业结构优、开放水平高、人居环境佳、人民生活好的全面振兴发展新格局，为基本实现社会主义现代化提供坚实</w:t>
      </w:r>
      <w:r>
        <w:rPr>
          <w:rFonts w:hint="default" w:ascii="Times New Roman" w:hAnsi="Times New Roman" w:cs="Times New Roman"/>
          <w:color w:val="auto"/>
          <w:kern w:val="2"/>
          <w:sz w:val="32"/>
          <w:szCs w:val="32"/>
          <w:highlight w:val="none"/>
          <w:lang w:val="en-US" w:eastAsia="zh-CN" w:bidi="ar-SA"/>
        </w:rPr>
        <w:t>基础</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cs="Times New Roman"/>
          <w:szCs w:val="32"/>
          <w:highlight w:val="none"/>
        </w:rPr>
        <w:t>今后五年经济社会发展要努力实现以下主要目标。</w:t>
      </w:r>
    </w:p>
    <w:p w14:paraId="3001BD49">
      <w:pPr>
        <w:spacing w:line="560" w:lineRule="exact"/>
        <w:ind w:firstLine="643"/>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高质量发展迈出坚实步伐。</w:t>
      </w:r>
      <w:r>
        <w:rPr>
          <w:rFonts w:hint="default" w:ascii="Times New Roman" w:hAnsi="Times New Roman" w:eastAsia="仿宋_GB2312" w:cs="Times New Roman"/>
          <w:color w:val="auto"/>
          <w:kern w:val="2"/>
          <w:sz w:val="32"/>
          <w:szCs w:val="32"/>
          <w:highlight w:val="none"/>
          <w:lang w:val="en-US" w:eastAsia="zh-CN" w:bidi="ar-SA"/>
        </w:rPr>
        <w:t>经济总量实现新跨越，发展质量和效益显著提升</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新质生产力加速培育，现代化产业体系根基更加牢固</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制造业核心竞争力显著增强， 特色高效农业品牌效应与附加值凸显</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现代服务业新业态蓬勃发展</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内需潜力持续释放，经济增长保持在合理区间。</w:t>
      </w:r>
    </w:p>
    <w:p w14:paraId="0F31B43B">
      <w:pPr>
        <w:spacing w:line="560" w:lineRule="exact"/>
        <w:ind w:firstLine="643"/>
        <w:rPr>
          <w:rFonts w:hint="default" w:ascii="Times New Roman" w:hAnsi="Times New Roman" w:cs="Times New Roman"/>
          <w:b w:val="0"/>
          <w:bCs w:val="0"/>
          <w:color w:val="auto"/>
          <w:highlight w:val="none"/>
          <w:lang w:eastAsia="zh-CN"/>
        </w:rPr>
      </w:pPr>
      <w:r>
        <w:rPr>
          <w:rFonts w:hint="default" w:ascii="Times New Roman" w:hAnsi="Times New Roman" w:cs="Times New Roman"/>
          <w:b/>
          <w:bCs/>
          <w:color w:val="auto"/>
          <w:highlight w:val="none"/>
          <w:lang w:eastAsia="zh-CN"/>
        </w:rPr>
        <w:t>——科技创新支撑显著增强。 </w:t>
      </w:r>
      <w:r>
        <w:rPr>
          <w:rFonts w:hint="default" w:ascii="Times New Roman" w:hAnsi="Times New Roman" w:cs="Times New Roman"/>
          <w:b w:val="0"/>
          <w:bCs w:val="0"/>
          <w:color w:val="auto"/>
          <w:highlight w:val="none"/>
          <w:lang w:eastAsia="zh-CN"/>
        </w:rPr>
        <w:t>科技创新与产业创新深度融合，产学研合作机制更加顺畅， 对企业转型升级和新兴产业培育的支撑作用日益凸显，人才发展体制机制不断完善，引才聚智环境持续优化， 实用型、技能型人才队伍稳步壮大，数字化、智能化技术在生产制造、公共服务等领域得到更广泛应用，科技创新对经济增长的贡献率大幅提升。</w:t>
      </w:r>
    </w:p>
    <w:p w14:paraId="39F76345">
      <w:pPr>
        <w:spacing w:line="560" w:lineRule="exact"/>
        <w:ind w:firstLine="643"/>
        <w:rPr>
          <w:rFonts w:hint="default" w:ascii="Times New Roman" w:hAnsi="Times New Roman" w:cs="Times New Roman"/>
          <w:b w:val="0"/>
          <w:bCs w:val="0"/>
          <w:color w:val="auto"/>
          <w:highlight w:val="none"/>
          <w:lang w:eastAsia="zh-CN"/>
        </w:rPr>
      </w:pPr>
      <w:r>
        <w:rPr>
          <w:rFonts w:hint="default" w:ascii="Times New Roman" w:hAnsi="Times New Roman" w:cs="Times New Roman"/>
          <w:b/>
          <w:bCs/>
          <w:color w:val="auto"/>
          <w:highlight w:val="none"/>
          <w:lang w:eastAsia="zh-CN"/>
        </w:rPr>
        <w:t>——改革开放动能全面激活。</w:t>
      </w:r>
      <w:r>
        <w:rPr>
          <w:rFonts w:hint="default" w:ascii="Times New Roman" w:hAnsi="Times New Roman" w:cs="Times New Roman"/>
          <w:b w:val="0"/>
          <w:bCs w:val="0"/>
          <w:color w:val="auto"/>
          <w:highlight w:val="none"/>
          <w:lang w:eastAsia="zh-CN"/>
        </w:rPr>
        <w:t> 重点领域和关键环节改革取得新突破，要素市场化配置改革深入推进，体制机制障碍有效破除，“放管服”改革持续深化，政务服务“一网通办”效能提升，法治化、市场化、便利化营商环境显著改善，市场主体活力和社会创造力充分迸发， </w:t>
      </w:r>
      <w:r>
        <w:rPr>
          <w:rFonts w:hint="eastAsia" w:ascii="Times New Roman" w:hAnsi="Times New Roman" w:cs="Times New Roman"/>
          <w:b w:val="0"/>
          <w:bCs w:val="0"/>
          <w:color w:val="auto"/>
          <w:highlight w:val="none"/>
          <w:lang w:val="en-US" w:eastAsia="zh-CN"/>
        </w:rPr>
        <w:t>更高水平</w:t>
      </w:r>
      <w:r>
        <w:rPr>
          <w:rFonts w:hint="default" w:ascii="Times New Roman" w:hAnsi="Times New Roman" w:cs="Times New Roman"/>
          <w:b w:val="0"/>
          <w:bCs w:val="0"/>
          <w:color w:val="auto"/>
          <w:highlight w:val="none"/>
          <w:lang w:eastAsia="zh-CN"/>
        </w:rPr>
        <w:t>融入辽东绿色经济区建设，在区域生态共建、产业协作中展现更大作为，拓展对外开放合作新空间。</w:t>
      </w:r>
    </w:p>
    <w:p w14:paraId="18F9EA44">
      <w:pPr>
        <w:spacing w:line="560" w:lineRule="exact"/>
        <w:ind w:firstLine="643"/>
        <w:rPr>
          <w:rFonts w:hint="default" w:ascii="Times New Roman" w:hAnsi="Times New Roman" w:cs="Times New Roman"/>
          <w:b w:val="0"/>
          <w:bCs w:val="0"/>
          <w:color w:val="auto"/>
          <w:highlight w:val="none"/>
          <w:lang w:eastAsia="zh-CN"/>
        </w:rPr>
      </w:pPr>
      <w:r>
        <w:rPr>
          <w:rFonts w:hint="default" w:ascii="Times New Roman" w:hAnsi="Times New Roman" w:cs="Times New Roman"/>
          <w:b/>
          <w:bCs/>
          <w:color w:val="auto"/>
          <w:highlight w:val="none"/>
          <w:lang w:eastAsia="zh-CN"/>
        </w:rPr>
        <w:t>——城乡融合格局基本形成。 </w:t>
      </w:r>
      <w:r>
        <w:rPr>
          <w:rFonts w:hint="default" w:ascii="Times New Roman" w:hAnsi="Times New Roman" w:cs="Times New Roman"/>
          <w:b w:val="0"/>
          <w:bCs w:val="0"/>
          <w:color w:val="auto"/>
          <w:highlight w:val="none"/>
          <w:lang w:eastAsia="zh-CN"/>
        </w:rPr>
        <w:t>新型城镇化和乡村振兴战略协同推进，县域空间布局持续优化，县城综合承载力和辐射带动力显著增强，基础设施互联互通水平大幅提升，重点镇特色化、差异化发展格局基本形成，乡村建设行动深入实施，农村人居环境持续改善，城乡要素双向流动通道更加顺畅，基本公共服务均等化水平走在全市前列，融合发展新格局更加完善。</w:t>
      </w:r>
    </w:p>
    <w:p w14:paraId="53AD28F5">
      <w:pPr>
        <w:spacing w:line="560" w:lineRule="exact"/>
        <w:ind w:firstLine="643"/>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生态文明建设成果丰硕。</w:t>
      </w:r>
      <w:r>
        <w:rPr>
          <w:rFonts w:hint="default" w:ascii="Times New Roman" w:hAnsi="Times New Roman" w:cs="Times New Roman"/>
          <w:b w:val="0"/>
          <w:bCs w:val="0"/>
          <w:color w:val="auto"/>
          <w:highlight w:val="none"/>
          <w:lang w:val="en-US" w:eastAsia="zh-CN"/>
        </w:rPr>
        <w:t> “绿水青山就是金山银山”理念深入人心，“生态水乡”魅力充分彰显，生产生活方式绿色低碳转型成效显著，能源资源利用效率大幅提升，主要污染物排放总量持续减少，水、大气、土壤环境质量稳定向好，饮用水水源地水质100%达标，空气优良天数比率保持高位，生态产品价值实现机制探索取得突破，力争成功创建国家生态文明建设示范县，让绿色成为岫岩高质量发展的鲜明底色。</w:t>
      </w:r>
    </w:p>
    <w:p w14:paraId="2FADB4ED">
      <w:pPr>
        <w:spacing w:line="560" w:lineRule="exact"/>
        <w:ind w:firstLine="643"/>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玉都文化自信充分彰显。 </w:t>
      </w:r>
      <w:r>
        <w:rPr>
          <w:rFonts w:hint="default" w:ascii="Times New Roman" w:hAnsi="Times New Roman" w:cs="Times New Roman"/>
          <w:b w:val="0"/>
          <w:bCs w:val="0"/>
          <w:color w:val="auto"/>
          <w:highlight w:val="none"/>
          <w:lang w:val="en-US" w:eastAsia="zh-CN"/>
        </w:rPr>
        <w:t>社会主义核心价值观广泛践行，社会文明程度显著提高，岫岩玉文化保护传承与创新发展体系更加健全，“中国玉都”品牌影响力和产业竞争力全面提升，公共文化服务供给更加优质多元，群众性精神文明创建活动蓬勃开展，文旅深度融合发展，打造一批具有核心吸引力的玉文化主题精品线路和业态，文化软实力和岫岩辨识度显著增强。</w:t>
      </w:r>
    </w:p>
    <w:p w14:paraId="543BCDEB">
      <w:pPr>
        <w:spacing w:line="560" w:lineRule="exact"/>
        <w:ind w:firstLine="643"/>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人民生活品质持续改善。</w:t>
      </w:r>
      <w:r>
        <w:rPr>
          <w:rFonts w:hint="default" w:ascii="Times New Roman" w:hAnsi="Times New Roman" w:cs="Times New Roman"/>
          <w:b w:val="0"/>
          <w:bCs w:val="0"/>
          <w:color w:val="auto"/>
          <w:highlight w:val="none"/>
          <w:lang w:val="en-US" w:eastAsia="zh-CN"/>
        </w:rPr>
        <w:t> 城乡居民收入增长与经济增长基本同步，共同富裕基础更加坚实，实现更加充分、更高质量的就业，多层次社会保障体系更加健全、覆盖全民，教育现代化水平稳步提升，卫生健康服务体系更加完善，“一老一小”服务保障持续优化，人民群众的获得感、幸福感、安全感更加充实、更有保障、更可持续。</w:t>
      </w:r>
    </w:p>
    <w:p w14:paraId="5E12C227">
      <w:pPr>
        <w:spacing w:line="560" w:lineRule="exact"/>
        <w:ind w:firstLine="643"/>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社会治理效能全面提升。</w:t>
      </w:r>
      <w:r>
        <w:rPr>
          <w:rFonts w:hint="default" w:ascii="Times New Roman" w:hAnsi="Times New Roman" w:cs="Times New Roman"/>
          <w:b w:val="0"/>
          <w:bCs w:val="0"/>
          <w:color w:val="auto"/>
          <w:highlight w:val="none"/>
          <w:lang w:val="en-US" w:eastAsia="zh-CN"/>
        </w:rPr>
        <w:t> 法治岫岩、平安岫岩建设达到更高水平，政府数字化转型深入推进，依法行政能力全面提高，基层治理创新成效明显，网格化管理服务更加精细，矛盾纠纷多元化解机制不断完善，社会治安防控体系更加严密，公共安全和应急管理能力显著增强，发展安全保障更加有力。</w:t>
      </w:r>
    </w:p>
    <w:p w14:paraId="5AC3EB8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仿宋_GB2312" w:cs="Times New Roman"/>
          <w:sz w:val="32"/>
          <w:szCs w:val="32"/>
          <w:lang w:val="en-US" w:eastAsia="zh-CN"/>
        </w:rPr>
        <w:t>在此基础上</w:t>
      </w:r>
      <w:r>
        <w:rPr>
          <w:rFonts w:hint="default" w:ascii="Times New Roman" w:hAnsi="Times New Roman" w:cs="Times New Roman"/>
          <w:sz w:val="32"/>
          <w:szCs w:val="32"/>
          <w:lang w:val="en-US" w:eastAsia="zh-CN"/>
        </w:rPr>
        <w:t>再</w:t>
      </w:r>
      <w:r>
        <w:rPr>
          <w:rFonts w:hint="default" w:ascii="Times New Roman" w:hAnsi="Times New Roman" w:eastAsia="仿宋_GB2312" w:cs="Times New Roman"/>
          <w:sz w:val="32"/>
          <w:szCs w:val="32"/>
          <w:lang w:val="en-US" w:eastAsia="zh-CN"/>
        </w:rPr>
        <w:t>奋斗五年，到二〇三五年实现全县经济实力、创新实力、开放水平、治理效能大幅提升，人民生活更加幸福美好，与全国全省全市一道基本实现社会主义现代化。</w:t>
      </w:r>
    </w:p>
    <w:p w14:paraId="4690170D">
      <w:pPr>
        <w:bidi w:val="0"/>
        <w:rPr>
          <w:rFonts w:hint="default" w:ascii="Times New Roman" w:hAnsi="Times New Roman" w:cs="Times New Roman"/>
          <w:color w:val="auto"/>
          <w:highlight w:val="none"/>
          <w:lang w:eastAsia="zh-CN"/>
        </w:rPr>
      </w:pPr>
    </w:p>
    <w:p w14:paraId="322F2EF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highlight w:val="none"/>
        </w:rPr>
      </w:pPr>
      <w:r>
        <w:rPr>
          <w:rFonts w:hint="default" w:ascii="Times New Roman" w:hAnsi="Times New Roman" w:cs="Times New Roman" w:eastAsiaTheme="minorEastAsia"/>
          <w:color w:val="auto"/>
          <w:sz w:val="21"/>
          <w:szCs w:val="24"/>
          <w:highlight w:val="none"/>
          <w:vertAlign w:val="baseline"/>
          <w:lang w:val="en-US" w:eastAsia="zh-CN"/>
        </w:rPr>
        <w:br w:type="page"/>
      </w:r>
    </w:p>
    <w:p w14:paraId="78EC808A">
      <w:pPr>
        <w:pStyle w:val="2"/>
        <w:keepNext/>
        <w:keepLines/>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方正小标宋_GBK" w:cs="Times New Roman"/>
          <w:color w:val="auto"/>
          <w:sz w:val="36"/>
          <w:szCs w:val="36"/>
          <w:highlight w:val="none"/>
        </w:rPr>
      </w:pPr>
      <w:bookmarkStart w:id="15" w:name="_Toc23847"/>
      <w:r>
        <w:rPr>
          <w:rFonts w:hint="default" w:ascii="Times New Roman" w:hAnsi="Times New Roman" w:eastAsia="方正小标宋_GBK" w:cs="Times New Roman"/>
          <w:color w:val="auto"/>
          <w:sz w:val="36"/>
          <w:szCs w:val="36"/>
          <w:highlight w:val="none"/>
        </w:rPr>
        <w:t>第三章</w:t>
      </w:r>
      <w:r>
        <w:rPr>
          <w:rFonts w:hint="default" w:ascii="Times New Roman" w:hAnsi="Times New Roman" w:eastAsia="方正小标宋_GBK" w:cs="Times New Roman"/>
          <w:color w:val="auto"/>
          <w:sz w:val="36"/>
          <w:szCs w:val="36"/>
          <w:highlight w:val="none"/>
          <w:lang w:val="en-US" w:eastAsia="zh-CN"/>
        </w:rPr>
        <w:t>加快</w:t>
      </w:r>
      <w:r>
        <w:rPr>
          <w:rFonts w:hint="default" w:ascii="Times New Roman" w:hAnsi="Times New Roman" w:eastAsia="方正小标宋_GBK" w:cs="Times New Roman"/>
          <w:color w:val="auto"/>
          <w:sz w:val="36"/>
          <w:szCs w:val="36"/>
          <w:highlight w:val="none"/>
        </w:rPr>
        <w:t>培育新质生产力</w:t>
      </w:r>
      <w:r>
        <w:rPr>
          <w:rFonts w:hint="default" w:ascii="Times New Roman" w:hAnsi="Times New Roman" w:eastAsia="方正小标宋_GBK" w:cs="Times New Roman"/>
          <w:color w:val="auto"/>
          <w:sz w:val="36"/>
          <w:szCs w:val="36"/>
          <w:highlight w:val="none"/>
          <w:lang w:eastAsia="zh-CN"/>
        </w:rPr>
        <w:t>，</w:t>
      </w:r>
      <w:r>
        <w:rPr>
          <w:rFonts w:hint="default" w:ascii="Times New Roman" w:hAnsi="Times New Roman" w:eastAsia="方正小标宋_GBK" w:cs="Times New Roman"/>
          <w:color w:val="auto"/>
          <w:sz w:val="36"/>
          <w:szCs w:val="36"/>
          <w:highlight w:val="none"/>
        </w:rPr>
        <w:t>构建现代化产业体系</w:t>
      </w:r>
      <w:bookmarkEnd w:id="15"/>
    </w:p>
    <w:p w14:paraId="544C7BE3">
      <w:pPr>
        <w:pStyle w:val="32"/>
        <w:spacing w:line="560" w:lineRule="exact"/>
        <w:ind w:firstLine="643"/>
        <w:rPr>
          <w:rFonts w:hint="default" w:ascii="Times New Roman" w:hAnsi="Times New Roman" w:eastAsia="Segoe UI" w:cs="Times New Roman"/>
          <w:i w:val="0"/>
          <w:iCs w:val="0"/>
          <w:caps w:val="0"/>
          <w:color w:val="0F1115"/>
          <w:spacing w:val="0"/>
          <w:sz w:val="12"/>
          <w:szCs w:val="12"/>
          <w:highlight w:val="none"/>
          <w:shd w:val="clear" w:fill="FFFFFF"/>
        </w:rPr>
      </w:pPr>
      <w:r>
        <w:rPr>
          <w:rFonts w:hint="default" w:ascii="Times New Roman" w:hAnsi="Times New Roman" w:eastAsia="仿宋_GB2312" w:cs="Times New Roman"/>
          <w:color w:val="auto"/>
          <w:sz w:val="32"/>
          <w:szCs w:val="32"/>
          <w:highlight w:val="none"/>
          <w:lang w:val="en-US" w:eastAsia="zh-CN"/>
        </w:rPr>
        <w:t>立足</w:t>
      </w:r>
      <w:r>
        <w:rPr>
          <w:rFonts w:hint="default" w:ascii="Times New Roman" w:hAnsi="Times New Roman" w:cs="Times New Roman"/>
          <w:color w:val="auto"/>
          <w:sz w:val="32"/>
          <w:szCs w:val="32"/>
          <w:highlight w:val="none"/>
          <w:lang w:val="en-US" w:eastAsia="zh-CN"/>
        </w:rPr>
        <w:t>岫岩</w:t>
      </w:r>
      <w:r>
        <w:rPr>
          <w:rFonts w:hint="default" w:ascii="Times New Roman" w:hAnsi="Times New Roman" w:eastAsia="仿宋_GB2312" w:cs="Times New Roman"/>
          <w:color w:val="auto"/>
          <w:sz w:val="32"/>
          <w:szCs w:val="32"/>
          <w:highlight w:val="none"/>
          <w:lang w:val="en-US" w:eastAsia="zh-CN"/>
        </w:rPr>
        <w:t>产业基础，</w:t>
      </w:r>
      <w:r>
        <w:rPr>
          <w:rFonts w:hint="default" w:ascii="Times New Roman" w:hAnsi="Times New Roman" w:eastAsia="仿宋_GB2312" w:cs="Times New Roman"/>
          <w:color w:val="auto"/>
          <w:sz w:val="32"/>
          <w:szCs w:val="32"/>
          <w:highlight w:val="none"/>
        </w:rPr>
        <w:t>充分发挥资源禀赋优势，</w:t>
      </w:r>
      <w:r>
        <w:rPr>
          <w:rFonts w:hint="default" w:ascii="Times New Roman" w:hAnsi="Times New Roman" w:cs="Times New Roman"/>
          <w:color w:val="auto"/>
          <w:sz w:val="32"/>
          <w:szCs w:val="32"/>
          <w:highlight w:val="none"/>
          <w:lang w:val="en-US" w:eastAsia="zh-CN"/>
        </w:rPr>
        <w:t>加快</w:t>
      </w:r>
      <w:r>
        <w:rPr>
          <w:rFonts w:hint="default" w:ascii="Times New Roman" w:hAnsi="Times New Roman" w:eastAsia="仿宋_GB2312" w:cs="Times New Roman"/>
          <w:color w:val="auto"/>
          <w:sz w:val="32"/>
          <w:szCs w:val="32"/>
          <w:highlight w:val="none"/>
        </w:rPr>
        <w:t>构建</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3+3</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现代</w:t>
      </w:r>
      <w:r>
        <w:rPr>
          <w:rFonts w:hint="default" w:ascii="Times New Roman" w:hAnsi="Times New Roman" w:eastAsia="仿宋_GB2312" w:cs="Times New Roman"/>
          <w:color w:val="auto"/>
          <w:sz w:val="32"/>
          <w:szCs w:val="32"/>
          <w:highlight w:val="none"/>
          <w:lang w:val="en-US" w:eastAsia="zh-CN"/>
        </w:rPr>
        <w:t>产业</w:t>
      </w:r>
      <w:r>
        <w:rPr>
          <w:rFonts w:hint="default" w:ascii="Times New Roman" w:hAnsi="Times New Roman" w:eastAsia="仿宋_GB2312" w:cs="Times New Roman"/>
          <w:color w:val="auto"/>
          <w:sz w:val="32"/>
          <w:szCs w:val="32"/>
          <w:highlight w:val="none"/>
        </w:rPr>
        <w:t>体系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是推动传统产业升级，引导岫岩玉、食用菌、柞蚕三大特色产业向智能化、绿色化、高端化转型，重塑竞争新优势。</w:t>
      </w:r>
      <w:r>
        <w:rPr>
          <w:rFonts w:hint="default" w:ascii="Times New Roman" w:hAnsi="Times New Roman"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是壮大新兴产业集群，以新能源、新材料、</w:t>
      </w:r>
      <w:r>
        <w:rPr>
          <w:rFonts w:hint="default" w:ascii="Times New Roman" w:hAnsi="Times New Roman" w:eastAsia="仿宋_GB2312" w:cs="Times New Roman"/>
          <w:color w:val="auto"/>
          <w:sz w:val="32"/>
          <w:szCs w:val="32"/>
          <w:highlight w:val="none"/>
          <w:lang w:val="en-US" w:eastAsia="zh-CN"/>
        </w:rPr>
        <w:t>文化旅游</w:t>
      </w:r>
      <w:r>
        <w:rPr>
          <w:rFonts w:hint="default" w:ascii="Times New Roman" w:hAnsi="Times New Roman" w:eastAsia="仿宋_GB2312" w:cs="Times New Roman"/>
          <w:color w:val="auto"/>
          <w:sz w:val="32"/>
          <w:szCs w:val="32"/>
          <w:highlight w:val="none"/>
        </w:rPr>
        <w:t>为重点，强化创新驱动，加速产业集聚，打造未来发展新引擎。</w:t>
      </w:r>
      <w:r>
        <w:rPr>
          <w:rFonts w:hint="default" w:ascii="Times New Roman" w:hAnsi="Times New Roman" w:cs="Times New Roman"/>
          <w:color w:val="auto"/>
          <w:sz w:val="32"/>
          <w:szCs w:val="32"/>
          <w:highlight w:val="none"/>
          <w:lang w:val="en-US" w:eastAsia="zh-CN"/>
        </w:rPr>
        <w:t>在此</w:t>
      </w:r>
      <w:r>
        <w:rPr>
          <w:rFonts w:hint="default" w:ascii="Times New Roman" w:hAnsi="Times New Roman" w:eastAsia="仿宋_GB2312" w:cs="Times New Roman"/>
          <w:color w:val="auto"/>
          <w:sz w:val="32"/>
          <w:szCs w:val="32"/>
          <w:highlight w:val="none"/>
        </w:rPr>
        <w:t>基础</w:t>
      </w:r>
      <w:r>
        <w:rPr>
          <w:rFonts w:hint="default" w:ascii="Times New Roman" w:hAnsi="Times New Roman" w:cs="Times New Roman"/>
          <w:color w:val="auto"/>
          <w:sz w:val="32"/>
          <w:szCs w:val="32"/>
          <w:highlight w:val="none"/>
          <w:lang w:val="en-US" w:eastAsia="zh-CN"/>
        </w:rPr>
        <w:t>上</w:t>
      </w:r>
      <w:r>
        <w:rPr>
          <w:rFonts w:hint="default" w:ascii="Times New Roman" w:hAnsi="Times New Roman" w:eastAsia="仿宋_GB2312" w:cs="Times New Roman"/>
          <w:color w:val="auto"/>
          <w:sz w:val="32"/>
          <w:szCs w:val="32"/>
          <w:highlight w:val="none"/>
        </w:rPr>
        <w:t>，加快探索先进技术融合应用场景，厚植新质生产力</w:t>
      </w:r>
      <w:r>
        <w:rPr>
          <w:rFonts w:hint="default" w:ascii="Times New Roman" w:hAnsi="Times New Roman" w:eastAsia="仿宋_GB2312" w:cs="Times New Roman"/>
          <w:color w:val="auto"/>
          <w:sz w:val="32"/>
          <w:szCs w:val="32"/>
          <w:highlight w:val="none"/>
          <w:lang w:val="en-US" w:eastAsia="zh-CN"/>
        </w:rPr>
        <w:t>发展沃土</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全面激发县域经济新动能。</w:t>
      </w:r>
    </w:p>
    <w:p w14:paraId="77D04250">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lang w:val="en-US" w:eastAsia="zh-CN"/>
        </w:rPr>
      </w:pPr>
      <w:bookmarkStart w:id="16" w:name="_Toc12154"/>
      <w:r>
        <w:rPr>
          <w:rFonts w:hint="default" w:ascii="Times New Roman" w:hAnsi="Times New Roman" w:eastAsia="楷体_GB2312" w:cs="Times New Roman"/>
          <w:b/>
          <w:bCs w:val="0"/>
          <w:color w:val="auto"/>
          <w:highlight w:val="none"/>
        </w:rPr>
        <w:t>第一节推动传统优势产业</w:t>
      </w:r>
      <w:r>
        <w:rPr>
          <w:rFonts w:hint="default" w:ascii="Times New Roman" w:hAnsi="Times New Roman" w:cs="Times New Roman"/>
          <w:b/>
          <w:bCs w:val="0"/>
          <w:color w:val="auto"/>
          <w:highlight w:val="none"/>
          <w:lang w:val="en-US" w:eastAsia="zh-CN"/>
        </w:rPr>
        <w:t>转型升级</w:t>
      </w:r>
      <w:bookmarkEnd w:id="16"/>
    </w:p>
    <w:p w14:paraId="56B009B3">
      <w:pPr>
        <w:pStyle w:val="4"/>
        <w:numPr>
          <w:ilvl w:val="0"/>
          <w:numId w:val="4"/>
        </w:numPr>
        <w:bidi w:val="0"/>
        <w:ind w:left="0" w:leftChars="0" w:firstLine="420" w:firstLineChars="0"/>
        <w:rPr>
          <w:rFonts w:hint="default" w:ascii="Times New Roman" w:hAnsi="Times New Roman" w:eastAsia="黑体" w:cs="Times New Roman"/>
          <w:b w:val="0"/>
          <w:bCs w:val="0"/>
          <w:color w:val="auto"/>
          <w:highlight w:val="none"/>
          <w:lang w:val="en-US" w:eastAsia="zh-CN"/>
        </w:rPr>
      </w:pPr>
      <w:r>
        <w:rPr>
          <w:rFonts w:hint="default" w:ascii="Times New Roman" w:hAnsi="Times New Roman" w:eastAsia="黑体" w:cs="Times New Roman"/>
          <w:b w:val="0"/>
          <w:bCs w:val="0"/>
          <w:color w:val="auto"/>
          <w:highlight w:val="none"/>
          <w:lang w:val="en-US" w:eastAsia="zh-CN"/>
        </w:rPr>
        <w:t>做精做强岫岩玉产业</w:t>
      </w:r>
    </w:p>
    <w:p w14:paraId="4F640ABA">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上游着力强化资源可持续管理。</w:t>
      </w:r>
      <w:r>
        <w:rPr>
          <w:rFonts w:hint="default" w:ascii="Times New Roman" w:hAnsi="Times New Roman" w:cs="Times New Roman"/>
          <w:color w:val="auto"/>
          <w:highlight w:val="none"/>
          <w:lang w:val="en-US" w:eastAsia="zh-CN"/>
        </w:rPr>
        <w:t>实施岫岩玉资源保护性开发战略，严格执行修订后的《岫岩满族自治县岫玉资源保护条例》，健全跨部门联合执法长效机制，严厉打击非法开采行为，保障资源有序供给。推进国家级河磨玉地质公园建设，依托细玉沟等核心资源区，科学强化玉矿景观保护与科普教育功能。建立重要玉矿资源战略储备机制，划定珍稀矿种保护区，优先保障高端创作与重点产业项目需求。健全开采与市场标准体系，制定蛇纹石岫岩玉开采技术规范与原料分级标准，强化对蛇纹石化大理石等关联矿产的规范化、绿色化开采管理。加强产业顶层设计，编制实施岫岩玉产业发展专项规划，明确战略定位、空间布局与发展路径，系统推进资源保护、加工升级、品牌培育与文旅融合。完善资源集约利用机制，推广玉粉及边角料高值化再生利用技术，促进全产业链资源循环利用，推动产业向绿色、高端、可持续发展方向迈进。</w:t>
      </w:r>
    </w:p>
    <w:p w14:paraId="7F9FBFA1">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中游实施“精工艺术+智能制造”双驱动。</w:t>
      </w:r>
      <w:r>
        <w:rPr>
          <w:rFonts w:hint="default" w:ascii="Times New Roman" w:hAnsi="Times New Roman" w:cs="Times New Roman"/>
          <w:color w:val="auto"/>
          <w:highlight w:val="none"/>
          <w:lang w:val="en-US" w:eastAsia="zh-CN"/>
        </w:rPr>
        <w:t>实施“大师领航计划”，搭建大师创作与交流平台，鼓励利用顶级岫岩玉料创作艺术精品，并通过参与国家级重大展赛、高端拍卖等权威活动，持续锚定与提升岫岩玉的艺术价值与收藏地位。引导产品结构优化升级，推动产业发展向艺术化、珠宝化、时尚化迈进，重点发展面向年轻消费群体的玉镯、手链等时尚饰品，以及富有文化内涵的文创产品和旅游纪念品，支持金银镶玉等关键技术产业化，促进产品形态由传统工艺品向高端艺术品、时尚消费品转变。强化柔性制造与定制化生产能力，支持龙头企业升级建设柔性智能制造单元，发展多品种、小批量的敏捷生产模式，推广在线定制设计平台，为客户提供从玉料选择、纹样设计到雕刻风格的个性化定制服务。推动资源多元化与产业高效集聚，规划建设共享智能工坊，赋能中小企业降本增效，积极吸引域外优质玉料进入岫岩加工，推动形成多元玉种加工集聚区。深化智能制造与数字化转型，加快引进“AI智能设计”“五轴数控玉雕机”等关键技术，配套制定数字化雕刻工艺流程与标准，系统建设岫岩玉雕数字化数据库，全面收录保存传统素活纹样、</w:t>
      </w:r>
      <w:bookmarkStart w:id="65" w:name="_GoBack"/>
      <w:bookmarkEnd w:id="65"/>
      <w:r>
        <w:rPr>
          <w:rFonts w:hint="default" w:ascii="Times New Roman" w:hAnsi="Times New Roman" w:cs="Times New Roman"/>
          <w:color w:val="auto"/>
          <w:highlight w:val="none"/>
          <w:lang w:val="en-US" w:eastAsia="zh-CN"/>
        </w:rPr>
        <w:t>经典作品图谱及多元设计素材，面向行业开源共享。</w:t>
      </w:r>
    </w:p>
    <w:p w14:paraId="2E132443">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下游健全市场体系与强化品牌营销。</w:t>
      </w:r>
      <w:r>
        <w:rPr>
          <w:rFonts w:hint="default" w:ascii="Times New Roman" w:hAnsi="Times New Roman" w:cs="Times New Roman"/>
          <w:b w:val="0"/>
          <w:bCs w:val="0"/>
          <w:color w:val="auto"/>
          <w:highlight w:val="none"/>
          <w:lang w:val="en-US" w:eastAsia="zh-CN"/>
        </w:rPr>
        <w:t>建设高标准、强辐射的交易市场载体，</w:t>
      </w:r>
      <w:r>
        <w:rPr>
          <w:rFonts w:hint="default" w:ascii="Times New Roman" w:hAnsi="Times New Roman" w:cs="Times New Roman"/>
          <w:color w:val="auto"/>
          <w:highlight w:val="none"/>
          <w:lang w:val="en-US" w:eastAsia="zh-CN"/>
        </w:rPr>
        <w:t>着力规划与建设覆盖玉石原料、边角料、玉粉等各级产品的公盘交易市场，配套创新“斗玉大会”等特色交易模式</w:t>
      </w:r>
      <w:r>
        <w:rPr>
          <w:rFonts w:hint="default" w:ascii="Times New Roman" w:hAnsi="Times New Roman" w:cs="Times New Roman"/>
          <w:b w:val="0"/>
          <w:bCs w:val="0"/>
          <w:color w:val="auto"/>
          <w:highlight w:val="none"/>
          <w:lang w:val="en-US" w:eastAsia="zh-CN"/>
        </w:rPr>
        <w:t>，强化要素集聚能力，打造具有全国影响力的美玉集散中心。深入实施“诚信岫玉”品牌战略，开展系统化的市场规范提升行动，加强对电商直播等新兴渠道的常态化监管；建立并动态更新诚信商户评价与激励机制，全面推行产品分级、明码标价与销售认证制度；探索引入区块链等数字技术，构建从原料溯源、加工鉴证到销售追踪的全流程质量可信追溯体系，为高端精品提供不可篡改的“数字身份”，以科技赋能构建规范有序、优胜劣汰的市场生态。建立体化品牌传播与全球营销网络，系统整合全媒体资源，实施战略性品牌宣传，策划制作系列高水平文化纪录片与品牌形象片；积极组织参加国内外顶级工艺美术展赛、博览会及重大国际文化交流活动，持续在高端平台展现岫岩玉独特文化魅力；深度拓展线上线下融合的全球销售渠道，有效提升品牌国际知名度与市场占有率；前瞻探索数字孪生、元宇宙展厅、AR/VR交互等新技术应用，突破物理时空限制，提供沉浸式产品鉴赏、虚拟佩戴及文化解读体验，构建线上线下联动、虚实结合的新型消费模式，引领产业营销数字化转型。推动玉文化价值的深度挖掘与创新转化</w:t>
      </w:r>
      <w:r>
        <w:rPr>
          <w:rFonts w:hint="eastAsia" w:ascii="Times New Roman" w:hAnsi="Times New Roman" w:cs="Times New Roman"/>
          <w:b w:val="0"/>
          <w:bCs w:val="0"/>
          <w:color w:val="auto"/>
          <w:highlight w:val="none"/>
          <w:lang w:val="en-US" w:eastAsia="zh-CN"/>
        </w:rPr>
        <w:t>，以</w:t>
      </w:r>
      <w:r>
        <w:rPr>
          <w:rFonts w:hint="default" w:ascii="Times New Roman" w:hAnsi="Times New Roman" w:cs="Times New Roman"/>
          <w:b w:val="0"/>
          <w:bCs w:val="0"/>
          <w:color w:val="auto"/>
          <w:highlight w:val="none"/>
          <w:lang w:val="en-US" w:eastAsia="zh-CN"/>
        </w:rPr>
        <w:t>定期举办岫岩玉文化产品创意大赛为抓手， 鼓励创作融合时代审美与文化内涵的原创作品，持续激发产业创新活力，系统推进玉文化与旅游、创意设计等产业的深度融合，开发系列化、</w:t>
      </w:r>
      <w:r>
        <w:rPr>
          <w:rFonts w:hint="default" w:ascii="Times New Roman" w:hAnsi="Times New Roman" w:cs="Times New Roman"/>
          <w:color w:val="auto"/>
          <w:highlight w:val="none"/>
          <w:lang w:val="en-US" w:eastAsia="zh-CN"/>
        </w:rPr>
        <w:t>故事化的文创产品与沉浸式体验项目，实现从单一产品交易向综合文化消费的跨越；持续提升“中国玉都”品牌影响力，高质量举办岫岩玉文化节、玉雕大师赛等活动，塑造岫岩玉“既富商业活力，更具文化厚度”的产业新形象。</w:t>
      </w:r>
    </w:p>
    <w:p w14:paraId="4703FFF5">
      <w:pPr>
        <w:pStyle w:val="4"/>
        <w:numPr>
          <w:ilvl w:val="0"/>
          <w:numId w:val="4"/>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巩固提升食用菌产业</w:t>
      </w:r>
    </w:p>
    <w:p w14:paraId="3C787DDC">
      <w:pPr>
        <w:keepNext w:val="0"/>
        <w:keepLines w:val="0"/>
        <w:widowControl/>
        <w:suppressLineNumbers w:val="0"/>
        <w:jc w:val="left"/>
        <w:rPr>
          <w:rFonts w:hint="default" w:ascii="Times New Roman" w:hAnsi="Times New Roman" w:eastAsia="仿宋_GB2312" w:cs="Times New Roman"/>
          <w:color w:val="auto"/>
          <w:highlight w:val="none"/>
          <w:lang w:eastAsia="zh-CN"/>
        </w:rPr>
      </w:pPr>
      <w:r>
        <w:rPr>
          <w:rFonts w:hint="default" w:ascii="Times New Roman" w:hAnsi="Times New Roman" w:cs="Times New Roman"/>
          <w:b/>
          <w:bCs/>
          <w:color w:val="auto"/>
          <w:highlight w:val="none"/>
          <w:lang w:val="en-US" w:eastAsia="zh-CN"/>
        </w:rPr>
        <w:t>升级精深加工，</w:t>
      </w:r>
      <w:r>
        <w:rPr>
          <w:rFonts w:hint="eastAsia" w:ascii="Times New Roman" w:hAnsi="Times New Roman" w:cs="Times New Roman"/>
          <w:b/>
          <w:bCs/>
          <w:color w:val="auto"/>
          <w:highlight w:val="none"/>
          <w:lang w:val="en-US" w:eastAsia="zh-CN"/>
        </w:rPr>
        <w:t>打造</w:t>
      </w:r>
      <w:r>
        <w:rPr>
          <w:rFonts w:hint="default" w:ascii="Times New Roman" w:hAnsi="Times New Roman" w:cs="Times New Roman"/>
          <w:b/>
          <w:bCs/>
          <w:color w:val="auto"/>
          <w:highlight w:val="none"/>
          <w:lang w:val="en-US" w:eastAsia="zh-CN"/>
        </w:rPr>
        <w:t>高附加值产业链。</w:t>
      </w:r>
      <w:r>
        <w:rPr>
          <w:rFonts w:hint="default" w:ascii="Times New Roman" w:hAnsi="Times New Roman" w:cs="Times New Roman"/>
          <w:color w:val="auto"/>
          <w:highlight w:val="none"/>
        </w:rPr>
        <w:t>以提升产品附加值和产业链韧性为核心，推动食用菌加工</w:t>
      </w:r>
      <w:r>
        <w:rPr>
          <w:rFonts w:hint="default" w:ascii="Times New Roman" w:hAnsi="Times New Roman" w:cs="Times New Roman"/>
          <w:b w:val="0"/>
          <w:bCs w:val="0"/>
          <w:color w:val="auto"/>
          <w:highlight w:val="none"/>
        </w:rPr>
        <w:t>业向高端化、智能化、绿色化升级。一是在技术装备上攻坚突破</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支持企业改造升级加工设施，重点引入自动化分选线、冻干设备及智能包装系统，推广光谱分选技术，配套建设速冻隧道与冷链仓储设施</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二是在产品结构上优化升级</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巩固速冻品、盐渍品、罐藏品三大传统出口优势</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同步开发即食菌汤包、冻干菌片</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菌菇脆</w:t>
      </w:r>
      <w:r>
        <w:rPr>
          <w:rFonts w:hint="default" w:ascii="Times New Roman" w:hAnsi="Times New Roman" w:cs="Times New Roman"/>
          <w:b w:val="0"/>
          <w:bCs w:val="0"/>
          <w:color w:val="auto"/>
          <w:highlight w:val="none"/>
        </w:rPr>
        <w:t>等休闲食品</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依托滑子蘑核酸物质及香菇多糖提取技术，生产增强免疫力口服液、益生菌发酵饮品等功能</w:t>
      </w:r>
      <w:r>
        <w:rPr>
          <w:rFonts w:hint="default" w:ascii="Times New Roman" w:hAnsi="Times New Roman" w:cs="Times New Roman"/>
          <w:b w:val="0"/>
          <w:bCs w:val="0"/>
          <w:color w:val="auto"/>
          <w:highlight w:val="none"/>
          <w:lang w:val="en-US" w:eastAsia="zh-CN"/>
        </w:rPr>
        <w:t>性健康产品</w:t>
      </w:r>
      <w:r>
        <w:rPr>
          <w:rFonts w:hint="default" w:ascii="Times New Roman" w:hAnsi="Times New Roman" w:cs="Times New Roman"/>
          <w:b w:val="0"/>
          <w:bCs w:val="0"/>
          <w:color w:val="auto"/>
          <w:highlight w:val="none"/>
        </w:rPr>
        <w:t>；突破菌丝体胶原蛋白高纯度萃取工艺，</w:t>
      </w:r>
      <w:r>
        <w:rPr>
          <w:rFonts w:hint="default" w:ascii="Times New Roman" w:hAnsi="Times New Roman" w:cs="Times New Roman"/>
          <w:b w:val="0"/>
          <w:bCs w:val="0"/>
          <w:color w:val="auto"/>
          <w:highlight w:val="none"/>
          <w:lang w:val="en-US" w:eastAsia="zh-CN"/>
        </w:rPr>
        <w:t>拓展</w:t>
      </w:r>
      <w:r>
        <w:rPr>
          <w:rFonts w:hint="default" w:ascii="Times New Roman" w:hAnsi="Times New Roman" w:cs="Times New Roman"/>
          <w:b w:val="0"/>
          <w:bCs w:val="0"/>
          <w:color w:val="auto"/>
          <w:highlight w:val="none"/>
        </w:rPr>
        <w:t>面膜基料、医用敷料等大健康领域</w:t>
      </w:r>
      <w:r>
        <w:rPr>
          <w:rFonts w:hint="default" w:ascii="Times New Roman" w:hAnsi="Times New Roman" w:cs="Times New Roman"/>
          <w:b w:val="0"/>
          <w:bCs w:val="0"/>
          <w:color w:val="auto"/>
          <w:highlight w:val="none"/>
          <w:lang w:val="en-US" w:eastAsia="zh-CN"/>
        </w:rPr>
        <w:t>应用</w:t>
      </w:r>
      <w:r>
        <w:rPr>
          <w:rFonts w:hint="default" w:ascii="Times New Roman" w:hAnsi="Times New Roman" w:cs="Times New Roman"/>
          <w:b w:val="0"/>
          <w:bCs w:val="0"/>
          <w:color w:val="auto"/>
          <w:highlight w:val="none"/>
        </w:rPr>
        <w:t>；发展食品级纤维素酶制剂、生物催化剂等工业酶产品，延伸至食品加工与生物医药产业链。三是在循环利用上创新模式</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建设菌糠发酵生产线，推动废</w:t>
      </w:r>
      <w:r>
        <w:rPr>
          <w:rFonts w:hint="default" w:ascii="Times New Roman" w:hAnsi="Times New Roman" w:cs="Times New Roman"/>
          <w:color w:val="auto"/>
          <w:highlight w:val="none"/>
        </w:rPr>
        <w:t>弃菌渣转化为有机肥及生物质燃料，实现资源全链增值</w:t>
      </w:r>
      <w:r>
        <w:rPr>
          <w:rFonts w:hint="default" w:ascii="Times New Roman" w:hAnsi="Times New Roman" w:cs="Times New Roman"/>
          <w:color w:val="auto"/>
          <w:highlight w:val="none"/>
          <w:lang w:eastAsia="zh-CN"/>
        </w:rPr>
        <w:t>。</w:t>
      </w:r>
    </w:p>
    <w:p w14:paraId="2800A2BA">
      <w:pPr>
        <w:keepNext w:val="0"/>
        <w:keepLines w:val="0"/>
        <w:widowControl/>
        <w:suppressLineNumbers w:val="0"/>
        <w:jc w:val="left"/>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筑牢科技支撑，构建标准化生产体系。</w:t>
      </w:r>
      <w:r>
        <w:rPr>
          <w:rFonts w:hint="default" w:ascii="Times New Roman" w:hAnsi="Times New Roman" w:cs="Times New Roman"/>
          <w:color w:val="auto"/>
          <w:highlight w:val="none"/>
        </w:rPr>
        <w:t>与辽宁省农业科学研究院食用菌研究所、长白山科学研究院、沈阳农业大学等科研院所合作，构建产学研用协同创新体系，攻关良种选育、智能栽培等关键技术，建设种质资源库保护特色菌种资源。推行全产业链标准化，制定覆盖菌种繁育、栽培管理、采收加工等环节的技术规范，建立“六统一分”生产模式（统一建棚/品种/制棒/技术/品牌/销售，分户管理）。推广绿色转型路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发展工厂化智慧栽培，应用物联网技术实现环境精准调控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破解林木资源约束，推广代用料栽培与菌渣循环利用技术</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建立病虫害绿色防控体系，推进有机绿色认证，筑牢质量安全屏障。</w:t>
      </w:r>
    </w:p>
    <w:p w14:paraId="026C6334">
      <w:pPr>
        <w:keepNext w:val="0"/>
        <w:keepLines w:val="0"/>
        <w:widowControl/>
        <w:suppressLineNumbers w:val="0"/>
        <w:jc w:val="left"/>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做强载体平台，打造协同发展格局。</w:t>
      </w:r>
      <w:r>
        <w:rPr>
          <w:rFonts w:hint="default" w:ascii="Times New Roman" w:hAnsi="Times New Roman" w:cs="Times New Roman"/>
          <w:color w:val="auto"/>
          <w:highlight w:val="none"/>
          <w:lang w:val="en-US" w:eastAsia="zh-CN"/>
        </w:rPr>
        <w:t>依托</w:t>
      </w:r>
      <w:r>
        <w:rPr>
          <w:rFonts w:hint="default" w:ascii="Times New Roman" w:hAnsi="Times New Roman" w:cs="Times New Roman"/>
          <w:color w:val="auto"/>
          <w:highlight w:val="none"/>
          <w:lang w:eastAsia="zh-CN"/>
        </w:rPr>
        <w:t>牧牛镇、</w:t>
      </w:r>
      <w:r>
        <w:rPr>
          <w:rFonts w:hint="default" w:ascii="Times New Roman" w:hAnsi="Times New Roman" w:cs="Times New Roman"/>
          <w:color w:val="auto"/>
          <w:highlight w:val="none"/>
        </w:rPr>
        <w:t>三家子镇、药山镇、黄花甸镇、大房身镇、苏子沟镇及</w:t>
      </w:r>
      <w:r>
        <w:rPr>
          <w:rFonts w:hint="default" w:ascii="Times New Roman" w:hAnsi="Times New Roman" w:cs="Times New Roman"/>
          <w:color w:val="auto"/>
          <w:highlight w:val="none"/>
          <w:lang w:val="en-US" w:eastAsia="zh-CN"/>
        </w:rPr>
        <w:t>辽宁岫岩玉产业开发区建设省级农业现代</w:t>
      </w:r>
      <w:r>
        <w:rPr>
          <w:rFonts w:hint="default" w:ascii="Times New Roman" w:hAnsi="Times New Roman" w:cs="Times New Roman"/>
          <w:color w:val="auto"/>
          <w:highlight w:val="none"/>
        </w:rPr>
        <w:t>产业园</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积极申报国家现代农业产业园。</w:t>
      </w:r>
      <w:r>
        <w:rPr>
          <w:rFonts w:hint="default" w:ascii="Times New Roman" w:hAnsi="Times New Roman" w:cs="Times New Roman"/>
          <w:color w:val="auto"/>
          <w:highlight w:val="none"/>
        </w:rPr>
        <w:t>以</w:t>
      </w:r>
      <w:r>
        <w:rPr>
          <w:rFonts w:hint="default" w:ascii="Times New Roman" w:hAnsi="Times New Roman" w:cs="Times New Roman"/>
          <w:color w:val="auto"/>
          <w:highlight w:val="none"/>
          <w:lang w:eastAsia="zh-CN"/>
        </w:rPr>
        <w:t>辽宁</w:t>
      </w:r>
      <w:r>
        <w:rPr>
          <w:rFonts w:hint="default" w:ascii="Times New Roman" w:hAnsi="Times New Roman" w:cs="Times New Roman"/>
          <w:color w:val="auto"/>
          <w:highlight w:val="none"/>
        </w:rPr>
        <w:t>岫岩玉产业</w:t>
      </w:r>
      <w:r>
        <w:rPr>
          <w:rFonts w:hint="default" w:ascii="Times New Roman" w:hAnsi="Times New Roman" w:cs="Times New Roman"/>
          <w:color w:val="auto"/>
          <w:highlight w:val="none"/>
          <w:lang w:eastAsia="zh-CN"/>
        </w:rPr>
        <w:t>开发</w:t>
      </w:r>
      <w:r>
        <w:rPr>
          <w:rFonts w:hint="default" w:ascii="Times New Roman" w:hAnsi="Times New Roman" w:cs="Times New Roman"/>
          <w:color w:val="auto"/>
          <w:highlight w:val="none"/>
        </w:rPr>
        <w:t>区为核心</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加快建设</w:t>
      </w:r>
      <w:r>
        <w:rPr>
          <w:rFonts w:hint="default" w:ascii="Times New Roman" w:hAnsi="Times New Roman" w:cs="Times New Roman"/>
          <w:color w:val="auto"/>
          <w:highlight w:val="none"/>
        </w:rPr>
        <w:t>食用菌产品精深加工基地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推进东北地区最大的食用菌交易市场建设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形成产业集聚效应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依托国家数字农业农村创新中心将先进适用技术及产品向下延伸</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重点在三家子镇建设</w:t>
      </w:r>
      <w:r>
        <w:rPr>
          <w:rFonts w:hint="default" w:ascii="Times New Roman" w:hAnsi="Times New Roman" w:cs="Times New Roman"/>
          <w:color w:val="auto"/>
          <w:highlight w:val="none"/>
        </w:rPr>
        <w:t>智慧食用菌示范基地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与旅游产业相结合，打造标准化食用菌主题产业园、观光园和体验农场，与餐饮业深度合作，开发特色食用菌产品，提升产品附加值。充分发挥县食用菌协会的行业纽带与服务平台作用，强化其在技术推广、产销对接和产业协同中的功能。</w:t>
      </w:r>
    </w:p>
    <w:p w14:paraId="68916194">
      <w:pPr>
        <w:pStyle w:val="4"/>
        <w:numPr>
          <w:ilvl w:val="0"/>
          <w:numId w:val="4"/>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振兴发展柞蚕产业</w:t>
      </w:r>
    </w:p>
    <w:p w14:paraId="49E7E2FC">
      <w:pPr>
        <w:bidi w:val="0"/>
        <w:rPr>
          <w:rFonts w:hint="default" w:ascii="Times New Roman" w:hAnsi="Times New Roman" w:cs="Times New Roman"/>
          <w:b w:val="0"/>
          <w:bCs w:val="0"/>
          <w:color w:val="auto"/>
          <w:highlight w:val="none"/>
          <w:lang w:eastAsia="zh-CN"/>
        </w:rPr>
      </w:pPr>
      <w:r>
        <w:rPr>
          <w:rFonts w:hint="default" w:ascii="Times New Roman" w:hAnsi="Times New Roman" w:cs="Times New Roman"/>
          <w:b/>
          <w:bCs/>
          <w:color w:val="auto"/>
          <w:highlight w:val="none"/>
        </w:rPr>
        <w:t>强化资源保护与生态建设</w:t>
      </w:r>
      <w:r>
        <w:rPr>
          <w:rFonts w:hint="default" w:ascii="Times New Roman" w:hAnsi="Times New Roman" w:cs="Times New Roman"/>
          <w:b/>
          <w:bCs/>
          <w:color w:val="auto"/>
          <w:highlight w:val="none"/>
          <w:lang w:eastAsia="zh-CN"/>
        </w:rPr>
        <w:t>。</w:t>
      </w:r>
      <w:r>
        <w:rPr>
          <w:rFonts w:hint="default" w:ascii="Times New Roman" w:hAnsi="Times New Roman" w:cs="Times New Roman"/>
          <w:b w:val="0"/>
          <w:bCs w:val="0"/>
          <w:color w:val="auto"/>
          <w:highlight w:val="none"/>
        </w:rPr>
        <w:t>科学实施柞蚕场审批与管理，落实</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宜林则林、宜蚕则蚕</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原则，严格执行蚕场轮伐更新制度，确保柞树资源可持续利用</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稳定柞蚕场面积</w:t>
      </w:r>
      <w:r>
        <w:rPr>
          <w:rFonts w:hint="default" w:ascii="Times New Roman" w:hAnsi="Times New Roman" w:cs="Times New Roman"/>
          <w:b w:val="0"/>
          <w:bCs w:val="0"/>
          <w:color w:val="auto"/>
          <w:highlight w:val="none"/>
          <w:lang w:val="en-US" w:eastAsia="zh-CN"/>
        </w:rPr>
        <w:t>176</w:t>
      </w:r>
      <w:r>
        <w:rPr>
          <w:rFonts w:hint="default" w:ascii="Times New Roman" w:hAnsi="Times New Roman" w:cs="Times New Roman"/>
          <w:b w:val="0"/>
          <w:bCs w:val="0"/>
          <w:color w:val="auto"/>
          <w:highlight w:val="none"/>
        </w:rPr>
        <w:t>万亩</w:t>
      </w:r>
      <w:r>
        <w:rPr>
          <w:rFonts w:hint="default" w:ascii="Times New Roman" w:hAnsi="Times New Roman" w:cs="Times New Roman"/>
          <w:b w:val="0"/>
          <w:bCs w:val="0"/>
          <w:color w:val="auto"/>
          <w:highlight w:val="none"/>
          <w:lang w:val="en-US" w:eastAsia="zh-CN"/>
        </w:rPr>
        <w:t>以上</w:t>
      </w:r>
      <w:r>
        <w:rPr>
          <w:rFonts w:hint="default" w:ascii="Times New Roman" w:hAnsi="Times New Roman" w:cs="Times New Roman"/>
          <w:b w:val="0"/>
          <w:bCs w:val="0"/>
          <w:color w:val="auto"/>
          <w:highlight w:val="none"/>
        </w:rPr>
        <w:t>。实施生态柞园提质工程，创建20个千亩标准化示范基地，通过中干树型养成、补植加密及生物工程技术，</w:t>
      </w:r>
      <w:r>
        <w:rPr>
          <w:rFonts w:hint="default" w:ascii="Times New Roman" w:hAnsi="Times New Roman" w:cs="Times New Roman"/>
          <w:b w:val="0"/>
          <w:bCs w:val="0"/>
          <w:color w:val="auto"/>
          <w:highlight w:val="none"/>
          <w:lang w:val="en-US" w:eastAsia="zh-CN"/>
        </w:rPr>
        <w:t>力争实现</w:t>
      </w:r>
      <w:r>
        <w:rPr>
          <w:rFonts w:hint="default" w:ascii="Times New Roman" w:hAnsi="Times New Roman" w:cs="Times New Roman"/>
          <w:b w:val="0"/>
          <w:bCs w:val="0"/>
          <w:color w:val="auto"/>
          <w:highlight w:val="none"/>
        </w:rPr>
        <w:t>年改造二三类柞园2万亩</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严格管控生态敏感区，</w:t>
      </w:r>
      <w:r>
        <w:rPr>
          <w:rFonts w:hint="default" w:ascii="Times New Roman" w:hAnsi="Times New Roman" w:cs="Times New Roman"/>
          <w:b w:val="0"/>
          <w:bCs w:val="0"/>
          <w:color w:val="auto"/>
          <w:highlight w:val="none"/>
          <w:lang w:val="en-US" w:eastAsia="zh-CN"/>
        </w:rPr>
        <w:t>对沿河、沿路、水源地、国家重点工程、文物保护区、旅游区的蚕场实行禁蚕还林</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加快</w:t>
      </w:r>
      <w:r>
        <w:rPr>
          <w:rFonts w:hint="default" w:ascii="Times New Roman" w:hAnsi="Times New Roman" w:cs="Times New Roman"/>
          <w:b w:val="0"/>
          <w:bCs w:val="0"/>
          <w:color w:val="auto"/>
          <w:highlight w:val="none"/>
        </w:rPr>
        <w:t>推进缫丝污水处理设施建设</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破解环保瓶颈，为产业发展提供支撑</w:t>
      </w:r>
      <w:r>
        <w:rPr>
          <w:rFonts w:hint="default" w:ascii="Times New Roman" w:hAnsi="Times New Roman" w:cs="Times New Roman"/>
          <w:b w:val="0"/>
          <w:bCs w:val="0"/>
          <w:color w:val="auto"/>
          <w:highlight w:val="none"/>
          <w:lang w:eastAsia="zh-CN"/>
        </w:rPr>
        <w:t>。</w:t>
      </w:r>
    </w:p>
    <w:p w14:paraId="3DBADB9A">
      <w:pPr>
        <w:bidi w:val="0"/>
        <w:rPr>
          <w:rFonts w:hint="default" w:ascii="Times New Roman" w:hAnsi="Times New Roman" w:cs="Times New Roman"/>
          <w:b w:val="0"/>
          <w:bCs w:val="0"/>
          <w:color w:val="auto"/>
          <w:highlight w:val="none"/>
        </w:rPr>
      </w:pPr>
      <w:r>
        <w:rPr>
          <w:rFonts w:hint="default" w:ascii="Times New Roman" w:hAnsi="Times New Roman" w:cs="Times New Roman"/>
          <w:b/>
          <w:bCs/>
          <w:color w:val="auto"/>
          <w:highlight w:val="none"/>
        </w:rPr>
        <w:t>深化科技创新与全链协同</w:t>
      </w:r>
      <w:r>
        <w:rPr>
          <w:rFonts w:hint="default" w:ascii="Times New Roman" w:hAnsi="Times New Roman" w:cs="Times New Roman"/>
          <w:b/>
          <w:bCs/>
          <w:color w:val="auto"/>
          <w:highlight w:val="none"/>
          <w:lang w:eastAsia="zh-CN"/>
        </w:rPr>
        <w:t>。</w:t>
      </w:r>
      <w:r>
        <w:rPr>
          <w:rFonts w:hint="default" w:ascii="Times New Roman" w:hAnsi="Times New Roman" w:cs="Times New Roman"/>
          <w:b w:val="0"/>
          <w:bCs w:val="0"/>
          <w:color w:val="auto"/>
          <w:highlight w:val="none"/>
        </w:rPr>
        <w:t>加强蚕种繁育基地现代化建</w:t>
      </w:r>
      <w:r>
        <w:rPr>
          <w:rFonts w:hint="default" w:ascii="Times New Roman" w:hAnsi="Times New Roman" w:cs="Times New Roman"/>
          <w:b w:val="0"/>
          <w:bCs w:val="0"/>
          <w:color w:val="auto"/>
          <w:highlight w:val="none"/>
          <w:lang w:val="en-US" w:eastAsia="zh-CN"/>
        </w:rPr>
        <w:t>设，改造繁育种场设施设备，提高蚕种繁育技术水平和生产能力。加强与辽宁省蚕科所等科研院所的密切合作，积极引进推广柞蚕新品种，提高单位面积蚕茧产量。实施蚕农</w:t>
      </w:r>
      <w:r>
        <w:rPr>
          <w:rFonts w:hint="eastAsia" w:ascii="Times New Roman" w:hAnsi="Times New Roman" w:cs="Times New Roman"/>
          <w:b w:val="0"/>
          <w:bCs w:val="0"/>
          <w:color w:val="auto"/>
          <w:highlight w:val="none"/>
          <w:lang w:val="en-US" w:eastAsia="zh-CN"/>
        </w:rPr>
        <w:t>技术</w:t>
      </w:r>
      <w:r>
        <w:rPr>
          <w:rFonts w:hint="default" w:ascii="Times New Roman" w:hAnsi="Times New Roman" w:cs="Times New Roman"/>
          <w:b w:val="0"/>
          <w:bCs w:val="0"/>
          <w:color w:val="auto"/>
          <w:highlight w:val="none"/>
          <w:lang w:val="en-US" w:eastAsia="zh-CN"/>
        </w:rPr>
        <w:t>提升工程，</w:t>
      </w:r>
      <w:r>
        <w:rPr>
          <w:rFonts w:hint="default" w:ascii="Times New Roman" w:hAnsi="Times New Roman" w:cs="Times New Roman"/>
          <w:b w:val="0"/>
          <w:bCs w:val="0"/>
          <w:color w:val="auto"/>
          <w:highlight w:val="none"/>
        </w:rPr>
        <w:t>系统推广小蚕保护育、病虫害绿色综合防治</w:t>
      </w:r>
      <w:r>
        <w:rPr>
          <w:rFonts w:hint="default" w:ascii="Times New Roman" w:hAnsi="Times New Roman" w:cs="Times New Roman"/>
          <w:b w:val="0"/>
          <w:bCs w:val="0"/>
          <w:color w:val="auto"/>
          <w:highlight w:val="none"/>
          <w:lang w:val="en-US" w:eastAsia="zh-CN"/>
        </w:rPr>
        <w:t>等</w:t>
      </w:r>
      <w:r>
        <w:rPr>
          <w:rFonts w:hint="default" w:ascii="Times New Roman" w:hAnsi="Times New Roman" w:cs="Times New Roman"/>
          <w:b w:val="0"/>
          <w:bCs w:val="0"/>
          <w:color w:val="auto"/>
          <w:highlight w:val="none"/>
        </w:rPr>
        <w:t>关键技术</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构建</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科研院所+技术推广部门+县柞蚕协会</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的协同培训网络，通过田间学校、线上平台等多种形式，实现关键技术在蚕农中的广泛普及与深度应用。强化政策保障，简化柞林伐坡审批流程，积极推动将柞蚕养殖纳入政策性农业保险范畴，稳定蚕农生产预期。开展柞蚕生产关键环节的轻简化、机械化装备的引进与示范，探索无人机防治、智能化监测等技术的应用，降低劳动强度和生产成本，吸引新生力量从业</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支持龙头企业与科研单位建立产学研合作机制</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开展高值化利用技术攻关与产品转化。</w:t>
      </w:r>
    </w:p>
    <w:p w14:paraId="35645484">
      <w:pPr>
        <w:bidi w:val="0"/>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bCs/>
          <w:color w:val="auto"/>
          <w:highlight w:val="none"/>
        </w:rPr>
        <w:t>推动产业链升级与价值拓展</w:t>
      </w:r>
      <w:r>
        <w:rPr>
          <w:rFonts w:hint="default" w:ascii="Times New Roman" w:hAnsi="Times New Roman" w:cs="Times New Roman"/>
          <w:b/>
          <w:bCs/>
          <w:color w:val="auto"/>
          <w:highlight w:val="none"/>
          <w:lang w:eastAsia="zh-CN"/>
        </w:rPr>
        <w:t>。</w:t>
      </w:r>
      <w:r>
        <w:rPr>
          <w:rFonts w:hint="default" w:ascii="Times New Roman" w:hAnsi="Times New Roman" w:cs="Times New Roman"/>
          <w:b w:val="0"/>
          <w:bCs w:val="0"/>
          <w:color w:val="auto"/>
          <w:highlight w:val="none"/>
        </w:rPr>
        <w:t>突破精深加工， 支持龙头企业与科研机构共建研发平台，重点开发柞蚕丝蛋白生物材料、柞蚕蛹虫草、蚕蛾健康食品等高价值产品；推动柞蚕丝在高端服饰、绿色家纺等领域的创新应用，并完善相关品质标准</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促进资源循环利用，推动柞蚕产业与食用菌产业的生态链接，打造“柞园轮伐-菌棒生产-食用菌种植”的绿色循环产业链，实现林木资源的全值化利用</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深化三产融合</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创新推广“柞蚕+文旅+康养”模式。深度挖掘柞蚕放养历史与文化，规划建设柞蚕文化体验基地，将蚕事活动、生态柞园观光与乡村旅游、研学教育相结合，开发系列文化创意产品与体验项目。强化市场与品牌，积极申报“岫岩柞蚕蛹”国家地理标志保护产品，打造“岫岩柞蚕”区域公共品牌；支持龙头企业与专业合作社开展绿色、有机认证，培育企业知名品牌；充分利用县级电子商务公共服务中心、直播基地等平台，拓展线上线下销售渠道，并组织参与国内外优质农产品展销会，全面提升岫岩柞蚕产品的市场知名度和竞争力。</w:t>
      </w:r>
    </w:p>
    <w:p w14:paraId="7B87A7D7">
      <w:pPr>
        <w:pStyle w:val="3"/>
        <w:keepNext/>
        <w:keepLines/>
        <w:pageBreakBefore w:val="0"/>
        <w:widowControl w:val="0"/>
        <w:numPr>
          <w:ilvl w:val="0"/>
          <w:numId w:val="5"/>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rPr>
      </w:pPr>
      <w:bookmarkStart w:id="17" w:name="_Toc7500"/>
      <w:r>
        <w:rPr>
          <w:rFonts w:hint="default" w:ascii="Times New Roman" w:hAnsi="Times New Roman" w:eastAsia="楷体_GB2312" w:cs="Times New Roman"/>
          <w:b/>
          <w:bCs w:val="0"/>
          <w:color w:val="auto"/>
          <w:highlight w:val="none"/>
        </w:rPr>
        <w:t>壮大</w:t>
      </w:r>
      <w:r>
        <w:rPr>
          <w:rFonts w:hint="default" w:ascii="Times New Roman" w:hAnsi="Times New Roman" w:cs="Times New Roman"/>
          <w:b/>
          <w:bCs w:val="0"/>
          <w:color w:val="auto"/>
          <w:highlight w:val="none"/>
          <w:lang w:val="en-US" w:eastAsia="zh-CN"/>
        </w:rPr>
        <w:t>发展</w:t>
      </w:r>
      <w:r>
        <w:rPr>
          <w:rFonts w:hint="default" w:ascii="Times New Roman" w:hAnsi="Times New Roman" w:eastAsia="楷体_GB2312" w:cs="Times New Roman"/>
          <w:b/>
          <w:bCs w:val="0"/>
          <w:color w:val="auto"/>
          <w:highlight w:val="none"/>
        </w:rPr>
        <w:t>新兴产业集群</w:t>
      </w:r>
      <w:bookmarkEnd w:id="17"/>
    </w:p>
    <w:p w14:paraId="4688B809">
      <w:pPr>
        <w:pStyle w:val="4"/>
        <w:numPr>
          <w:ilvl w:val="0"/>
          <w:numId w:val="6"/>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创新发展新材料产业</w:t>
      </w:r>
    </w:p>
    <w:p w14:paraId="045DB8F1">
      <w:pPr>
        <w:keepNext w:val="0"/>
        <w:keepLines w:val="0"/>
        <w:widowControl/>
        <w:suppressLineNumbers w:val="0"/>
        <w:jc w:val="left"/>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推动镁基新材料产业链全面提升。</w:t>
      </w:r>
      <w:r>
        <w:rPr>
          <w:rFonts w:hint="default" w:ascii="Times New Roman" w:hAnsi="Times New Roman" w:cs="Times New Roman"/>
          <w:color w:val="auto"/>
          <w:highlight w:val="none"/>
          <w:lang w:val="en-US" w:eastAsia="zh-CN"/>
        </w:rPr>
        <w:t>推动菱镁产业从原料初加工向高技术终端制品、从中低端产品向高附加值新材料全面转型。以高端镁质耐火新材料巩固核心竞争力，以镁基新型绿色建材材料扩大市场规模，以镁化工及功能新材料培育未来增长极，通过多路径协同，实现菱镁产业由“原料输出”向“创新制造”的战略跨越。</w:t>
      </w:r>
    </w:p>
    <w:p w14:paraId="422B5BF3">
      <w:pPr>
        <w:keepNext w:val="0"/>
        <w:keepLines w:val="0"/>
        <w:widowControl/>
        <w:suppressLineNumbers w:val="0"/>
        <w:jc w:val="left"/>
        <w:rPr>
          <w:rFonts w:hint="default" w:ascii="Times New Roman" w:hAnsi="Times New Roman" w:cs="Times New Roman"/>
          <w:color w:val="auto"/>
          <w:highlight w:val="none"/>
          <w:lang w:val="en-US" w:eastAsia="zh-CN"/>
        </w:rPr>
      </w:pPr>
      <w:r>
        <w:rPr>
          <w:rFonts w:hint="default" w:ascii="Times New Roman" w:hAnsi="Times New Roman" w:cs="Times New Roman"/>
          <w:b w:val="0"/>
          <w:bCs w:val="0"/>
          <w:color w:val="auto"/>
          <w:highlight w:val="none"/>
          <w:lang w:val="en-US" w:eastAsia="zh-CN"/>
        </w:rPr>
        <w:t>——推动镁质耐火材料绿</w:t>
      </w:r>
      <w:r>
        <w:rPr>
          <w:rFonts w:hint="default" w:ascii="Times New Roman" w:hAnsi="Times New Roman" w:cs="Times New Roman"/>
          <w:color w:val="auto"/>
          <w:highlight w:val="none"/>
          <w:lang w:val="en-US" w:eastAsia="zh-CN"/>
        </w:rPr>
        <w:t>色高端发展。严格行业准入，淘汰落后产能，大力推广高效、节能、环保新型轻烧氧化镁窑炉。做优做强核心原料，大力发展绿电支撑的大结晶、高纯电熔镁砂等优质产品。构建高端制品体系，重点突破节能环保型、长寿命不定形耐火材料及特种陶瓷结合耐火材料，提升产品附加值。完善绿色循环链条，建立用后耐火材料回收网络和再生利用体系，支持企业提供耐火制品回收再加工服务，力争到2030年耐火砖循环利用率提升至40%以上。</w:t>
      </w:r>
    </w:p>
    <w:p w14:paraId="67BDA870">
      <w:pPr>
        <w:keepNext w:val="0"/>
        <w:keepLines w:val="0"/>
        <w:widowControl/>
        <w:suppressLineNumbers w:val="0"/>
        <w:jc w:val="left"/>
        <w:rPr>
          <w:rFonts w:hint="default" w:ascii="Times New Roman" w:hAnsi="Times New Roman" w:eastAsia="Segoe UI" w:cs="Times New Roman"/>
          <w:i w:val="0"/>
          <w:iCs w:val="0"/>
          <w:caps w:val="0"/>
          <w:color w:val="auto"/>
          <w:spacing w:val="0"/>
          <w:sz w:val="24"/>
          <w:szCs w:val="24"/>
          <w:highlight w:val="none"/>
          <w:shd w:val="clear" w:fill="FFFFFF"/>
        </w:rPr>
      </w:pPr>
      <w:r>
        <w:rPr>
          <w:rFonts w:hint="default" w:ascii="Times New Roman" w:hAnsi="Times New Roman" w:cs="Times New Roman"/>
          <w:b/>
          <w:bCs/>
          <w:color w:val="auto"/>
          <w:highlight w:val="none"/>
          <w:lang w:val="en-US" w:eastAsia="zh-CN"/>
        </w:rPr>
        <w:t>——</w:t>
      </w:r>
      <w:r>
        <w:rPr>
          <w:rFonts w:hint="default" w:ascii="Times New Roman" w:hAnsi="Times New Roman" w:cs="Times New Roman"/>
          <w:b w:val="0"/>
          <w:bCs w:val="0"/>
          <w:color w:val="auto"/>
          <w:highlight w:val="none"/>
          <w:lang w:val="en-US" w:eastAsia="zh-CN"/>
        </w:rPr>
        <w:t>做强镁基新型绿色建材产业</w:t>
      </w:r>
      <w:r>
        <w:rPr>
          <w:rFonts w:hint="default" w:ascii="Times New Roman" w:hAnsi="Times New Roman" w:cs="Times New Roman"/>
          <w:color w:val="auto"/>
          <w:highlight w:val="none"/>
          <w:lang w:val="en-US" w:eastAsia="zh-CN"/>
        </w:rPr>
        <w:t>。面向绿色建筑、装配式建筑及建筑防火安全重大需求，完善“高端板材-功能型构件-绿色建材系统”全产业链。加快发展A1级防火镁板、轻质高强隔墙与结构板、装饰保温一体板、低碱度镁水泥预制构件等新型绿色建材产品体系。突破抗菌、高耐蚀、超薄等高性能镁质复合板材的低成本规模化制造工艺。大力推进菱镁矿渣、石英锯泥等固体废弃物在轻质墙体材料中的规模化高值化资源利用，全面提升产业绿色制造和循环发展水平。</w:t>
      </w:r>
    </w:p>
    <w:p w14:paraId="2C6DC164">
      <w:pPr>
        <w:keepNext w:val="0"/>
        <w:keepLines w:val="0"/>
        <w:widowControl/>
        <w:suppressLineNumbers w:val="0"/>
        <w:jc w:val="left"/>
        <w:rPr>
          <w:rFonts w:hint="default" w:ascii="Times New Roman" w:hAnsi="Times New Roman" w:eastAsia="宋体" w:cs="Times New Roman"/>
          <w:color w:val="auto"/>
          <w:highlight w:val="none"/>
          <w:lang w:val="en-US" w:eastAsia="zh-CN"/>
        </w:rPr>
      </w:pPr>
      <w:r>
        <w:rPr>
          <w:rFonts w:hint="default" w:ascii="Times New Roman" w:hAnsi="Times New Roman" w:cs="Times New Roman"/>
          <w:b w:val="0"/>
          <w:bCs w:val="0"/>
          <w:color w:val="auto"/>
          <w:highlight w:val="none"/>
          <w:lang w:val="en-US" w:eastAsia="zh-CN"/>
        </w:rPr>
        <w:t>——</w:t>
      </w:r>
      <w:r>
        <w:rPr>
          <w:rFonts w:hint="default" w:ascii="Times New Roman" w:hAnsi="Times New Roman" w:cs="Times New Roman"/>
          <w:color w:val="auto"/>
          <w:highlight w:val="none"/>
          <w:lang w:val="en-US" w:eastAsia="zh-CN"/>
        </w:rPr>
        <w:t>培育高端镁化工新材料产业。紧抓辽宁省“非危工艺免入园”政策机遇，科学布局高端镁化工产业链。重点突破硅钢级氧化镁、电工级氧化镁、氢氧化镁基阻燃剂等高端功能性材料。全力推动莱镁化工项目建成投产，大力发展镁盐、镁肥、镁大健康产品，延伸医药食品级镁盐-缓释型土壤修复剂-健康补剂产业链。推动低品位菱镁矿高值化利用，规模化生产矿渣基重金属吸附剂、固废硫氧镁防火板，打通硫酸镁副产-高纯氧化镁的循环技术路径。高标准规划建设石庙子镁质新材料产业园，强化原料均化、检测认证等公共服务功能，培育引进镁质新材料领域“专精特新”企业，力争到2030年，培育3-5家具有核心竞争力的龙头企业。</w:t>
      </w:r>
    </w:p>
    <w:p w14:paraId="4CC048DC">
      <w:pPr>
        <w:keepNext w:val="0"/>
        <w:keepLines w:val="0"/>
        <w:widowControl/>
        <w:suppressLineNumbers w:val="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构建多元非金属矿物基新材料体系。</w:t>
      </w:r>
      <w:r>
        <w:rPr>
          <w:rFonts w:hint="default" w:ascii="Times New Roman" w:hAnsi="Times New Roman" w:cs="Times New Roman"/>
          <w:b w:val="0"/>
          <w:bCs w:val="0"/>
          <w:color w:val="auto"/>
          <w:highlight w:val="none"/>
          <w:lang w:val="en-US" w:eastAsia="zh-CN"/>
        </w:rPr>
        <w:t>依托丰富的非金属矿产资源，拓展新材料应用领域，打造多元化、高价值的新材料产品体系。石材产业方面，立足花岗岩资源储量优势，重点推进花岗岩绿色矿山标准化建设，强化二长花岗岩、花岗闪长岩等优质品种的规模化开采与精深加工，培育高端建筑板材、异型材、复合板等高附加值产品体系，规划建设石材加工产业园和石材交易市场，推动石材产业集聚发展。硅基新材料方面，依托丰富的石英石资源，加快推动石英石提纯项目落地投产，重点发展光伏玻璃用超细砂、高纯度石英材料，配套建材产业升级。矿物功能材料方面，依托万客来玉博园玉石养生漆项目，延展玉石养生漆技术优势，拓展抗菌涂料在医疗康养建筑应用。钙基材料方面，依托丰富的方解石、白云石、大理石、石灰石资源以及轻钙粉体与重钙石灰石加工产业基础，规划建设偏岭碳酸钙产业园，推动碳酸钙产业集聚，发展镁钙复合轻骨料、自保温砌块等低碳建材，同步拓展高值化延伸领域，培育医用级碳酸钙在生物医疗材料方向的新增长点。</w:t>
      </w:r>
    </w:p>
    <w:p w14:paraId="4E085526">
      <w:pPr>
        <w:pStyle w:val="4"/>
        <w:numPr>
          <w:ilvl w:val="0"/>
          <w:numId w:val="6"/>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大力发展文旅融合产业</w:t>
      </w:r>
    </w:p>
    <w:p w14:paraId="679D5188">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以创建国家级岫岩玉文化生态保护示范区、辽宁省生态旅游强县和“两山”实践创新基地为战略引领，坚持立足辽宁、辐射东北、面向全国的发展格局，</w:t>
      </w:r>
      <w:r>
        <w:rPr>
          <w:rFonts w:hint="eastAsia" w:ascii="Times New Roman" w:hAnsi="Times New Roman" w:cs="Times New Roman"/>
          <w:color w:val="auto"/>
          <w:highlight w:val="none"/>
          <w:lang w:val="en-US" w:eastAsia="zh-CN"/>
        </w:rPr>
        <w:t>推动</w:t>
      </w:r>
      <w:r>
        <w:rPr>
          <w:rFonts w:hint="default" w:ascii="Times New Roman" w:hAnsi="Times New Roman" w:cs="Times New Roman"/>
          <w:color w:val="auto"/>
          <w:highlight w:val="none"/>
          <w:lang w:val="en-US" w:eastAsia="zh-CN"/>
        </w:rPr>
        <w:t>文体旅商深度融合发展</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将岫岩打造成为中国玉文化体验旅游目的地。</w:t>
      </w:r>
    </w:p>
    <w:p w14:paraId="5CAD892B">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实施“旅游+”业态创新工程。</w:t>
      </w:r>
      <w:r>
        <w:rPr>
          <w:rFonts w:hint="default" w:ascii="Times New Roman" w:hAnsi="Times New Roman" w:cs="Times New Roman"/>
          <w:color w:val="auto"/>
          <w:highlight w:val="none"/>
          <w:lang w:val="en-US" w:eastAsia="zh-CN"/>
        </w:rPr>
        <w:t>实施差异化“旅游+”战略，重点推进旅游与生态、文化、体育、康养、乡村五大领域深度融合。</w:t>
      </w:r>
    </w:p>
    <w:p w14:paraId="5B2190CB">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旅游+生态”。以龙潭湾、药山、水巷、清凉山等核心生态景区为本底，系统构建多层次、体验式生态旅游产品体系。推出森林徒步、登山探险、野外露营、观鸟赏花、亲水休闲等多样化生态体验项目，强化人与自然深度互动。规划建设串联主要景区的生态旅游廊道，完善自驾风景道、自行车绿道及山地徒步道系统，打造一批生态旅游精品线路。积极开发以自然教育为主题的研学产品，设计生态观察、地质讲解、植物识别等课程与服务，增强旅游的知识性与趣味性。</w:t>
      </w:r>
    </w:p>
    <w:p w14:paraId="2A079805">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——“旅游+文化”。</w:t>
      </w:r>
      <w:r>
        <w:rPr>
          <w:rFonts w:hint="default" w:ascii="Times New Roman" w:hAnsi="Times New Roman" w:cs="Times New Roman"/>
          <w:color w:val="auto"/>
          <w:highlight w:val="none"/>
          <w:lang w:val="en-US" w:eastAsia="zh-CN"/>
        </w:rPr>
        <w:t>聚焦玉石文化、满族文化等特色资源，实现文化创意与旅游体验深度融合。推动国家玉文化论坛永久会址落地，定期发布玉文化指数，提升“中国岫岩玉文化旅游节”“玉星奖”等品牌影响力。积极推进文化业态创新，发展玉博物馆经济，开发“寻玉之旅”研学、玉雕工坊体验、沉浸式剧场及满族活态传承等互动项目。推动影视与文旅深度融合，创作一批彰显岫岩文化特色的精品力作。大力发展文化创意产业，推出宫廷玉雕系列，建设满玉生活美学馆，推动满族刺绣与玉器融合，开发满玉茶器等高端文创产品。构建现代化营销体系，以“玉都印象·岫岩有礼”文创大会为平台，整合新媒体矩阵，形成“文化展示-互动体验-消费转化-品牌传播”完整闭环。</w:t>
      </w:r>
    </w:p>
    <w:p w14:paraId="20EA9652">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旅游+体育”。依托东山等山脉资源，提质升级滑翔伞训练基地，系统拓展登山、徒步、越野跑等山地户外运动项目。科学开发利用大洋河等水域资源，有序建设皮划艇、漂流等水上运动基地与生态垂钓区。合理布局冰雪场地设施，服务四季全域旅游发展。积极申办马拉松、自行车赛等国家级体育赛事，形成“日常体验与高端赛事双轮驱动”的发展格局。培育低空经济新业态，发展观光直升机、热气球等低空旅游项目，构建“水陆空立体联动”的体旅融合体系，全面提升区域影响力与产业竞争力。</w:t>
      </w:r>
    </w:p>
    <w:p w14:paraId="335F1AEE">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旅游+康养”。构建“温泉+森林”双维康养体系，升级温泉产品矩阵，依托仙人谷温泉旅游度假区、沟汤温泉康养度假区、绿谷温泉等资源，开发养生温泉、美容温泉、特色药浴等主题化项目，按全龄客群定制服务，配备专业健康顾问团队。以“岫岩森林康养之旅”为核心品牌，构建树屋民宿、森林食疗、瑜伽冥想等体验场景，深度融合食用菌等地域资源。通过分龄化服务、主题化产品与生态资源联动，形成全季全域康养产业链。</w:t>
      </w:r>
    </w:p>
    <w:p w14:paraId="6558A10C">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旅游+乡村”。深化农文旅融合，打造岫岩乡村特色品牌，依托秀美山川河流开发自然观光、田园体验项目，夯实生态基底。落实“土特产”三产融合要求，开展榛子、板栗等采摘体验，建设特色民宿与餐饮，举办岫岩美食节，推动产业链升级。建设满族民俗村，活化非遗展演、满族歌舞、剪纸琢玉等手工艺体验，塑造人文内核。</w:t>
      </w:r>
    </w:p>
    <w:p w14:paraId="2011A9D7">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构建全域精品旅游线路。</w:t>
      </w:r>
      <w:r>
        <w:rPr>
          <w:rFonts w:hint="default" w:ascii="Times New Roman" w:hAnsi="Times New Roman" w:cs="Times New Roman"/>
          <w:color w:val="auto"/>
          <w:highlight w:val="none"/>
          <w:lang w:val="en-US" w:eastAsia="zh-CN"/>
        </w:rPr>
        <w:t>以资源整合和产品创新为抓手，加快形成“一核引领、五线联动”的全域旅游发展新格局。重点推进玉水湾文化旅游度假区开发建设，集聚水上项目、低空飞行、特色民宿、研学基地等多元业态，打造成为辐射带动全域发展的综合枢纽和标志性景区。系统策划五条精品主题游线，包括以玉文化体验为核心的“国石之旅”，融合山水生态资源的“生态之旅”，展现满族风情的“满乡之旅”，聚焦知识科普的“研学之旅”，以及传承红色基因的“红色之旅”，形成特色鲜明、内容丰富的旅游产品体系，为游客提供全方位、高品质的旅游体验。</w:t>
      </w:r>
    </w:p>
    <w:p w14:paraId="407070EA">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推进景区提质升级工程。</w:t>
      </w:r>
      <w:r>
        <w:rPr>
          <w:rFonts w:hint="default" w:ascii="Times New Roman" w:hAnsi="Times New Roman" w:eastAsia="仿宋_GB2312" w:cs="Times New Roman"/>
          <w:b w:val="0"/>
          <w:bCs w:val="0"/>
          <w:color w:val="auto"/>
          <w:sz w:val="32"/>
          <w:szCs w:val="32"/>
          <w:highlight w:val="none"/>
          <w:shd w:val="clear" w:color="auto" w:fill="FFFFFF"/>
          <w:lang w:val="en-US" w:eastAsia="zh-CN"/>
        </w:rPr>
        <w:t>优化全域旅游交通网络，构建</w:t>
      </w:r>
      <w:r>
        <w:rPr>
          <w:rFonts w:hint="default" w:ascii="Times New Roman" w:hAnsi="Times New Roman" w:cs="Times New Roman"/>
          <w:b w:val="0"/>
          <w:bCs w:val="0"/>
          <w:color w:val="auto"/>
          <w:sz w:val="32"/>
          <w:szCs w:val="32"/>
          <w:highlight w:val="none"/>
          <w:shd w:val="clear" w:color="auto" w:fill="FFFFFF"/>
          <w:lang w:val="en-US" w:eastAsia="zh-CN"/>
        </w:rPr>
        <w:t>“</w:t>
      </w:r>
      <w:r>
        <w:rPr>
          <w:rFonts w:hint="default" w:ascii="Times New Roman" w:hAnsi="Times New Roman" w:eastAsia="仿宋_GB2312" w:cs="Times New Roman"/>
          <w:b w:val="0"/>
          <w:bCs w:val="0"/>
          <w:color w:val="auto"/>
          <w:sz w:val="32"/>
          <w:szCs w:val="32"/>
          <w:highlight w:val="none"/>
          <w:shd w:val="clear" w:color="auto" w:fill="FFFFFF"/>
          <w:lang w:val="en-US" w:eastAsia="zh-CN"/>
        </w:rPr>
        <w:t>快进慢游</w:t>
      </w:r>
      <w:r>
        <w:rPr>
          <w:rFonts w:hint="default" w:ascii="Times New Roman" w:hAnsi="Times New Roman" w:cs="Times New Roman"/>
          <w:b w:val="0"/>
          <w:bCs w:val="0"/>
          <w:color w:val="auto"/>
          <w:sz w:val="32"/>
          <w:szCs w:val="32"/>
          <w:highlight w:val="none"/>
          <w:shd w:val="clear" w:color="auto" w:fill="FFFFFF"/>
          <w:lang w:val="en-US" w:eastAsia="zh-CN"/>
        </w:rPr>
        <w:t>”</w:t>
      </w:r>
      <w:r>
        <w:rPr>
          <w:rFonts w:hint="default" w:ascii="Times New Roman" w:hAnsi="Times New Roman" w:eastAsia="仿宋_GB2312" w:cs="Times New Roman"/>
          <w:b w:val="0"/>
          <w:bCs w:val="0"/>
          <w:color w:val="auto"/>
          <w:sz w:val="32"/>
          <w:szCs w:val="32"/>
          <w:highlight w:val="none"/>
          <w:shd w:val="clear" w:color="auto" w:fill="FFFFFF"/>
          <w:lang w:val="en-US" w:eastAsia="zh-CN"/>
        </w:rPr>
        <w:t>体系，</w:t>
      </w:r>
      <w:r>
        <w:rPr>
          <w:rFonts w:hint="default" w:ascii="Times New Roman" w:hAnsi="Times New Roman" w:cs="Times New Roman"/>
          <w:color w:val="auto"/>
          <w:highlight w:val="none"/>
        </w:rPr>
        <w:t>以干线公路为</w:t>
      </w:r>
      <w:r>
        <w:rPr>
          <w:rFonts w:hint="default" w:ascii="Times New Roman" w:hAnsi="Times New Roman" w:cs="Times New Roman"/>
          <w:color w:val="auto"/>
          <w:highlight w:val="none"/>
          <w:lang w:val="en-US" w:eastAsia="zh-CN"/>
        </w:rPr>
        <w:t>依托</w:t>
      </w:r>
      <w:r>
        <w:rPr>
          <w:rFonts w:hint="default" w:ascii="Times New Roman" w:hAnsi="Times New Roman" w:cs="Times New Roman"/>
          <w:color w:val="auto"/>
          <w:highlight w:val="none"/>
        </w:rPr>
        <w:t>，</w:t>
      </w:r>
      <w:r>
        <w:rPr>
          <w:rFonts w:hint="default" w:ascii="Times New Roman" w:hAnsi="Times New Roman" w:cs="Times New Roman"/>
          <w:b w:val="0"/>
          <w:bCs w:val="0"/>
          <w:color w:val="auto"/>
          <w:sz w:val="32"/>
          <w:szCs w:val="32"/>
          <w:highlight w:val="none"/>
          <w:shd w:val="clear" w:color="auto" w:fill="FFFFFF"/>
          <w:lang w:val="en-US" w:eastAsia="zh-CN"/>
        </w:rPr>
        <w:t>推动旅游道路、</w:t>
      </w:r>
      <w:r>
        <w:rPr>
          <w:rFonts w:hint="default" w:ascii="Times New Roman" w:hAnsi="Times New Roman" w:eastAsia="仿宋_GB2312" w:cs="Times New Roman"/>
          <w:b w:val="0"/>
          <w:bCs w:val="0"/>
          <w:color w:val="auto"/>
          <w:sz w:val="32"/>
          <w:szCs w:val="32"/>
          <w:highlight w:val="none"/>
          <w:shd w:val="clear" w:color="auto" w:fill="FFFFFF"/>
          <w:lang w:val="en-US" w:eastAsia="zh-CN"/>
        </w:rPr>
        <w:t>绿道慢行系统</w:t>
      </w:r>
      <w:r>
        <w:rPr>
          <w:rFonts w:hint="default" w:ascii="Times New Roman" w:hAnsi="Times New Roman" w:cs="Times New Roman"/>
          <w:b w:val="0"/>
          <w:bCs w:val="0"/>
          <w:color w:val="auto"/>
          <w:sz w:val="32"/>
          <w:szCs w:val="32"/>
          <w:highlight w:val="none"/>
          <w:shd w:val="clear" w:color="auto" w:fill="FFFFFF"/>
          <w:lang w:val="en-US" w:eastAsia="zh-CN"/>
        </w:rPr>
        <w:t>建设</w:t>
      </w:r>
      <w:r>
        <w:rPr>
          <w:rFonts w:hint="default" w:ascii="Times New Roman" w:hAnsi="Times New Roman" w:eastAsia="仿宋_GB2312" w:cs="Times New Roman"/>
          <w:b w:val="0"/>
          <w:bCs w:val="0"/>
          <w:color w:val="auto"/>
          <w:sz w:val="32"/>
          <w:szCs w:val="32"/>
          <w:highlight w:val="none"/>
          <w:shd w:val="clear" w:color="auto" w:fill="FFFFFF"/>
          <w:lang w:val="en-US" w:eastAsia="zh-CN"/>
        </w:rPr>
        <w:t>，提升旅游通达性与便利性。招商引资建设高等级景区</w:t>
      </w:r>
      <w:r>
        <w:rPr>
          <w:rFonts w:hint="default" w:ascii="Times New Roman" w:hAnsi="Times New Roman" w:cs="Times New Roman"/>
          <w:b w:val="0"/>
          <w:bCs w:val="0"/>
          <w:color w:val="auto"/>
          <w:sz w:val="32"/>
          <w:szCs w:val="32"/>
          <w:highlight w:val="none"/>
          <w:shd w:val="clear" w:color="auto" w:fill="FFFFFF"/>
          <w:lang w:val="en-US" w:eastAsia="zh-CN"/>
        </w:rPr>
        <w:t>，</w:t>
      </w:r>
      <w:r>
        <w:rPr>
          <w:rFonts w:hint="default" w:ascii="Times New Roman" w:hAnsi="Times New Roman" w:eastAsia="仿宋_GB2312" w:cs="Times New Roman"/>
          <w:b w:val="0"/>
          <w:bCs w:val="0"/>
          <w:color w:val="auto"/>
          <w:sz w:val="32"/>
          <w:szCs w:val="32"/>
          <w:highlight w:val="none"/>
          <w:shd w:val="clear" w:color="auto" w:fill="FFFFFF"/>
          <w:lang w:val="en-US" w:eastAsia="zh-CN"/>
        </w:rPr>
        <w:t>梯次推进县域景区A级创建，培育国家级和</w:t>
      </w:r>
      <w:r>
        <w:rPr>
          <w:rFonts w:hint="default" w:ascii="Times New Roman" w:hAnsi="Times New Roman" w:cs="Times New Roman"/>
          <w:b w:val="0"/>
          <w:bCs w:val="0"/>
          <w:color w:val="auto"/>
          <w:sz w:val="32"/>
          <w:szCs w:val="32"/>
          <w:highlight w:val="none"/>
          <w:shd w:val="clear" w:color="auto" w:fill="FFFFFF"/>
          <w:lang w:val="en-US" w:eastAsia="zh-CN"/>
        </w:rPr>
        <w:t>省</w:t>
      </w:r>
      <w:r>
        <w:rPr>
          <w:rFonts w:hint="default" w:ascii="Times New Roman" w:hAnsi="Times New Roman" w:eastAsia="仿宋_GB2312" w:cs="Times New Roman"/>
          <w:b w:val="0"/>
          <w:bCs w:val="0"/>
          <w:color w:val="auto"/>
          <w:sz w:val="32"/>
          <w:szCs w:val="32"/>
          <w:highlight w:val="none"/>
          <w:shd w:val="clear" w:color="auto" w:fill="FFFFFF"/>
          <w:lang w:val="en-US" w:eastAsia="zh-CN"/>
        </w:rPr>
        <w:t>级乡村旅游重点村</w:t>
      </w:r>
      <w:r>
        <w:rPr>
          <w:rFonts w:hint="default" w:ascii="Times New Roman" w:hAnsi="Times New Roman" w:cs="Times New Roman"/>
          <w:b w:val="0"/>
          <w:bCs w:val="0"/>
          <w:color w:val="auto"/>
          <w:sz w:val="32"/>
          <w:szCs w:val="32"/>
          <w:highlight w:val="none"/>
          <w:shd w:val="clear" w:color="auto" w:fill="FFFFFF"/>
          <w:lang w:val="en-US" w:eastAsia="zh-CN"/>
        </w:rPr>
        <w:t>，</w:t>
      </w:r>
      <w:r>
        <w:rPr>
          <w:rFonts w:hint="default" w:ascii="Times New Roman" w:hAnsi="Times New Roman" w:eastAsia="仿宋_GB2312" w:cs="Times New Roman"/>
          <w:b w:val="0"/>
          <w:bCs w:val="0"/>
          <w:color w:val="auto"/>
          <w:sz w:val="32"/>
          <w:szCs w:val="32"/>
          <w:highlight w:val="none"/>
          <w:shd w:val="clear" w:color="auto" w:fill="FFFFFF"/>
          <w:lang w:val="en-US" w:eastAsia="zh-CN"/>
        </w:rPr>
        <w:t>全面夯实全域旅游载体支撑。完善旅游基础设施，新建/改扩建一批A级旅游厕所，增设</w:t>
      </w:r>
      <w:r>
        <w:rPr>
          <w:rFonts w:hint="default" w:ascii="Times New Roman" w:hAnsi="Times New Roman" w:cs="Times New Roman"/>
          <w:color w:val="auto"/>
          <w:highlight w:val="none"/>
          <w:lang w:val="en-US" w:eastAsia="zh-CN"/>
        </w:rPr>
        <w:t>立体观</w:t>
      </w:r>
      <w:r>
        <w:rPr>
          <w:rFonts w:hint="default" w:ascii="Times New Roman" w:hAnsi="Times New Roman" w:eastAsia="仿宋_GB2312" w:cs="Times New Roman"/>
          <w:b w:val="0"/>
          <w:bCs w:val="0"/>
          <w:color w:val="auto"/>
          <w:sz w:val="32"/>
          <w:szCs w:val="32"/>
          <w:highlight w:val="none"/>
          <w:shd w:val="clear" w:color="auto" w:fill="FFFFFF"/>
          <w:lang w:val="en-US" w:eastAsia="zh-CN"/>
        </w:rPr>
        <w:t>景台、生态停车场、智慧导览系统及多语言标识，提升重点景区游客服务中心功能。实施住宿配套升级行动，推动主题精品酒店、特色民宿聚落建设。设计并推广岫岩文旅统一视觉识别系统，完成文旅LOGO设计并注册版权，应用于旅游标识、公共设施及宣传载体。推行服务标准化培训，建立游客满意度监测机制，打造</w:t>
      </w:r>
      <w:r>
        <w:rPr>
          <w:rFonts w:hint="default" w:ascii="Times New Roman" w:hAnsi="Times New Roman" w:cs="Times New Roman"/>
          <w:b w:val="0"/>
          <w:bCs w:val="0"/>
          <w:color w:val="auto"/>
          <w:sz w:val="32"/>
          <w:szCs w:val="32"/>
          <w:highlight w:val="none"/>
          <w:shd w:val="clear" w:color="auto" w:fill="FFFFFF"/>
          <w:lang w:val="en-US" w:eastAsia="zh-CN"/>
        </w:rPr>
        <w:t>“</w:t>
      </w:r>
      <w:r>
        <w:rPr>
          <w:rFonts w:hint="default" w:ascii="Times New Roman" w:hAnsi="Times New Roman" w:eastAsia="仿宋_GB2312" w:cs="Times New Roman"/>
          <w:b w:val="0"/>
          <w:bCs w:val="0"/>
          <w:color w:val="auto"/>
          <w:sz w:val="32"/>
          <w:szCs w:val="32"/>
          <w:highlight w:val="none"/>
          <w:shd w:val="clear" w:color="auto" w:fill="FFFFFF"/>
          <w:lang w:val="en-US" w:eastAsia="zh-CN"/>
        </w:rPr>
        <w:t>岫岩温度</w:t>
      </w:r>
      <w:r>
        <w:rPr>
          <w:rFonts w:hint="default" w:ascii="Times New Roman" w:hAnsi="Times New Roman" w:cs="Times New Roman"/>
          <w:b w:val="0"/>
          <w:bCs w:val="0"/>
          <w:color w:val="auto"/>
          <w:sz w:val="32"/>
          <w:szCs w:val="32"/>
          <w:highlight w:val="none"/>
          <w:shd w:val="clear" w:color="auto" w:fill="FFFFFF"/>
          <w:lang w:val="en-US" w:eastAsia="zh-CN"/>
        </w:rPr>
        <w:t>”</w:t>
      </w:r>
      <w:r>
        <w:rPr>
          <w:rFonts w:hint="default" w:ascii="Times New Roman" w:hAnsi="Times New Roman" w:eastAsia="仿宋_GB2312" w:cs="Times New Roman"/>
          <w:b w:val="0"/>
          <w:bCs w:val="0"/>
          <w:color w:val="auto"/>
          <w:sz w:val="32"/>
          <w:szCs w:val="32"/>
          <w:highlight w:val="none"/>
          <w:shd w:val="clear" w:color="auto" w:fill="FFFFFF"/>
          <w:lang w:val="en-US" w:eastAsia="zh-CN"/>
        </w:rPr>
        <w:t>服务品牌。</w:t>
      </w:r>
    </w:p>
    <w:p w14:paraId="2A251BB9">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完善智慧文旅生态网络。</w:t>
      </w:r>
      <w:r>
        <w:rPr>
          <w:rFonts w:hint="default" w:ascii="Times New Roman" w:hAnsi="Times New Roman" w:cs="Times New Roman"/>
          <w:color w:val="auto"/>
          <w:highlight w:val="none"/>
        </w:rPr>
        <w:t>构建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一云多端</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数字平台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玉见岫岩</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整合景区票务、酒店住宿、玉雕定制等功能于全域旅游APP，实现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一键预约、码上游岫</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运用VR/AR技术开发沉浸式体验项目，丰富数字文旅产品供给</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搭建文旅大数据中心，实时监测客源画像及消费行为，精准指导营销决策与业态调整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加快</w:t>
      </w:r>
      <w:r>
        <w:rPr>
          <w:rFonts w:hint="default" w:ascii="Times New Roman" w:hAnsi="Times New Roman" w:cs="Times New Roman"/>
          <w:color w:val="auto"/>
          <w:highlight w:val="none"/>
        </w:rPr>
        <w:t>布局5G基站覆盖核心景区，保障高速网络体验。</w:t>
      </w:r>
    </w:p>
    <w:p w14:paraId="2A8F6096">
      <w:pPr>
        <w:bidi w:val="0"/>
        <w:rPr>
          <w:rFonts w:hint="default" w:ascii="Times New Roman" w:hAnsi="Times New Roman" w:cs="Times New Roman"/>
          <w:color w:val="auto"/>
          <w:highlight w:val="none"/>
          <w:lang w:eastAsia="zh-CN"/>
        </w:rPr>
      </w:pPr>
      <w:r>
        <w:rPr>
          <w:rFonts w:hint="default" w:ascii="Times New Roman" w:hAnsi="Times New Roman" w:cs="Times New Roman"/>
          <w:b/>
          <w:bCs/>
          <w:color w:val="auto"/>
          <w:highlight w:val="none"/>
          <w:lang w:val="en-US" w:eastAsia="zh-CN"/>
        </w:rPr>
        <w:t>强化品牌营销市场开拓。</w:t>
      </w:r>
      <w:r>
        <w:rPr>
          <w:rFonts w:hint="default" w:ascii="Times New Roman" w:hAnsi="Times New Roman" w:cs="Times New Roman"/>
          <w:color w:val="auto"/>
          <w:highlight w:val="none"/>
        </w:rPr>
        <w:t>创新营销方式，拓展客源市场，全面提升岫岩旅游品牌影响力和市场竞争力。实施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线上引爆、线下联动、区域协同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营销战略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线上通过短视频平台打造热点话题，孵化本土文旅账</w:t>
      </w:r>
      <w:r>
        <w:rPr>
          <w:rFonts w:hint="default" w:ascii="Times New Roman" w:hAnsi="Times New Roman" w:cs="Times New Roman"/>
          <w:color w:val="auto"/>
          <w:highlight w:val="none"/>
          <w:lang w:val="en-US" w:eastAsia="zh-CN"/>
        </w:rPr>
        <w:t>号</w:t>
      </w:r>
      <w:r>
        <w:rPr>
          <w:rFonts w:hint="default" w:ascii="Times New Roman" w:hAnsi="Times New Roman" w:cs="Times New Roman"/>
          <w:color w:val="auto"/>
          <w:highlight w:val="none"/>
        </w:rPr>
        <w:t>，培育爆款视频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开展常态化文旅主题直播</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线下在沈大高铁沿线投放形象广告，在</w:t>
      </w:r>
      <w:r>
        <w:rPr>
          <w:rFonts w:hint="default" w:ascii="Times New Roman" w:hAnsi="Times New Roman" w:cs="Times New Roman"/>
          <w:color w:val="auto"/>
          <w:highlight w:val="none"/>
          <w:lang w:val="en-US" w:eastAsia="zh-CN"/>
        </w:rPr>
        <w:t>沈阳、大连和</w:t>
      </w:r>
      <w:r>
        <w:rPr>
          <w:rFonts w:hint="default" w:ascii="Times New Roman" w:hAnsi="Times New Roman" w:cs="Times New Roman"/>
          <w:color w:val="auto"/>
          <w:highlight w:val="none"/>
        </w:rPr>
        <w:t>北上广深</w:t>
      </w:r>
      <w:r>
        <w:rPr>
          <w:rFonts w:hint="default" w:ascii="Times New Roman" w:hAnsi="Times New Roman" w:cs="Times New Roman"/>
          <w:color w:val="auto"/>
          <w:highlight w:val="none"/>
          <w:lang w:val="en-US" w:eastAsia="zh-CN"/>
        </w:rPr>
        <w:t>等</w:t>
      </w:r>
      <w:r>
        <w:rPr>
          <w:rFonts w:hint="default" w:ascii="Times New Roman" w:hAnsi="Times New Roman" w:cs="Times New Roman"/>
          <w:color w:val="auto"/>
          <w:highlight w:val="none"/>
        </w:rPr>
        <w:t>城市举办专题推介会，重点推广</w:t>
      </w:r>
      <w:r>
        <w:rPr>
          <w:rFonts w:hint="default" w:ascii="Times New Roman" w:hAnsi="Times New Roman" w:cs="Times New Roman"/>
          <w:color w:val="auto"/>
          <w:highlight w:val="none"/>
          <w:lang w:val="en-US" w:eastAsia="zh-CN"/>
        </w:rPr>
        <w:t>国石之旅、满乡之旅</w:t>
      </w:r>
      <w:r>
        <w:rPr>
          <w:rFonts w:hint="default" w:ascii="Times New Roman" w:hAnsi="Times New Roman" w:cs="Times New Roman"/>
          <w:color w:val="auto"/>
          <w:highlight w:val="none"/>
        </w:rPr>
        <w:t>等特色产品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深化与携程、同程等OTA平台合作，上线</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寻玉之旅</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专题页面，推广</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玉博物馆+工坊体验+特色民宿</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等旅游套餐</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积极融入辽东半岛旅游圈，建立资源共享、客源互送的区域合作机制，不断拓展市场辐射范围</w:t>
      </w:r>
      <w:r>
        <w:rPr>
          <w:rFonts w:hint="default" w:ascii="Times New Roman" w:hAnsi="Times New Roman" w:cs="Times New Roman"/>
          <w:color w:val="auto"/>
          <w:highlight w:val="none"/>
          <w:lang w:eastAsia="zh-CN"/>
        </w:rPr>
        <w:t>。</w:t>
      </w:r>
    </w:p>
    <w:p w14:paraId="7400DE0A">
      <w:pPr>
        <w:pStyle w:val="4"/>
        <w:numPr>
          <w:ilvl w:val="0"/>
          <w:numId w:val="6"/>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积极发展新能源产业</w:t>
      </w:r>
    </w:p>
    <w:p w14:paraId="7B60FD76">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建设抽水蓄能</w:t>
      </w:r>
      <w:r>
        <w:rPr>
          <w:rFonts w:hint="default" w:ascii="Times New Roman" w:hAnsi="Times New Roman" w:cs="Times New Roman"/>
          <w:b/>
          <w:bCs/>
          <w:color w:val="auto"/>
          <w:highlight w:val="none"/>
          <w:lang w:val="en-US" w:eastAsia="zh-CN"/>
        </w:rPr>
        <w:t>工程</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立足岫岩山地地形优势，以龙潭抽水蓄能电站为建设重点，科学规划装机容量和库区布局，使其成为构建新型电力系统的关键支撑，显著提升电网调峰与新能源消纳能力。积极谋划和争取其他具备条件的抽水蓄能站点，拓展项目储备。探索</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抽蓄+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综合开发模式，在确保生态安全的前提下，规划建设库区水上光伏等项目，配套发展观光体验功能，打造集能源调节、生态保护与观光休闲于一体的综合性示范基地。</w:t>
      </w:r>
    </w:p>
    <w:p w14:paraId="673A239F">
      <w:pPr>
        <w:bidi w:val="0"/>
        <w:rPr>
          <w:rFonts w:hint="default" w:ascii="Times New Roman" w:hAnsi="Times New Roman" w:eastAsia="宋体" w:cs="Times New Roman"/>
          <w:color w:val="auto"/>
          <w:highlight w:val="none"/>
          <w:lang w:eastAsia="zh-CN"/>
        </w:rPr>
      </w:pPr>
      <w:r>
        <w:rPr>
          <w:rFonts w:hint="default" w:ascii="Times New Roman" w:hAnsi="Times New Roman" w:cs="Times New Roman"/>
          <w:b/>
          <w:bCs/>
          <w:color w:val="auto"/>
          <w:highlight w:val="none"/>
          <w:lang w:val="en-US" w:eastAsia="zh-CN"/>
        </w:rPr>
        <w:t>延伸</w:t>
      </w:r>
      <w:r>
        <w:rPr>
          <w:rFonts w:hint="default" w:ascii="Times New Roman" w:hAnsi="Times New Roman" w:cs="Times New Roman"/>
          <w:b/>
          <w:bCs/>
          <w:color w:val="auto"/>
          <w:highlight w:val="none"/>
        </w:rPr>
        <w:t>风电</w:t>
      </w:r>
      <w:r>
        <w:rPr>
          <w:rFonts w:hint="default" w:ascii="Times New Roman" w:hAnsi="Times New Roman" w:cs="Times New Roman"/>
          <w:b/>
          <w:bCs/>
          <w:color w:val="auto"/>
          <w:highlight w:val="none"/>
          <w:lang w:val="en-US" w:eastAsia="zh-CN"/>
        </w:rPr>
        <w:t>产业链条</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lang w:val="en-US" w:eastAsia="zh-CN"/>
        </w:rPr>
        <w:t>以</w:t>
      </w:r>
      <w:r>
        <w:rPr>
          <w:rFonts w:hint="default" w:ascii="Times New Roman" w:hAnsi="Times New Roman" w:cs="Times New Roman"/>
          <w:color w:val="auto"/>
          <w:highlight w:val="none"/>
        </w:rPr>
        <w:t>三峡风电项目全容量并网为核心抓手</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构建集开发、制造、运维于一体的全产业链体系</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依托鞍钢集团原材料优势，积极引进风电塔筒制造与机舱罩生产等配套产业，推动风电装备制造本地化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积极谋划与新能源装备协同的绿色交通装备制造项目，拓展产业新领域。拓展叶片维护、智能监测</w:t>
      </w:r>
      <w:r>
        <w:rPr>
          <w:rFonts w:hint="default" w:ascii="Times New Roman" w:hAnsi="Times New Roman" w:cs="Times New Roman"/>
          <w:color w:val="auto"/>
          <w:highlight w:val="none"/>
          <w:lang w:val="en-US" w:eastAsia="zh-CN"/>
        </w:rPr>
        <w:t>等</w:t>
      </w:r>
      <w:r>
        <w:rPr>
          <w:rFonts w:hint="default" w:ascii="Times New Roman" w:hAnsi="Times New Roman" w:cs="Times New Roman"/>
          <w:color w:val="auto"/>
          <w:highlight w:val="none"/>
        </w:rPr>
        <w:t>区域性运维服务市场，培育专业化技术团队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推动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风电+储能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融合发展</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支撑</w:t>
      </w:r>
      <w:r>
        <w:rPr>
          <w:rFonts w:hint="default" w:ascii="Times New Roman" w:hAnsi="Times New Roman" w:cs="Times New Roman"/>
          <w:color w:val="auto"/>
          <w:highlight w:val="none"/>
        </w:rPr>
        <w:t>本地产业绿色转型</w:t>
      </w:r>
      <w:r>
        <w:rPr>
          <w:rFonts w:hint="default" w:ascii="Times New Roman" w:hAnsi="Times New Roman" w:cs="Times New Roman"/>
          <w:color w:val="auto"/>
          <w:highlight w:val="none"/>
          <w:lang w:eastAsia="zh-CN"/>
        </w:rPr>
        <w:t>。</w:t>
      </w:r>
    </w:p>
    <w:p w14:paraId="20ECE52A">
      <w:pPr>
        <w:bidi w:val="0"/>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bCs/>
          <w:color w:val="auto"/>
          <w:highlight w:val="none"/>
        </w:rPr>
        <w:t>布局光伏多</w:t>
      </w:r>
      <w:r>
        <w:rPr>
          <w:rFonts w:hint="default" w:ascii="Times New Roman" w:hAnsi="Times New Roman" w:cs="Times New Roman"/>
          <w:b/>
          <w:bCs/>
          <w:color w:val="auto"/>
          <w:highlight w:val="none"/>
          <w:lang w:val="en-US" w:eastAsia="zh-CN"/>
        </w:rPr>
        <w:t>源</w:t>
      </w:r>
      <w:r>
        <w:rPr>
          <w:rFonts w:hint="default" w:ascii="Times New Roman" w:hAnsi="Times New Roman" w:cs="Times New Roman"/>
          <w:b/>
          <w:bCs/>
          <w:color w:val="auto"/>
          <w:highlight w:val="none"/>
        </w:rPr>
        <w:t>发电</w:t>
      </w:r>
      <w:r>
        <w:rPr>
          <w:rFonts w:hint="default" w:ascii="Times New Roman" w:hAnsi="Times New Roman" w:cs="Times New Roman"/>
          <w:b/>
          <w:bCs/>
          <w:color w:val="auto"/>
          <w:highlight w:val="none"/>
          <w:lang w:eastAsia="zh-CN"/>
        </w:rPr>
        <w:t>。</w:t>
      </w:r>
      <w:r>
        <w:rPr>
          <w:rFonts w:hint="default" w:ascii="Times New Roman" w:hAnsi="Times New Roman" w:cs="Times New Roman"/>
          <w:b w:val="0"/>
          <w:bCs w:val="0"/>
          <w:color w:val="auto"/>
          <w:highlight w:val="none"/>
        </w:rPr>
        <w:t>科学推进光伏项目建设，重点利用工矿废弃地探索“光伏+生态修复”模式，推动历史遗留矿山治理与新能源开发深度融合</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以设施农业用地为载体，规模化发展农光互补项目，实现土地复合利用与农业增收双赢。以屋顶光伏为核心，加快整县分布式光伏开发，优先覆盖党政机关、公共建筑、工商业厂房及农村居民屋顶，同步配套智能微电网设施</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创新应用场景，在交通枢纽、物流园区建设光伏车棚，探索</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光伏+冷链仓储</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一体化模式，提升绿电消纳与产业协同效益。</w:t>
      </w:r>
    </w:p>
    <w:p w14:paraId="1E4E3DC1">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应用新型储能技术。</w:t>
      </w:r>
      <w:r>
        <w:rPr>
          <w:rFonts w:hint="default" w:ascii="Times New Roman" w:hAnsi="Times New Roman" w:cs="Times New Roman"/>
          <w:color w:val="auto"/>
          <w:highlight w:val="none"/>
          <w:lang w:val="en-US" w:eastAsia="zh-CN"/>
        </w:rPr>
        <w:t>在新能源电站集中区配套建设磷酸铁锂储能电站，重点解决日内调峰需求。试点应用飞轮储能等短时高频调节技术，与锂电池系统形成优势互补。完善市场化运营机制，推行“峰谷电价+需求响应”模式，鼓励高耗能企业建设用户侧储能设施。加强与国央企和科研院所技术合作，开展飞轮-锂电池混合储能系统示范，提升电网调节灵活性。</w:t>
      </w:r>
    </w:p>
    <w:p w14:paraId="7B790B9A">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加快绿色能源应用推广。</w:t>
      </w:r>
      <w:r>
        <w:rPr>
          <w:rFonts w:hint="default" w:ascii="Times New Roman" w:hAnsi="Times New Roman" w:cs="Times New Roman"/>
          <w:color w:val="auto"/>
          <w:highlight w:val="none"/>
          <w:lang w:val="en-US" w:eastAsia="zh-CN"/>
        </w:rPr>
        <w:t>积极拓展本地绿电应用场景，结合岫岩玉、镁制品等特色产业物流运输需求，重点推动新能源重卡在工矿物资短驳运输领域的示范应用，配套规划建设光储充换一体化补给设施。推动工业领域绿色化转型，引导企业规模化使用绿电，提升产品绿色竞争力。探索推进绿电直供模式，支持大型工矿企业、数据中心等优先与本地新能源电站对接，通过专线供电、隔墙售电等方式直接消纳绿色电力，降低企业用能成本，提升本地绿电消纳水平。</w:t>
      </w:r>
    </w:p>
    <w:p w14:paraId="16B0FD54">
      <w:pPr>
        <w:pStyle w:val="3"/>
        <w:keepNext/>
        <w:keepLines/>
        <w:pageBreakBefore w:val="0"/>
        <w:widowControl w:val="0"/>
        <w:numPr>
          <w:ilvl w:val="0"/>
          <w:numId w:val="5"/>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rPr>
      </w:pPr>
      <w:bookmarkStart w:id="18" w:name="_Toc2469"/>
      <w:bookmarkStart w:id="19" w:name="_Toc12541"/>
      <w:r>
        <w:rPr>
          <w:rFonts w:hint="default" w:ascii="Times New Roman" w:hAnsi="Times New Roman" w:cs="Times New Roman"/>
          <w:b/>
          <w:bCs w:val="0"/>
          <w:color w:val="auto"/>
          <w:highlight w:val="none"/>
          <w:lang w:val="en-US" w:eastAsia="zh-CN"/>
        </w:rPr>
        <w:t>拓展前沿技术赋能场景</w:t>
      </w:r>
      <w:bookmarkEnd w:id="18"/>
    </w:p>
    <w:p w14:paraId="156EFE60">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把握科技革命与产业变革趋势，以场景创新为牵引，推动前沿技术与县域特色产业深度融合。重点发展低空经济等具有高成长性的未来产业，深化人工智能、大数据等通用技术的融合应用，通过技术赋能、业态孵化与模式创新，为经济长远发展注入新动能、开辟新赛道。</w:t>
      </w:r>
    </w:p>
    <w:p w14:paraId="05FE2FC3">
      <w:pPr>
        <w:pStyle w:val="4"/>
        <w:numPr>
          <w:ilvl w:val="0"/>
          <w:numId w:val="7"/>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激活数字经济核心动能</w:t>
      </w:r>
    </w:p>
    <w:p w14:paraId="43793DA6">
      <w:pPr>
        <w:rPr>
          <w:rFonts w:hint="default" w:ascii="Times New Roman" w:hAnsi="Times New Roman" w:cs="Times New Roman"/>
          <w:color w:val="auto"/>
          <w:highlight w:val="none"/>
        </w:rPr>
      </w:pPr>
      <w:r>
        <w:rPr>
          <w:rFonts w:hint="default" w:ascii="Times New Roman" w:hAnsi="Times New Roman" w:cs="Times New Roman"/>
          <w:b/>
          <w:bCs/>
          <w:color w:val="auto"/>
          <w:highlight w:val="none"/>
        </w:rPr>
        <w:t>推动产业数字化转型升级</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在工业领域，深化工业互联网在菱镁、装备制造等主导产业研发设计、生产制造、经营管理等环节的融合应用，打造“智慧菱镁”大数据监测平台，实现能耗监控、环保监测、安全预警等功能的智能管控。</w:t>
      </w:r>
      <w:r>
        <w:rPr>
          <w:rFonts w:hint="default" w:ascii="Times New Roman" w:hAnsi="Times New Roman" w:cs="Times New Roman"/>
          <w:color w:val="auto"/>
          <w:highlight w:val="none"/>
          <w:lang w:val="en-US" w:eastAsia="zh-CN"/>
        </w:rPr>
        <w:t>在</w:t>
      </w:r>
      <w:r>
        <w:rPr>
          <w:rFonts w:hint="default" w:ascii="Times New Roman" w:hAnsi="Times New Roman" w:cs="Times New Roman"/>
          <w:color w:val="auto"/>
          <w:highlight w:val="none"/>
        </w:rPr>
        <w:t>玉石产业</w:t>
      </w:r>
      <w:r>
        <w:rPr>
          <w:rFonts w:hint="default" w:ascii="Times New Roman" w:hAnsi="Times New Roman" w:cs="Times New Roman"/>
          <w:color w:val="auto"/>
          <w:highlight w:val="none"/>
          <w:lang w:val="en-US" w:eastAsia="zh-CN"/>
        </w:rPr>
        <w:t>领域</w:t>
      </w:r>
      <w:r>
        <w:rPr>
          <w:rFonts w:hint="default" w:ascii="Times New Roman" w:hAnsi="Times New Roman" w:cs="Times New Roman"/>
          <w:color w:val="auto"/>
          <w:highlight w:val="none"/>
        </w:rPr>
        <w:t>，加快推进设计智能化与溯源可信化转型，建设玉雕三维数字化设计平台，深化区块链技术在矿源勘探、加工流通、防伪鉴证等环节的应用，构建全生命周期可信溯源体系</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积极拓展“5G+电商直播”“VR</w:t>
      </w:r>
      <w:r>
        <w:rPr>
          <w:rFonts w:hint="eastAsia" w:ascii="Times New Roman" w:hAnsi="Times New Roman" w:cs="Times New Roman"/>
          <w:color w:val="auto"/>
          <w:highlight w:val="none"/>
          <w:lang w:val="en-US" w:eastAsia="zh-CN"/>
        </w:rPr>
        <w:t>虚拟</w:t>
      </w:r>
      <w:r>
        <w:rPr>
          <w:rFonts w:hint="default" w:ascii="Times New Roman" w:hAnsi="Times New Roman" w:cs="Times New Roman"/>
          <w:color w:val="auto"/>
          <w:highlight w:val="none"/>
        </w:rPr>
        <w:t>展厅”等创新模式。在农业领域，重点推动食用菌、柞蚕等特色产业全链条数字化升级，建设智慧农业示范基地，推广物联网技术。在文旅领域，建设全域旅游大数据平台，开发AR导览、数字孪生景区等应用，有序引入低空经济等新业态。</w:t>
      </w:r>
    </w:p>
    <w:p w14:paraId="0AC041BF">
      <w:pPr>
        <w:rPr>
          <w:rFonts w:hint="default" w:ascii="Times New Roman" w:hAnsi="Times New Roman" w:cs="Times New Roman"/>
          <w:color w:val="auto"/>
          <w:highlight w:val="none"/>
        </w:rPr>
      </w:pPr>
      <w:r>
        <w:rPr>
          <w:rFonts w:hint="default" w:ascii="Times New Roman" w:hAnsi="Times New Roman" w:cs="Times New Roman"/>
          <w:b/>
          <w:bCs/>
          <w:color w:val="auto"/>
          <w:highlight w:val="none"/>
        </w:rPr>
        <w:t>培育数字产业化新动能</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强化技术承接与场景孵化，培育壮大县域数字经济新增长点。着力发展特色数字内容产业，依托玉文化、满族非遗等特色资源，搭建玉雕数字设计公共服务平台，推动非遗IP数字化转化与开发，探索“区块链+玉石艺术品”数字资产交易创新试点。积极培育数字技术服务业，承接鞍山市工业软件、人工智能等产业外溢，鼓励本地企业开展智慧农业装备研发、文旅大数据分析等垂直领域技术服务；支持电商服务商、云服务商向乡村延伸，建设数字经济孵化器，吸引社会资本参与智慧矿山、低空经济等场景创新。</w:t>
      </w:r>
    </w:p>
    <w:p w14:paraId="0FDD0F4F">
      <w:pPr>
        <w:rPr>
          <w:rFonts w:hint="default" w:ascii="Times New Roman" w:hAnsi="Times New Roman" w:cs="Times New Roman"/>
          <w:color w:val="auto"/>
          <w:highlight w:val="none"/>
        </w:rPr>
      </w:pPr>
      <w:r>
        <w:rPr>
          <w:rFonts w:hint="default" w:ascii="Times New Roman" w:hAnsi="Times New Roman" w:cs="Times New Roman"/>
          <w:b/>
          <w:bCs/>
          <w:color w:val="auto"/>
          <w:highlight w:val="none"/>
        </w:rPr>
        <w:t>深化区域协同与数据要素流通</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积极融入区域数字经济发展格局。对接省级战略平台，深度融入辽宁“一圈一带两区”区域布局，推动岫岩玉石溯源平台、农业大数据中心等接入省工业互联网标识解析体系，实现数据互联互通。深化鞍岫产业协同，合作共建数字经济园区，承接装备制造数字化外延项目；联合沈阳、鞍山等地高校设立产学研基地，构建“研发在鞍、应用在岫”的协同发展机制。同时，积极探索数据要素市场化流通，推动建立玉石产业数据交易平台，促进矿源储量、工艺标准、市场流通等数据资源合规流通与价值转化；参与辽宁省数据要素市场化配置改革试点，争取公共数据授权运营政策支持。</w:t>
      </w:r>
    </w:p>
    <w:p w14:paraId="343AABA1">
      <w:pPr>
        <w:pStyle w:val="4"/>
        <w:numPr>
          <w:ilvl w:val="0"/>
          <w:numId w:val="7"/>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培育人工智能创新引擎</w:t>
      </w:r>
    </w:p>
    <w:p w14:paraId="30D47A0F">
      <w:pPr>
        <w:rPr>
          <w:rFonts w:hint="default" w:ascii="Times New Roman" w:hAnsi="Times New Roman" w:cs="Times New Roman"/>
          <w:color w:val="auto"/>
          <w:highlight w:val="none"/>
        </w:rPr>
      </w:pPr>
      <w:r>
        <w:rPr>
          <w:rFonts w:hint="default" w:ascii="Times New Roman" w:hAnsi="Times New Roman" w:cs="Times New Roman"/>
          <w:b/>
          <w:bCs/>
          <w:color w:val="auto"/>
          <w:highlight w:val="none"/>
        </w:rPr>
        <w:t>赋能特色优势产业</w:t>
      </w:r>
      <w:r>
        <w:rPr>
          <w:rFonts w:hint="default" w:ascii="Times New Roman" w:hAnsi="Times New Roman" w:cs="Times New Roman"/>
          <w:b/>
          <w:bCs/>
          <w:color w:val="auto"/>
          <w:highlight w:val="none"/>
          <w:lang w:val="en-US" w:eastAsia="zh-CN"/>
        </w:rPr>
        <w:t>智能化</w:t>
      </w:r>
      <w:r>
        <w:rPr>
          <w:rFonts w:hint="default" w:ascii="Times New Roman" w:hAnsi="Times New Roman" w:cs="Times New Roman"/>
          <w:b/>
          <w:bCs/>
          <w:color w:val="auto"/>
          <w:highlight w:val="none"/>
        </w:rPr>
        <w:t>转型。</w:t>
      </w:r>
      <w:r>
        <w:rPr>
          <w:rFonts w:hint="default" w:ascii="Times New Roman" w:hAnsi="Times New Roman" w:cs="Times New Roman"/>
          <w:b w:val="0"/>
          <w:bCs w:val="0"/>
          <w:color w:val="auto"/>
          <w:highlight w:val="none"/>
        </w:rPr>
        <w:t>在玉文化产业领域，重点推动人工智能技术在玉石智能检测分级、个性化设计定制与虚拟展示营销等环节的应用，</w:t>
      </w:r>
      <w:r>
        <w:rPr>
          <w:rFonts w:hint="default" w:ascii="Times New Roman" w:hAnsi="Times New Roman" w:cs="Times New Roman"/>
          <w:b w:val="0"/>
          <w:bCs w:val="0"/>
          <w:color w:val="auto"/>
          <w:highlight w:val="none"/>
          <w:lang w:val="en-US" w:eastAsia="zh-CN"/>
        </w:rPr>
        <w:t>支持</w:t>
      </w:r>
      <w:r>
        <w:rPr>
          <w:rFonts w:hint="default" w:ascii="Times New Roman" w:hAnsi="Times New Roman" w:cs="Times New Roman"/>
          <w:b w:val="0"/>
          <w:bCs w:val="0"/>
          <w:color w:val="auto"/>
          <w:highlight w:val="none"/>
        </w:rPr>
        <w:t>建设玉器人工智能质检平台，实现玉石智能检测与精准分级</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探索AI辅助个性化设计，提升设计创新效率</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在现代农业领域，着力构建智慧农业管理平台，推动人工智能、物联网技术与农业生产全过程深度融合</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利用AI图像识别技术实现病虫害实时预警；推广大马力智能农机装备，开展精准作业试点</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在传统制造业领域，鼓励企业在关键生产线上部署传感设备，推广应用机器视觉进行产品表面缺陷自动检测，利用AI算法优化生产工艺与能耗管理，提升生产安全与能效水平。</w:t>
      </w:r>
    </w:p>
    <w:p w14:paraId="11DC4391">
      <w:pPr>
        <w:rPr>
          <w:rFonts w:hint="default" w:ascii="Times New Roman" w:hAnsi="Times New Roman" w:cs="Times New Roman"/>
          <w:color w:val="auto"/>
          <w:highlight w:val="none"/>
        </w:rPr>
      </w:pPr>
      <w:r>
        <w:rPr>
          <w:rFonts w:hint="default" w:ascii="Times New Roman" w:hAnsi="Times New Roman" w:cs="Times New Roman"/>
          <w:b/>
          <w:bCs/>
          <w:color w:val="auto"/>
          <w:highlight w:val="none"/>
        </w:rPr>
        <w:t>拓展智慧治理与民生服务场景。</w:t>
      </w:r>
      <w:r>
        <w:rPr>
          <w:rFonts w:hint="default" w:ascii="Times New Roman" w:hAnsi="Times New Roman" w:cs="Times New Roman"/>
          <w:color w:val="auto"/>
          <w:highlight w:val="none"/>
        </w:rPr>
        <w:t>提升城市治理智能化水平，探索利用人工智能视频分析技术加强市容环境管理、交通疏导优化以及森林防火与地质灾害隐患智能监测预警。优化政务服务体验，推广智能客服系统，探索人工智能辅助行政审批，提高办事效率与便捷度。创新智慧民生服务，支持教育、医疗等领域引入人工智能辅助教学工具、影像诊断辅助系统、远程健康咨询等应用，提升公共服务可及性与质量。推动旅游景区智慧导览与客流管理应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以智能化应用催生面向未来的服务新模式。</w:t>
      </w:r>
    </w:p>
    <w:p w14:paraId="5612C209">
      <w:pPr>
        <w:pStyle w:val="4"/>
        <w:numPr>
          <w:ilvl w:val="0"/>
          <w:numId w:val="7"/>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布局低空经济应用场景</w:t>
      </w:r>
    </w:p>
    <w:p w14:paraId="2A4DBBF5">
      <w:pPr>
        <w:rPr>
          <w:rFonts w:hint="default" w:ascii="Times New Roman" w:hAnsi="Times New Roman" w:cs="Times New Roman"/>
          <w:b/>
          <w:bCs/>
          <w:color w:val="auto"/>
          <w:highlight w:val="none"/>
          <w:lang w:eastAsia="zh-CN"/>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低空+文旅</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融合发展</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lang w:val="en-US" w:eastAsia="zh-CN"/>
        </w:rPr>
        <w:t>依托岫岩独特的玉石文化资源和山水生态本底，围绕大洋河文旅综合开发项目，规划低空旅游精品航线，引入热气球观光、直升机俯瞰玉都等体验项目，同步举办无人机</w:t>
      </w:r>
      <w:r>
        <w:rPr>
          <w:rFonts w:hint="eastAsia" w:ascii="Times New Roman" w:hAnsi="Times New Roman" w:cs="Times New Roman"/>
          <w:color w:val="auto"/>
          <w:highlight w:val="none"/>
          <w:lang w:val="en-US" w:eastAsia="zh-CN"/>
        </w:rPr>
        <w:t>表演</w:t>
      </w:r>
      <w:r>
        <w:rPr>
          <w:rFonts w:hint="default" w:ascii="Times New Roman" w:hAnsi="Times New Roman" w:cs="Times New Roman"/>
          <w:color w:val="auto"/>
          <w:highlight w:val="none"/>
          <w:lang w:val="en-US" w:eastAsia="zh-CN"/>
        </w:rPr>
        <w:t>、低空摄影大赛等新兴业态活动。以哈达碑镇滑翔伞基地为核心载体，积极举办高水平滑翔赛事，打造集“滑翔体验、空中观光、地面休闲”于一体的文旅新业态，完善低空旅游配套设施与服务能力。</w:t>
      </w:r>
    </w:p>
    <w:p w14:paraId="0E568093">
      <w:pPr>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低空+农业</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提质增效</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lang w:val="en-US" w:eastAsia="zh-CN"/>
        </w:rPr>
        <w:t>以无人机植保、农情监测、精准作业为核心抓手，推动传统农业向智慧农业转型。重点突破山地丘陵地区农机应用瓶颈，规模化推广病虫害统防统治、多光谱苗情诊断、变量施肥播种等低空服务，实现病虫害防治与土壤墒情监测精准化。构建县域农业低空大数据平台，实现耕地墒情、作物长势、灾害风险的动态感知与智能决策。</w:t>
      </w:r>
    </w:p>
    <w:p w14:paraId="38A32C1B">
      <w:pPr>
        <w:rPr>
          <w:rFonts w:hint="default" w:ascii="Times New Roman" w:hAnsi="Times New Roman" w:cs="Times New Roman"/>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低空+应急</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能力提升</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整合</w:t>
      </w:r>
      <w:r>
        <w:rPr>
          <w:rFonts w:hint="default" w:ascii="Times New Roman" w:hAnsi="Times New Roman" w:cs="Times New Roman"/>
          <w:color w:val="auto"/>
          <w:highlight w:val="none"/>
          <w:lang w:val="en-US" w:eastAsia="zh-CN"/>
        </w:rPr>
        <w:t>应急、</w:t>
      </w:r>
      <w:r>
        <w:rPr>
          <w:rFonts w:hint="default" w:ascii="Times New Roman" w:hAnsi="Times New Roman" w:cs="Times New Roman"/>
          <w:color w:val="auto"/>
          <w:highlight w:val="none"/>
        </w:rPr>
        <w:t>消防、医疗、公安</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林业</w:t>
      </w:r>
      <w:r>
        <w:rPr>
          <w:rFonts w:hint="default" w:ascii="Times New Roman" w:hAnsi="Times New Roman" w:cs="Times New Roman"/>
          <w:color w:val="auto"/>
          <w:highlight w:val="none"/>
        </w:rPr>
        <w:t>等</w:t>
      </w:r>
      <w:r>
        <w:rPr>
          <w:rFonts w:hint="default" w:ascii="Times New Roman" w:hAnsi="Times New Roman" w:cs="Times New Roman"/>
          <w:color w:val="auto"/>
          <w:highlight w:val="none"/>
          <w:lang w:val="en-US" w:eastAsia="zh-CN"/>
        </w:rPr>
        <w:t>部门</w:t>
      </w:r>
      <w:r>
        <w:rPr>
          <w:rFonts w:hint="default" w:ascii="Times New Roman" w:hAnsi="Times New Roman" w:cs="Times New Roman"/>
          <w:color w:val="auto"/>
          <w:highlight w:val="none"/>
        </w:rPr>
        <w:t>力量，</w:t>
      </w:r>
      <w:r>
        <w:rPr>
          <w:rFonts w:hint="default" w:ascii="Times New Roman" w:hAnsi="Times New Roman" w:cs="Times New Roman"/>
          <w:color w:val="auto"/>
          <w:highlight w:val="none"/>
          <w:lang w:val="en-US" w:eastAsia="zh-CN"/>
        </w:rPr>
        <w:t>推动</w:t>
      </w:r>
      <w:r>
        <w:rPr>
          <w:rFonts w:hint="default" w:ascii="Times New Roman" w:hAnsi="Times New Roman" w:cs="Times New Roman"/>
          <w:color w:val="auto"/>
          <w:highlight w:val="none"/>
        </w:rPr>
        <w:t>建立低空应急救援指挥中心，</w:t>
      </w:r>
      <w:r>
        <w:rPr>
          <w:rFonts w:hint="default" w:ascii="Times New Roman" w:hAnsi="Times New Roman" w:cs="Times New Roman"/>
          <w:color w:val="auto"/>
          <w:highlight w:val="none"/>
          <w:lang w:val="en-US" w:eastAsia="zh-CN"/>
        </w:rPr>
        <w:t>构建“统一指挥、协同联动、平战结合”的运营机制。配备侦查、抛投、物流等专业无人机系统，制定覆盖全域全灾种的响应预案。推动低空资源在日常巡检、安全防控等领域广泛应用，并通过常态化演练提升实战能力，最终形成“快速响应、精准救援、高效保障”的现代化低空应急救援体系。</w:t>
      </w:r>
    </w:p>
    <w:p w14:paraId="277904AA">
      <w:pPr>
        <w:rPr>
          <w:rFonts w:hint="default" w:ascii="Times New Roman" w:hAnsi="Times New Roman" w:cs="Times New Roman"/>
          <w:color w:val="auto"/>
          <w:highlight w:val="none"/>
        </w:rPr>
      </w:pPr>
      <w:r>
        <w:rPr>
          <w:rFonts w:hint="default" w:ascii="Times New Roman" w:hAnsi="Times New Roman" w:cs="Times New Roman"/>
          <w:b/>
          <w:bCs/>
          <w:color w:val="auto"/>
          <w:highlight w:val="none"/>
          <w:lang w:val="en-US" w:eastAsia="zh-CN"/>
        </w:rPr>
        <w:t>“低空+物流”畅通城乡。</w:t>
      </w:r>
      <w:r>
        <w:rPr>
          <w:rFonts w:hint="default" w:ascii="Times New Roman" w:hAnsi="Times New Roman" w:cs="Times New Roman"/>
          <w:color w:val="auto"/>
          <w:highlight w:val="none"/>
        </w:rPr>
        <w:t>结合岫岩山区地形特征、偏远乡村分布和特色产品外运需求，依托县域物流配送中心及电商园区，规划布局县乡村三级低空物流配送网络。重点发展生鲜冷链农产品、医药急救品、高时效电商包裹</w:t>
      </w:r>
      <w:r>
        <w:rPr>
          <w:rFonts w:hint="default" w:ascii="Times New Roman" w:hAnsi="Times New Roman" w:cs="Times New Roman"/>
          <w:color w:val="auto"/>
          <w:highlight w:val="none"/>
          <w:lang w:val="en-US" w:eastAsia="zh-CN"/>
        </w:rPr>
        <w:t>等</w:t>
      </w:r>
      <w:r>
        <w:rPr>
          <w:rFonts w:hint="default" w:ascii="Times New Roman" w:hAnsi="Times New Roman" w:cs="Times New Roman"/>
          <w:color w:val="auto"/>
          <w:highlight w:val="none"/>
        </w:rPr>
        <w:t>无人机配送服务，破解农村末端物流瓶颈，降低综合物流成本，提升城乡流通效率，支撑乡村振兴与特色产业升级。</w:t>
      </w:r>
    </w:p>
    <w:p w14:paraId="4C097030">
      <w:pPr>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低空+生态</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智慧监管。</w:t>
      </w:r>
      <w:r>
        <w:rPr>
          <w:rFonts w:hint="default" w:ascii="Times New Roman" w:hAnsi="Times New Roman" w:cs="Times New Roman"/>
          <w:color w:val="auto"/>
          <w:highlight w:val="none"/>
        </w:rPr>
        <w:t>针对水源涵养区、公益林、自然保护区及矿山生态修复区等关键区域，推广无人机空天地一体化生态监测应用。重点开展森林防火、水源地水质动态监控、有害生物监测、矿山生态修复跟踪、水土流失巡查、生物多样性调查及违法违规行为快速巡查取证，构建高效精准的生态监测预警体系，增强生态保护监管与治理能力。</w:t>
      </w:r>
    </w:p>
    <w:p w14:paraId="0AC8B6F6">
      <w:pPr>
        <w:rPr>
          <w:rFonts w:hint="default" w:ascii="Times New Roman" w:hAnsi="Times New Roman" w:cs="Times New Roman"/>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低空+水利</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精准感知。</w:t>
      </w:r>
      <w:r>
        <w:rPr>
          <w:rFonts w:hint="default" w:ascii="Times New Roman" w:hAnsi="Times New Roman" w:cs="Times New Roman"/>
          <w:color w:val="auto"/>
          <w:highlight w:val="none"/>
        </w:rPr>
        <w:t>围绕大洋河等重点水域及水利工程设施，推进无人机技术在水旱灾害防御、堤防安全排查与监督巡查执法等关键环节的应用。重点强化汛期防洪中的水文监测与应急预警能力，提升对水库、堤防等工程设施的日常巡查与风险排查效率，支撑对非法侵占水域岸线等行为的动态巡查与执法监督。通过低空技术实现高效、精准的数据获取，为防汛减灾和水利监管提供切实技术支撑，助力保障区域水安全。</w:t>
      </w:r>
    </w:p>
    <w:p w14:paraId="32E10DE6">
      <w:pPr>
        <w:pStyle w:val="3"/>
        <w:keepNext/>
        <w:keepLines/>
        <w:pageBreakBefore w:val="0"/>
        <w:widowControl w:val="0"/>
        <w:numPr>
          <w:ilvl w:val="0"/>
          <w:numId w:val="5"/>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rPr>
      </w:pPr>
      <w:bookmarkStart w:id="20" w:name="_Toc13982"/>
      <w:r>
        <w:rPr>
          <w:rFonts w:hint="default" w:ascii="Times New Roman" w:hAnsi="Times New Roman" w:cs="Times New Roman"/>
          <w:b/>
          <w:bCs w:val="0"/>
          <w:color w:val="auto"/>
          <w:highlight w:val="none"/>
          <w:lang w:val="en-US" w:eastAsia="zh-CN"/>
        </w:rPr>
        <w:t>提升</w:t>
      </w:r>
      <w:r>
        <w:rPr>
          <w:rFonts w:hint="default" w:ascii="Times New Roman" w:hAnsi="Times New Roman" w:eastAsia="楷体_GB2312" w:cs="Times New Roman"/>
          <w:b/>
          <w:bCs w:val="0"/>
          <w:color w:val="auto"/>
          <w:highlight w:val="none"/>
        </w:rPr>
        <w:t>现代服务</w:t>
      </w:r>
      <w:bookmarkEnd w:id="19"/>
      <w:r>
        <w:rPr>
          <w:rFonts w:hint="default" w:ascii="Times New Roman" w:hAnsi="Times New Roman" w:cs="Times New Roman"/>
          <w:b/>
          <w:bCs w:val="0"/>
          <w:color w:val="auto"/>
          <w:highlight w:val="none"/>
          <w:lang w:val="en-US" w:eastAsia="zh-CN"/>
        </w:rPr>
        <w:t>业水平</w:t>
      </w:r>
      <w:bookmarkEnd w:id="20"/>
    </w:p>
    <w:p w14:paraId="27D2EE36">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坚持把扩大内需、提振消费作为构建现代服务业的出发点和落脚点。以现代商贸业为载体，以现代物流为动脉，以现代金融为活水，以电子商务为引擎，四轮驱动，共同服务于消费提质扩容的核心目标，塑造岫岩经济发展新优势。</w:t>
      </w:r>
    </w:p>
    <w:p w14:paraId="179E9A85">
      <w:pPr>
        <w:pStyle w:val="4"/>
        <w:numPr>
          <w:ilvl w:val="0"/>
          <w:numId w:val="8"/>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现代商贸业</w:t>
      </w:r>
    </w:p>
    <w:p w14:paraId="1106F0B1">
      <w:pPr>
        <w:keepNext w:val="0"/>
        <w:keepLines w:val="0"/>
        <w:widowControl/>
        <w:suppressLineNumbers w:val="0"/>
        <w:jc w:val="left"/>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培育多元消费业态，激发市场增长新动能</w:t>
      </w:r>
      <w:r>
        <w:rPr>
          <w:rFonts w:hint="default" w:ascii="Times New Roman" w:hAnsi="Times New Roman" w:cs="Times New Roman"/>
          <w:b/>
          <w:bCs/>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围绕“扩规模、优结构、提品质”目标，积极培育消费新业态、新场景。大力发展夜间经济，依托锦华广场、玉文化产业园等载体，集聚特色餐饮、文创零售、休闲娱乐等业态，</w:t>
      </w:r>
      <w:r>
        <w:rPr>
          <w:rFonts w:hint="eastAsia" w:ascii="Times New Roman" w:hAnsi="Times New Roman" w:cs="Times New Roman"/>
          <w:b w:val="0"/>
          <w:bCs w:val="0"/>
          <w:color w:val="auto"/>
          <w:kern w:val="0"/>
          <w:sz w:val="32"/>
          <w:szCs w:val="32"/>
          <w:highlight w:val="none"/>
          <w:lang w:val="en-US" w:eastAsia="zh-CN" w:bidi="ar"/>
        </w:rPr>
        <w:t>积极开发大洋河夜游项目，</w:t>
      </w:r>
      <w:r>
        <w:rPr>
          <w:rFonts w:hint="default" w:ascii="Times New Roman" w:hAnsi="Times New Roman" w:eastAsia="仿宋_GB2312" w:cs="Times New Roman"/>
          <w:b w:val="0"/>
          <w:bCs w:val="0"/>
          <w:color w:val="auto"/>
          <w:kern w:val="0"/>
          <w:sz w:val="32"/>
          <w:szCs w:val="32"/>
          <w:highlight w:val="none"/>
          <w:lang w:val="en-US" w:eastAsia="zh-CN" w:bidi="ar"/>
        </w:rPr>
        <w:t>探索“夜经济+直播”模式，举办“夜间消费节”“玉石文化夜市”等活动，延长消费时段，释放夜间消费潜力。培育首发经济，结合岫岩玉、特色农产品等资源，开展“岫岩玉新品首发”“农产品采摘节”等品牌活动，每年引进区域首店或新品首发项目5个以上，编制发布“岫岩首发打卡地图”，增强消费吸引力。发展赛事经济，高标准举办岫岩玉文化产品创意大赛、玉雕技艺竞赛等品牌赛事，吸引专业人才与消费群体集聚，推动优秀创意设计向市场产品转化。推广绿色消费，建设绿色消费示范商场（超市）2个以上，引导绿色低碳消费理念，到2030年</w:t>
      </w:r>
      <w:r>
        <w:rPr>
          <w:rFonts w:hint="default" w:ascii="Times New Roman" w:hAnsi="Times New Roman" w:cs="Times New Roman"/>
          <w:b w:val="0"/>
          <w:bCs w:val="0"/>
          <w:color w:val="auto"/>
          <w:kern w:val="0"/>
          <w:sz w:val="32"/>
          <w:szCs w:val="32"/>
          <w:highlight w:val="none"/>
          <w:lang w:val="en-US" w:eastAsia="zh-CN" w:bidi="ar"/>
        </w:rPr>
        <w:t>，力争</w:t>
      </w:r>
      <w:r>
        <w:rPr>
          <w:rFonts w:hint="default" w:ascii="Times New Roman" w:hAnsi="Times New Roman" w:eastAsia="仿宋_GB2312" w:cs="Times New Roman"/>
          <w:b w:val="0"/>
          <w:bCs w:val="0"/>
          <w:color w:val="auto"/>
          <w:kern w:val="0"/>
          <w:sz w:val="32"/>
          <w:szCs w:val="32"/>
          <w:highlight w:val="none"/>
          <w:lang w:val="en-US" w:eastAsia="zh-CN" w:bidi="ar"/>
        </w:rPr>
        <w:t>绿色消费品销售额占比提升至20%以上，推动形成绿色消费新风尚。</w:t>
      </w:r>
    </w:p>
    <w:p w14:paraId="717181F9">
      <w:pPr>
        <w:keepNext w:val="0"/>
        <w:keepLines w:val="0"/>
        <w:widowControl/>
        <w:suppressLineNumbers w:val="0"/>
        <w:jc w:val="left"/>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推动商贸提质升级，优化城乡消费供给体系。</w:t>
      </w:r>
      <w:r>
        <w:rPr>
          <w:rFonts w:hint="default" w:ascii="Times New Roman" w:hAnsi="Times New Roman" w:eastAsia="仿宋_GB2312" w:cs="Times New Roman"/>
          <w:b w:val="0"/>
          <w:bCs w:val="0"/>
          <w:color w:val="auto"/>
          <w:kern w:val="0"/>
          <w:sz w:val="32"/>
          <w:szCs w:val="32"/>
          <w:highlight w:val="none"/>
          <w:lang w:val="en-US" w:eastAsia="zh-CN" w:bidi="ar"/>
        </w:rPr>
        <w:t>推动传统商贸设施改造提升，支持现有商场转型升级，培育1</w:t>
      </w:r>
      <w:r>
        <w:rPr>
          <w:rFonts w:hint="default" w:ascii="Times New Roman" w:hAnsi="Times New Roman"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2个集购物、餐饮、休闲于一体的县域商业综合体，提升消费体验。加强品牌培育，做强“岫岩羊汤”“岫岩柞蚕”“岫岩玉”等特色消费品牌，支持企业申报“辽宁老字号”“中华老字号”，引进国内外知名消费品牌，提升品牌供给水平。促进农村消费升级，开展“汽车下乡”“家电下乡”等活动，推动农村耐用消费品更新换代，完善农村消费维权服务点，优化农村消费环境。提升服务消费品质，打造“玉石文化旅游消费线路”，培育文旅消费综合体2个以上</w:t>
      </w:r>
      <w:r>
        <w:rPr>
          <w:rFonts w:hint="default" w:ascii="Times New Roman" w:hAnsi="Times New Roman"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挖掘地标美食文化，</w:t>
      </w:r>
      <w:r>
        <w:rPr>
          <w:rFonts w:hint="default" w:ascii="Times New Roman" w:hAnsi="Times New Roman" w:cs="Times New Roman"/>
          <w:b w:val="0"/>
          <w:bCs w:val="0"/>
          <w:color w:val="auto"/>
          <w:kern w:val="0"/>
          <w:sz w:val="32"/>
          <w:szCs w:val="32"/>
          <w:highlight w:val="none"/>
          <w:lang w:val="en-US" w:eastAsia="zh-CN" w:bidi="ar"/>
        </w:rPr>
        <w:t>积极</w:t>
      </w:r>
      <w:r>
        <w:rPr>
          <w:rFonts w:hint="default" w:ascii="Times New Roman" w:hAnsi="Times New Roman" w:eastAsia="仿宋_GB2312" w:cs="Times New Roman"/>
          <w:b w:val="0"/>
          <w:bCs w:val="0"/>
          <w:color w:val="auto"/>
          <w:kern w:val="0"/>
          <w:sz w:val="32"/>
          <w:szCs w:val="32"/>
          <w:highlight w:val="none"/>
          <w:lang w:val="en-US" w:eastAsia="zh-CN" w:bidi="ar"/>
        </w:rPr>
        <w:t>培育省级绿色餐厅、市级餐饮名店，增强餐饮消费吸引力。</w:t>
      </w:r>
    </w:p>
    <w:p w14:paraId="1C778299">
      <w:pPr>
        <w:keepNext w:val="0"/>
        <w:keepLines w:val="0"/>
        <w:widowControl/>
        <w:suppressLineNumbers w:val="0"/>
        <w:jc w:val="left"/>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完善商贸基础设施，构建高效流通网络</w:t>
      </w:r>
      <w:r>
        <w:rPr>
          <w:rFonts w:hint="default" w:ascii="Times New Roman" w:hAnsi="Times New Roman" w:cs="Times New Roman"/>
          <w:b/>
          <w:bCs/>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完善城乡商贸设施体系，升级改造县城核心商圈，配套完善停车、公厕等设施，建设县级冷链物流中心，提升商业承载能力。推进农村商贸设施建设，在重点乡镇建设区域商贸中心，改造提升一批农村集贸市场。优化特色商业街区布局，打造玉文化、夜间经济等特色街区，完善标识引导、照明、网络等配套设施。健全城乡流通网络，升级县级综合商贸服务中心，实施“便民商店提质工程”，到2030年村级便民商店规范化率达到90%以上。完善物流配送体系，在乡镇配套建设物流分拣站点，在偏远村屯布局移动式物流服务点，有效破解农村物流“最后一公里”难题。推进智慧商贸建设，实现核心商圈5G和免费Wi-Fi全覆盖，建设县域消费大数据平台，建立农产品全链条溯源体系，营造安全、便捷、智慧的消费环境。</w:t>
      </w:r>
    </w:p>
    <w:p w14:paraId="58D62761">
      <w:pPr>
        <w:pStyle w:val="4"/>
        <w:numPr>
          <w:ilvl w:val="0"/>
          <w:numId w:val="8"/>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现代物流业</w:t>
      </w:r>
    </w:p>
    <w:p w14:paraId="6BC77A6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rPr>
        <w:t>推进产业物流深度融合</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lang w:val="en-US" w:eastAsia="zh-CN"/>
        </w:rPr>
        <w:t>立足县域特色产业发展需求，构建专业化、一体化的产业物流服务体系。重点围绕玉器产业，规划建设集仓储、分拣、包装、配送等功能于一体的专业化物流中心，配套发展玉器恒温恒湿仓储、保价运输等特色服务，提升玉器产品流通保障能力。依托建材产业集聚区，合理布局建材专业物流园区，强化装卸、流通加工、区域配送等全链条服务功能，促进建材物流集约化发展。推动物流业与制造业、现代农业深度融合，积极发展供应链物流、精益物流等现代化运营模式，提升产业协同和物流响应效率。</w:t>
      </w:r>
    </w:p>
    <w:p w14:paraId="2F637DE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rPr>
        <w:t>加快物流智慧化绿色化转型</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lang w:val="en-US" w:eastAsia="zh-CN"/>
        </w:rPr>
        <w:t>以重点物流企业为突破口，深入推进物流企业信息化、智能化建设，打造一批智慧物流示范企业，推广应用智能调度、自动化分拣、路径优化等数字技术。积极推广新能源物流车辆，合理规划建设配套充电基础设施。在物流园区、配送中心等关键节点推进绿色包装、循环共用托盘等环保技术和设备应用，构建绿色低碳物流体系。</w:t>
      </w:r>
    </w:p>
    <w:p w14:paraId="1F28818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rPr>
        <w:t>培育壮大现代物流企业</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lang w:val="en-US" w:eastAsia="zh-CN"/>
        </w:rPr>
        <w:t>实施物流企业梯度培育工程，重点扶持3-5家本地龙头物流企业拓展服务功能，向综合物流服务商转型。加大招商引资力度，积极引进国内知名物流企业在岫岩设立区域分拨中心或运营基地。支持物流企业开展国家A级物流企业认定，提升标准化、品牌化服务水平。鼓励中小物流企业通过联盟合作、平台互联等方式实现运力、仓储等资源整合与共享。</w:t>
      </w:r>
    </w:p>
    <w:p w14:paraId="1B9FA03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rPr>
        <w:t>完善城乡物流网络体系</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lang w:val="en-US" w:eastAsia="zh-CN"/>
        </w:rPr>
        <w:t>构建高效畅通、集约共享的县乡村三级物流服务体系。在县级层面，强化物流枢纽功能，整合现有物流资源，提升区域集散与中转能力。在乡镇层面，因地制宜规划建设一批“多站合一”的综合运输服务站，整合客运、货运、邮政快递、电商等服务功能，提升农村物流枢纽节点服务能力。在村级层面，全面布局“一点多能”的村级寄递物流综合服务点，推动快递进村全覆盖，有效支撑农产品上行和工业品下乡，服务乡村振兴。</w:t>
      </w:r>
    </w:p>
    <w:p w14:paraId="7140AC2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rPr>
        <w:t>大力发展冷链物流</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lang w:val="en-US" w:eastAsia="zh-CN"/>
        </w:rPr>
        <w:t>围绕特色农产品发展需求，系统推进冷链物流网络体系建设。聚焦补齐农产品产地“最先一公里”冷链设施短板，支持农业企业、家庭农场、农民合作社等经营主体，在重点乡镇和中心村分类布局建设一批产地保鲜库、田头小型贮藏设施。面向城市消费端“最后一公里”需求，完善服务于商超、生鲜便利店及消费者的冷链配送终端网络。鼓励企业应用冷藏车、冷藏集装箱、移动冷库等标准化设备，提升冷链物流技术装备水平，实现生鲜农产品从产地到消费地的全程温控不断链。</w:t>
      </w:r>
    </w:p>
    <w:p w14:paraId="174BEBC9">
      <w:pPr>
        <w:pStyle w:val="4"/>
        <w:numPr>
          <w:ilvl w:val="0"/>
          <w:numId w:val="8"/>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现代金融服务</w:t>
      </w:r>
    </w:p>
    <w:p w14:paraId="7078B20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bCs/>
          <w:color w:val="auto"/>
          <w:highlight w:val="none"/>
        </w:rPr>
        <w:t>普惠金融</w:t>
      </w:r>
      <w:r>
        <w:rPr>
          <w:rFonts w:hint="default" w:ascii="Times New Roman" w:hAnsi="Times New Roman" w:cs="Times New Roman"/>
          <w:b/>
          <w:bCs/>
          <w:color w:val="auto"/>
          <w:highlight w:val="none"/>
          <w:lang w:val="en-US" w:eastAsia="zh-CN"/>
        </w:rPr>
        <w:t>深化发展</w:t>
      </w:r>
      <w:r>
        <w:rPr>
          <w:rFonts w:hint="default" w:ascii="Times New Roman" w:hAnsi="Times New Roman" w:cs="Times New Roman"/>
          <w:b/>
          <w:bCs/>
          <w:color w:val="auto"/>
          <w:highlight w:val="none"/>
        </w:rPr>
        <w:t>。</w:t>
      </w:r>
      <w:r>
        <w:rPr>
          <w:rFonts w:hint="default" w:ascii="Times New Roman" w:hAnsi="Times New Roman" w:cs="Times New Roman"/>
          <w:b w:val="0"/>
          <w:bCs w:val="0"/>
          <w:color w:val="auto"/>
          <w:highlight w:val="none"/>
          <w:lang w:val="en-US" w:eastAsia="zh-CN"/>
        </w:rPr>
        <w:t>围绕乡村振兴战略，构建多层次普惠金融服务体系。引导金融机构下沉服务重心，创新“惠农贷”“小微贷”等普惠信贷产品，重点支持特色农业、小微企业等实体经济发展。完善农村基础金融服务网络，推动移动支付等数字化金融工具普及应用，提升金融服务的可得性和便利性。建立健全普惠金融政策支持体系，优化信贷资源配置机制。加强政银企对接合作，完善融资担保和风险分担机制，为小微企业、个体工商户和农户提供更加精准的金融服务。强化金融知识宣传教育，培育健康理性的金融消费观念，切实保护金融消费者合法权益。</w:t>
      </w:r>
    </w:p>
    <w:p w14:paraId="6E334BA9">
      <w:pPr>
        <w:pStyle w:val="32"/>
        <w:spacing w:line="560" w:lineRule="exact"/>
        <w:ind w:firstLine="643"/>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rPr>
        <w:t>科技金融</w:t>
      </w:r>
      <w:r>
        <w:rPr>
          <w:rFonts w:hint="default" w:ascii="Times New Roman" w:hAnsi="Times New Roman" w:eastAsia="仿宋_GB2312" w:cs="Times New Roman"/>
          <w:b/>
          <w:bCs w:val="0"/>
          <w:color w:val="auto"/>
          <w:sz w:val="32"/>
          <w:szCs w:val="32"/>
          <w:highlight w:val="none"/>
          <w:lang w:val="en-US" w:eastAsia="zh-CN"/>
        </w:rPr>
        <w:t>创新发展</w:t>
      </w:r>
      <w:r>
        <w:rPr>
          <w:rFonts w:hint="default" w:ascii="Times New Roman" w:hAnsi="Times New Roman" w:eastAsia="仿宋_GB2312" w:cs="Times New Roman"/>
          <w:b/>
          <w:bCs w:val="0"/>
          <w:color w:val="auto"/>
          <w:sz w:val="32"/>
          <w:szCs w:val="32"/>
          <w:highlight w:val="none"/>
        </w:rPr>
        <w:t>。</w:t>
      </w:r>
      <w:r>
        <w:rPr>
          <w:rFonts w:hint="default" w:ascii="Times New Roman" w:hAnsi="Times New Roman" w:eastAsia="仿宋_GB2312" w:cs="Times New Roman"/>
          <w:b w:val="0"/>
          <w:bCs/>
          <w:color w:val="auto"/>
          <w:sz w:val="32"/>
          <w:szCs w:val="32"/>
          <w:highlight w:val="none"/>
        </w:rPr>
        <w:t>围绕岫岩玉石深加工、镁建材、农产品精深加工等特色产业，深化科技与金融融合，鼓励金融机构开发</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专利贷</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订单贷</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等特色产品，对省级以上专精特新企业给予LPR利率下浮优惠</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鼓励地方法人银行设立科技信贷专营部门，支持国有银行分支机构优化科技企业信贷服务；推动知识产权质押融资业务实现突破，建立科技型企业</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白名单</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制度，对入库企业提供利率优惠和审批绿色通道。建立</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政府+园区+金融机构</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三方联动机制，开发产业链</w:t>
      </w:r>
      <w:r>
        <w:rPr>
          <w:rFonts w:hint="default" w:ascii="Times New Roman" w:hAnsi="Times New Roman"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供应链金融产品。</w:t>
      </w:r>
    </w:p>
    <w:p w14:paraId="4CB21C5D">
      <w:pPr>
        <w:pStyle w:val="32"/>
        <w:spacing w:line="560" w:lineRule="exact"/>
        <w:ind w:firstLine="643"/>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bCs w:val="0"/>
          <w:color w:val="auto"/>
          <w:sz w:val="32"/>
          <w:szCs w:val="32"/>
          <w:highlight w:val="none"/>
        </w:rPr>
        <w:t>消费金融</w:t>
      </w:r>
      <w:r>
        <w:rPr>
          <w:rFonts w:hint="default" w:ascii="Times New Roman" w:hAnsi="Times New Roman" w:eastAsia="仿宋_GB2312" w:cs="Times New Roman"/>
          <w:b/>
          <w:bCs w:val="0"/>
          <w:color w:val="auto"/>
          <w:sz w:val="32"/>
          <w:szCs w:val="32"/>
          <w:highlight w:val="none"/>
          <w:lang w:val="en-US" w:eastAsia="zh-CN"/>
        </w:rPr>
        <w:t>规范发展</w:t>
      </w:r>
      <w:r>
        <w:rPr>
          <w:rFonts w:hint="default" w:ascii="Times New Roman" w:hAnsi="Times New Roman" w:eastAsia="仿宋_GB2312" w:cs="Times New Roman"/>
          <w:b/>
          <w:bCs w:val="0"/>
          <w:color w:val="auto"/>
          <w:sz w:val="32"/>
          <w:szCs w:val="32"/>
          <w:highlight w:val="none"/>
        </w:rPr>
        <w:t>。</w:t>
      </w:r>
      <w:r>
        <w:rPr>
          <w:rFonts w:hint="default" w:ascii="Times New Roman" w:hAnsi="Times New Roman" w:eastAsia="仿宋_GB2312" w:cs="Times New Roman"/>
          <w:b w:val="0"/>
          <w:bCs/>
          <w:color w:val="auto"/>
          <w:sz w:val="32"/>
          <w:szCs w:val="32"/>
          <w:highlight w:val="none"/>
        </w:rPr>
        <w:t>顺应消费升级趋势，优化消费金融服务供给。鼓励金融机构创新消费信贷产品，合理满足居民在旅游、教育、健康等领域的消费需求。规范发展消费金融业务，加强产品信息披露和风险提示，促进消费金融市场健康发展。完善消费金融风险防控体系，维护良好金融秩序。建立健全消费信贷管理制度，强化贷前审核和贷后管理。加强金融消费者权益保护，防范过度借贷和金融风险，促进消费金融业务规范有序发展。</w:t>
      </w:r>
    </w:p>
    <w:p w14:paraId="0F3D7FF0">
      <w:pPr>
        <w:pStyle w:val="4"/>
        <w:numPr>
          <w:ilvl w:val="0"/>
          <w:numId w:val="8"/>
        </w:numPr>
        <w:bidi w:val="0"/>
        <w:ind w:left="0" w:leftChars="0" w:firstLine="420" w:firstLineChars="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电子商务</w:t>
      </w:r>
    </w:p>
    <w:p w14:paraId="2F51A2E1">
      <w:pPr>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bCs w:val="0"/>
          <w:color w:val="auto"/>
          <w:sz w:val="32"/>
          <w:szCs w:val="32"/>
          <w:highlight w:val="none"/>
        </w:rPr>
        <w:t>壮大电商市场主体</w:t>
      </w:r>
      <w:r>
        <w:rPr>
          <w:rFonts w:hint="default" w:ascii="Times New Roman" w:hAnsi="Times New Roman" w:eastAsia="仿宋_GB2312" w:cs="Times New Roman"/>
          <w:b/>
          <w:bCs w:val="0"/>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聚焦产业数字化升级，推动电子商务与玉石文化、特色农业等主导产业深度渗透与创新融合。高标准建设县域电商公共服务中心与综合性电商直播基地，强化运营、培训、孵化与供应链管理等公共服务。推动AI、3D等数字技术在全产业链应用，赋能产业转型升级。积极引进知名电商企业和服务机构，链接本地特色产品资源。创新市场主体培育机制，实施“农村电商带头人培育计划”，打造复合型主播与农民主播队伍，在产区设立“田间直播间”，打造10个</w:t>
      </w:r>
      <w:r>
        <w:rPr>
          <w:rFonts w:hint="default" w:ascii="Times New Roman" w:hAnsi="Times New Roman" w:cs="Times New Roman"/>
          <w:b w:val="0"/>
          <w:bCs/>
          <w:color w:val="auto"/>
          <w:sz w:val="32"/>
          <w:szCs w:val="32"/>
          <w:highlight w:val="none"/>
          <w:lang w:val="en-US" w:eastAsia="zh-CN"/>
        </w:rPr>
        <w:t>以上</w:t>
      </w:r>
      <w:r>
        <w:rPr>
          <w:rFonts w:hint="default" w:ascii="Times New Roman" w:hAnsi="Times New Roman" w:eastAsia="仿宋_GB2312" w:cs="Times New Roman"/>
          <w:b w:val="0"/>
          <w:bCs/>
          <w:color w:val="auto"/>
          <w:sz w:val="32"/>
          <w:szCs w:val="32"/>
          <w:highlight w:val="none"/>
        </w:rPr>
        <w:t>农产品电商特色品牌，完善“原产地直供+品牌化运营”模式。</w:t>
      </w:r>
    </w:p>
    <w:p w14:paraId="75AD337B">
      <w:pPr>
        <w:rPr>
          <w:rFonts w:hint="default" w:ascii="Times New Roman" w:hAnsi="Times New Roman" w:eastAsia="仿宋_GB2312" w:cs="Times New Roman"/>
          <w:color w:val="auto"/>
          <w:sz w:val="32"/>
          <w:szCs w:val="32"/>
          <w:highlight w:val="none"/>
        </w:rPr>
      </w:pPr>
      <w:r>
        <w:rPr>
          <w:rFonts w:hint="default" w:ascii="Times New Roman" w:hAnsi="Times New Roman" w:cs="Times New Roman"/>
          <w:b/>
          <w:bCs w:val="0"/>
          <w:color w:val="auto"/>
          <w:sz w:val="32"/>
          <w:szCs w:val="32"/>
          <w:highlight w:val="none"/>
          <w:lang w:val="en-US" w:eastAsia="zh-CN"/>
        </w:rPr>
        <w:t>完善电商产业生态</w:t>
      </w:r>
      <w:r>
        <w:rPr>
          <w:rFonts w:hint="default" w:ascii="Times New Roman" w:hAnsi="Times New Roman" w:eastAsia="仿宋_GB2312" w:cs="Times New Roman"/>
          <w:b/>
          <w:bCs w:val="0"/>
          <w:color w:val="auto"/>
          <w:sz w:val="32"/>
          <w:szCs w:val="32"/>
          <w:highlight w:val="none"/>
        </w:rPr>
        <w:t>。</w:t>
      </w:r>
      <w:r>
        <w:rPr>
          <w:rFonts w:hint="default" w:ascii="Times New Roman" w:hAnsi="Times New Roman" w:eastAsia="仿宋_GB2312" w:cs="Times New Roman"/>
          <w:b w:val="0"/>
          <w:bCs/>
          <w:color w:val="auto"/>
          <w:sz w:val="32"/>
          <w:szCs w:val="32"/>
          <w:highlight w:val="none"/>
        </w:rPr>
        <w:t>高标准规划建设集企业孵化、人才培训、营销运营、物流配送于一体的电商产业集聚区，为市场主体提供全链条支撑。搭建电商供应链服务平台，为中小电商企业提供标准化包装、质检、仓储等一体化服务。构建以县级智能云仓为核心、村级服务站点为延伸的三级共配物流网络，整合商贸、快递资源，发展智慧物流与绿色包装，实现降本增效。常态化举办“</w:t>
      </w:r>
      <w:r>
        <w:rPr>
          <w:rFonts w:hint="default" w:ascii="Times New Roman" w:hAnsi="Times New Roman" w:eastAsia="仿宋_GB2312" w:cs="Times New Roman"/>
          <w:b w:val="0"/>
          <w:bCs/>
          <w:color w:val="auto"/>
          <w:sz w:val="32"/>
          <w:szCs w:val="32"/>
          <w:highlight w:val="none"/>
          <w:lang w:val="en-US" w:eastAsia="zh-CN"/>
        </w:rPr>
        <w:t>618</w:t>
      </w:r>
      <w:r>
        <w:rPr>
          <w:rFonts w:hint="default" w:ascii="Times New Roman" w:hAnsi="Times New Roman" w:eastAsia="仿宋_GB2312" w:cs="Times New Roman"/>
          <w:b w:val="0"/>
          <w:bCs/>
          <w:color w:val="auto"/>
          <w:sz w:val="32"/>
          <w:szCs w:val="32"/>
          <w:highlight w:val="none"/>
        </w:rPr>
        <w:t>电商</w:t>
      </w:r>
      <w:r>
        <w:rPr>
          <w:rFonts w:hint="default" w:ascii="Times New Roman" w:hAnsi="Times New Roman" w:eastAsia="仿宋_GB2312" w:cs="Times New Roman"/>
          <w:b w:val="0"/>
          <w:bCs/>
          <w:color w:val="auto"/>
          <w:sz w:val="32"/>
          <w:szCs w:val="32"/>
          <w:highlight w:val="none"/>
          <w:lang w:eastAsia="zh-CN"/>
        </w:rPr>
        <w:t>走播节</w:t>
      </w:r>
      <w:r>
        <w:rPr>
          <w:rFonts w:hint="default" w:ascii="Times New Roman" w:hAnsi="Times New Roman" w:eastAsia="仿宋_GB2312" w:cs="Times New Roman"/>
          <w:b w:val="0"/>
          <w:bCs/>
          <w:color w:val="auto"/>
          <w:sz w:val="32"/>
          <w:szCs w:val="32"/>
          <w:highlight w:val="none"/>
        </w:rPr>
        <w:t>”“岫岩玉文化电商节”等品牌活动，邀请头部主播参与，扩大影响力，推动本地网红品牌参加国内外展会，提升知名度和市场竞争力。构建多层次、多渠道的电商人才培养体系，为电商可持续发展提供坚实人才支撑。</w:t>
      </w:r>
    </w:p>
    <w:p w14:paraId="3EE6575F">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拓展跨境电商业务。</w:t>
      </w:r>
      <w:r>
        <w:rPr>
          <w:rFonts w:hint="default" w:ascii="Times New Roman" w:hAnsi="Times New Roman" w:eastAsia="仿宋_GB2312" w:cs="Times New Roman"/>
          <w:color w:val="auto"/>
          <w:sz w:val="32"/>
          <w:szCs w:val="32"/>
          <w:highlight w:val="none"/>
          <w:lang w:val="en-US" w:eastAsia="zh-CN"/>
        </w:rPr>
        <w:t>立足</w:t>
      </w:r>
      <w:r>
        <w:rPr>
          <w:rFonts w:hint="default" w:ascii="Times New Roman" w:hAnsi="Times New Roman" w:eastAsia="仿宋_GB2312" w:cs="Times New Roman"/>
          <w:color w:val="auto"/>
          <w:sz w:val="32"/>
          <w:szCs w:val="32"/>
          <w:highlight w:val="none"/>
        </w:rPr>
        <w:t>鞍山跨境电商综试区政策优势，</w:t>
      </w:r>
      <w:r>
        <w:rPr>
          <w:rFonts w:hint="default" w:ascii="Times New Roman" w:hAnsi="Times New Roman" w:eastAsia="仿宋_GB2312" w:cs="Times New Roman"/>
          <w:color w:val="auto"/>
          <w:sz w:val="32"/>
          <w:szCs w:val="32"/>
          <w:highlight w:val="none"/>
          <w:lang w:eastAsia="zh-CN"/>
        </w:rPr>
        <w:t>依托</w:t>
      </w:r>
      <w:r>
        <w:rPr>
          <w:rFonts w:hint="default" w:ascii="Times New Roman" w:hAnsi="Times New Roman" w:cs="Times New Roman"/>
          <w:color w:val="auto"/>
          <w:sz w:val="32"/>
          <w:szCs w:val="32"/>
          <w:highlight w:val="none"/>
          <w:lang w:val="en-US" w:eastAsia="zh-CN"/>
        </w:rPr>
        <w:t>大龙网</w:t>
      </w:r>
      <w:r>
        <w:rPr>
          <w:rFonts w:hint="default" w:ascii="Times New Roman" w:hAnsi="Times New Roman" w:eastAsia="仿宋_GB2312" w:cs="Times New Roman"/>
          <w:color w:val="auto"/>
          <w:sz w:val="32"/>
          <w:szCs w:val="32"/>
          <w:highlight w:val="none"/>
        </w:rPr>
        <w:t>优先发展跨境电商B2B出口（9710）模式，推进岫岩跨境电商</w:t>
      </w:r>
      <w:r>
        <w:rPr>
          <w:rFonts w:hint="default" w:ascii="Times New Roman" w:hAnsi="Times New Roman" w:cs="Times New Roman"/>
          <w:color w:val="auto"/>
          <w:sz w:val="32"/>
          <w:szCs w:val="32"/>
          <w:highlight w:val="none"/>
          <w:lang w:val="en-US" w:eastAsia="zh-CN"/>
        </w:rPr>
        <w:t>产业园</w:t>
      </w:r>
      <w:r>
        <w:rPr>
          <w:rFonts w:hint="default" w:ascii="Times New Roman" w:hAnsi="Times New Roman" w:eastAsia="仿宋_GB2312" w:cs="Times New Roman"/>
          <w:color w:val="auto"/>
          <w:sz w:val="32"/>
          <w:szCs w:val="32"/>
          <w:highlight w:val="none"/>
        </w:rPr>
        <w:t>建设，完善</w:t>
      </w:r>
      <w:r>
        <w:rPr>
          <w:rFonts w:hint="default" w:ascii="Times New Roman" w:hAnsi="Times New Roman" w:eastAsia="仿宋_GB2312" w:cs="Times New Roman"/>
          <w:color w:val="auto"/>
          <w:sz w:val="32"/>
          <w:szCs w:val="32"/>
          <w:highlight w:val="none"/>
          <w:lang w:eastAsia="zh-CN"/>
        </w:rPr>
        <w:t>相关</w:t>
      </w:r>
      <w:r>
        <w:rPr>
          <w:rFonts w:hint="default" w:ascii="Times New Roman" w:hAnsi="Times New Roman" w:eastAsia="仿宋_GB2312" w:cs="Times New Roman"/>
          <w:color w:val="auto"/>
          <w:sz w:val="32"/>
          <w:szCs w:val="32"/>
          <w:highlight w:val="none"/>
        </w:rPr>
        <w:t>配套服务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中小微企业提供报关、结汇、退税、物流等一站式服务。创新跨境电商业态模式，通过跨境直播、独立站等新模式，推动玉雕大师作品与香菇、滑子蘑等特色农副产品出海。加强与国际主流电商平台合作，配套建设海外仓及冷链仓储设施，引进培育专业跨境电商服务商，构建覆盖全球市场的营销服务网络，实现“岫岩卖全球”的开放新格局。到2030年</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力争</w:t>
      </w:r>
      <w:r>
        <w:rPr>
          <w:rFonts w:hint="default" w:ascii="Times New Roman" w:hAnsi="Times New Roman" w:eastAsia="仿宋_GB2312" w:cs="Times New Roman"/>
          <w:color w:val="auto"/>
          <w:sz w:val="32"/>
          <w:szCs w:val="32"/>
          <w:highlight w:val="none"/>
        </w:rPr>
        <w:t>跨境电商交易额突破2亿元</w:t>
      </w:r>
      <w:r>
        <w:rPr>
          <w:rFonts w:hint="default" w:ascii="Times New Roman" w:hAnsi="Times New Roman" w:cs="Times New Roman"/>
          <w:color w:val="auto"/>
          <w:sz w:val="32"/>
          <w:szCs w:val="32"/>
          <w:highlight w:val="none"/>
          <w:lang w:eastAsia="zh-CN"/>
        </w:rPr>
        <w:t>。</w:t>
      </w:r>
    </w:p>
    <w:p w14:paraId="3D8B1197">
      <w:pPr>
        <w:pStyle w:val="3"/>
        <w:keepNext/>
        <w:keepLines/>
        <w:pageBreakBefore w:val="0"/>
        <w:widowControl w:val="0"/>
        <w:numPr>
          <w:ilvl w:val="0"/>
          <w:numId w:val="5"/>
        </w:numPr>
        <w:kinsoku/>
        <w:wordWrap/>
        <w:overflowPunct/>
        <w:topLinePunct w:val="0"/>
        <w:autoSpaceDE/>
        <w:autoSpaceDN/>
        <w:bidi w:val="0"/>
        <w:adjustRightInd/>
        <w:snapToGrid/>
        <w:spacing w:before="0" w:after="0" w:line="360" w:lineRule="auto"/>
        <w:ind w:left="0" w:leftChars="0" w:firstLine="643" w:firstLineChars="200"/>
        <w:textAlignment w:val="auto"/>
        <w:rPr>
          <w:rFonts w:hint="default" w:ascii="Times New Roman" w:hAnsi="Times New Roman" w:eastAsia="楷体_GB2312" w:cs="Times New Roman"/>
          <w:b/>
          <w:bCs w:val="0"/>
          <w:color w:val="auto"/>
          <w:highlight w:val="none"/>
        </w:rPr>
      </w:pPr>
      <w:bookmarkStart w:id="21" w:name="_Toc24402"/>
      <w:r>
        <w:rPr>
          <w:rFonts w:hint="default" w:ascii="Times New Roman" w:hAnsi="Times New Roman" w:cs="Times New Roman"/>
          <w:b/>
          <w:bCs w:val="0"/>
          <w:color w:val="auto"/>
          <w:highlight w:val="none"/>
          <w:lang w:val="en-US" w:eastAsia="zh-CN"/>
        </w:rPr>
        <w:t>推进辽宁岫岩玉产业开发区建设</w:t>
      </w:r>
      <w:bookmarkEnd w:id="21"/>
    </w:p>
    <w:p w14:paraId="2D2FAE0E">
      <w:pPr>
        <w:bidi w:val="0"/>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打造全县经济高质量发展引擎。</w:t>
      </w:r>
      <w:r>
        <w:rPr>
          <w:rFonts w:hint="default" w:ascii="Times New Roman" w:hAnsi="Times New Roman" w:cs="Times New Roman"/>
          <w:highlight w:val="none"/>
          <w:lang w:val="en-US" w:eastAsia="zh-CN"/>
        </w:rPr>
        <w:t>立足现有产业基础，辽宁岫岩玉产业开发区将构建以主体园区为核心，洋河、石庙子、偏岭、大房身四个分园区为支撑的“一区四园”发展布局，重点培育玉文化产业、农副产品加工、高端建材三大产业集群，全力打造主导产业鲜明、产业链条完善、集聚效应强劲的区域产业发展高地。在主体园区东部沿阜昌路西侧布局玉文化产业，围绕玉石产品设计、加工与交易环节延链补链强链，重点发展工艺品、艺术品、饰品及生活类玉产品加工，同步推进“线上+线下”交易体系，线上建设抖音、快手、拼多多等电商直播基地，线下发展原料公盘交易、玉器市场、珠宝门店、外贸出口及鉴定检测服务。在主体园区中西部、东部中央区域及洋河镇园区布局农副产品加工产业，围绕农副产品深加工、食品与饮品制造，重点培育食用菌、柞蚕、肉制品、饮品和中草药加工五条产业链，推动产业链延伸与价值提升。在石庙子镇、偏岭镇、大房身镇园区提升发展高端建材产业，依托当地菱镁、白云石、方解石等矿产资源，重点发展节能环保墙体材料、绿色装饰材料和新型装配式建材等项目。着力打造新能源和包装两个配套产业集群，为三大主导产业提供有力支撑。</w:t>
      </w:r>
    </w:p>
    <w:p w14:paraId="09A82D84">
      <w:pPr>
        <w:bidi w:val="0"/>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提升招商引资水平。</w:t>
      </w:r>
      <w:r>
        <w:rPr>
          <w:rFonts w:hint="default" w:ascii="Times New Roman" w:hAnsi="Times New Roman" w:cs="Times New Roman"/>
          <w:highlight w:val="none"/>
          <w:lang w:val="en-US" w:eastAsia="zh-CN"/>
        </w:rPr>
        <w:t>立足开发区主阵地优势，以精准化、专业化、集群化为方向，创新招商引资机制，全面提升项目引育质效。一是开展产业链靶向招商。聚焦主导产业，绘制产业链全景图谱，明确招商目录和目标企业清单，组建专业化招商专班，赴长三角、珠三角、京津冀等重点区域开展精准对接。二是打造“玉都营商”体验品牌。开设“玉都营商直通车”，邀请目标企业实地考察园区载体、产业生态及基础设施，定制化展示“标准地+承诺制”改革成果。建立“一个项目、一名管家、一套方案”的全周期服务机制，实行从签约到投产的全程审批代办，推动项目快落地、快建设、快达效。三是实施“头雁引领”攻坚计划。瞄准世界500强、行业百强及“专精特新”企业，量身定制土地弹性出让、高端人才奖补、用能指标倾斜等政策工具包，着力引进一批具有链主地位的龙头型、基地型项目，带动产业链供应链整体提升，实现产业集群能级跃升。</w:t>
      </w:r>
    </w:p>
    <w:p w14:paraId="6F8DA2B6">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提升园区承载能力。</w:t>
      </w:r>
      <w:r>
        <w:rPr>
          <w:rFonts w:hint="default" w:ascii="Times New Roman" w:hAnsi="Times New Roman" w:cs="Times New Roman"/>
          <w:color w:val="auto"/>
          <w:highlight w:val="none"/>
          <w:lang w:val="en-US" w:eastAsia="zh-CN"/>
        </w:rPr>
        <w:t>加大资金投入、完善园区道路、供水、供电、排污、通信等配套服务设施，推进城区和园区热力管网联网。加强园区的绿化、亮化、美化工作，全面提升园区形象。紧紧围绕龙头企业构建循环型产业体系，培育综合性循环经济服务企业，推行循环型生产方式，推广清洁能源，推进公共服务设施和基础设施共建共享，加快建设现代化循环经济示范园区。</w:t>
      </w:r>
    </w:p>
    <w:p w14:paraId="6B3F8574">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提升园区管理效能。</w:t>
      </w:r>
      <w:r>
        <w:rPr>
          <w:rFonts w:hint="default" w:ascii="Times New Roman" w:hAnsi="Times New Roman" w:cs="Times New Roman"/>
          <w:color w:val="auto"/>
          <w:highlight w:val="none"/>
          <w:lang w:val="en-US" w:eastAsia="zh-CN"/>
        </w:rPr>
        <w:t>围绕“数字化赋能、精细化服务、绿色化发展”目标，全面构建现代化园区治理体系。推进智慧园区建设，搭建数字化管理平台，实现园区运行“一网统管”。深化“管委会+公司”运营模式改革，组建专业化运营公司，提升市场化运作水平。推行“标准地+承诺制”改革，实现“拿地即开工”，建立企业分级分类管理制度，实施“红黄绿”三色动态监管，对优质企业给予用地、融资等政策倾斜。强化安全生产和环境保护，建立园区环境质量监测预警体系，推行“环保管家”服务，确保园区绿色发展。完善人才服务配套，建设人才公寓和创新创业孵化中心，打造“产城融合”示范园区。通过管理效能提升，力争到2030年园区综合竞争力进入省级开发区前列，为岫岩县高质量发展提供有力支撑。</w:t>
      </w:r>
    </w:p>
    <w:p w14:paraId="4F644DD2">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2AD0ED63">
      <w:pPr>
        <w:pStyle w:val="2"/>
        <w:bidi w:val="0"/>
        <w:rPr>
          <w:rFonts w:hint="default" w:ascii="Times New Roman" w:hAnsi="Times New Roman" w:cs="Times New Roman"/>
          <w:color w:val="auto"/>
          <w:highlight w:val="none"/>
        </w:rPr>
      </w:pPr>
      <w:bookmarkStart w:id="22" w:name="_Toc1353"/>
      <w:r>
        <w:rPr>
          <w:rFonts w:hint="default" w:ascii="Times New Roman" w:hAnsi="Times New Roman" w:cs="Times New Roman"/>
          <w:color w:val="auto"/>
          <w:highlight w:val="none"/>
        </w:rPr>
        <w:t>第四章全面推进乡村振兴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打造</w:t>
      </w:r>
      <w:r>
        <w:rPr>
          <w:rFonts w:hint="default" w:ascii="Times New Roman" w:hAnsi="Times New Roman" w:cs="Times New Roman"/>
          <w:color w:val="auto"/>
          <w:highlight w:val="none"/>
        </w:rPr>
        <w:t>宜居宜业和美乡村</w:t>
      </w:r>
      <w:bookmarkEnd w:id="22"/>
    </w:p>
    <w:p w14:paraId="20F3AEAB">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立足岫岩县农业农村发展实际，以高质量发展为主线，统筹推进乡村产业振兴、生态宜居和治理效能提升。围绕高效生态农业，筑牢粮食安全根基，强化科技支撑与品牌建设，推动农村三产深度融合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以乡村建设行动为抓手，完善基础设施与公共服务，建设生态优美、设施完善、乡风文明的现代乡村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深化文化赋能与治理创新，巩固</w:t>
      </w:r>
      <w:r>
        <w:rPr>
          <w:rFonts w:hint="default" w:ascii="Times New Roman" w:hAnsi="Times New Roman" w:cs="Times New Roman"/>
          <w:color w:val="auto"/>
          <w:highlight w:val="none"/>
          <w:lang w:val="en-US" w:eastAsia="zh-CN"/>
        </w:rPr>
        <w:t>拓展</w:t>
      </w:r>
      <w:r>
        <w:rPr>
          <w:rFonts w:hint="default" w:ascii="Times New Roman" w:hAnsi="Times New Roman" w:cs="Times New Roman"/>
          <w:color w:val="auto"/>
          <w:highlight w:val="none"/>
        </w:rPr>
        <w:t>脱贫</w:t>
      </w:r>
      <w:r>
        <w:rPr>
          <w:rFonts w:hint="default" w:ascii="Times New Roman" w:hAnsi="Times New Roman" w:cs="Times New Roman"/>
          <w:color w:val="auto"/>
          <w:highlight w:val="none"/>
          <w:lang w:val="en-US" w:eastAsia="zh-CN"/>
        </w:rPr>
        <w:t>攻坚</w:t>
      </w:r>
      <w:r>
        <w:rPr>
          <w:rFonts w:hint="default" w:ascii="Times New Roman" w:hAnsi="Times New Roman" w:cs="Times New Roman"/>
          <w:color w:val="auto"/>
          <w:highlight w:val="none"/>
        </w:rPr>
        <w:t>成果，拓宽农民增收渠道，推动岫岩农业农村现代化迈上新台阶。</w:t>
      </w:r>
    </w:p>
    <w:p w14:paraId="2D1C9F0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b/>
          <w:bCs w:val="0"/>
          <w:color w:val="auto"/>
          <w:highlight w:val="none"/>
          <w:lang w:val="en-US" w:eastAsia="zh-CN"/>
        </w:rPr>
      </w:pPr>
      <w:bookmarkStart w:id="23" w:name="_Toc26203"/>
      <w:r>
        <w:rPr>
          <w:rFonts w:hint="default" w:ascii="Times New Roman" w:hAnsi="Times New Roman" w:cs="Times New Roman"/>
          <w:b/>
          <w:bCs w:val="0"/>
          <w:color w:val="auto"/>
          <w:highlight w:val="none"/>
          <w:lang w:val="en-US" w:eastAsia="zh-CN"/>
        </w:rPr>
        <w:t>第一节</w:t>
      </w:r>
      <w:r>
        <w:rPr>
          <w:rFonts w:hint="eastAsia" w:cs="Times New Roman"/>
          <w:b/>
          <w:bCs w:val="0"/>
          <w:color w:val="auto"/>
          <w:highlight w:val="none"/>
          <w:lang w:val="en-US" w:eastAsia="zh-CN"/>
        </w:rPr>
        <w:t>发展壮大</w:t>
      </w:r>
      <w:r>
        <w:rPr>
          <w:rFonts w:hint="default" w:ascii="Times New Roman" w:hAnsi="Times New Roman" w:cs="Times New Roman"/>
          <w:b/>
          <w:bCs w:val="0"/>
          <w:color w:val="auto"/>
          <w:highlight w:val="none"/>
          <w:lang w:val="en-US" w:eastAsia="zh-CN"/>
        </w:rPr>
        <w:t>高效生态农业</w:t>
      </w:r>
      <w:bookmarkEnd w:id="23"/>
    </w:p>
    <w:p w14:paraId="78364152">
      <w:pPr>
        <w:pStyle w:val="4"/>
        <w:numPr>
          <w:ilvl w:val="0"/>
          <w:numId w:val="9"/>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稳定粮食生产</w:t>
      </w:r>
    </w:p>
    <w:p w14:paraId="5D7CDFBD">
      <w:pPr>
        <w:bidi w:val="0"/>
        <w:rPr>
          <w:rFonts w:hint="default" w:ascii="Times New Roman" w:hAnsi="Times New Roman" w:eastAsia="仿宋_GB2312" w:cs="Times New Roman"/>
          <w:color w:val="auto"/>
          <w:highlight w:val="none"/>
          <w:lang w:eastAsia="zh-CN"/>
        </w:rPr>
      </w:pPr>
      <w:r>
        <w:rPr>
          <w:rFonts w:hint="default" w:ascii="Times New Roman" w:hAnsi="Times New Roman" w:cs="Times New Roman"/>
          <w:b/>
          <w:bCs/>
          <w:color w:val="auto"/>
          <w:highlight w:val="none"/>
        </w:rPr>
        <w:t>落实粮食安全战略，扛稳粮食安全责任。 </w:t>
      </w:r>
      <w:r>
        <w:rPr>
          <w:rFonts w:hint="default" w:ascii="Times New Roman" w:hAnsi="Times New Roman" w:cs="Times New Roman"/>
          <w:color w:val="auto"/>
          <w:highlight w:val="none"/>
        </w:rPr>
        <w:t>牢固树立</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大粮食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安全观，全面实施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藏粮于地、藏粮于技</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战略，严守耕地红线，稳定粮食生产。推动农业发展由增产导向转向提质导向，着力提高农业效益和综合竞争力，确保粮油作物播种面积稳定在95万亩</w:t>
      </w:r>
      <w:r>
        <w:rPr>
          <w:rFonts w:hint="default" w:ascii="Times New Roman" w:hAnsi="Times New Roman" w:cs="Times New Roman"/>
          <w:color w:val="auto"/>
          <w:highlight w:val="none"/>
          <w:lang w:val="en-US" w:eastAsia="zh-CN"/>
        </w:rPr>
        <w:t>以上</w:t>
      </w:r>
      <w:r>
        <w:rPr>
          <w:rFonts w:hint="default" w:ascii="Times New Roman" w:hAnsi="Times New Roman" w:cs="Times New Roman"/>
          <w:color w:val="auto"/>
          <w:highlight w:val="none"/>
        </w:rPr>
        <w:t>，粮食综合生产能力稳定在</w:t>
      </w:r>
      <w:r>
        <w:rPr>
          <w:rFonts w:hint="default" w:ascii="Times New Roman" w:hAnsi="Times New Roman" w:cs="Times New Roman"/>
          <w:color w:val="auto"/>
          <w:highlight w:val="none"/>
          <w:lang w:val="en-US" w:eastAsia="zh-CN"/>
        </w:rPr>
        <w:t>6亿斤</w:t>
      </w:r>
      <w:r>
        <w:rPr>
          <w:rFonts w:hint="default" w:ascii="Times New Roman" w:hAnsi="Times New Roman" w:cs="Times New Roman"/>
          <w:color w:val="auto"/>
          <w:highlight w:val="none"/>
        </w:rPr>
        <w:t>以上。</w:t>
      </w:r>
    </w:p>
    <w:p w14:paraId="6ED47A60">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严守耕地保护红线，夯实粮食安全根基。</w:t>
      </w:r>
      <w:r>
        <w:rPr>
          <w:rFonts w:hint="default" w:ascii="Times New Roman" w:hAnsi="Times New Roman" w:cs="Times New Roman"/>
          <w:color w:val="auto"/>
          <w:highlight w:val="none"/>
        </w:rPr>
        <w:t> 落实最严格的耕地保护制度，推进耕地数量、质量、生态“三位一体”保护，坚决遏制耕地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非农化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、防止</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非粮化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，确保全县耕地面积不低于118.31万亩。严格落实耕地占补平衡制度，加快实施耕地质量保护与提升行动，有效开展退化耕地治理和</w:t>
      </w:r>
      <w:r>
        <w:rPr>
          <w:rFonts w:hint="default" w:ascii="Times New Roman" w:hAnsi="Times New Roman" w:cs="Times New Roman"/>
          <w:color w:val="auto"/>
          <w:highlight w:val="none"/>
          <w:lang w:val="en-US" w:eastAsia="zh-CN"/>
        </w:rPr>
        <w:t>受</w:t>
      </w:r>
      <w:r>
        <w:rPr>
          <w:rFonts w:hint="default" w:ascii="Times New Roman" w:hAnsi="Times New Roman" w:eastAsia="仿宋_GB2312" w:cs="Times New Roman"/>
          <w:color w:val="000000"/>
          <w:kern w:val="0"/>
          <w:sz w:val="32"/>
          <w:szCs w:val="32"/>
          <w:lang w:val="en-US" w:eastAsia="zh-CN" w:bidi="ar"/>
        </w:rPr>
        <w:t>污染耕地修复。</w:t>
      </w:r>
    </w:p>
    <w:p w14:paraId="35E28C3D">
      <w:pPr>
        <w:bidi w:val="0"/>
        <w:rPr>
          <w:rFonts w:hint="default" w:ascii="Times New Roman" w:hAnsi="Times New Roman" w:eastAsia="仿宋_GB2312" w:cs="Times New Roman"/>
          <w:color w:val="FF0000"/>
          <w:highlight w:val="none"/>
          <w:lang w:eastAsia="zh-CN"/>
        </w:rPr>
      </w:pPr>
      <w:r>
        <w:rPr>
          <w:rFonts w:hint="default" w:ascii="Times New Roman" w:hAnsi="Times New Roman" w:cs="Times New Roman"/>
          <w:b/>
          <w:bCs/>
          <w:color w:val="auto"/>
          <w:highlight w:val="none"/>
        </w:rPr>
        <w:t>推进高标准农田建设，提升粮食综合生产能力。 </w:t>
      </w: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集中连片、旱涝保收、稳产高产、生态友好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的标准，在粮食生产功能区集中开展土地平整、农田水利、土壤改良等工程建设。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十五五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期间，</w:t>
      </w:r>
      <w:r>
        <w:rPr>
          <w:rFonts w:hint="default" w:ascii="Times New Roman" w:hAnsi="Times New Roman" w:cs="Times New Roman"/>
          <w:color w:val="auto"/>
          <w:highlight w:val="none"/>
          <w:lang w:val="en-US" w:eastAsia="zh-CN"/>
        </w:rPr>
        <w:t>新建高标准农田31.07万亩，其中提质改造11.66万亩</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同步大力推广粮食单产提升技术和优良品种，确保农作物良种覆盖率达到98%以上。</w:t>
      </w:r>
    </w:p>
    <w:p w14:paraId="5C9F7E99">
      <w:pPr>
        <w:pStyle w:val="4"/>
        <w:numPr>
          <w:ilvl w:val="0"/>
          <w:numId w:val="9"/>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做大做强高效种养业</w:t>
      </w:r>
    </w:p>
    <w:p w14:paraId="0F0D2D86">
      <w:pPr>
        <w:keepNext w:val="0"/>
        <w:keepLines w:val="0"/>
        <w:widowControl/>
        <w:suppressLineNumbers w:val="0"/>
        <w:jc w:val="left"/>
        <w:rPr>
          <w:rFonts w:hint="default" w:ascii="Times New Roman" w:hAnsi="Times New Roman"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壮大农业特色产业</w:t>
      </w:r>
      <w:r>
        <w:rPr>
          <w:rFonts w:hint="default" w:ascii="Times New Roman" w:hAnsi="Times New Roman" w:cs="Times New Roman"/>
          <w:b/>
          <w:bCs/>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持续做大做强</w:t>
      </w:r>
      <w:r>
        <w:rPr>
          <w:rFonts w:hint="default" w:ascii="Times New Roman" w:hAnsi="Times New Roman" w:cs="Times New Roman"/>
          <w:b w:val="0"/>
          <w:bCs w:val="0"/>
          <w:color w:val="auto"/>
          <w:sz w:val="32"/>
          <w:szCs w:val="32"/>
          <w:highlight w:val="none"/>
          <w:lang w:val="en-US" w:eastAsia="zh-CN"/>
        </w:rPr>
        <w:t>食用菌产业</w:t>
      </w:r>
      <w:r>
        <w:rPr>
          <w:rFonts w:hint="default" w:ascii="Times New Roman" w:hAnsi="Times New Roman" w:eastAsia="仿宋_GB2312" w:cs="Times New Roman"/>
          <w:b w:val="0"/>
          <w:bCs w:val="0"/>
          <w:color w:val="auto"/>
          <w:kern w:val="0"/>
          <w:sz w:val="32"/>
          <w:szCs w:val="32"/>
          <w:highlight w:val="none"/>
          <w:lang w:val="en-US" w:eastAsia="zh-CN" w:bidi="ar"/>
        </w:rPr>
        <w:t>，以牧牛镇、三家子镇等为核心产区扩大种植规模，优化品种结构，提升产品质量。加强食用菌菌种培育研发</w:t>
      </w:r>
      <w:r>
        <w:rPr>
          <w:rFonts w:hint="default" w:ascii="Times New Roman" w:hAnsi="Times New Roman"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提高产业科技含量。推进柞园生态建设，促进传统蚕业向现代</w:t>
      </w:r>
      <w:r>
        <w:rPr>
          <w:rFonts w:hint="default" w:ascii="Times New Roman" w:hAnsi="Times New Roman" w:cs="Times New Roman"/>
          <w:b w:val="0"/>
          <w:bCs w:val="0"/>
          <w:color w:val="auto"/>
          <w:sz w:val="32"/>
          <w:szCs w:val="32"/>
          <w:highlight w:val="none"/>
          <w:lang w:val="en-US" w:eastAsia="zh-CN"/>
        </w:rPr>
        <w:t>生态蚕业</w:t>
      </w:r>
      <w:r>
        <w:rPr>
          <w:rFonts w:hint="default" w:ascii="Times New Roman" w:hAnsi="Times New Roman" w:eastAsia="仿宋_GB2312" w:cs="Times New Roman"/>
          <w:b w:val="0"/>
          <w:bCs w:val="0"/>
          <w:color w:val="auto"/>
          <w:kern w:val="0"/>
          <w:sz w:val="32"/>
          <w:szCs w:val="32"/>
          <w:highlight w:val="none"/>
          <w:lang w:val="en-US" w:eastAsia="zh-CN" w:bidi="ar"/>
        </w:rPr>
        <w:t>转型升级</w:t>
      </w:r>
      <w:r>
        <w:rPr>
          <w:rFonts w:hint="default" w:ascii="Times New Roman" w:hAnsi="Times New Roman"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巩固提升</w:t>
      </w:r>
      <w:r>
        <w:rPr>
          <w:rFonts w:hint="default" w:ascii="Times New Roman" w:hAnsi="Times New Roman" w:cs="Times New Roman"/>
          <w:b w:val="0"/>
          <w:bCs w:val="0"/>
          <w:color w:val="auto"/>
          <w:kern w:val="0"/>
          <w:sz w:val="32"/>
          <w:szCs w:val="32"/>
          <w:highlight w:val="none"/>
          <w:lang w:val="en-US" w:eastAsia="zh-CN" w:bidi="ar"/>
        </w:rPr>
        <w:t>尖把梨、</w:t>
      </w:r>
      <w:r>
        <w:rPr>
          <w:rFonts w:hint="default" w:ascii="Times New Roman" w:hAnsi="Times New Roman" w:eastAsia="仿宋_GB2312" w:cs="Times New Roman"/>
          <w:b w:val="0"/>
          <w:bCs w:val="0"/>
          <w:color w:val="auto"/>
          <w:kern w:val="0"/>
          <w:sz w:val="32"/>
          <w:szCs w:val="32"/>
          <w:highlight w:val="none"/>
          <w:lang w:val="en-US" w:eastAsia="zh-CN" w:bidi="ar"/>
        </w:rPr>
        <w:t>软枣猕猴桃、寒富苹果等</w:t>
      </w:r>
      <w:r>
        <w:rPr>
          <w:rFonts w:hint="default" w:ascii="Times New Roman" w:hAnsi="Times New Roman" w:cs="Times New Roman"/>
          <w:b w:val="0"/>
          <w:bCs w:val="0"/>
          <w:color w:val="auto"/>
          <w:sz w:val="32"/>
          <w:szCs w:val="32"/>
          <w:highlight w:val="none"/>
          <w:lang w:val="en-US" w:eastAsia="zh-CN"/>
        </w:rPr>
        <w:t>传统优势水果</w:t>
      </w:r>
      <w:r>
        <w:rPr>
          <w:rFonts w:hint="default" w:ascii="Times New Roman" w:hAnsi="Times New Roman" w:eastAsia="仿宋_GB2312" w:cs="Times New Roman"/>
          <w:b w:val="0"/>
          <w:bCs w:val="0"/>
          <w:color w:val="auto"/>
          <w:kern w:val="0"/>
          <w:sz w:val="32"/>
          <w:szCs w:val="32"/>
          <w:highlight w:val="none"/>
          <w:lang w:val="en-US" w:eastAsia="zh-CN" w:bidi="ar"/>
        </w:rPr>
        <w:t>产业，积极培育蓝莓、草莓等新兴高价值水果产业，</w:t>
      </w:r>
      <w:r>
        <w:rPr>
          <w:rFonts w:hint="default" w:ascii="Times New Roman" w:hAnsi="Times New Roman" w:cs="Times New Roman"/>
          <w:b w:val="0"/>
          <w:bCs w:val="0"/>
          <w:color w:val="auto"/>
          <w:kern w:val="0"/>
          <w:sz w:val="32"/>
          <w:szCs w:val="32"/>
          <w:highlight w:val="none"/>
          <w:lang w:val="en-US" w:eastAsia="zh-CN" w:bidi="ar"/>
        </w:rPr>
        <w:t>推进</w:t>
      </w:r>
      <w:r>
        <w:rPr>
          <w:rFonts w:hint="default" w:ascii="Times New Roman" w:hAnsi="Times New Roman" w:eastAsia="仿宋_GB2312" w:cs="Times New Roman"/>
          <w:b w:val="0"/>
          <w:bCs w:val="0"/>
          <w:color w:val="auto"/>
          <w:kern w:val="0"/>
          <w:sz w:val="32"/>
          <w:szCs w:val="32"/>
          <w:highlight w:val="none"/>
          <w:lang w:val="en-US" w:eastAsia="zh-CN" w:bidi="ar"/>
        </w:rPr>
        <w:t>榛子、核桃、板栗等干果种植，建设标准化种植基地，推广绿色防控和节水灌溉技术。大力发展</w:t>
      </w:r>
      <w:r>
        <w:rPr>
          <w:rFonts w:hint="default" w:ascii="Times New Roman" w:hAnsi="Times New Roman" w:cs="Times New Roman"/>
          <w:b w:val="0"/>
          <w:bCs w:val="0"/>
          <w:color w:val="auto"/>
          <w:sz w:val="32"/>
          <w:szCs w:val="32"/>
          <w:highlight w:val="none"/>
          <w:lang w:val="en-US" w:eastAsia="zh-CN"/>
        </w:rPr>
        <w:t>林下经济</w:t>
      </w:r>
      <w:r>
        <w:rPr>
          <w:rFonts w:hint="default" w:ascii="Times New Roman" w:hAnsi="Times New Roman" w:eastAsia="仿宋_GB2312" w:cs="Times New Roman"/>
          <w:b w:val="0"/>
          <w:bCs w:val="0"/>
          <w:color w:val="auto"/>
          <w:kern w:val="0"/>
          <w:sz w:val="32"/>
          <w:szCs w:val="32"/>
          <w:highlight w:val="none"/>
          <w:lang w:val="en-US" w:eastAsia="zh-CN" w:bidi="ar"/>
        </w:rPr>
        <w:t>，重点推广辽五味子、黄精等道地</w:t>
      </w:r>
      <w:r>
        <w:rPr>
          <w:rFonts w:hint="default" w:ascii="Times New Roman" w:hAnsi="Times New Roman" w:cs="Times New Roman"/>
          <w:b w:val="0"/>
          <w:bCs w:val="0"/>
          <w:color w:val="auto"/>
          <w:sz w:val="32"/>
          <w:szCs w:val="32"/>
          <w:highlight w:val="none"/>
          <w:lang w:val="en-US" w:eastAsia="zh-CN"/>
        </w:rPr>
        <w:t>药材</w:t>
      </w:r>
      <w:r>
        <w:rPr>
          <w:rFonts w:hint="default" w:ascii="Times New Roman" w:hAnsi="Times New Roman" w:eastAsia="仿宋_GB2312" w:cs="Times New Roman"/>
          <w:b w:val="0"/>
          <w:bCs w:val="0"/>
          <w:color w:val="auto"/>
          <w:kern w:val="0"/>
          <w:sz w:val="32"/>
          <w:szCs w:val="32"/>
          <w:highlight w:val="none"/>
          <w:lang w:val="en-US" w:eastAsia="zh-CN" w:bidi="ar"/>
        </w:rPr>
        <w:t>和刺嫩芽、大叶芹等特色</w:t>
      </w:r>
      <w:r>
        <w:rPr>
          <w:rFonts w:hint="default" w:ascii="Times New Roman" w:hAnsi="Times New Roman" w:cs="Times New Roman"/>
          <w:b w:val="0"/>
          <w:bCs w:val="0"/>
          <w:color w:val="auto"/>
          <w:sz w:val="32"/>
          <w:szCs w:val="32"/>
          <w:highlight w:val="none"/>
          <w:lang w:val="en-US" w:eastAsia="zh-CN"/>
        </w:rPr>
        <w:t>山野菜</w:t>
      </w:r>
      <w:r>
        <w:rPr>
          <w:rFonts w:hint="default" w:ascii="Times New Roman" w:hAnsi="Times New Roman" w:eastAsia="仿宋_GB2312" w:cs="Times New Roman"/>
          <w:b w:val="0"/>
          <w:bCs w:val="0"/>
          <w:color w:val="auto"/>
          <w:kern w:val="0"/>
          <w:sz w:val="32"/>
          <w:szCs w:val="32"/>
          <w:highlight w:val="none"/>
          <w:lang w:val="en-US" w:eastAsia="zh-CN" w:bidi="ar"/>
        </w:rPr>
        <w:t>种植</w:t>
      </w:r>
      <w:r>
        <w:rPr>
          <w:rFonts w:hint="default" w:ascii="Times New Roman" w:hAnsi="Times New Roman"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同步发展</w:t>
      </w:r>
      <w:r>
        <w:rPr>
          <w:rFonts w:hint="default" w:ascii="Times New Roman" w:hAnsi="Times New Roman" w:cs="Times New Roman"/>
          <w:b w:val="0"/>
          <w:bCs w:val="0"/>
          <w:color w:val="auto"/>
          <w:sz w:val="32"/>
          <w:szCs w:val="32"/>
          <w:highlight w:val="none"/>
          <w:lang w:val="en-US" w:eastAsia="zh-CN"/>
        </w:rPr>
        <w:t>设施农业</w:t>
      </w:r>
      <w:r>
        <w:rPr>
          <w:rFonts w:hint="default" w:ascii="Times New Roman" w:hAnsi="Times New Roman" w:eastAsia="仿宋_GB2312" w:cs="Times New Roman"/>
          <w:b w:val="0"/>
          <w:bCs w:val="0"/>
          <w:color w:val="auto"/>
          <w:kern w:val="0"/>
          <w:sz w:val="32"/>
          <w:szCs w:val="32"/>
          <w:highlight w:val="none"/>
          <w:lang w:val="en-US" w:eastAsia="zh-CN" w:bidi="ar"/>
        </w:rPr>
        <w:t>，在雅河、洋河等乡镇建设设施农业示范园区，推广应用智能温室、无土栽培等技术，重点发展瓜果、花卉等高附加值农产品。</w:t>
      </w:r>
    </w:p>
    <w:p w14:paraId="3C373C57">
      <w:pPr>
        <w:keepNext w:val="0"/>
        <w:keepLines w:val="0"/>
        <w:widowControl/>
        <w:suppressLineNumbers w:val="0"/>
        <w:jc w:val="left"/>
        <w:rPr>
          <w:rFonts w:hint="default" w:ascii="Times New Roman" w:hAnsi="Times New Roman" w:cs="Times New Roman"/>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提升畜牧业发展水平</w:t>
      </w:r>
      <w:r>
        <w:rPr>
          <w:rFonts w:hint="default" w:ascii="Times New Roman" w:hAnsi="Times New Roman" w:cs="Times New Roman"/>
          <w:b/>
          <w:bCs/>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优化产业布局并推进标准化规模养殖，</w:t>
      </w:r>
      <w:r>
        <w:rPr>
          <w:rFonts w:hint="default" w:ascii="Times New Roman" w:hAnsi="Times New Roman" w:eastAsia="仿宋_GB2312" w:cs="Times New Roman"/>
          <w:color w:val="000000"/>
          <w:kern w:val="0"/>
          <w:sz w:val="32"/>
          <w:szCs w:val="32"/>
          <w:lang w:val="en-US" w:eastAsia="zh-CN" w:bidi="ar"/>
        </w:rPr>
        <w:t>实施改造</w:t>
      </w:r>
      <w:r>
        <w:rPr>
          <w:rFonts w:hint="default" w:ascii="Times New Roman" w:hAnsi="Times New Roman" w:eastAsia="仿宋_GB2312" w:cs="Times New Roman"/>
          <w:color w:val="auto"/>
          <w:kern w:val="0"/>
          <w:sz w:val="32"/>
          <w:szCs w:val="32"/>
          <w:highlight w:val="none"/>
          <w:lang w:val="en-US" w:eastAsia="zh-CN" w:bidi="ar"/>
        </w:rPr>
        <w:t>升级一批现代化畜牧养殖示范场。强化动物疫病防控体系建设，全面提升监测预警和防控能力。发展生态循环畜牧业，推广农牧结合、种养一体模式，提高畜禽粪污资源化利用水平。重点做强辽宁绒山羊特色产业，大力发展林下生态养殖，推广黑猪、生态鸡等特色品种。着力打造国家级辽宁绒山羊保种繁育基地，培育“哨子河鸭蛋”国家地理标志品牌。全面实施养殖场环保改造，确保污染物排放达标，畜禽粪污资源化利用率稳定在80%以上。至2030年，力争实现生猪饲养量19万头、肉牛3万头、辽宁绒山羊35万只、禽类4000万羽。</w:t>
      </w:r>
    </w:p>
    <w:p w14:paraId="2A698ACB">
      <w:pPr>
        <w:pStyle w:val="4"/>
        <w:numPr>
          <w:ilvl w:val="0"/>
          <w:numId w:val="9"/>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强化农业科技品牌支撑</w:t>
      </w:r>
    </w:p>
    <w:p w14:paraId="7EC3BFB2">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实施农业品牌提升战略</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打造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岫岩农产品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区域公用品牌，整合县域特色资源并强化宣传推广，提升品牌知名度与影响力</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同步培育具有市场竞争力的</w:t>
      </w:r>
      <w:r>
        <w:rPr>
          <w:rFonts w:hint="default" w:ascii="Times New Roman" w:hAnsi="Times New Roman" w:cs="Times New Roman"/>
          <w:color w:val="auto"/>
          <w:highlight w:val="none"/>
          <w:lang w:val="en-US" w:eastAsia="zh-CN"/>
        </w:rPr>
        <w:t>农业</w:t>
      </w:r>
      <w:r>
        <w:rPr>
          <w:rFonts w:hint="default" w:ascii="Times New Roman" w:hAnsi="Times New Roman" w:cs="Times New Roman"/>
          <w:color w:val="auto"/>
          <w:highlight w:val="none"/>
        </w:rPr>
        <w:t>企业品牌和产品品牌，支持企业通过商标注册、专利申请、质量认证提升品牌价值，严厉打击假冒伪劣以维护品牌形象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全面提升品牌营销能力，依托电商平台、展销会、新媒体等渠道扩大推广，举办食用菌创新发展大会等特色推介活动，增强品牌曝光度与市场占有率。</w:t>
      </w:r>
    </w:p>
    <w:p w14:paraId="0773B15C">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rPr>
        <w:t>加强农业科技创新平台建设</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lang w:val="en-US" w:eastAsia="zh-CN"/>
        </w:rPr>
        <w:t>推动县内骨干农业企业与域外科研机构及高校联合，共建农业科技研发中心，开展农业关键技术攻关与成果转化应用</w:t>
      </w:r>
      <w:r>
        <w:rPr>
          <w:rFonts w:hint="default" w:ascii="Times New Roman" w:hAnsi="Times New Roman" w:cs="Times New Roman"/>
          <w:color w:val="auto"/>
          <w:highlight w:val="none"/>
        </w:rPr>
        <w:t>。深化与省内外高水平科研院校的产学研合作</w:t>
      </w:r>
      <w:r>
        <w:rPr>
          <w:rFonts w:hint="default" w:ascii="Times New Roman" w:hAnsi="Times New Roman" w:cs="Times New Roman"/>
          <w:b w:val="0"/>
          <w:bCs w:val="0"/>
          <w:color w:val="auto"/>
          <w:highlight w:val="none"/>
        </w:rPr>
        <w:t>，建立稳定协同机制，引导科研资源向岫岩集聚。高标准建设一批农业科技示范基地，示范推</w:t>
      </w:r>
      <w:r>
        <w:rPr>
          <w:rFonts w:hint="default" w:ascii="Times New Roman" w:hAnsi="Times New Roman" w:cs="Times New Roman"/>
          <w:color w:val="auto"/>
          <w:highlight w:val="none"/>
        </w:rPr>
        <w:t>广新品种、新技术、新模式，提升农业科技应用水平。基地内配套建设智能农业生产展示、农产品加工、休闲农业体验等功能区，推动农业科技与产业深度融合，促进农业高质高效发展</w:t>
      </w:r>
      <w:r>
        <w:rPr>
          <w:rFonts w:hint="default" w:ascii="Times New Roman" w:hAnsi="Times New Roman" w:cs="Times New Roman"/>
          <w:color w:val="auto"/>
          <w:highlight w:val="none"/>
          <w:lang w:val="en-US" w:eastAsia="zh-CN"/>
        </w:rPr>
        <w:t>。</w:t>
      </w:r>
    </w:p>
    <w:p w14:paraId="6E27D6BE">
      <w:pPr>
        <w:bidi w:val="0"/>
        <w:rPr>
          <w:rFonts w:hint="default" w:ascii="Times New Roman" w:hAnsi="Times New Roman" w:cs="Times New Roman"/>
          <w:b w:val="0"/>
          <w:bCs w:val="0"/>
          <w:color w:val="auto"/>
          <w:highlight w:val="none"/>
          <w:lang w:eastAsia="zh-CN"/>
        </w:rPr>
      </w:pPr>
      <w:r>
        <w:rPr>
          <w:rFonts w:hint="default" w:ascii="Times New Roman" w:hAnsi="Times New Roman" w:cs="Times New Roman"/>
          <w:b/>
          <w:bCs/>
          <w:color w:val="auto"/>
          <w:highlight w:val="none"/>
        </w:rPr>
        <w:t>推进农业科技成果转化应用</w:t>
      </w:r>
      <w:r>
        <w:rPr>
          <w:rFonts w:hint="default" w:ascii="Times New Roman" w:hAnsi="Times New Roman" w:cs="Times New Roman"/>
          <w:b/>
          <w:bCs/>
          <w:color w:val="auto"/>
          <w:highlight w:val="none"/>
          <w:lang w:eastAsia="zh-CN"/>
        </w:rPr>
        <w:t>。</w:t>
      </w:r>
      <w:r>
        <w:rPr>
          <w:rFonts w:hint="default" w:ascii="Times New Roman" w:hAnsi="Times New Roman" w:cs="Times New Roman"/>
          <w:b w:val="0"/>
          <w:bCs w:val="0"/>
          <w:color w:val="auto"/>
          <w:highlight w:val="none"/>
        </w:rPr>
        <w:t>加大</w:t>
      </w:r>
      <w:r>
        <w:rPr>
          <w:rFonts w:hint="default" w:ascii="Times New Roman" w:hAnsi="Times New Roman" w:cs="Times New Roman"/>
          <w:b w:val="0"/>
          <w:bCs w:val="0"/>
          <w:color w:val="auto"/>
          <w:highlight w:val="none"/>
          <w:lang w:val="en-US" w:eastAsia="zh-CN"/>
        </w:rPr>
        <w:t>农业新技术</w:t>
      </w:r>
      <w:r>
        <w:rPr>
          <w:rFonts w:hint="default" w:ascii="Times New Roman" w:hAnsi="Times New Roman" w:cs="Times New Roman"/>
          <w:b w:val="0"/>
          <w:bCs w:val="0"/>
          <w:color w:val="auto"/>
          <w:highlight w:val="none"/>
        </w:rPr>
        <w:t>推广力度，建立健全基层农技推广体系并强化队伍建设，重点推广测土配方施肥、病虫害绿色防控、节水灌溉、设施农业与智慧农业等关键技术</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加强</w:t>
      </w:r>
      <w:r>
        <w:rPr>
          <w:rFonts w:hint="default" w:ascii="Times New Roman" w:hAnsi="Times New Roman" w:cs="Times New Roman"/>
          <w:b w:val="0"/>
          <w:bCs w:val="0"/>
          <w:color w:val="auto"/>
          <w:highlight w:val="none"/>
          <w:lang w:val="en-US" w:eastAsia="zh-CN"/>
        </w:rPr>
        <w:t>农业新品种</w:t>
      </w:r>
      <w:r>
        <w:rPr>
          <w:rFonts w:hint="default" w:ascii="Times New Roman" w:hAnsi="Times New Roman" w:cs="Times New Roman"/>
          <w:b w:val="0"/>
          <w:bCs w:val="0"/>
          <w:color w:val="auto"/>
          <w:highlight w:val="none"/>
        </w:rPr>
        <w:t>引进培育，积极引入适生优良品种，鼓励企业及科研机构开展自主育种创新，完善种苗繁育基地建设</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着力提升</w:t>
      </w:r>
      <w:r>
        <w:rPr>
          <w:rFonts w:hint="default" w:ascii="Times New Roman" w:hAnsi="Times New Roman" w:cs="Times New Roman"/>
          <w:b w:val="0"/>
          <w:bCs w:val="0"/>
          <w:color w:val="auto"/>
          <w:highlight w:val="none"/>
          <w:lang w:val="en-US" w:eastAsia="zh-CN"/>
        </w:rPr>
        <w:t>农业机械化</w:t>
      </w:r>
      <w:r>
        <w:rPr>
          <w:rFonts w:hint="default" w:ascii="Times New Roman" w:hAnsi="Times New Roman" w:cs="Times New Roman"/>
          <w:b w:val="0"/>
          <w:bCs w:val="0"/>
          <w:color w:val="auto"/>
          <w:highlight w:val="none"/>
        </w:rPr>
        <w:t>水平，落实农机购置补贴政策，推广先进适用机械装备，力争农业机械化综合水平达90%以上，同时培育农机专业合作社等服务主体开展作业托管、维修保养等社会化服务</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配套实施</w:t>
      </w:r>
      <w:r>
        <w:rPr>
          <w:rFonts w:hint="default" w:ascii="Times New Roman" w:hAnsi="Times New Roman" w:cs="Times New Roman"/>
          <w:b w:val="0"/>
          <w:bCs w:val="0"/>
          <w:color w:val="auto"/>
          <w:highlight w:val="none"/>
          <w:lang w:val="en-US" w:eastAsia="zh-CN"/>
        </w:rPr>
        <w:t>高素质农民</w:t>
      </w:r>
      <w:r>
        <w:rPr>
          <w:rFonts w:hint="default" w:ascii="Times New Roman" w:hAnsi="Times New Roman" w:cs="Times New Roman"/>
          <w:b w:val="0"/>
          <w:bCs w:val="0"/>
          <w:color w:val="auto"/>
          <w:highlight w:val="none"/>
        </w:rPr>
        <w:t>培育工程，推广</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家庭农场+社会化服务</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模式，全方位增强农业生产科技支撑能力。</w:t>
      </w:r>
    </w:p>
    <w:p w14:paraId="39748608">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rPr>
        <w:t>加强农业信息化建设</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lang w:val="en-US" w:eastAsia="zh-CN"/>
        </w:rPr>
        <w:t>推进智慧农业发展，利用5G、物联网、大数据、人工智能等现代信息技术，建设智慧农业管理平台，实现农业生产过程的智能化监测、精准化管理和可视化控制。在设施农业、畜牧养殖、农产品加工等领域推广应用智慧农业技术，提高农业生产效率和质量。加强农村信息基础设施建设，提高农村宽带网络覆盖率。建设农村综合信息服务平台，整合农业生产、市场流通、政策法规等信息资源，为农民提供及时、准确的信息服务。发展农村电商直播、短视频等新业态，促进农产品销售和农村产业发展。</w:t>
      </w:r>
    </w:p>
    <w:p w14:paraId="6D727D56">
      <w:pPr>
        <w:pStyle w:val="4"/>
        <w:numPr>
          <w:ilvl w:val="0"/>
          <w:numId w:val="9"/>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推动农村产业融合发展</w:t>
      </w:r>
    </w:p>
    <w:p w14:paraId="3D1963D5">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延伸农业产业链。</w:t>
      </w:r>
      <w:r>
        <w:rPr>
          <w:rFonts w:hint="default" w:ascii="Times New Roman" w:hAnsi="Times New Roman" w:cs="Times New Roman"/>
          <w:color w:val="auto"/>
          <w:highlight w:val="none"/>
          <w:lang w:val="en-US" w:eastAsia="zh-CN"/>
        </w:rPr>
        <w:t>培育壮大农产品加工企业，扶持发展食用菌深加工、果品加工、肉类加工、蚕蛹加工等产业，提高农产品附加值。鼓励企业开展技术改造和设备更新，提升加工工艺和产品质量。建设农产品加工园区，引导企业向园区集聚，形成产业集群。到2030年，力争培育市级龙头企业5家，省级龙头企业2家。</w:t>
      </w:r>
    </w:p>
    <w:p w14:paraId="38D6CD4B">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拓展农业多功能性。</w:t>
      </w:r>
      <w:r>
        <w:rPr>
          <w:rFonts w:hint="default" w:ascii="Times New Roman" w:hAnsi="Times New Roman" w:cs="Times New Roman"/>
          <w:color w:val="auto"/>
          <w:highlight w:val="none"/>
          <w:lang w:val="en-US" w:eastAsia="zh-CN"/>
        </w:rPr>
        <w:t>大力发展休闲农业和乡村旅游，依托岫岩县丰富的自然景观、民俗文化和农业资源，打造一批休闲农业示范点、乡村旅游精品线路。开发农事体验、民俗文化体验、乡村康养等旅游产品，促进农业与旅游、文化、康养等产业深度融合。发展农村电商，完善农村电商服务体系，培育电商人才，拓宽农产品销售渠道，推动农产品上行。力争“十五五”期间打造旅游专业村42个，休闲农业经营主体95家。</w:t>
      </w:r>
    </w:p>
    <w:p w14:paraId="38B8BFA8">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加强农业产业化联合体建设。</w:t>
      </w:r>
      <w:r>
        <w:rPr>
          <w:rFonts w:hint="default" w:ascii="Times New Roman" w:hAnsi="Times New Roman" w:cs="Times New Roman"/>
          <w:color w:val="auto"/>
          <w:highlight w:val="none"/>
          <w:lang w:val="en-US" w:eastAsia="zh-CN"/>
        </w:rPr>
        <w:t>培育壮大农民合作社、家庭农场等新型农业经营主体，引导其与龙头企业组建农业产业化联合体，建立紧密的利益联结机制，实现资源共享、优势互补、共同发展。支持新型农业经营主体开展农产品生产、加工、销售等一体化经营，提高农业产业化经营水平。以社会化服务项目为依托，探索“整村、整组、整地块”托管模式，进一步促进农民增收。力争实现社会化作业面积年均增长5%。</w:t>
      </w:r>
    </w:p>
    <w:p w14:paraId="50771D8F">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lang w:val="en-US" w:eastAsia="zh-CN"/>
        </w:rPr>
      </w:pPr>
      <w:bookmarkStart w:id="24" w:name="_Toc28850"/>
      <w:r>
        <w:rPr>
          <w:rFonts w:hint="default" w:ascii="Times New Roman" w:hAnsi="Times New Roman" w:cs="Times New Roman"/>
          <w:b/>
          <w:bCs w:val="0"/>
          <w:color w:val="auto"/>
          <w:highlight w:val="none"/>
          <w:lang w:val="en-US" w:eastAsia="zh-CN"/>
        </w:rPr>
        <w:t>第二节</w:t>
      </w:r>
      <w:r>
        <w:rPr>
          <w:rFonts w:hint="eastAsia" w:ascii="Times New Roman" w:hAnsi="Times New Roman" w:cs="Times New Roman"/>
          <w:b/>
          <w:bCs w:val="0"/>
          <w:color w:val="auto"/>
          <w:highlight w:val="none"/>
          <w:lang w:val="en-US" w:eastAsia="zh-CN"/>
        </w:rPr>
        <w:t>实施</w:t>
      </w:r>
      <w:r>
        <w:rPr>
          <w:rFonts w:hint="default" w:ascii="Times New Roman" w:hAnsi="Times New Roman" w:eastAsia="楷体_GB2312" w:cs="Times New Roman"/>
          <w:b/>
          <w:bCs w:val="0"/>
          <w:color w:val="auto"/>
          <w:highlight w:val="none"/>
          <w:lang w:val="en-US" w:eastAsia="zh-CN"/>
        </w:rPr>
        <w:t>美丽宜居乡村</w:t>
      </w:r>
      <w:r>
        <w:rPr>
          <w:rFonts w:hint="eastAsia" w:ascii="Times New Roman" w:hAnsi="Times New Roman" w:cs="Times New Roman"/>
          <w:b/>
          <w:bCs w:val="0"/>
          <w:color w:val="auto"/>
          <w:highlight w:val="none"/>
          <w:lang w:val="en-US" w:eastAsia="zh-CN"/>
        </w:rPr>
        <w:t>建设</w:t>
      </w:r>
      <w:bookmarkEnd w:id="24"/>
    </w:p>
    <w:p w14:paraId="0855D156">
      <w:pPr>
        <w:pStyle w:val="4"/>
        <w:numPr>
          <w:ilvl w:val="0"/>
          <w:numId w:val="10"/>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推进农村人居环境整治</w:t>
      </w:r>
    </w:p>
    <w:p w14:paraId="67A998A2">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加强农村生产生活垃圾治理。</w:t>
      </w:r>
      <w:r>
        <w:rPr>
          <w:rFonts w:hint="default" w:ascii="Times New Roman" w:hAnsi="Times New Roman" w:cs="Times New Roman"/>
          <w:color w:val="auto"/>
          <w:highlight w:val="none"/>
        </w:rPr>
        <w:t>健全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户分类、村收集、镇转运、县处理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的农村生活垃圾收运处置体系，</w:t>
      </w:r>
      <w:r>
        <w:rPr>
          <w:rFonts w:hint="eastAsia" w:ascii="Times New Roman" w:hAnsi="Times New Roman" w:cs="Times New Roman"/>
          <w:color w:val="auto"/>
          <w:highlight w:val="none"/>
          <w:lang w:val="en-US" w:eastAsia="zh-CN"/>
        </w:rPr>
        <w:t>加强</w:t>
      </w:r>
      <w:r>
        <w:rPr>
          <w:rFonts w:hint="default" w:ascii="Times New Roman" w:hAnsi="Times New Roman" w:cs="Times New Roman"/>
          <w:color w:val="auto"/>
          <w:highlight w:val="none"/>
        </w:rPr>
        <w:t>垃圾分类宣传教育，提升农民垃圾分类意识与习惯养成。建立农药包装废弃物、废旧农膜等农业生产垃圾的回收机制，实现源头减量与安全处置。 逐步淘汰露天垃圾收集设施，推进标准化垃圾中转站建设，全面提升垃圾无害化处理水平。积极推广</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政府主导、市场运作</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模式，拓宽投融资渠道，引入专业环保企业参与运营，探索政府购买服务等机制，提升垃圾治理专业化、</w:t>
      </w:r>
      <w:r>
        <w:rPr>
          <w:rFonts w:hint="default" w:ascii="Times New Roman" w:hAnsi="Times New Roman" w:cs="Times New Roman"/>
          <w:color w:val="auto"/>
          <w:highlight w:val="none"/>
          <w:lang w:val="en-US" w:eastAsia="zh-CN"/>
        </w:rPr>
        <w:t>高效化水平。持续开展非正规垃圾堆放点排查整治，建立健全长效管护与监管机制，推动农村人居环境持续改善。</w:t>
      </w:r>
    </w:p>
    <w:p w14:paraId="7218D7BC">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加强农村生活污水治理。</w:t>
      </w:r>
      <w:r>
        <w:rPr>
          <w:rFonts w:hint="default" w:ascii="Times New Roman" w:hAnsi="Times New Roman" w:cs="Times New Roman"/>
          <w:color w:val="auto"/>
          <w:highlight w:val="none"/>
          <w:lang w:val="en-US" w:eastAsia="zh-CN"/>
        </w:rPr>
        <w:t>结合岫岩农村地域特点与聚居情况，因地制宜采取集中处理、分散处理和资源化利用等模式，科学推进农村生活污水处理设施建设与提升改造。重点推进大洋河、哨子河等流域沿线村庄污水治理，强化设施运行维护管理，保障污水治理设施稳定有效运行。持续推进农村黑臭水体排查与系统治理，加强水体生态修复，切实改善农村水环境质量。</w:t>
      </w:r>
    </w:p>
    <w:p w14:paraId="2BEDE2CA">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推进农村“厕所革命”。</w:t>
      </w:r>
      <w:r>
        <w:rPr>
          <w:rFonts w:hint="default" w:ascii="Times New Roman" w:hAnsi="Times New Roman" w:cs="Times New Roman"/>
          <w:color w:val="auto"/>
          <w:highlight w:val="none"/>
          <w:lang w:val="en-US" w:eastAsia="zh-CN"/>
        </w:rPr>
        <w:t>稳步推进农村无害化卫生厕所建设和改造，提高卫生厕所普及率和使用率。强化改厕与农村生活污水治理有效衔接，鼓励推进粪污资源化利用。建立健全覆盖改厕后续管护机制，明确运维责任主体与服务内容，保障厕所长效常态使用，真正实现从“改得好”到“用得好”。</w:t>
      </w:r>
    </w:p>
    <w:p w14:paraId="7E25203A">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加强村庄绿化美化。</w:t>
      </w:r>
      <w:r>
        <w:rPr>
          <w:rFonts w:hint="default" w:ascii="Times New Roman" w:hAnsi="Times New Roman" w:cs="Times New Roman"/>
          <w:color w:val="auto"/>
          <w:highlight w:val="none"/>
          <w:lang w:val="en-US" w:eastAsia="zh-CN"/>
        </w:rPr>
        <w:t>实施村庄绿化美化行动，依托岫岩山区生态本底，优先选用本地适生树种花草，推进村庄道路、河岸、庭院及公共场所绿化，着力提升村庄绿化覆盖率与生态品质。加强农房建筑风貌引导和农村人居环境整治，重点整治乱搭乱建、乱堆乱放等现象。深入挖掘乡村地域文化特色，鼓励开展美丽庭院、微景观改造等建设，打造具有岫岩地域特色的生态宜居美丽乡村。</w:t>
      </w:r>
    </w:p>
    <w:p w14:paraId="30887985">
      <w:pPr>
        <w:pStyle w:val="4"/>
        <w:numPr>
          <w:ilvl w:val="0"/>
          <w:numId w:val="10"/>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加强农村基础设施建设</w:t>
      </w:r>
    </w:p>
    <w:p w14:paraId="7FAEBCB5">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完善农村交通设施。</w:t>
      </w:r>
      <w:r>
        <w:rPr>
          <w:rFonts w:hint="default" w:ascii="Times New Roman" w:hAnsi="Times New Roman" w:cs="Times New Roman"/>
          <w:color w:val="auto"/>
          <w:highlight w:val="none"/>
          <w:lang w:val="en-US" w:eastAsia="zh-CN"/>
        </w:rPr>
        <w:t>加大农村公路建设力度，重点推进自然村组道路硬化与狭窄路面拓宽工程，持续提升路网通达深度与通行保障能力。加强农村公路养护管理，建立健全养护机制，确保公路安全畅通。推进农村客运和物流融合发展，完善农村物流配送网络，提高农村物流服务水平。</w:t>
      </w:r>
    </w:p>
    <w:p w14:paraId="461D22B1">
      <w:pPr>
        <w:keepNext w:val="0"/>
        <w:keepLines w:val="0"/>
        <w:widowControl/>
        <w:suppressLineNumbers w:val="0"/>
        <w:jc w:val="left"/>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加强农村水利设施建设。</w:t>
      </w:r>
      <w:r>
        <w:rPr>
          <w:rFonts w:hint="default" w:ascii="Times New Roman" w:hAnsi="Times New Roman" w:cs="Times New Roman"/>
          <w:color w:val="auto"/>
          <w:highlight w:val="none"/>
          <w:lang w:val="en-US" w:eastAsia="zh-CN"/>
        </w:rPr>
        <w:t>扎实推进农村饮水安全巩固提升，加强水源保护与水质监测，完善净化消毒设施，健全长效管护机制，稳步提高供水保障水平。积极推进集中供水规模化建设和规范化改造，通过管网延伸、水源置换、集中联网等措施，进一步提高农村自来水普及率。</w:t>
      </w:r>
      <w:r>
        <w:rPr>
          <w:rFonts w:hint="default" w:ascii="Times New Roman" w:hAnsi="Times New Roman" w:eastAsia="仿宋_GB2312" w:cs="Times New Roman"/>
          <w:b w:val="0"/>
          <w:bCs w:val="0"/>
          <w:sz w:val="32"/>
          <w:szCs w:val="32"/>
          <w:lang w:val="en-US" w:eastAsia="zh-CN"/>
        </w:rPr>
        <w:t>谋</w:t>
      </w:r>
      <w:r>
        <w:rPr>
          <w:rFonts w:hint="default" w:ascii="Times New Roman" w:hAnsi="Times New Roman" w:cs="Times New Roman"/>
          <w:color w:val="auto"/>
          <w:highlight w:val="none"/>
          <w:lang w:val="en-US" w:eastAsia="zh-CN"/>
        </w:rPr>
        <w:t>划小型农田水利设施建设和灌区现代化改造项目，包括新甸灌区、大营子灌区续建配套与节水改造等，持续完善灌排渠系网络，增强农业灌溉和防汛抗旱能力。统筹实施中小河流治理、病险水库除险加固等防洪工程，全面提升农村防洪减灾能力。推广节水灌溉、智能调控等先进技术和设备，完善农业水价形成与精准补贴机制，促进水资源集约节约利用，加快构建高效、可靠的现代化农村水利体系。</w:t>
      </w:r>
    </w:p>
    <w:p w14:paraId="4E66EB38">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加强农村能源设施建设。</w:t>
      </w:r>
      <w:r>
        <w:rPr>
          <w:rFonts w:hint="default" w:ascii="Times New Roman" w:hAnsi="Times New Roman" w:cs="Times New Roman"/>
          <w:color w:val="auto"/>
          <w:highlight w:val="none"/>
          <w:lang w:val="en-US" w:eastAsia="zh-CN"/>
        </w:rPr>
        <w:t>有序实施农村电网巩固提升工程，重点提高偏远山区配电网络可靠性与电能质量，增强分布式新能源接入能力。因地制宜推动农村清洁能源多元化开发利用，鼓励发展屋顶分布式光伏，规范生物质成型燃料加工与清洁利用。稳步推进燃气下乡，在条件适宜区域实施燃气管网延伸工程，推广液化石油气、生物天然气等替代应用，提升农村燃气普及率与清洁用能水平。积极开展农村能源合作模式创新，支持集体经营与市场化运营相结合的清洁能源项目，增强农村能源服务体系可持续性。</w:t>
      </w:r>
    </w:p>
    <w:p w14:paraId="1794D2DD">
      <w:pPr>
        <w:pStyle w:val="4"/>
        <w:numPr>
          <w:ilvl w:val="0"/>
          <w:numId w:val="10"/>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提升农村公共服务水平</w:t>
      </w:r>
    </w:p>
    <w:p w14:paraId="14DE413B">
      <w:pPr>
        <w:bidi w:val="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加强农村教育事业发展。</w:t>
      </w:r>
      <w:r>
        <w:rPr>
          <w:rFonts w:hint="default" w:ascii="Times New Roman" w:hAnsi="Times New Roman" w:cs="Times New Roman"/>
          <w:color w:val="auto"/>
          <w:highlight w:val="none"/>
          <w:lang w:val="en-US" w:eastAsia="zh-CN"/>
        </w:rPr>
        <w:t>优化农村教育资源配置，持续推进农村中小学、幼儿园校舍改造与设施设备提档升级，着力改善农村学校办学条件。加强乡村教师队伍建设，完善教师补充、培训和待遇保障机制，通过“县管校聘”、定向培养等方式稳定和优化师资队伍，促进城乡教育优质均衡发展。巩固提升义务教育质量，推动数字教育资源在农村学校的常态化应用。加强农村职业教育和成人教育，培育有文化、懂技术、善经营的新型职业农民。</w:t>
      </w:r>
    </w:p>
    <w:p w14:paraId="7865BB6A">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加强农村医疗卫生事业发展。</w:t>
      </w:r>
      <w:r>
        <w:rPr>
          <w:rFonts w:hint="default" w:ascii="Times New Roman" w:hAnsi="Times New Roman" w:cs="Times New Roman"/>
          <w:color w:val="auto"/>
          <w:highlight w:val="none"/>
          <w:lang w:val="en-US" w:eastAsia="zh-CN"/>
        </w:rPr>
        <w:t>持续</w:t>
      </w:r>
      <w:r>
        <w:rPr>
          <w:rFonts w:hint="eastAsia" w:ascii="Times New Roman" w:hAnsi="Times New Roman" w:cs="Times New Roman"/>
          <w:color w:val="auto"/>
          <w:highlight w:val="none"/>
          <w:lang w:val="en-US" w:eastAsia="zh-CN"/>
        </w:rPr>
        <w:t>推进</w:t>
      </w:r>
      <w:r>
        <w:rPr>
          <w:rFonts w:hint="default" w:ascii="Times New Roman" w:hAnsi="Times New Roman" w:cs="Times New Roman"/>
          <w:color w:val="auto"/>
          <w:highlight w:val="none"/>
          <w:lang w:val="en-US" w:eastAsia="zh-CN"/>
        </w:rPr>
        <w:t>乡镇卫生院和村卫生室标准化建设，加强基层医疗机构基础设施和医疗设备配置，提升常见病、多发病诊疗及公共卫生服务能力。加强农村医疗卫生人才引进和培养，通过定向招聘、全科医生转岗培训、上级医院派驻帮扶等方式充实基层力量。健全分级诊疗和远程医疗机制，推动优质医疗资源下沉，提高农村居民健康保障水平。</w:t>
      </w:r>
    </w:p>
    <w:p w14:paraId="61873FF1">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加强农村文化体育事业发展。</w:t>
      </w:r>
      <w:r>
        <w:rPr>
          <w:rFonts w:hint="default" w:ascii="Times New Roman" w:hAnsi="Times New Roman" w:cs="Times New Roman"/>
          <w:color w:val="auto"/>
          <w:highlight w:val="none"/>
          <w:lang w:val="en-US" w:eastAsia="zh-CN"/>
        </w:rPr>
        <w:t>加强农村文化设施建设，建设乡镇综合文化站、村文化活动室、农家书屋等文化场所，丰富农民精神文化生活。广泛开展送文化下乡、农民文化节等文化活动，传承和弘扬优秀传统文化。加强农村体育设施建设，因地制宜配建健身广场、篮球场、健身路径等场地设施，组织开展农民运动会、健身技能培训等群众性体育活动，提升农民身体素质和健康水平。</w:t>
      </w:r>
    </w:p>
    <w:p w14:paraId="1FCE90CD">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加强农村社会保障体系建设。</w:t>
      </w:r>
      <w:r>
        <w:rPr>
          <w:rFonts w:hint="default" w:ascii="Times New Roman" w:hAnsi="Times New Roman" w:cs="Times New Roman"/>
          <w:color w:val="auto"/>
          <w:highlight w:val="none"/>
          <w:lang w:val="en-US" w:eastAsia="zh-CN"/>
        </w:rPr>
        <w:t>完善农村社会保险制度，提高农村居民养老保险、医疗保险参保率。加强农村社会救助体系建设，完善最低生活保障、特困人员救助供养、临时救助等制度，保障农村困难群众基本生活，强化对农村留守儿童、妇女、老年人及残疾人的关爱服务。健全农村养老服务体系，推进村级幸福院、日间照料中心等设施建设，推广“党建+农村养老服务”模式，创新探索邻里互助、结对帮扶及“中心户”多户搭伙等互助养老</w:t>
      </w:r>
      <w:r>
        <w:rPr>
          <w:rFonts w:hint="eastAsia" w:ascii="Times New Roman" w:hAnsi="Times New Roman" w:cs="Times New Roman"/>
          <w:color w:val="auto"/>
          <w:highlight w:val="none"/>
          <w:lang w:val="en-US" w:eastAsia="zh-CN"/>
        </w:rPr>
        <w:t>模式</w:t>
      </w:r>
      <w:r>
        <w:rPr>
          <w:rFonts w:hint="default" w:ascii="Times New Roman" w:hAnsi="Times New Roman" w:cs="Times New Roman"/>
          <w:color w:val="auto"/>
          <w:highlight w:val="none"/>
          <w:lang w:val="en-US" w:eastAsia="zh-CN"/>
        </w:rPr>
        <w:t>，着力构建“村级主办、互助服务、社会参与、政府支持”的可持续运行机制。</w:t>
      </w:r>
    </w:p>
    <w:p w14:paraId="28F5C54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rPr>
      </w:pPr>
      <w:bookmarkStart w:id="25" w:name="_Toc5561"/>
      <w:r>
        <w:rPr>
          <w:rFonts w:hint="default" w:ascii="Times New Roman" w:hAnsi="Times New Roman" w:cs="Times New Roman"/>
          <w:b/>
          <w:bCs w:val="0"/>
          <w:color w:val="auto"/>
          <w:highlight w:val="none"/>
          <w:lang w:val="en-US" w:eastAsia="zh-CN"/>
        </w:rPr>
        <w:t>第三节</w:t>
      </w:r>
      <w:r>
        <w:rPr>
          <w:rFonts w:hint="eastAsia" w:ascii="Times New Roman" w:hAnsi="Times New Roman" w:cs="Times New Roman"/>
          <w:b/>
          <w:bCs w:val="0"/>
          <w:color w:val="auto"/>
          <w:highlight w:val="none"/>
          <w:lang w:val="en-US" w:eastAsia="zh-CN"/>
        </w:rPr>
        <w:t>深化</w:t>
      </w:r>
      <w:r>
        <w:rPr>
          <w:rFonts w:hint="default" w:ascii="Times New Roman" w:hAnsi="Times New Roman" w:eastAsia="楷体_GB2312" w:cs="Times New Roman"/>
          <w:b/>
          <w:bCs w:val="0"/>
          <w:color w:val="auto"/>
          <w:highlight w:val="none"/>
        </w:rPr>
        <w:t>乡村文化治理效能</w:t>
      </w:r>
      <w:bookmarkEnd w:id="25"/>
    </w:p>
    <w:p w14:paraId="00417C2F">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传承弘扬优秀乡土文化</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深入挖掘满族民俗、岫岩玉文化、蚕桑农耕文化等特色资源，加强非物质文化遗产保护与活态传承。</w:t>
      </w:r>
      <w:r>
        <w:rPr>
          <w:rFonts w:hint="default" w:ascii="Times New Roman" w:hAnsi="Times New Roman" w:cs="Times New Roman"/>
          <w:color w:val="auto"/>
          <w:highlight w:val="none"/>
          <w:lang w:val="en-US" w:eastAsia="zh-CN"/>
        </w:rPr>
        <w:t>规划建设</w:t>
      </w:r>
      <w:r>
        <w:rPr>
          <w:rFonts w:hint="default" w:ascii="Times New Roman" w:hAnsi="Times New Roman" w:cs="Times New Roman"/>
          <w:color w:val="auto"/>
          <w:highlight w:val="none"/>
        </w:rPr>
        <w:t>乡村文化礼堂、非遗工坊、特色村史馆，举办满族颁金节、柞蚕丰收节等特色节庆活动，推动文化资源向文创产品、乡村旅游转化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增强乡村文化认同。</w:t>
      </w:r>
    </w:p>
    <w:p w14:paraId="68611448">
      <w:pPr>
        <w:bidi w:val="0"/>
        <w:rPr>
          <w:rFonts w:hint="default" w:ascii="Times New Roman" w:hAnsi="Times New Roman" w:eastAsia="仿宋_GB2312" w:cs="Times New Roman"/>
          <w:color w:val="auto"/>
          <w:highlight w:val="none"/>
          <w:lang w:eastAsia="zh-CN"/>
        </w:rPr>
      </w:pPr>
      <w:r>
        <w:rPr>
          <w:rFonts w:hint="eastAsia" w:ascii="Times New Roman" w:hAnsi="Times New Roman" w:cs="Times New Roman"/>
          <w:b/>
          <w:bCs/>
          <w:color w:val="auto"/>
          <w:highlight w:val="none"/>
          <w:lang w:val="en-US" w:eastAsia="zh-CN"/>
        </w:rPr>
        <w:t>加强</w:t>
      </w:r>
      <w:r>
        <w:rPr>
          <w:rFonts w:hint="default" w:ascii="Times New Roman" w:hAnsi="Times New Roman" w:cs="Times New Roman"/>
          <w:b/>
          <w:bCs/>
          <w:color w:val="auto"/>
          <w:highlight w:val="none"/>
        </w:rPr>
        <w:t>农村精神文明建设</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广泛践行社会主义核心价值观，深入挖掘宣传身边榜样，推进新时代文明实践中心（所、站）提质增效。深入开展文明村镇、星级文明户创建，推广</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文明积分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等治理模式</w:t>
      </w:r>
      <w:r>
        <w:rPr>
          <w:rFonts w:hint="default" w:ascii="Times New Roman" w:hAnsi="Times New Roman" w:cs="Times New Roman"/>
          <w:color w:val="auto"/>
          <w:highlight w:val="none"/>
        </w:rPr>
        <w:t>，治理高价彩礼、人情攀比等陈规陋习，培育文明乡风、良好家风、淳朴民风</w:t>
      </w:r>
      <w:r>
        <w:rPr>
          <w:rFonts w:hint="default" w:ascii="Times New Roman" w:hAnsi="Times New Roman" w:cs="Times New Roman"/>
          <w:color w:val="auto"/>
          <w:highlight w:val="none"/>
          <w:lang w:eastAsia="zh-CN"/>
        </w:rPr>
        <w:t>。</w:t>
      </w:r>
    </w:p>
    <w:p w14:paraId="6181464E">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构建现代乡村治理体系</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强化村党组织战斗堡垒作用，推行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网格化+数字化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治理模式</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提升治理精细化水平。完善村民议事协商制度，落实</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四议两公开</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深化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法治乡村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建设，实现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一村一法律顾问</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全覆盖，培育</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法律明白人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。深化平安乡村建设，健全矛盾纠纷多元化解机制，推广</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村民说事</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院落自治</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等治理创新，全面提升乡村治理效能。</w:t>
      </w:r>
    </w:p>
    <w:p w14:paraId="0938166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lang w:val="en-US" w:eastAsia="zh-CN"/>
        </w:rPr>
      </w:pPr>
      <w:bookmarkStart w:id="26" w:name="_Toc13421"/>
      <w:r>
        <w:rPr>
          <w:rFonts w:hint="default" w:ascii="Times New Roman" w:hAnsi="Times New Roman" w:cs="Times New Roman"/>
          <w:b/>
          <w:bCs w:val="0"/>
          <w:color w:val="auto"/>
          <w:highlight w:val="none"/>
          <w:lang w:val="en-US" w:eastAsia="zh-CN"/>
        </w:rPr>
        <w:t>第四节巩固拓展脱贫攻坚成果</w:t>
      </w:r>
      <w:bookmarkEnd w:id="26"/>
    </w:p>
    <w:p w14:paraId="5CF489A6">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坚持把巩固拓展脱贫攻坚成果作为乡村振兴的基础性工作，建立健全长效机制，确保脱贫群众持续稳定增收。按照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巩固一批、升级一批、盘活一批、调整一批</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的要求，分类推进帮扶产业发展，重点提升食用菌、柞蚕等特色产业效益，因地制宜发展庭院经济，</w:t>
      </w:r>
      <w:r>
        <w:rPr>
          <w:rFonts w:hint="default" w:ascii="Times New Roman" w:hAnsi="Times New Roman" w:eastAsia="仿宋_GB2312" w:cs="Times New Roman"/>
          <w:color w:val="000000"/>
          <w:kern w:val="0"/>
          <w:sz w:val="32"/>
          <w:szCs w:val="32"/>
          <w:lang w:val="en-US" w:eastAsia="zh-CN" w:bidi="ar"/>
        </w:rPr>
        <w:t>支持防返贫监测户</w:t>
      </w:r>
      <w:r>
        <w:rPr>
          <w:rFonts w:hint="default" w:ascii="Times New Roman" w:hAnsi="Times New Roman" w:cs="Times New Roman"/>
          <w:color w:val="auto"/>
          <w:highlight w:val="none"/>
        </w:rPr>
        <w:t>发展</w:t>
      </w:r>
      <w:r>
        <w:rPr>
          <w:rFonts w:hint="default" w:ascii="Times New Roman" w:hAnsi="Times New Roman" w:cs="Times New Roman"/>
          <w:color w:val="auto"/>
          <w:highlight w:val="none"/>
          <w:lang w:val="en-US" w:eastAsia="zh-CN"/>
        </w:rPr>
        <w:t>土</w:t>
      </w:r>
      <w:r>
        <w:rPr>
          <w:rFonts w:hint="default" w:ascii="Times New Roman" w:hAnsi="Times New Roman" w:cs="Times New Roman"/>
          <w:color w:val="auto"/>
          <w:highlight w:val="none"/>
        </w:rPr>
        <w:t>猪、</w:t>
      </w:r>
      <w:r>
        <w:rPr>
          <w:rFonts w:hint="default" w:ascii="Times New Roman" w:hAnsi="Times New Roman" w:cs="Times New Roman"/>
          <w:color w:val="auto"/>
          <w:highlight w:val="none"/>
          <w:lang w:val="en-US" w:eastAsia="zh-CN"/>
        </w:rPr>
        <w:t>土</w:t>
      </w:r>
      <w:r>
        <w:rPr>
          <w:rFonts w:hint="default" w:ascii="Times New Roman" w:hAnsi="Times New Roman" w:cs="Times New Roman"/>
          <w:color w:val="auto"/>
          <w:highlight w:val="none"/>
        </w:rPr>
        <w:t>鸡养殖及花生、食用菌种植等绿色小产业。加强扶贫项目资产后续管理，严格落实扶贫资产管理制度，对光伏电站等经营性资产实行第三方专业运维，创新建立</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帮扶资产保</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风险防控机制，增强帮扶资产抵御自然灾害能力。深化金融帮扶，推广</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一自三合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小额信贷模式，破解</w:t>
      </w:r>
      <w:r>
        <w:rPr>
          <w:rFonts w:hint="default" w:ascii="Times New Roman" w:hAnsi="Times New Roman" w:eastAsia="仿宋_GB2312" w:cs="Times New Roman"/>
          <w:color w:val="000000"/>
          <w:kern w:val="0"/>
          <w:sz w:val="32"/>
          <w:szCs w:val="32"/>
          <w:lang w:val="en-US" w:eastAsia="zh-CN" w:bidi="ar"/>
        </w:rPr>
        <w:t>防返贫监测户</w:t>
      </w:r>
      <w:r>
        <w:rPr>
          <w:rFonts w:hint="default" w:ascii="Times New Roman" w:hAnsi="Times New Roman" w:cs="Times New Roman"/>
          <w:color w:val="auto"/>
          <w:highlight w:val="none"/>
        </w:rPr>
        <w:t>贷款难题。健全防返贫动态监测和帮扶机制，整合保险、民政等资源，对因灾因病易返贫群体实施精准帮扶，确保脱贫</w:t>
      </w:r>
      <w:r>
        <w:rPr>
          <w:rFonts w:hint="default" w:ascii="Times New Roman" w:hAnsi="Times New Roman" w:cs="Times New Roman"/>
          <w:color w:val="auto"/>
          <w:highlight w:val="none"/>
          <w:lang w:val="en-US" w:eastAsia="zh-CN"/>
        </w:rPr>
        <w:t>攻坚</w:t>
      </w:r>
      <w:r>
        <w:rPr>
          <w:rFonts w:hint="default" w:ascii="Times New Roman" w:hAnsi="Times New Roman" w:cs="Times New Roman"/>
          <w:color w:val="auto"/>
          <w:highlight w:val="none"/>
        </w:rPr>
        <w:t>成果更加稳固、更可持续。</w:t>
      </w:r>
      <w:r>
        <w:rPr>
          <w:rFonts w:hint="default" w:ascii="Times New Roman" w:hAnsi="Times New Roman" w:cs="Times New Roman"/>
          <w:color w:val="auto"/>
          <w:highlight w:val="none"/>
        </w:rPr>
        <w:br w:type="page"/>
      </w:r>
    </w:p>
    <w:p w14:paraId="4E56771E">
      <w:pPr>
        <w:pStyle w:val="2"/>
        <w:bidi w:val="0"/>
        <w:rPr>
          <w:rFonts w:hint="default" w:ascii="Times New Roman" w:hAnsi="Times New Roman" w:cs="Times New Roman"/>
          <w:color w:val="auto"/>
          <w:highlight w:val="none"/>
        </w:rPr>
      </w:pPr>
      <w:bookmarkStart w:id="27" w:name="_Toc24877"/>
      <w:r>
        <w:rPr>
          <w:rFonts w:hint="default" w:ascii="Times New Roman" w:hAnsi="Times New Roman" w:cs="Times New Roman"/>
          <w:color w:val="auto"/>
          <w:highlight w:val="none"/>
        </w:rPr>
        <w:t>第五章</w:t>
      </w:r>
      <w:r>
        <w:rPr>
          <w:rFonts w:hint="default" w:ascii="Times New Roman" w:hAnsi="Times New Roman" w:cs="Times New Roman"/>
          <w:color w:val="auto"/>
          <w:highlight w:val="none"/>
          <w:lang w:val="en-US" w:eastAsia="zh-CN"/>
        </w:rPr>
        <w:t>提升县城承载能力</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高质量</w:t>
      </w:r>
      <w:r>
        <w:rPr>
          <w:rFonts w:hint="default" w:ascii="Times New Roman" w:hAnsi="Times New Roman" w:cs="Times New Roman"/>
          <w:color w:val="auto"/>
          <w:highlight w:val="none"/>
        </w:rPr>
        <w:t>推进新型城镇化</w:t>
      </w:r>
      <w:bookmarkEnd w:id="27"/>
    </w:p>
    <w:p w14:paraId="5F6534E1">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围绕新型城镇化建设目标，以增强综合承载能力为核心，统筹推进县域空间优化、功能提升和人口集聚。科学规划城镇空间布局，强化中心城区核心功能；全面提升基础设施和公共服务水平，构建宜居宜业、绿色低碳、安全韧性的现代化县城；立足乡镇特色资源，培育差异化发展优势；完善市民化配套政策，有序推进农业转移人口融入</w:t>
      </w:r>
      <w:r>
        <w:rPr>
          <w:rFonts w:hint="default" w:ascii="Times New Roman" w:hAnsi="Times New Roman" w:cs="Times New Roman"/>
          <w:color w:val="auto"/>
          <w:highlight w:val="none"/>
          <w:lang w:val="en-US" w:eastAsia="zh-CN"/>
        </w:rPr>
        <w:t>城市</w:t>
      </w:r>
      <w:r>
        <w:rPr>
          <w:rFonts w:hint="default" w:ascii="Times New Roman" w:hAnsi="Times New Roman" w:cs="Times New Roman"/>
          <w:color w:val="auto"/>
          <w:highlight w:val="none"/>
        </w:rPr>
        <w:t>，为岫岩高质量发展提供坚实支撑。</w:t>
      </w:r>
    </w:p>
    <w:p w14:paraId="30DE72A2">
      <w:pPr>
        <w:pStyle w:val="3"/>
        <w:bidi w:val="0"/>
        <w:rPr>
          <w:rFonts w:hint="default" w:ascii="Times New Roman" w:hAnsi="Times New Roman" w:cs="Times New Roman"/>
          <w:color w:val="auto"/>
          <w:highlight w:val="none"/>
          <w:lang w:val="en-US" w:eastAsia="zh-CN"/>
        </w:rPr>
      </w:pPr>
      <w:bookmarkStart w:id="28" w:name="_Toc27082"/>
      <w:r>
        <w:rPr>
          <w:rFonts w:hint="default" w:ascii="Times New Roman" w:hAnsi="Times New Roman" w:cs="Times New Roman"/>
          <w:color w:val="auto"/>
          <w:highlight w:val="none"/>
          <w:lang w:val="en-US" w:eastAsia="zh-CN"/>
        </w:rPr>
        <w:t>第一节构建县域城镇发展新格局</w:t>
      </w:r>
      <w:bookmarkEnd w:id="28"/>
    </w:p>
    <w:p w14:paraId="654B9BCA">
      <w:pPr>
        <w:rPr>
          <w:rFonts w:hint="default" w:ascii="Times New Roman" w:hAnsi="Times New Roman" w:cs="Times New Roman"/>
          <w:color w:val="auto"/>
          <w:highlight w:val="none"/>
        </w:rPr>
      </w:pPr>
      <w:r>
        <w:rPr>
          <w:rFonts w:hint="default" w:ascii="Times New Roman" w:hAnsi="Times New Roman" w:cs="Times New Roman"/>
          <w:b/>
          <w:bCs/>
          <w:color w:val="auto"/>
          <w:highlight w:val="none"/>
          <w:lang w:val="en-US" w:eastAsia="zh-CN"/>
        </w:rPr>
        <w:t>优化塑造“一核两轴四极”的总体布局。</w:t>
      </w:r>
      <w:r>
        <w:rPr>
          <w:rFonts w:hint="default" w:ascii="Times New Roman" w:hAnsi="Times New Roman" w:cs="Times New Roman"/>
          <w:b w:val="0"/>
          <w:bCs w:val="0"/>
          <w:color w:val="auto"/>
          <w:highlight w:val="none"/>
        </w:rPr>
        <w:t>强化中心城区</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核心</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引领</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突出岫岩中心城区综合服务核心地位，重点优化空间结构和功能布局，推进城市更新，增强产业集聚、科技创新和公共服务功能，营造生态宜居环境，全面提升辐射带动能级，打造县域高质量发展的核心引擎。培育两条联动发展轴</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依托丹锡高速、本庄高速等交通干线，构建海岫丹、本岫庄两条区域协同发展轴</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强化轴线基础设施联通和产业协作，引导要素资源高效集聚，推动城镇化和工业化沿轴带高水平协同发展，成为对接区域战略、促进县域平衡协调发展的主动脉。打造四个重点镇增长极</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支持偏岭镇、</w:t>
      </w:r>
      <w:r>
        <w:rPr>
          <w:rFonts w:hint="default" w:ascii="Times New Roman" w:hAnsi="Times New Roman" w:cs="Times New Roman"/>
          <w:color w:val="auto"/>
          <w:highlight w:val="none"/>
        </w:rPr>
        <w:t>黄花甸镇、新甸镇、洋河镇四个重点镇发挥比较优势，强化特色产业支撑，完善镇区服务功能，扩大就业容量，培育成为县域经济的重要增长极和就近就地城镇化的重要载体。</w:t>
      </w:r>
    </w:p>
    <w:p w14:paraId="00AC9D77">
      <w:pPr>
        <w:keepNext w:val="0"/>
        <w:keepLines w:val="0"/>
        <w:widowControl/>
        <w:suppressLineNumbers w:val="0"/>
        <w:jc w:val="both"/>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cs="Times New Roman"/>
          <w:b/>
          <w:bCs/>
          <w:color w:val="auto"/>
          <w:highlight w:val="none"/>
        </w:rPr>
        <w:t>强化国土空间底线约束与效率保障</w:t>
      </w:r>
      <w:r>
        <w:rPr>
          <w:rFonts w:hint="default" w:ascii="Times New Roman" w:hAnsi="Times New Roman" w:cs="Times New Roman"/>
          <w:b/>
          <w:bCs/>
          <w:color w:val="auto"/>
          <w:highlight w:val="none"/>
          <w:lang w:val="en-US" w:eastAsia="zh-CN"/>
        </w:rPr>
        <w:t>。</w:t>
      </w:r>
      <w:r>
        <w:rPr>
          <w:rFonts w:hint="default" w:ascii="Times New Roman" w:hAnsi="Times New Roman" w:cs="Times New Roman"/>
          <w:b w:val="0"/>
          <w:bCs w:val="0"/>
          <w:color w:val="auto"/>
          <w:highlight w:val="none"/>
        </w:rPr>
        <w:t>坚持</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以水定城、以地定人</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，严控46.81平方公里城镇开发边界规模，倒逼发展方式转型</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向存量要空间，</w:t>
      </w:r>
      <w:r>
        <w:rPr>
          <w:rFonts w:hint="default" w:ascii="Times New Roman" w:hAnsi="Times New Roman" w:cs="Times New Roman"/>
          <w:b w:val="0"/>
          <w:bCs w:val="0"/>
          <w:color w:val="auto"/>
          <w:highlight w:val="none"/>
        </w:rPr>
        <w:t>通过城镇低效用地再开发、批而未供与闲置土地处置、产业园区立体开发，促进城镇紧凑发展和内涵式提升</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以实施土地成片开发为抓手，破解土地碎片化问题，保障产业升级和项目落地空间</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向整治要效益，通过全域土地综合整治，系统实施农用地整理、建设用地复垦、生态保护修复与乡村产业布局优化，实现耕地保护、环境提质与农民增收的多元效益。向统筹要效率，通过农村建设用地减量与增减挂钩，优化城乡用地布局，盘活存量资源，保障发展需求，以最集约的土地利用支撑高质量发展。</w:t>
      </w:r>
    </w:p>
    <w:p w14:paraId="01AA2709">
      <w:pPr>
        <w:pStyle w:val="3"/>
        <w:bidi w:val="0"/>
        <w:rPr>
          <w:rFonts w:hint="default" w:ascii="Times New Roman" w:hAnsi="Times New Roman" w:cs="Times New Roman"/>
          <w:color w:val="auto"/>
          <w:highlight w:val="none"/>
          <w:lang w:val="en-US" w:eastAsia="zh-CN"/>
        </w:rPr>
      </w:pPr>
      <w:bookmarkStart w:id="29" w:name="_Toc26378"/>
      <w:r>
        <w:rPr>
          <w:rFonts w:hint="default" w:ascii="Times New Roman" w:hAnsi="Times New Roman" w:cs="Times New Roman"/>
          <w:color w:val="auto"/>
          <w:highlight w:val="none"/>
          <w:lang w:val="en-US" w:eastAsia="zh-CN"/>
        </w:rPr>
        <w:t>第二节增强县城核心服务功能</w:t>
      </w:r>
      <w:bookmarkEnd w:id="29"/>
    </w:p>
    <w:p w14:paraId="68F94B3F">
      <w:pPr>
        <w:keepNext w:val="0"/>
        <w:keepLines w:val="0"/>
        <w:widowControl/>
        <w:suppressLineNumbers w:val="0"/>
        <w:jc w:val="both"/>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rPr>
        <w:t>坚持人民城市人民建、人民城市为人民，以推进城市更新为重要抓手，聚焦群众急难愁盼，以</w:t>
      </w:r>
      <w:r>
        <w:rPr>
          <w:rFonts w:hint="eastAsia" w:ascii="Times New Roman" w:hAnsi="Times New Roman" w:cs="Times New Roman"/>
          <w:b w:val="0"/>
          <w:bCs w:val="0"/>
          <w:color w:val="auto"/>
          <w:highlight w:val="none"/>
          <w:lang w:val="en-US" w:eastAsia="zh-CN"/>
        </w:rPr>
        <w:t>建设创新、</w:t>
      </w:r>
      <w:r>
        <w:rPr>
          <w:rFonts w:hint="default" w:ascii="Times New Roman" w:hAnsi="Times New Roman" w:cs="Times New Roman"/>
          <w:b w:val="0"/>
          <w:bCs w:val="0"/>
          <w:color w:val="auto"/>
          <w:highlight w:val="none"/>
        </w:rPr>
        <w:t>宜居、</w:t>
      </w:r>
      <w:r>
        <w:rPr>
          <w:rFonts w:hint="eastAsia" w:ascii="Times New Roman" w:hAnsi="Times New Roman" w:cs="Times New Roman"/>
          <w:b w:val="0"/>
          <w:bCs w:val="0"/>
          <w:color w:val="auto"/>
          <w:highlight w:val="none"/>
          <w:lang w:val="en-US" w:eastAsia="zh-CN"/>
        </w:rPr>
        <w:t>美丽、</w:t>
      </w:r>
      <w:r>
        <w:rPr>
          <w:rFonts w:hint="default" w:ascii="Times New Roman" w:hAnsi="Times New Roman" w:cs="Times New Roman"/>
          <w:b w:val="0"/>
          <w:bCs w:val="0"/>
          <w:color w:val="auto"/>
          <w:highlight w:val="none"/>
        </w:rPr>
        <w:t>韧性、</w:t>
      </w:r>
      <w:r>
        <w:rPr>
          <w:rFonts w:hint="eastAsia" w:ascii="Times New Roman" w:hAnsi="Times New Roman" w:cs="Times New Roman"/>
          <w:b w:val="0"/>
          <w:bCs w:val="0"/>
          <w:color w:val="auto"/>
          <w:highlight w:val="none"/>
          <w:lang w:val="en-US" w:eastAsia="zh-CN"/>
        </w:rPr>
        <w:t>文明、智慧的现代化人民城市</w:t>
      </w:r>
      <w:r>
        <w:rPr>
          <w:rFonts w:hint="default" w:ascii="Times New Roman" w:hAnsi="Times New Roman" w:cs="Times New Roman"/>
          <w:b w:val="0"/>
          <w:bCs w:val="0"/>
          <w:color w:val="auto"/>
          <w:highlight w:val="none"/>
        </w:rPr>
        <w:t>为</w:t>
      </w:r>
      <w:r>
        <w:rPr>
          <w:rFonts w:hint="eastAsia" w:ascii="Times New Roman" w:hAnsi="Times New Roman" w:cs="Times New Roman"/>
          <w:b w:val="0"/>
          <w:bCs w:val="0"/>
          <w:color w:val="auto"/>
          <w:highlight w:val="none"/>
          <w:lang w:val="en-US" w:eastAsia="zh-CN"/>
        </w:rPr>
        <w:t>目标</w:t>
      </w:r>
      <w:r>
        <w:rPr>
          <w:rFonts w:hint="default" w:ascii="Times New Roman" w:hAnsi="Times New Roman" w:cs="Times New Roman"/>
          <w:b w:val="0"/>
          <w:bCs w:val="0"/>
          <w:color w:val="auto"/>
          <w:highlight w:val="none"/>
        </w:rPr>
        <w:t>，统筹推进</w:t>
      </w:r>
      <w:r>
        <w:rPr>
          <w:rFonts w:hint="default" w:ascii="Times New Roman" w:hAnsi="Times New Roman" w:cs="Times New Roman"/>
          <w:b w:val="0"/>
          <w:bCs w:val="0"/>
          <w:color w:val="auto"/>
          <w:highlight w:val="none"/>
          <w:lang w:val="en-US" w:eastAsia="zh-CN"/>
        </w:rPr>
        <w:t>老旧住宅区宜居</w:t>
      </w:r>
      <w:r>
        <w:rPr>
          <w:rFonts w:hint="default" w:ascii="Times New Roman" w:hAnsi="Times New Roman" w:cs="Times New Roman"/>
          <w:b w:val="0"/>
          <w:bCs w:val="0"/>
          <w:color w:val="auto"/>
          <w:highlight w:val="none"/>
        </w:rPr>
        <w:t>改造、基础设施现代化、完整社区建设和智慧治理，全面提升县城的综合承载能力</w:t>
      </w:r>
      <w:r>
        <w:rPr>
          <w:rFonts w:hint="default" w:ascii="Times New Roman" w:hAnsi="Times New Roman" w:cs="Times New Roman"/>
          <w:b w:val="0"/>
          <w:bCs w:val="0"/>
          <w:color w:val="auto"/>
          <w:highlight w:val="none"/>
          <w:lang w:eastAsia="zh-CN"/>
        </w:rPr>
        <w:t>。</w:t>
      </w:r>
    </w:p>
    <w:p w14:paraId="0040E46D">
      <w:pPr>
        <w:keepNext w:val="0"/>
        <w:keepLines w:val="0"/>
        <w:widowControl/>
        <w:suppressLineNumbers w:val="0"/>
        <w:jc w:val="both"/>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bCs/>
          <w:color w:val="auto"/>
          <w:highlight w:val="none"/>
        </w:rPr>
        <w:t>系统推进城市更新行动，建设舒适便利的宜居县城</w:t>
      </w:r>
      <w:r>
        <w:rPr>
          <w:rFonts w:hint="default" w:ascii="Times New Roman" w:hAnsi="Times New Roman" w:cs="Times New Roman"/>
          <w:b/>
          <w:bCs/>
          <w:color w:val="auto"/>
          <w:highlight w:val="none"/>
          <w:lang w:eastAsia="zh-CN"/>
        </w:rPr>
        <w:t>。</w:t>
      </w:r>
      <w:r>
        <w:rPr>
          <w:rFonts w:hint="default" w:ascii="Times New Roman" w:hAnsi="Times New Roman" w:cs="Times New Roman"/>
          <w:b w:val="0"/>
          <w:bCs w:val="0"/>
          <w:color w:val="auto"/>
          <w:highlight w:val="none"/>
        </w:rPr>
        <w:t>全面推进</w:t>
      </w:r>
      <w:r>
        <w:rPr>
          <w:rFonts w:hint="default" w:ascii="Times New Roman" w:hAnsi="Times New Roman" w:cs="Times New Roman"/>
          <w:b w:val="0"/>
          <w:bCs w:val="0"/>
          <w:color w:val="auto"/>
          <w:highlight w:val="none"/>
          <w:lang w:val="en-US" w:eastAsia="zh-CN"/>
        </w:rPr>
        <w:t>老旧住宅区宜居改造工程</w:t>
      </w:r>
      <w:r>
        <w:rPr>
          <w:rFonts w:hint="default" w:ascii="Times New Roman" w:hAnsi="Times New Roman" w:cs="Times New Roman"/>
          <w:b w:val="0"/>
          <w:bCs w:val="0"/>
          <w:color w:val="auto"/>
          <w:highlight w:val="none"/>
        </w:rPr>
        <w:t>与城中村改造</w:t>
      </w:r>
      <w:r>
        <w:rPr>
          <w:rFonts w:hint="default" w:ascii="Times New Roman" w:hAnsi="Times New Roman" w:cs="Times New Roman"/>
          <w:b w:val="0"/>
          <w:bCs w:val="0"/>
          <w:color w:val="auto"/>
          <w:highlight w:val="none"/>
          <w:lang w:val="en-US" w:eastAsia="zh-CN"/>
        </w:rPr>
        <w:t>工程</w:t>
      </w:r>
      <w:r>
        <w:rPr>
          <w:rFonts w:hint="default" w:ascii="Times New Roman" w:hAnsi="Times New Roman" w:cs="Times New Roman"/>
          <w:b w:val="0"/>
          <w:bCs w:val="0"/>
          <w:color w:val="auto"/>
          <w:highlight w:val="none"/>
        </w:rPr>
        <w:t>，消除安全隐患，完善便民设施，营造整洁有序的居住环境。强化存量资源挖潜提质，促进要素资源集约高效配置，打造功能互补的空间新格局：北部重点推进兴隆综合产业区</w:t>
      </w:r>
      <w:r>
        <w:rPr>
          <w:rFonts w:hint="default" w:ascii="Times New Roman" w:hAnsi="Times New Roman" w:cs="Times New Roman"/>
          <w:b w:val="0"/>
          <w:bCs w:val="0"/>
          <w:color w:val="auto"/>
          <w:highlight w:val="none"/>
          <w:lang w:val="en-US" w:eastAsia="zh-CN"/>
        </w:rPr>
        <w:t>低效用地优化整合</w:t>
      </w:r>
      <w:r>
        <w:rPr>
          <w:rFonts w:hint="default" w:ascii="Times New Roman" w:hAnsi="Times New Roman" w:cs="Times New Roman"/>
          <w:b w:val="0"/>
          <w:bCs w:val="0"/>
          <w:color w:val="auto"/>
          <w:highlight w:val="none"/>
        </w:rPr>
        <w:t>与产业升级；西部依托现有基础完善食品加工产业链配套；南部着力提升雅河玉文化产业区的文化展示与交易功能；东部跨大洋河高标准建设宜居示范区，全面提升空间品质。加快构建</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市场+保障</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双轨并行的房地产发展新模式</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以</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好房子</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建设为牵引，全面提升住房品质和服务配套；同步健全住房保障体系，通过收购存量商品房转保障房等多元化方式，扩大保障性租赁住房有效供给。因地制宜补齐养老、托育、停车</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社区食堂</w:t>
      </w:r>
      <w:r>
        <w:rPr>
          <w:rFonts w:hint="default" w:ascii="Times New Roman" w:hAnsi="Times New Roman" w:cs="Times New Roman"/>
          <w:b w:val="0"/>
          <w:bCs w:val="0"/>
          <w:color w:val="auto"/>
          <w:highlight w:val="none"/>
        </w:rPr>
        <w:t>等公共服务短板，</w:t>
      </w:r>
      <w:r>
        <w:rPr>
          <w:rFonts w:hint="default" w:ascii="Times New Roman" w:hAnsi="Times New Roman" w:cs="Times New Roman"/>
          <w:b w:val="0"/>
          <w:bCs w:val="0"/>
          <w:color w:val="auto"/>
          <w:highlight w:val="none"/>
          <w:lang w:val="en-US" w:eastAsia="zh-CN"/>
        </w:rPr>
        <w:t>推动</w:t>
      </w:r>
      <w:r>
        <w:rPr>
          <w:rFonts w:hint="default" w:ascii="Times New Roman" w:hAnsi="Times New Roman" w:cs="Times New Roman"/>
          <w:b w:val="0"/>
          <w:bCs w:val="0"/>
          <w:color w:val="auto"/>
          <w:highlight w:val="none"/>
        </w:rPr>
        <w:t>完整社区</w:t>
      </w:r>
      <w:r>
        <w:rPr>
          <w:rFonts w:hint="default" w:ascii="Times New Roman" w:hAnsi="Times New Roman" w:cs="Times New Roman"/>
          <w:b w:val="0"/>
          <w:bCs w:val="0"/>
          <w:color w:val="auto"/>
          <w:highlight w:val="none"/>
          <w:lang w:val="en-US" w:eastAsia="zh-CN"/>
        </w:rPr>
        <w:t>建设</w:t>
      </w:r>
      <w:r>
        <w:rPr>
          <w:rFonts w:hint="default" w:ascii="Times New Roman" w:hAnsi="Times New Roman" w:cs="Times New Roman"/>
          <w:b w:val="0"/>
          <w:bCs w:val="0"/>
          <w:color w:val="auto"/>
          <w:highlight w:val="none"/>
        </w:rPr>
        <w:t>，打造便捷舒适的15分钟社区生活圈。</w:t>
      </w:r>
    </w:p>
    <w:p w14:paraId="5981C170">
      <w:pPr>
        <w:keepNext w:val="0"/>
        <w:keepLines w:val="0"/>
        <w:widowControl/>
        <w:suppressLineNumbers w:val="0"/>
        <w:jc w:val="both"/>
        <w:rPr>
          <w:rFonts w:hint="default" w:ascii="Times New Roman" w:hAnsi="Times New Roman" w:cs="Times New Roman"/>
          <w:b w:val="0"/>
          <w:bCs w:val="0"/>
          <w:color w:val="auto"/>
          <w:highlight w:val="none"/>
        </w:rPr>
      </w:pPr>
      <w:r>
        <w:rPr>
          <w:rFonts w:hint="default" w:ascii="Times New Roman" w:hAnsi="Times New Roman" w:cs="Times New Roman"/>
          <w:b/>
          <w:bCs/>
          <w:color w:val="auto"/>
          <w:highlight w:val="none"/>
        </w:rPr>
        <w:t>完善基础设施网络，建设安全可靠的韧性县城</w:t>
      </w:r>
      <w:r>
        <w:rPr>
          <w:rFonts w:hint="default" w:ascii="Times New Roman" w:hAnsi="Times New Roman" w:cs="Times New Roman"/>
          <w:b/>
          <w:bCs/>
          <w:color w:val="auto"/>
          <w:highlight w:val="none"/>
          <w:lang w:eastAsia="zh-CN"/>
        </w:rPr>
        <w:t>。</w:t>
      </w:r>
      <w:r>
        <w:rPr>
          <w:rFonts w:hint="default" w:ascii="Times New Roman" w:hAnsi="Times New Roman" w:cs="Times New Roman"/>
          <w:b w:val="0"/>
          <w:bCs w:val="0"/>
          <w:color w:val="auto"/>
          <w:highlight w:val="none"/>
        </w:rPr>
        <w:t>完善城市路网结构，</w:t>
      </w:r>
      <w:r>
        <w:rPr>
          <w:rFonts w:hint="default" w:ascii="Times New Roman" w:hAnsi="Times New Roman" w:cs="Times New Roman"/>
          <w:b w:val="0"/>
          <w:bCs w:val="0"/>
          <w:color w:val="auto"/>
          <w:highlight w:val="none"/>
          <w:lang w:val="en-US" w:eastAsia="zh-CN"/>
        </w:rPr>
        <w:t>实施站前广场环路、岫玉大街等主干道改造，打通断头路，</w:t>
      </w:r>
      <w:r>
        <w:rPr>
          <w:rFonts w:hint="default" w:ascii="Times New Roman" w:hAnsi="Times New Roman" w:cs="Times New Roman"/>
          <w:b w:val="0"/>
          <w:bCs w:val="0"/>
          <w:color w:val="auto"/>
          <w:highlight w:val="none"/>
        </w:rPr>
        <w:t>畅通微循环</w:t>
      </w:r>
      <w:r>
        <w:rPr>
          <w:rFonts w:hint="default" w:ascii="Times New Roman" w:hAnsi="Times New Roman" w:cs="Times New Roman"/>
          <w:b w:val="0"/>
          <w:bCs w:val="0"/>
          <w:color w:val="auto"/>
          <w:highlight w:val="none"/>
          <w:lang w:val="en-US" w:eastAsia="zh-CN"/>
        </w:rPr>
        <w:t>，构建“南北相连、东西贯通”的高效路网体系。</w:t>
      </w:r>
      <w:r>
        <w:rPr>
          <w:rFonts w:hint="default" w:ascii="Times New Roman" w:hAnsi="Times New Roman" w:cs="Times New Roman"/>
          <w:b w:val="0"/>
          <w:bCs w:val="0"/>
          <w:color w:val="auto"/>
          <w:highlight w:val="none"/>
        </w:rPr>
        <w:t>优化静态交通布局，</w:t>
      </w:r>
      <w:r>
        <w:rPr>
          <w:rFonts w:hint="default" w:ascii="Times New Roman" w:hAnsi="Times New Roman" w:cs="Times New Roman"/>
          <w:b w:val="0"/>
          <w:bCs w:val="0"/>
          <w:color w:val="auto"/>
          <w:highlight w:val="none"/>
          <w:lang w:val="en-US" w:eastAsia="zh-CN"/>
        </w:rPr>
        <w:t>合理布局公共停车与充电设施，</w:t>
      </w:r>
      <w:r>
        <w:rPr>
          <w:rFonts w:hint="default" w:ascii="Times New Roman" w:hAnsi="Times New Roman" w:cs="Times New Roman"/>
          <w:b w:val="0"/>
          <w:bCs w:val="0"/>
          <w:color w:val="auto"/>
          <w:highlight w:val="none"/>
        </w:rPr>
        <w:t>有效缓解</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停车难</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问题</w:t>
      </w:r>
      <w:r>
        <w:rPr>
          <w:rFonts w:hint="default" w:ascii="Times New Roman" w:hAnsi="Times New Roman" w:cs="Times New Roman"/>
          <w:b w:val="0"/>
          <w:bCs w:val="0"/>
          <w:color w:val="auto"/>
          <w:highlight w:val="none"/>
        </w:rPr>
        <w:t>。将老化管网更新改造作为城市更新的优先领域，系统推进供水、供热、排水等生命线工程升级，重点实施老旧管网替换、二次供水设施提质、燃气管网互联互通和智能化改造，大幅降低漏损率，保障稳定供应与运行安全。推进生活垃圾分类投放、收集、运输和处置设施建设，构建现代化环卫治理体系</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增强城市防灾减灾能力，系统整治城</w:t>
      </w:r>
      <w:r>
        <w:rPr>
          <w:rFonts w:hint="default" w:ascii="Times New Roman" w:hAnsi="Times New Roman" w:cs="Times New Roman"/>
          <w:b w:val="0"/>
          <w:bCs w:val="0"/>
          <w:color w:val="auto"/>
          <w:highlight w:val="none"/>
          <w:lang w:val="en-US" w:eastAsia="zh-CN"/>
        </w:rPr>
        <w:t>区</w:t>
      </w:r>
      <w:r>
        <w:rPr>
          <w:rFonts w:hint="default" w:ascii="Times New Roman" w:hAnsi="Times New Roman" w:cs="Times New Roman"/>
          <w:b w:val="0"/>
          <w:bCs w:val="0"/>
          <w:color w:val="auto"/>
          <w:highlight w:val="none"/>
        </w:rPr>
        <w:t>内涝，</w:t>
      </w:r>
      <w:r>
        <w:rPr>
          <w:rFonts w:hint="default" w:ascii="Times New Roman" w:hAnsi="Times New Roman" w:cs="Times New Roman"/>
          <w:b w:val="0"/>
          <w:bCs w:val="0"/>
          <w:color w:val="auto"/>
          <w:highlight w:val="none"/>
          <w:lang w:val="en-US" w:eastAsia="zh-CN"/>
        </w:rPr>
        <w:t>重点推进排水渠道、泵站及调蓄设施建设</w:t>
      </w:r>
      <w:r>
        <w:rPr>
          <w:rFonts w:hint="default" w:ascii="Times New Roman" w:hAnsi="Times New Roman" w:cs="Times New Roman"/>
          <w:b w:val="0"/>
          <w:bCs w:val="0"/>
          <w:color w:val="auto"/>
          <w:highlight w:val="none"/>
        </w:rPr>
        <w:t>，结合山区地形完善地质灾害防治体系，加强</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平急两用</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应急设施建设，全面提升县城安全韧性水平。</w:t>
      </w:r>
    </w:p>
    <w:p w14:paraId="252E2421">
      <w:pPr>
        <w:keepNext w:val="0"/>
        <w:keepLines w:val="0"/>
        <w:widowControl/>
        <w:suppressLineNumbers w:val="0"/>
        <w:jc w:val="both"/>
        <w:rPr>
          <w:rFonts w:hint="default" w:ascii="Times New Roman" w:hAnsi="Times New Roman" w:cs="Times New Roman"/>
          <w:b w:val="0"/>
          <w:bCs w:val="0"/>
          <w:color w:val="auto"/>
          <w:highlight w:val="none"/>
        </w:rPr>
      </w:pPr>
      <w:r>
        <w:rPr>
          <w:rFonts w:hint="default" w:ascii="Times New Roman" w:hAnsi="Times New Roman" w:cs="Times New Roman"/>
          <w:b/>
          <w:bCs/>
          <w:color w:val="auto"/>
          <w:highlight w:val="none"/>
        </w:rPr>
        <w:t>匠心营造绿色空间，建设美丽低碳的绿色县城</w:t>
      </w:r>
      <w:r>
        <w:rPr>
          <w:rFonts w:hint="default" w:ascii="Times New Roman" w:hAnsi="Times New Roman" w:cs="Times New Roman"/>
          <w:b/>
          <w:bCs/>
          <w:color w:val="auto"/>
          <w:highlight w:val="none"/>
          <w:lang w:eastAsia="zh-CN"/>
        </w:rPr>
        <w:t>。</w:t>
      </w:r>
      <w:r>
        <w:rPr>
          <w:rFonts w:hint="default" w:ascii="Times New Roman" w:hAnsi="Times New Roman" w:cs="Times New Roman"/>
          <w:b w:val="0"/>
          <w:bCs w:val="0"/>
          <w:color w:val="auto"/>
          <w:highlight w:val="none"/>
        </w:rPr>
        <w:t>践行绿水青山理念，注重内涵提升，塑造显山露水、独具魅力的城市风貌。完善绿地系统布局，持续推进东山公园、大洋河生态景观带等标志性工程，加强街头绿地、社区游园等小微空间建设，实现</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300米见绿、500米入园</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目标。提升公共空间品质，推进主要街道和重点片区综合整治，通过景观提升、立面改造、城市家具完善等措施，打造</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有颜值、有文化、有温度</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的美丽街区。积极利用城市边角地、闲置地，</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插花式</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增建全龄友好型休闲健身设施。推广绿色低碳技术，在改造中广泛应用绿色建材与节能技术，合理布局充电基础设施，推进能源管网智能化改造，促进形成绿色生产生活方式。</w:t>
      </w:r>
    </w:p>
    <w:p w14:paraId="41EAE664">
      <w:pPr>
        <w:pStyle w:val="3"/>
        <w:bidi w:val="0"/>
        <w:rPr>
          <w:rFonts w:hint="default" w:ascii="Times New Roman" w:hAnsi="Times New Roman" w:cs="Times New Roman"/>
          <w:color w:val="auto"/>
          <w:highlight w:val="none"/>
          <w:lang w:val="en-US" w:eastAsia="zh-CN"/>
        </w:rPr>
      </w:pPr>
      <w:bookmarkStart w:id="30" w:name="_Toc7921"/>
      <w:r>
        <w:rPr>
          <w:rFonts w:hint="default" w:ascii="Times New Roman" w:hAnsi="Times New Roman" w:cs="Times New Roman"/>
          <w:color w:val="auto"/>
          <w:highlight w:val="none"/>
          <w:lang w:val="en-US" w:eastAsia="zh-CN"/>
        </w:rPr>
        <w:t>第三节推动乡镇差异化特色发展</w:t>
      </w:r>
      <w:bookmarkEnd w:id="30"/>
    </w:p>
    <w:p w14:paraId="3CCAE7FC">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rPr>
        <w:t>工矿工贸转型组团。</w:t>
      </w:r>
      <w:r>
        <w:rPr>
          <w:rFonts w:hint="default" w:ascii="Times New Roman" w:hAnsi="Times New Roman" w:cs="Times New Roman"/>
          <w:color w:val="auto"/>
          <w:highlight w:val="none"/>
        </w:rPr>
        <w:t>推动工业主导型乡镇集约发展、绿色转型。以偏岭镇为核心，打造高端镁制品生产基地，培育绿色能源与数字经济新动能。支持新甸、石庙子、三家子、大房身等镇聚焦石材加工、矿产品精深加工与绿色矿山修复，建设资源高效开发与生态治理协同的示范区。引导洋河、哈达碑、石灰窑、大营子等工贸型城镇提质增效，壮大农副产品加工、特色制造等产业，强化区域商贸服务功能。</w:t>
      </w:r>
    </w:p>
    <w:p w14:paraId="1075116B">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rPr>
        <w:t>农文旅融合带动组团。</w:t>
      </w:r>
      <w:r>
        <w:rPr>
          <w:rFonts w:hint="default" w:ascii="Times New Roman" w:hAnsi="Times New Roman" w:cs="Times New Roman"/>
          <w:color w:val="auto"/>
          <w:highlight w:val="none"/>
        </w:rPr>
        <w:t>推动农业与文旅资源富集乡镇融合发展、赋能升级。支持黄花甸镇建设农村产业融合发展示范园，发展休闲农业、创意农业等新业态。支持清凉山镇、药山镇、龙潭镇等旅游型城镇，深度挖掘自然与文化资源，打造特色旅游目的地。联动苏子沟、哨子河、朝阳等农贸型乡镇，发展观光农业、农耕体验等，延伸产业链、提升价值链。</w:t>
      </w:r>
    </w:p>
    <w:p w14:paraId="5F1E2315">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特色农业引领组团。</w:t>
      </w:r>
      <w:r>
        <w:rPr>
          <w:rFonts w:hint="default" w:ascii="Times New Roman" w:hAnsi="Times New Roman" w:cs="Times New Roman"/>
          <w:color w:val="auto"/>
          <w:highlight w:val="none"/>
        </w:rPr>
        <w:t>推动生态农业型乡镇精品化、品牌化发展。支持牧牛、前营、红旗营子、杨家堡、岭沟等乡镇，围绕食用菌、柞蚕、特色果蔬、林下中药材等优势品类，建设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一镇一品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绿色优质农产品供给基地，推动农业工厂化、标准化、品牌化发展，全面</w:t>
      </w:r>
      <w:r>
        <w:rPr>
          <w:rFonts w:hint="default" w:ascii="Times New Roman" w:hAnsi="Times New Roman" w:cs="Times New Roman"/>
          <w:color w:val="auto"/>
          <w:highlight w:val="none"/>
          <w:lang w:val="en-US" w:eastAsia="zh-CN"/>
        </w:rPr>
        <w:t>推进</w:t>
      </w:r>
      <w:r>
        <w:rPr>
          <w:rFonts w:hint="default" w:ascii="Times New Roman" w:hAnsi="Times New Roman" w:cs="Times New Roman"/>
          <w:color w:val="auto"/>
          <w:highlight w:val="none"/>
        </w:rPr>
        <w:t>乡村振兴。</w:t>
      </w:r>
    </w:p>
    <w:p w14:paraId="724DEE90">
      <w:pPr>
        <w:pStyle w:val="3"/>
        <w:bidi w:val="0"/>
        <w:rPr>
          <w:rFonts w:hint="default" w:ascii="Times New Roman" w:hAnsi="Times New Roman" w:cs="Times New Roman"/>
          <w:color w:val="auto"/>
          <w:highlight w:val="none"/>
          <w:lang w:val="en-US" w:eastAsia="zh-CN"/>
        </w:rPr>
      </w:pPr>
      <w:bookmarkStart w:id="31" w:name="_Toc18808"/>
      <w:r>
        <w:rPr>
          <w:rFonts w:hint="default" w:ascii="Times New Roman" w:hAnsi="Times New Roman" w:cs="Times New Roman"/>
          <w:color w:val="auto"/>
          <w:highlight w:val="none"/>
          <w:lang w:val="en-US" w:eastAsia="zh-CN"/>
        </w:rPr>
        <w:t>第四节促进农业人口全面融入城市</w:t>
      </w:r>
      <w:bookmarkEnd w:id="31"/>
    </w:p>
    <w:p w14:paraId="6F210E80">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深化户籍制度改革，畅通转移人口落户通道。</w:t>
      </w:r>
      <w:r>
        <w:rPr>
          <w:rFonts w:hint="default" w:ascii="Times New Roman" w:hAnsi="Times New Roman" w:cs="Times New Roman"/>
          <w:color w:val="auto"/>
          <w:highlight w:val="none"/>
          <w:lang w:val="en-US" w:eastAsia="zh-CN"/>
        </w:rPr>
        <w:t>坚持以人为核心的新型城镇化战略，全面取消县城落户限制，建立城乡统一的户口登记制度。创新农村权益保障机制，稳妥推进农村“三权”市场化流转，切实保障进城农民合法权益。</w:t>
      </w:r>
    </w:p>
    <w:p w14:paraId="34C551DE">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完善公共服务供给，保障新市民基本权益。</w:t>
      </w:r>
      <w:r>
        <w:rPr>
          <w:rFonts w:hint="default" w:ascii="Times New Roman" w:hAnsi="Times New Roman" w:cs="Times New Roman"/>
          <w:color w:val="auto"/>
          <w:highlight w:val="none"/>
          <w:lang w:val="en-US" w:eastAsia="zh-CN"/>
        </w:rPr>
        <w:t>健全常住地提供基本公共服务制度，重点保障随迁子女平等接受义务教育，扩大保障性住房供给。推进公共服务设施均衡布局，健全覆盖常住人口的医疗养老服务体系，确保新市民享有与城镇居民同等待遇。</w:t>
      </w:r>
    </w:p>
    <w:p w14:paraId="64AB524E">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强化就业创业支持，拓宽转移人口发展空间。</w:t>
      </w:r>
      <w:r>
        <w:rPr>
          <w:rFonts w:hint="default" w:ascii="Times New Roman" w:hAnsi="Times New Roman" w:cs="Times New Roman"/>
          <w:color w:val="auto"/>
          <w:highlight w:val="none"/>
          <w:lang w:val="en-US" w:eastAsia="zh-CN"/>
        </w:rPr>
        <w:t>加强职业技能培训，培育特色劳务品牌，发展劳动密集型产业。完善农民工劳动权益保障机制，构建和谐劳动关系，鼓励支持返乡创业，促进城乡人才双向流动。</w:t>
      </w:r>
    </w:p>
    <w:p w14:paraId="016FB7D9">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健全住房保障体系，优化新市民居住环境。</w:t>
      </w:r>
      <w:r>
        <w:rPr>
          <w:rFonts w:hint="default" w:ascii="Times New Roman" w:hAnsi="Times New Roman" w:cs="Times New Roman"/>
          <w:color w:val="auto"/>
          <w:highlight w:val="none"/>
          <w:lang w:val="en-US" w:eastAsia="zh-CN"/>
        </w:rPr>
        <w:t>加大保障性租赁住房供给，培育规范住房租赁市场。优化社区服务功能，建设融合型社区，增强归属感。完善社会救助体系，兜牢民生保障底线。</w:t>
      </w:r>
    </w:p>
    <w:p w14:paraId="3780D536">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创新体制机制，推动市民化高质量发展。</w:t>
      </w:r>
      <w:r>
        <w:rPr>
          <w:rFonts w:hint="default" w:ascii="Times New Roman" w:hAnsi="Times New Roman" w:cs="Times New Roman"/>
          <w:color w:val="auto"/>
          <w:highlight w:val="none"/>
          <w:lang w:val="en-US" w:eastAsia="zh-CN"/>
        </w:rPr>
        <w:t>强化政策协同配套，建立财政投入稳定增长机制。发挥县域特色产业集聚带动作用，促进产城融合发展，确保农业转移人口“进得来、留得住、过得好”，全面提升城镇化质量。</w:t>
      </w:r>
    </w:p>
    <w:p w14:paraId="6CB6D3A3">
      <w:pPr>
        <w:bidi w:val="0"/>
        <w:rPr>
          <w:rFonts w:hint="default" w:ascii="Times New Roman" w:hAnsi="Times New Roman" w:cs="Times New Roman"/>
          <w:color w:val="auto"/>
          <w:highlight w:val="none"/>
          <w:lang w:val="en-US" w:eastAsia="zh-CN"/>
        </w:rPr>
      </w:pPr>
    </w:p>
    <w:p w14:paraId="151408F6">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29A3A5DD">
      <w:pPr>
        <w:pStyle w:val="2"/>
        <w:bidi w:val="0"/>
        <w:rPr>
          <w:rFonts w:hint="default" w:ascii="Times New Roman" w:hAnsi="Times New Roman" w:eastAsia="黑体" w:cs="Times New Roman"/>
          <w:color w:val="auto"/>
          <w:highlight w:val="none"/>
          <w:lang w:eastAsia="zh-CN"/>
        </w:rPr>
      </w:pPr>
      <w:bookmarkStart w:id="32" w:name="_Toc28575"/>
      <w:r>
        <w:rPr>
          <w:rFonts w:hint="default" w:ascii="Times New Roman" w:hAnsi="Times New Roman" w:cs="Times New Roman"/>
          <w:color w:val="auto"/>
          <w:highlight w:val="none"/>
        </w:rPr>
        <w:t>第六章</w:t>
      </w:r>
      <w:r>
        <w:rPr>
          <w:rFonts w:hint="default" w:ascii="Times New Roman" w:hAnsi="Times New Roman" w:cs="Times New Roman"/>
          <w:color w:val="auto"/>
          <w:highlight w:val="none"/>
          <w:lang w:val="en-US" w:eastAsia="zh-CN"/>
        </w:rPr>
        <w:t>构筑</w:t>
      </w:r>
      <w:r>
        <w:rPr>
          <w:rFonts w:hint="default" w:ascii="Times New Roman" w:hAnsi="Times New Roman" w:cs="Times New Roman"/>
          <w:color w:val="auto"/>
          <w:highlight w:val="none"/>
        </w:rPr>
        <w:t>现代化</w:t>
      </w:r>
      <w:r>
        <w:rPr>
          <w:rFonts w:hint="default" w:ascii="Times New Roman" w:hAnsi="Times New Roman" w:cs="Times New Roman"/>
          <w:color w:val="auto"/>
          <w:highlight w:val="none"/>
          <w:lang w:val="en-US" w:eastAsia="zh-CN"/>
        </w:rPr>
        <w:t>基建支撑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夯实高质量发展</w:t>
      </w:r>
      <w:r>
        <w:rPr>
          <w:rFonts w:hint="default" w:ascii="Times New Roman" w:hAnsi="Times New Roman" w:cs="Times New Roman"/>
          <w:color w:val="auto"/>
          <w:highlight w:val="none"/>
          <w:lang w:val="en-US" w:eastAsia="zh-CN"/>
        </w:rPr>
        <w:t>根基</w:t>
      </w:r>
      <w:bookmarkEnd w:id="32"/>
    </w:p>
    <w:p w14:paraId="24CDE679">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以提升区域竞争力为目标，统筹推进现代基础设施建设。构建外联内畅的综合交通体系，强化区域协同发展纽带；完善安全可靠的现代水利设施，筑牢城乡供水保障防线；打造绿色低碳的能源网络，增强可持续发展动力</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加快布局智能高效的新型基础设施，培育数字经济发展新动能，全面提升基础设施服务能级和保障能力。</w:t>
      </w:r>
    </w:p>
    <w:p w14:paraId="5B381C0D">
      <w:pPr>
        <w:pStyle w:val="3"/>
        <w:bidi w:val="0"/>
        <w:rPr>
          <w:rFonts w:hint="default" w:ascii="Times New Roman" w:hAnsi="Times New Roman" w:eastAsia="楷体_GB2312" w:cs="Times New Roman"/>
          <w:b/>
          <w:bCs w:val="0"/>
          <w:color w:val="auto"/>
          <w:highlight w:val="none"/>
          <w:lang w:val="en-US" w:eastAsia="zh-CN"/>
        </w:rPr>
      </w:pPr>
      <w:bookmarkStart w:id="33" w:name="_Toc30376"/>
      <w:r>
        <w:rPr>
          <w:rFonts w:hint="default" w:ascii="Times New Roman" w:hAnsi="Times New Roman" w:eastAsia="楷体_GB2312" w:cs="Times New Roman"/>
          <w:b/>
          <w:bCs w:val="0"/>
          <w:color w:val="auto"/>
          <w:highlight w:val="none"/>
          <w:lang w:val="en-US" w:eastAsia="zh-CN"/>
        </w:rPr>
        <w:t>第一节构建高效畅通的综合交通网络</w:t>
      </w:r>
      <w:bookmarkEnd w:id="33"/>
    </w:p>
    <w:p w14:paraId="283AD7B7">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强化对外交通联结。</w:t>
      </w:r>
      <w:r>
        <w:rPr>
          <w:rFonts w:hint="default" w:ascii="Times New Roman" w:hAnsi="Times New Roman" w:cs="Times New Roman"/>
          <w:color w:val="auto"/>
          <w:highlight w:val="none"/>
          <w:lang w:val="en-US" w:eastAsia="zh-CN"/>
        </w:rPr>
        <w:t>持续推进交通基础设施建设，构建以铁路、高速公路、干线公路、乡村公路为基础，畅通与沈阳、大连、鞍山、丹东、营口的交通联系，全面融入顺畅、便捷高效的沈阳现代化都市圈大交通格局。在高速公路建设方面，全力推进本溪至庄河高速公路建设，改善我县南北向交通条件。同时积极谋划宽甸至营口盖州高速公路项目，力争形成“米”字型快速交通网。普通公路建设将重点实施沈庄线鸡爪山村至古洞下村段改建工程，新建古洞岭隧道及配套引线工程；加快推进饶盖线新开岭隧道、魏大岭隧道、青营线东大岭隧道以及滚马岭隧道等一批重点隧道工程，全面提升县域公路通行能力。铁路建设方面，重点推进海岫铁路、岫庄铁路电气化改造工程，实现铁路时速由60公里提升至160公里，大幅提升铁路客运服务水平。同时积极争取丹东经岫岩至营口高速铁路项目纳入省级规划。积极推动通用机场建设，加快融入辽宁东南地区机场群，重点服务特色产业集散、现代农业作业及应急救援保障需求，构建高效协同的区域航空服务体系。</w:t>
      </w:r>
    </w:p>
    <w:p w14:paraId="7050C513">
      <w:pPr>
        <w:keepNext w:val="0"/>
        <w:keepLines w:val="0"/>
        <w:widowControl/>
        <w:suppressLineNumbers w:val="0"/>
        <w:jc w:val="left"/>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完善城乡内部交通网络。</w:t>
      </w:r>
      <w:r>
        <w:rPr>
          <w:rFonts w:hint="default" w:ascii="Times New Roman" w:hAnsi="Times New Roman" w:cs="Times New Roman"/>
          <w:color w:val="auto"/>
          <w:highlight w:val="none"/>
          <w:lang w:val="en-US" w:eastAsia="zh-CN"/>
        </w:rPr>
        <w:t>畅通县、乡、村与城镇之间的交通联系，重点推进老旧路、断头路、瓶颈路的系统性升级改造。推进苏汤线、关陶县等一批骨干公路提级改造工程方面工作，加快打通市际、乡际间断头路，增强路网整体连通性。持续深化“四好农村路”建设，进一步扩大农村公路覆盖范围和通达深度。稳步推进过水路面危桥改造工程，有效消除汛期交通安全隐患。高标准打造“山水锦岫”“玉映龙潭”等主题旅游道路，串联核心景区与特色资源，完善沿途服务设施，促进交通运输与旅游产业深度融合。</w:t>
      </w:r>
    </w:p>
    <w:p w14:paraId="28CB622F">
      <w:pPr>
        <w:keepNext w:val="0"/>
        <w:keepLines w:val="0"/>
        <w:widowControl/>
        <w:suppressLineNumbers w:val="0"/>
        <w:jc w:val="left"/>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建立完善现代化公路治理体系。</w:t>
      </w:r>
      <w:r>
        <w:rPr>
          <w:rFonts w:hint="default" w:ascii="Times New Roman" w:hAnsi="Times New Roman" w:cs="Times New Roman"/>
          <w:color w:val="auto"/>
          <w:highlight w:val="none"/>
          <w:lang w:val="en-US" w:eastAsia="zh-CN"/>
        </w:rPr>
        <w:t>加快推进车联网、5G网络等新技术在交通领域应用，投资建设交通综合管理平台，实现农村公路“建管养运”全流程数字化管理。规划建设光储能一体化充电站，探索绿色交通发展新模式。加快构建公路养护管理制度体系，深入落实“路长制”，明确县、乡、村公路养护主体责任。深化农村公路管养体制改革，建立健全以公共财政为主导的管养资金保障体系，重点推进农村公路绿化、美化、标准化建设。</w:t>
      </w:r>
    </w:p>
    <w:p w14:paraId="617BBDDD">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 w:cs="Times New Roman"/>
          <w:b/>
          <w:bCs/>
          <w:color w:val="auto"/>
          <w:kern w:val="0"/>
          <w:sz w:val="32"/>
          <w:szCs w:val="32"/>
          <w:highlight w:val="none"/>
          <w:lang w:val="en-US" w:eastAsia="zh-CN" w:bidi="ar"/>
        </w:rPr>
        <w:t>构建便捷高效的客货运服务网络。</w:t>
      </w:r>
      <w:r>
        <w:rPr>
          <w:rFonts w:hint="default" w:ascii="Times New Roman" w:hAnsi="Times New Roman" w:cs="Times New Roman"/>
          <w:color w:val="auto"/>
          <w:highlight w:val="none"/>
          <w:lang w:val="en-US" w:eastAsia="zh-CN"/>
        </w:rPr>
        <w:t>全面落实公交优先战略，通过调整客运班线线路、次数及频率，打造形成便捷的客运服务网络体系。建设客货邮共配中心，整合客运、快递、物流资源，构建高效便捷的农村运输服务体系。积极发展网约出租车经营服务，规范市场经营秩序，营造公平竞争、规范有序的市场环境，促进行业良性发展。</w:t>
      </w:r>
    </w:p>
    <w:p w14:paraId="0DE04E3C">
      <w:pPr>
        <w:pStyle w:val="3"/>
        <w:bidi w:val="0"/>
        <w:rPr>
          <w:rFonts w:hint="default" w:ascii="Times New Roman" w:hAnsi="Times New Roman" w:eastAsia="楷体_GB2312" w:cs="Times New Roman"/>
          <w:b/>
          <w:bCs w:val="0"/>
          <w:color w:val="auto"/>
          <w:highlight w:val="none"/>
          <w:lang w:val="en-US" w:eastAsia="zh-CN"/>
        </w:rPr>
      </w:pPr>
      <w:bookmarkStart w:id="34" w:name="_Toc29952"/>
      <w:r>
        <w:rPr>
          <w:rFonts w:hint="default" w:ascii="Times New Roman" w:hAnsi="Times New Roman" w:eastAsia="楷体_GB2312" w:cs="Times New Roman"/>
          <w:b/>
          <w:bCs w:val="0"/>
          <w:color w:val="auto"/>
          <w:highlight w:val="none"/>
          <w:lang w:val="en-US" w:eastAsia="zh-CN"/>
        </w:rPr>
        <w:t>第二节建设安全可靠的现代水利设施</w:t>
      </w:r>
      <w:bookmarkEnd w:id="34"/>
    </w:p>
    <w:p w14:paraId="23154BDC">
      <w:pPr>
        <w:keepNext w:val="0"/>
        <w:keepLines w:val="0"/>
        <w:widowControl/>
        <w:suppressLineNumbers w:val="0"/>
        <w:jc w:val="left"/>
        <w:rPr>
          <w:rFonts w:hint="default" w:ascii="Times New Roman" w:hAnsi="Times New Roman" w:cs="Times New Roman"/>
          <w:b w:val="0"/>
          <w:bCs/>
          <w:color w:val="auto"/>
          <w:highlight w:val="none"/>
          <w:lang w:val="en-US" w:eastAsia="zh-CN"/>
        </w:rPr>
      </w:pPr>
      <w:r>
        <w:rPr>
          <w:rFonts w:hint="default" w:ascii="Times New Roman" w:hAnsi="Times New Roman" w:cs="Times New Roman"/>
          <w:b/>
          <w:bCs w:val="0"/>
          <w:color w:val="auto"/>
          <w:highlight w:val="none"/>
          <w:lang w:val="en-US" w:eastAsia="zh-CN"/>
        </w:rPr>
        <w:t>提高城乡供水保障能力。</w:t>
      </w:r>
      <w:r>
        <w:rPr>
          <w:rFonts w:hint="default" w:ascii="Times New Roman" w:hAnsi="Times New Roman" w:cs="Times New Roman"/>
          <w:b w:val="0"/>
          <w:bCs/>
          <w:color w:val="auto"/>
          <w:highlight w:val="none"/>
          <w:lang w:val="en-US" w:eastAsia="zh-CN"/>
        </w:rPr>
        <w:t>坚持“节水优先、空间均衡”原则，按照“高水高用、低水低用、近水近用、远水多用”的配置思路，统筹地表水、地下水和非常规水源利用，构建多水源互补、城乡统筹的供水保障体系。加快推进骨干水源工程建设，衔接省、市级骨干水网，新建石湖水库作为外供水源。加快推进前营水库扩容项目前期工作，完善岫岩县第二水源系统，形成“双水源”保障格局。实施城乡供水管网延伸工程和农村供水规模化工程，采取“建大、并中、减小”方式优化农村供水格局。加强现有供水设施改造提升，推进小型供水工程标准化建设，提高制水能力和供水质量。健全供水工程长效管护机制，实现县域专业化统管全覆盖，完善水源保护、水价形成、维修养护等制度，确保工程良性运行。同步完善农业灌溉备用水源体系，实施抗旱应急水源工程，提升供水安全保障能力。</w:t>
      </w:r>
    </w:p>
    <w:p w14:paraId="41E890D6">
      <w:pPr>
        <w:keepNext w:val="0"/>
        <w:keepLines w:val="0"/>
        <w:widowControl/>
        <w:suppressLineNumbers w:val="0"/>
        <w:jc w:val="left"/>
        <w:rPr>
          <w:rFonts w:hint="default" w:ascii="Times New Roman" w:hAnsi="Times New Roman" w:cs="Times New Roman"/>
          <w:b w:val="0"/>
          <w:bCs/>
          <w:color w:val="auto"/>
          <w:highlight w:val="none"/>
          <w:lang w:val="en-US" w:eastAsia="zh-CN"/>
        </w:rPr>
      </w:pPr>
      <w:r>
        <w:rPr>
          <w:rFonts w:hint="default" w:ascii="Times New Roman" w:hAnsi="Times New Roman" w:cs="Times New Roman"/>
          <w:b/>
          <w:bCs/>
          <w:color w:val="auto"/>
          <w:highlight w:val="none"/>
          <w:lang w:val="en-US" w:eastAsia="zh-CN"/>
        </w:rPr>
        <w:t>加强防洪减灾体系建设。</w:t>
      </w:r>
      <w:r>
        <w:rPr>
          <w:rFonts w:hint="default" w:ascii="Times New Roman" w:hAnsi="Times New Roman" w:cs="Times New Roman"/>
          <w:b w:val="0"/>
          <w:bCs/>
          <w:color w:val="auto"/>
          <w:highlight w:val="none"/>
          <w:lang w:val="en-US" w:eastAsia="zh-CN"/>
        </w:rPr>
        <w:t>立足岫岩县山区特点和洪涝规律，构建以流域为单元、多层级协同的防洪减灾体系。以大洋河防洪为首要任务，实施大洋河岫岩县段防洪治理项目，推进堤防加高加固及无堤段新建，重点完成城区段达标建设。同步开展哈达河、雅河、汤池河、哨子河等中小河道治理项目，以及暖泉河、牤牛河、乐全河、桑皮峪河等山洪沟治理项目，统筹推进险工段修复、护岸固坡与清淤疏浚。全力保障石湖水库建设，增强调洪削峰能力。同步完善城市排涝体系，提升城区防洪排涝标准，保障农田排涝安全，构建“监测预警-工程防御-应急管理”的全链条防灾体系，形成高标准防洪减灾网络。强化山洪灾害监测预警系统集约化建设，完善群测群防机制，全面提升洪涝灾害防御能力。</w:t>
      </w:r>
    </w:p>
    <w:p w14:paraId="3EDE9775">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提升智慧水利水平。</w:t>
      </w:r>
      <w:r>
        <w:rPr>
          <w:rFonts w:hint="default" w:ascii="Times New Roman" w:hAnsi="Times New Roman" w:cs="Times New Roman"/>
          <w:b w:val="0"/>
          <w:bCs/>
          <w:color w:val="auto"/>
          <w:highlight w:val="none"/>
          <w:lang w:val="en-US" w:eastAsia="zh-CN"/>
        </w:rPr>
        <w:t>在省级统一要求及指导下，持续完善数字孪生水网建设，运用云计算、大数据、人工智能等新一代信息技术，构建“感知-模拟-决策”一体化智慧水利体系。重点完善水利信息化基础设施，推进工程数字化改造和雨水情监测预报“三道防线”建设，依托省市政务云平台搭建岫岩县水利数据底板和模型平台，在防洪排涝、城乡供水等重点领域实现预报、预警、预演、预案“四预”功能，全面提升水利管理科学化水平和社会服务效能。同步强化网络安全防护体系，确保智慧水利系统安全稳定运行，为现代水网建设提供数字化支撑。</w:t>
      </w:r>
    </w:p>
    <w:p w14:paraId="3D284700">
      <w:pPr>
        <w:pStyle w:val="3"/>
        <w:bidi w:val="0"/>
        <w:rPr>
          <w:rFonts w:hint="default" w:ascii="Times New Roman" w:hAnsi="Times New Roman" w:eastAsia="楷体_GB2312" w:cs="Times New Roman"/>
          <w:b/>
          <w:bCs w:val="0"/>
          <w:color w:val="auto"/>
          <w:highlight w:val="none"/>
          <w:lang w:val="en-US" w:eastAsia="zh-CN"/>
        </w:rPr>
      </w:pPr>
      <w:bookmarkStart w:id="35" w:name="_Toc32721"/>
      <w:r>
        <w:rPr>
          <w:rFonts w:hint="default" w:ascii="Times New Roman" w:hAnsi="Times New Roman" w:eastAsia="楷体_GB2312" w:cs="Times New Roman"/>
          <w:b/>
          <w:bCs w:val="0"/>
          <w:color w:val="auto"/>
          <w:highlight w:val="none"/>
          <w:lang w:val="en-US" w:eastAsia="zh-CN"/>
        </w:rPr>
        <w:t>第三节</w:t>
      </w:r>
      <w:r>
        <w:rPr>
          <w:rFonts w:hint="default" w:ascii="Times New Roman" w:hAnsi="Times New Roman" w:cs="Times New Roman"/>
          <w:b/>
          <w:bCs w:val="0"/>
          <w:color w:val="auto"/>
          <w:highlight w:val="none"/>
          <w:lang w:val="en-US" w:eastAsia="zh-CN"/>
        </w:rPr>
        <w:t>建设安全绿色</w:t>
      </w:r>
      <w:r>
        <w:rPr>
          <w:rFonts w:hint="default" w:ascii="Times New Roman" w:hAnsi="Times New Roman" w:eastAsia="楷体_GB2312" w:cs="Times New Roman"/>
          <w:b/>
          <w:bCs w:val="0"/>
          <w:color w:val="auto"/>
          <w:highlight w:val="none"/>
          <w:lang w:val="en-US" w:eastAsia="zh-CN"/>
        </w:rPr>
        <w:t>的能源保障体系</w:t>
      </w:r>
      <w:bookmarkEnd w:id="35"/>
    </w:p>
    <w:p w14:paraId="130AB87E">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优化升级能源结构。</w:t>
      </w:r>
      <w:r>
        <w:rPr>
          <w:rFonts w:hint="default" w:ascii="Times New Roman" w:hAnsi="Times New Roman" w:cs="Times New Roman"/>
          <w:color w:val="auto"/>
          <w:highlight w:val="none"/>
          <w:lang w:val="en-US" w:eastAsia="zh-CN"/>
        </w:rPr>
        <w:t>大力发展风电、抽水蓄能等清洁能源，</w:t>
      </w:r>
      <w:r>
        <w:rPr>
          <w:rFonts w:hint="eastAsia" w:ascii="Times New Roman" w:hAnsi="Times New Roman" w:cs="Times New Roman"/>
          <w:color w:val="auto"/>
          <w:highlight w:val="none"/>
          <w:lang w:val="en-US" w:eastAsia="zh-CN"/>
        </w:rPr>
        <w:t>打造成为</w:t>
      </w:r>
      <w:r>
        <w:rPr>
          <w:rFonts w:hint="default" w:ascii="Times New Roman" w:hAnsi="Times New Roman" w:cs="Times New Roman"/>
          <w:color w:val="auto"/>
          <w:highlight w:val="none"/>
          <w:lang w:val="en-US" w:eastAsia="zh-CN"/>
        </w:rPr>
        <w:t>新型电力系统</w:t>
      </w:r>
      <w:r>
        <w:rPr>
          <w:rFonts w:hint="eastAsia" w:ascii="Times New Roman" w:hAnsi="Times New Roman" w:cs="Times New Roman"/>
          <w:color w:val="auto"/>
          <w:highlight w:val="none"/>
          <w:lang w:val="en-US" w:eastAsia="zh-CN"/>
        </w:rPr>
        <w:t>的</w:t>
      </w:r>
      <w:r>
        <w:rPr>
          <w:rFonts w:hint="default" w:ascii="Times New Roman" w:hAnsi="Times New Roman" w:cs="Times New Roman"/>
          <w:color w:val="auto"/>
          <w:highlight w:val="none"/>
          <w:lang w:val="en-US" w:eastAsia="zh-CN"/>
        </w:rPr>
        <w:t>核心支撑。推动畜禽粪便协同处理与生物质发电结合，深化生物质能循环利用。实施屋顶光伏工程，探索农光互补光伏模式，拓展设施农业光伏应用。完善传统能源清洁高效利用，推进燃煤锅炉节能改造和超低排放，有序扩大天然气在工业、交通等领域应用。</w:t>
      </w:r>
    </w:p>
    <w:p w14:paraId="42D3EEF8">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提升能源基础设施。</w:t>
      </w:r>
      <w:r>
        <w:rPr>
          <w:rFonts w:hint="default" w:ascii="Times New Roman" w:hAnsi="Times New Roman" w:cs="Times New Roman"/>
          <w:color w:val="auto"/>
          <w:highlight w:val="none"/>
          <w:lang w:val="en-US" w:eastAsia="zh-CN"/>
        </w:rPr>
        <w:t>加快电力网络升级，优化县域骨干电网结构，提升区域供电能力和安全可靠性。实施农村电网巩固提升工程，增强配电网对分布式电源接入、电动汽车充电的适应能力。完善油气供应体系，加快城乡天然气管网建设，完善优化加油加气站布局。构建多元储能系统，在负荷中心建设分布式能源站，增强能源系统韧性和调节能力。</w:t>
      </w:r>
    </w:p>
    <w:p w14:paraId="2858587F">
      <w:pPr>
        <w:pStyle w:val="3"/>
        <w:bidi w:val="0"/>
        <w:rPr>
          <w:rFonts w:hint="default" w:ascii="Times New Roman" w:hAnsi="Times New Roman" w:eastAsia="楷体_GB2312" w:cs="Times New Roman"/>
          <w:b/>
          <w:bCs w:val="0"/>
          <w:color w:val="auto"/>
          <w:highlight w:val="none"/>
          <w:lang w:val="en-US" w:eastAsia="zh-CN"/>
        </w:rPr>
      </w:pPr>
      <w:bookmarkStart w:id="36" w:name="_Toc19779"/>
      <w:r>
        <w:rPr>
          <w:rFonts w:hint="default" w:ascii="Times New Roman" w:hAnsi="Times New Roman" w:eastAsia="楷体_GB2312" w:cs="Times New Roman"/>
          <w:b/>
          <w:bCs w:val="0"/>
          <w:color w:val="auto"/>
          <w:highlight w:val="none"/>
          <w:lang w:val="en-US" w:eastAsia="zh-CN"/>
        </w:rPr>
        <w:t>第四节布局</w:t>
      </w:r>
      <w:r>
        <w:rPr>
          <w:rFonts w:hint="default" w:ascii="Times New Roman" w:hAnsi="Times New Roman" w:cs="Times New Roman"/>
          <w:b/>
          <w:bCs w:val="0"/>
          <w:color w:val="auto"/>
          <w:highlight w:val="none"/>
          <w:lang w:val="en-US" w:eastAsia="zh-CN"/>
        </w:rPr>
        <w:t>智慧高效</w:t>
      </w:r>
      <w:r>
        <w:rPr>
          <w:rFonts w:hint="default" w:ascii="Times New Roman" w:hAnsi="Times New Roman" w:eastAsia="楷体_GB2312" w:cs="Times New Roman"/>
          <w:b/>
          <w:bCs w:val="0"/>
          <w:color w:val="auto"/>
          <w:highlight w:val="none"/>
          <w:lang w:val="en-US" w:eastAsia="zh-CN"/>
        </w:rPr>
        <w:t>的新型基础设施</w:t>
      </w:r>
      <w:bookmarkEnd w:id="36"/>
    </w:p>
    <w:p w14:paraId="41DD459B">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新型信息网络基础设施。</w:t>
      </w:r>
      <w:r>
        <w:rPr>
          <w:rFonts w:hint="default" w:ascii="Times New Roman" w:hAnsi="Times New Roman" w:cs="Times New Roman"/>
          <w:b w:val="0"/>
          <w:bCs w:val="0"/>
          <w:color w:val="auto"/>
          <w:highlight w:val="none"/>
          <w:lang w:val="en-US" w:eastAsia="zh-CN"/>
        </w:rPr>
        <w:t>适度超前布局数字基础设施，构建全域覆盖、高速泛在的新型信息网络基础设施。实现5G网络在县城建成区、重点乡镇镇区、核心产业园区、主要交通干线及核心景区全面深度覆盖，推动向有条件的行政村延伸，适时开展5G-A技术试点支撑工业互联网、XR文旅等创新应用。推进千兆光网（F5G）城乡融合发展，在政务中心、重点产业园探索万兆光网示范应用，重点支撑玉石电商、菱镁产业数字化等特色场景，推动远程医疗、智慧教育等民生服务改善，全面夯实数字岫岩发展基础。</w:t>
      </w:r>
    </w:p>
    <w:p w14:paraId="53D2BC85">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智能绿色算力基础设施。</w:t>
      </w:r>
      <w:r>
        <w:rPr>
          <w:rFonts w:hint="default" w:ascii="Times New Roman" w:hAnsi="Times New Roman" w:cs="Times New Roman"/>
          <w:b w:val="0"/>
          <w:bCs w:val="0"/>
          <w:color w:val="auto"/>
          <w:highlight w:val="none"/>
          <w:lang w:val="en-US" w:eastAsia="zh-CN"/>
        </w:rPr>
        <w:t>布局支撑未来的智能绿色算力基础设施，充分发挥岫岩低温气候和绿电资源优势，建设具有差异化竞争力的绿色低碳智能算力中心，配套应用液冷服务器、余热回收利用等先进节能技术。优先满足本地政府治理、产业升级和智慧城市建设产生的算力需求，夯实发展基础。在此基础上，积极创造条件，适时承接沈阳、大连等核心城市的边缘计算需求外溢，打造区域性算力服务重要节点。</w:t>
      </w:r>
    </w:p>
    <w:p w14:paraId="58A8D17A">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产业融合应用基础设施。</w:t>
      </w:r>
      <w:r>
        <w:rPr>
          <w:rFonts w:hint="default" w:ascii="Times New Roman" w:hAnsi="Times New Roman" w:cs="Times New Roman"/>
          <w:b w:val="0"/>
          <w:bCs w:val="0"/>
          <w:color w:val="auto"/>
          <w:highlight w:val="none"/>
          <w:lang w:val="en-US" w:eastAsia="zh-CN"/>
        </w:rPr>
        <w:t>建设面向特色产业的融合应用基础设施，聚焦玉石产业数字化转型，构建覆盖原石交易、设计、加工、销售、物流及溯源全环节的玉石产业大数据平台，推动玉石电商直播基地向智能化、数字化转型升级，探索基于5G+AR/VR技术的沉浸式玉石文化体验中心。加快完善菱镁等重点产业智能化支撑平台，配套相应网络与数据采集系统。</w:t>
      </w:r>
    </w:p>
    <w:p w14:paraId="5CF2B4F1">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创新治理基础设施。</w:t>
      </w:r>
      <w:r>
        <w:rPr>
          <w:rFonts w:hint="default" w:ascii="Times New Roman" w:hAnsi="Times New Roman" w:cs="Times New Roman"/>
          <w:b w:val="0"/>
          <w:bCs w:val="0"/>
          <w:color w:val="auto"/>
          <w:highlight w:val="none"/>
          <w:lang w:val="en-US" w:eastAsia="zh-CN"/>
        </w:rPr>
        <w:t>持续深化“互联网+政务服务”，推动政务服务高效便捷。积极开展智慧城市、数字乡村、生态监测等领域物联网、北斗卫星导航及遥感技术的创新应用探索。充分利用省、市级政务云平台和共性能力支撑，承接上级统建共享平台的延伸部署与本地化服务。同步构建跨部门数据共享与业务协同机制，强化网络、数据和应用安全防护，夯实数字治理创新基础。</w:t>
      </w:r>
    </w:p>
    <w:p w14:paraId="1FAE9CB0">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016445B3">
      <w:pPr>
        <w:pStyle w:val="2"/>
        <w:bidi w:val="0"/>
        <w:rPr>
          <w:rFonts w:hint="default" w:ascii="Times New Roman" w:hAnsi="Times New Roman" w:cs="Times New Roman"/>
          <w:color w:val="auto"/>
          <w:highlight w:val="none"/>
        </w:rPr>
      </w:pPr>
      <w:bookmarkStart w:id="37" w:name="_Toc23791"/>
      <w:r>
        <w:rPr>
          <w:rFonts w:hint="default" w:ascii="Times New Roman" w:hAnsi="Times New Roman" w:cs="Times New Roman"/>
          <w:color w:val="auto"/>
          <w:highlight w:val="none"/>
        </w:rPr>
        <w:t>第七章谱写绿色低碳发展新篇，高水平建设生态水乡</w:t>
      </w:r>
      <w:bookmarkEnd w:id="37"/>
    </w:p>
    <w:p w14:paraId="12123262">
      <w:pPr>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坚持生态优先、绿色发展，统筹推进生态保护、环境治理和低碳转型，确保2030年前实现碳达峰目标。强化山水林田湖草系统治理，持续改善生态环境质量；加快产业结构和能源结构调整，推动形成绿色生产生活方式；创新生态</w:t>
      </w:r>
      <w:r>
        <w:rPr>
          <w:rFonts w:hint="default" w:ascii="Times New Roman" w:hAnsi="Times New Roman" w:cs="Times New Roman"/>
          <w:color w:val="auto"/>
          <w:highlight w:val="none"/>
          <w:lang w:val="en-US" w:eastAsia="zh-CN"/>
        </w:rPr>
        <w:t>产品</w:t>
      </w:r>
      <w:r>
        <w:rPr>
          <w:rFonts w:hint="default" w:ascii="Times New Roman" w:hAnsi="Times New Roman" w:cs="Times New Roman"/>
          <w:color w:val="auto"/>
          <w:highlight w:val="none"/>
        </w:rPr>
        <w:t>价值实现机制，促进经济社会发展与环境保护协同共进，让绿色成为高质量发展的鲜明底色。</w:t>
      </w:r>
    </w:p>
    <w:p w14:paraId="3C44536E">
      <w:pPr>
        <w:pStyle w:val="3"/>
        <w:bidi w:val="0"/>
        <w:rPr>
          <w:rFonts w:hint="default" w:ascii="Times New Roman" w:hAnsi="Times New Roman" w:cs="Times New Roman"/>
          <w:b/>
          <w:bCs w:val="0"/>
          <w:color w:val="auto"/>
          <w:highlight w:val="none"/>
          <w:lang w:val="en-US" w:eastAsia="zh-CN"/>
        </w:rPr>
      </w:pPr>
      <w:bookmarkStart w:id="38" w:name="_Toc16595"/>
      <w:r>
        <w:rPr>
          <w:rFonts w:hint="default" w:ascii="Times New Roman" w:hAnsi="Times New Roman" w:eastAsia="楷体_GB2312" w:cs="Times New Roman"/>
          <w:b/>
          <w:bCs w:val="0"/>
          <w:color w:val="auto"/>
          <w:highlight w:val="none"/>
          <w:lang w:val="en-US" w:eastAsia="zh-CN"/>
        </w:rPr>
        <w:t>第一节</w:t>
      </w:r>
      <w:r>
        <w:rPr>
          <w:rFonts w:hint="default" w:ascii="Times New Roman" w:hAnsi="Times New Roman" w:cs="Times New Roman"/>
          <w:b/>
          <w:bCs w:val="0"/>
          <w:color w:val="auto"/>
          <w:highlight w:val="none"/>
          <w:lang w:val="en-US" w:eastAsia="zh-CN"/>
        </w:rPr>
        <w:t>筑牢生态安全屏障</w:t>
      </w:r>
      <w:bookmarkEnd w:id="38"/>
    </w:p>
    <w:p w14:paraId="5561FBDF">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构建生态保护网络体系。</w:t>
      </w:r>
      <w:r>
        <w:rPr>
          <w:rFonts w:hint="default" w:ascii="Times New Roman" w:hAnsi="Times New Roman" w:cs="Times New Roman"/>
          <w:color w:val="auto"/>
          <w:highlight w:val="none"/>
        </w:rPr>
        <w:t>落实国家东北森林带建设要求，衔接筑牢辽东山地丘陵水源涵养与水土保持生态屏障的上位要求，依托自然地理格局，以生态保护红线和自然保护地为核心，强化生态涵养功能，构筑</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一屏两廊三核多点</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color w:val="auto"/>
          <w:highlight w:val="none"/>
        </w:rPr>
        <w:t>的生态保护空间格局。</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一屏</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指东西两侧山体生态屏障，重点实施森林扩增、水土保持和生物多样性保护；</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两廊</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为哨子河和大洋河生态廊道，推进河道整治、防护林建设和水生态综合提升；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三核</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包括清凉山、龙潭湾自然保护区和药山风景名胜区，强化珍稀资源保护与生态质量提升；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多点</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涵盖岱王庙森林公园、老虎山森林公园等生态节点，通过修复增强区域生态连通性，形成完整的生态网络体系。</w:t>
      </w:r>
    </w:p>
    <w:p w14:paraId="3EF562F6">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加强生态环境保护修复。</w:t>
      </w:r>
      <w:r>
        <w:rPr>
          <w:rFonts w:hint="default" w:ascii="Times New Roman" w:hAnsi="Times New Roman" w:cs="Times New Roman"/>
          <w:b w:val="0"/>
          <w:bCs w:val="0"/>
          <w:color w:val="auto"/>
          <w:highlight w:val="none"/>
        </w:rPr>
        <w:t>实施森林质量精准提升与保育工程，严守红线，加强天然林保护与退化修复，构建多层次植被，严格禁垦禁伐，治理退化蚕场，有序调增公益林，强化水源地小流域治理与水土流失控制，推进储备林与良种基地建设，深化封育抚育。强化水土保持与流域治理，以侵蚀沟专项治理为重点，统筹推进大洋河、哨子河等流域清淤疏浚、植被缓冲带建设、灾害点防治及水土保持林、经济林建设，提升区域水土保持能力和生态安全水平。推进河流生态修复，治理干流沙化污染，完善防洪体系，建设生态护岸</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加强小流域生态护坡建设、旱厕改造及脆弱区封禁，保障支流水质。加强水资源保护</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优化流域水资源调配，增强水库蓄水能力与防洪功能。攻坚矿山生态修复，系统治理大洋河矿区、历史遗留废弃矿山及偏岭、大房身、三家子、哈达碑、石庙子等重点区域，针对闭坑、生产、废弃矿山特点，采取工程治理、植被恢复、土壤水体修复、</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边采边治</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及</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人工促自然+自然恢复</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等综合措施，全力实现</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还清旧账、不欠新账</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和山体复绿。建立以自然保护区为基础、自然公园为补充的自然保护地体系</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积极推进岫岩陨石坑国家级地质公园申报建设，优化自然保护地空间格局。</w:t>
      </w:r>
    </w:p>
    <w:p w14:paraId="65EC168D">
      <w:pPr>
        <w:pStyle w:val="3"/>
        <w:bidi w:val="0"/>
        <w:rPr>
          <w:rFonts w:hint="default" w:ascii="Times New Roman" w:hAnsi="Times New Roman" w:eastAsia="楷体_GB2312" w:cs="Times New Roman"/>
          <w:b/>
          <w:bCs w:val="0"/>
          <w:color w:val="auto"/>
          <w:highlight w:val="none"/>
          <w:lang w:val="en-US" w:eastAsia="zh-CN"/>
        </w:rPr>
      </w:pPr>
      <w:bookmarkStart w:id="39" w:name="_Toc11162"/>
      <w:r>
        <w:rPr>
          <w:rFonts w:hint="default" w:ascii="Times New Roman" w:hAnsi="Times New Roman" w:cs="Times New Roman"/>
          <w:b/>
          <w:bCs w:val="0"/>
          <w:color w:val="auto"/>
          <w:highlight w:val="none"/>
          <w:lang w:val="en-US" w:eastAsia="zh-CN"/>
        </w:rPr>
        <w:t>第二节系统治理环境污染</w:t>
      </w:r>
      <w:bookmarkEnd w:id="39"/>
    </w:p>
    <w:p w14:paraId="1A928B35">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系统推进水环境提质增效。</w:t>
      </w:r>
      <w:r>
        <w:rPr>
          <w:rFonts w:hint="default" w:ascii="Times New Roman" w:hAnsi="Times New Roman" w:cs="Times New Roman"/>
          <w:b w:val="0"/>
          <w:bCs w:val="0"/>
          <w:color w:val="auto"/>
          <w:highlight w:val="none"/>
          <w:lang w:val="en-US" w:eastAsia="zh-CN"/>
        </w:rPr>
        <w:t>建立涉水企业排污智能监管系统，实现重点污染源在线监测全覆盖。攻坚农业面源污染治理，实施化肥农药减量、农膜回收、养殖模式生态化改造“三控一改”行动。强化饮用水源地规范化保护，严格划定保护区并推进隔离防护工程。深化流域综合治理，推进大洋河、哨子河等主干河流生态修复与水质提升工程，实施河滨带植被恢复、湿地净化等项目。开展地下水污染源头防治，建立“双源”（污染源、水源）监管机制。加大河湖巡查执法力度，健全长效管护机制，严厉打击盗采河砂等违法行为，巩固水生态治理成效。</w:t>
      </w:r>
    </w:p>
    <w:p w14:paraId="25C810A8">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深化大气质量持续改善。</w:t>
      </w:r>
      <w:r>
        <w:rPr>
          <w:rFonts w:hint="default" w:ascii="Times New Roman" w:hAnsi="Times New Roman" w:cs="Times New Roman"/>
          <w:b w:val="0"/>
          <w:bCs w:val="0"/>
          <w:color w:val="auto"/>
          <w:highlight w:val="none"/>
          <w:lang w:val="en-US" w:eastAsia="zh-CN"/>
        </w:rPr>
        <w:t>强化工业源精准管控，深化涉VOCs排放企业综合治理，强化城区汽修企业、加油站等涉气污染源环境监管。推进移动源绿色转型，加强柴油货车路查抽测与尾气达标监管，加速淘汰老旧机动车辆，推广新能源及清洁能源车辆应用，实现非道路移动机械全量登记管理。严控面源污染扩散，实施施工扬尘精细管控，强化道路机械化清扫与抑尘作业，严禁秸秆、垃圾露天焚烧。</w:t>
      </w:r>
    </w:p>
    <w:p w14:paraId="6C6BC9D6">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筑牢土壤与固废安全防线。</w:t>
      </w:r>
      <w:r>
        <w:rPr>
          <w:rFonts w:hint="default" w:ascii="Times New Roman" w:hAnsi="Times New Roman" w:cs="Times New Roman"/>
          <w:b w:val="0"/>
          <w:bCs w:val="0"/>
          <w:color w:val="auto"/>
          <w:highlight w:val="none"/>
          <w:lang w:val="en-US" w:eastAsia="zh-CN"/>
        </w:rPr>
        <w:t>强化土壤污染源头防控，全面完成全县20个重点公共管理与公共服务、住宅用地地块土壤污染状况调查，系统提升垃圾填埋场渗滤液处理能力。构建全域固废治理体系，深化多领域“无废城市细胞”建设，推进无废工厂、无废校园、无废景区等示范场景创建，形成覆盖生产生活全链条的固体废物减量化、资源化、无害化管理模式。</w:t>
      </w:r>
    </w:p>
    <w:p w14:paraId="11C0DCA3">
      <w:pPr>
        <w:pStyle w:val="3"/>
        <w:bidi w:val="0"/>
        <w:rPr>
          <w:rFonts w:hint="default" w:ascii="Times New Roman" w:hAnsi="Times New Roman" w:eastAsia="楷体_GB2312" w:cs="Times New Roman"/>
          <w:b/>
          <w:bCs w:val="0"/>
          <w:color w:val="auto"/>
          <w:highlight w:val="none"/>
          <w:lang w:val="en-US" w:eastAsia="zh-CN"/>
        </w:rPr>
      </w:pPr>
      <w:bookmarkStart w:id="40" w:name="_Toc31329"/>
      <w:r>
        <w:rPr>
          <w:rFonts w:hint="default" w:ascii="Times New Roman" w:hAnsi="Times New Roman" w:eastAsia="楷体_GB2312" w:cs="Times New Roman"/>
          <w:b/>
          <w:bCs w:val="0"/>
          <w:color w:val="auto"/>
          <w:highlight w:val="none"/>
          <w:lang w:val="en-US" w:eastAsia="zh-CN"/>
        </w:rPr>
        <w:t>第</w:t>
      </w:r>
      <w:r>
        <w:rPr>
          <w:rFonts w:hint="default" w:ascii="Times New Roman" w:hAnsi="Times New Roman" w:cs="Times New Roman"/>
          <w:b/>
          <w:bCs w:val="0"/>
          <w:color w:val="auto"/>
          <w:highlight w:val="none"/>
          <w:lang w:val="en-US" w:eastAsia="zh-CN"/>
        </w:rPr>
        <w:t>三</w:t>
      </w:r>
      <w:r>
        <w:rPr>
          <w:rFonts w:hint="default" w:ascii="Times New Roman" w:hAnsi="Times New Roman" w:eastAsia="楷体_GB2312" w:cs="Times New Roman"/>
          <w:b/>
          <w:bCs w:val="0"/>
          <w:color w:val="auto"/>
          <w:highlight w:val="none"/>
          <w:lang w:val="en-US" w:eastAsia="zh-CN"/>
        </w:rPr>
        <w:t>节加快发展方式绿色低碳转型</w:t>
      </w:r>
      <w:bookmarkEnd w:id="40"/>
    </w:p>
    <w:p w14:paraId="00018189">
      <w:pPr>
        <w:pStyle w:val="4"/>
        <w:numPr>
          <w:ilvl w:val="0"/>
          <w:numId w:val="11"/>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全面倡导绿色低碳生活方式</w:t>
      </w:r>
    </w:p>
    <w:p w14:paraId="4DA79E6B">
      <w:pPr>
        <w:bidi w:val="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推广绿色生活与消费。</w:t>
      </w:r>
      <w:r>
        <w:rPr>
          <w:rFonts w:hint="default" w:ascii="Times New Roman" w:hAnsi="Times New Roman" w:cs="Times New Roman"/>
          <w:b w:val="0"/>
          <w:bCs w:val="0"/>
          <w:color w:val="auto"/>
          <w:highlight w:val="none"/>
          <w:lang w:val="en-US" w:eastAsia="zh-CN"/>
        </w:rPr>
        <w:t>深化节约型机关、绿色学校、绿色商场、绿色建筑建设，推动公共机构严格执行节能标准，推广节能环保产品，倡导绿色低碳生活方式。完善绿色产品认证与政府绿色采购机制，建立节能家电、节水器具、绿色建材及新能源汽车补贴与使用保障体系，配套完善充电基础设施，引导形成绿色低碳消费风尚。</w:t>
      </w:r>
    </w:p>
    <w:p w14:paraId="038D1D49">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建设绿色宜居城乡环境。</w:t>
      </w:r>
      <w:r>
        <w:rPr>
          <w:rFonts w:hint="default" w:ascii="Times New Roman" w:hAnsi="Times New Roman" w:cs="Times New Roman"/>
          <w:b w:val="0"/>
          <w:bCs w:val="0"/>
          <w:color w:val="auto"/>
          <w:highlight w:val="none"/>
          <w:lang w:val="en-US" w:eastAsia="zh-CN"/>
        </w:rPr>
        <w:t>重点培育农村生态宜居社区，推广清洁能源与生态循环技术。优化县城公交线路，推广电动公交与共享单车服务，构建绿色出行网络。依托清凉山、药山等生态资源，建设低碳旅游设施与生态示范区，推动景区酒店低碳化运营，打造岫岩生态旅游品牌。</w:t>
      </w:r>
    </w:p>
    <w:p w14:paraId="1E55A7C7">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强化重点领域节能减排。</w:t>
      </w:r>
      <w:r>
        <w:rPr>
          <w:rFonts w:hint="default" w:ascii="Times New Roman" w:hAnsi="Times New Roman" w:cs="Times New Roman"/>
          <w:b w:val="0"/>
          <w:bCs w:val="0"/>
          <w:color w:val="auto"/>
          <w:highlight w:val="none"/>
          <w:lang w:val="en-US" w:eastAsia="zh-CN"/>
        </w:rPr>
        <w:t>深化建筑节能降碳，严格执行新建建筑节能标准，推进既有公共建筑、老旧住宅区及农宅节能改造。推广被动式超低能耗建筑和装配式建造，探索利用玉矿尾矿等固废生产绿色建材。严格治理塑料污染，限制重点场所一次性塑料制品使用，健全快递包装与农膜回收体系，推广环保替代产品，构建全域白色污染防控长效机制。</w:t>
      </w:r>
    </w:p>
    <w:p w14:paraId="29771FED">
      <w:pPr>
        <w:pStyle w:val="4"/>
        <w:numPr>
          <w:ilvl w:val="0"/>
          <w:numId w:val="11"/>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着力构建绿色低碳生产体系</w:t>
      </w:r>
    </w:p>
    <w:p w14:paraId="4A060712">
      <w:pPr>
        <w:keepNext w:val="0"/>
        <w:keepLines w:val="0"/>
        <w:widowControl/>
        <w:suppressLineNumbers w:val="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推动产业绿色化升级。</w:t>
      </w:r>
      <w:r>
        <w:rPr>
          <w:rFonts w:hint="default" w:ascii="Times New Roman" w:hAnsi="Times New Roman" w:cs="Times New Roman"/>
          <w:b w:val="0"/>
          <w:bCs w:val="0"/>
          <w:color w:val="auto"/>
          <w:highlight w:val="none"/>
          <w:lang w:val="en-US" w:eastAsia="zh-CN"/>
        </w:rPr>
        <w:t>深化产业结构绿色转型，严控高耗能、高排放项目准入，推动重点行业节能降碳；积极培育节能环保、清洁能源等绿色新兴产业，打造经济增长新引擎。实施绿色制造攻坚行动，聚焦矿业、农产品加工、建材等重点行业，推进制造业绿色化改造专项工程，推广应用先进节能节水与清洁生产技术装备；全面推进矿山生态修复和绿色矿山建设。发展生态低碳农业模式，推广测土配方施肥、病虫害绿色防控及畜禽粪污资源化利用技术，降低农业面源污染与碳排放；发展林下经济、生态种养等循环农业体系，强化农业大县生态优势。</w:t>
      </w:r>
    </w:p>
    <w:p w14:paraId="377289BD">
      <w:pPr>
        <w:bidi w:val="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构建低碳交通运输体系。</w:t>
      </w:r>
      <w:r>
        <w:rPr>
          <w:rFonts w:hint="default" w:ascii="Times New Roman" w:hAnsi="Times New Roman" w:cs="Times New Roman"/>
          <w:b w:val="0"/>
          <w:bCs w:val="0"/>
          <w:color w:val="auto"/>
          <w:highlight w:val="none"/>
          <w:lang w:val="en-US" w:eastAsia="zh-CN"/>
        </w:rPr>
        <w:t>依托国家充换电基础设施补短板试点政策，重点推进三方面工作：一是加快新能源车辆推广，规模化更新城乡公交及物流配送车辆，显著提高电动化比例，试点推广应用电动重卡；二是完善充电网络布局，优先在邮政快递网点、农村物流节点、农村客货运场站、农村公路沿线、交通综合服务站等场景建设专用充换电设施；三是探索技术模式创新，在重点区域试点光储充一体化、全液冷超充等新技术，提升充电效率。通过构建“交通+能源+产业”融合网络，支撑电商物流、乡村旅游等新业态发展，实现绿色出行与县域经济协同提升。</w:t>
      </w:r>
    </w:p>
    <w:p w14:paraId="5D0D0ADB">
      <w:pPr>
        <w:pStyle w:val="4"/>
        <w:numPr>
          <w:ilvl w:val="0"/>
          <w:numId w:val="11"/>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大力发展循环经济与资源高效利用</w:t>
      </w:r>
    </w:p>
    <w:p w14:paraId="5B66BC60">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构建资源循环型社会。</w:t>
      </w:r>
      <w:r>
        <w:rPr>
          <w:rFonts w:hint="default" w:ascii="Times New Roman" w:hAnsi="Times New Roman" w:cs="Times New Roman"/>
          <w:b w:val="0"/>
          <w:bCs w:val="0"/>
          <w:color w:val="auto"/>
          <w:highlight w:val="none"/>
          <w:lang w:val="en-US" w:eastAsia="zh-CN"/>
        </w:rPr>
        <w:t>推进垃圾分类与资源化，完善城乡生活垃圾分类投放、收集、运输、处理体系。重点加强农村生活垃圾分类处理设施建设。提高建筑垃圾、工业固体废弃物的资源化利用水平。健全再生资源回收体系，构建覆盖县、乡、村的线上线下融合的废旧物资回收网络。支持再生资源精深加工产业发展。强化水资源集约循环利用，全面提高农业、工业、城镇用水效率，严格高耗水项目准入，大力推进非常规水资源开发利用，加强雨洪资源利用与城镇再生水回用，显著提升工业用水重复利用率。</w:t>
      </w:r>
    </w:p>
    <w:p w14:paraId="3D4C7440">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推动产业园区循环化发展。</w:t>
      </w:r>
      <w:r>
        <w:rPr>
          <w:rFonts w:hint="default" w:ascii="Times New Roman" w:hAnsi="Times New Roman" w:cs="Times New Roman"/>
          <w:b w:val="0"/>
          <w:bCs w:val="0"/>
          <w:color w:val="auto"/>
          <w:highlight w:val="none"/>
          <w:lang w:val="en-US" w:eastAsia="zh-CN"/>
        </w:rPr>
        <w:t>深化园区循环化改造，对辽宁岫岩玉产业开发区实施绿色化、循环化改造升级。按照“产业耦合、链条延伸、吃干榨净”原则，推动企业间、产业间的物料闭路循环、能量梯级利用、废物交换利用和废水循环利用。发展工农复合型循环经济，探索建立以农业为基础、工业为纽带、服务业为支撑的工农复合型循环经济模式。</w:t>
      </w:r>
    </w:p>
    <w:p w14:paraId="6474AFF9">
      <w:pPr>
        <w:pStyle w:val="4"/>
        <w:numPr>
          <w:ilvl w:val="0"/>
          <w:numId w:val="11"/>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积极探索生态碳汇价值实现新路径</w:t>
      </w:r>
    </w:p>
    <w:p w14:paraId="6AC5FC75">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夯实生态林业资源本底与推进项目开发。</w:t>
      </w:r>
      <w:r>
        <w:rPr>
          <w:rFonts w:hint="default" w:ascii="Times New Roman" w:hAnsi="Times New Roman" w:cs="Times New Roman"/>
          <w:b w:val="0"/>
          <w:bCs w:val="0"/>
          <w:color w:val="auto"/>
          <w:highlight w:val="none"/>
          <w:lang w:val="en-US" w:eastAsia="zh-CN"/>
        </w:rPr>
        <w:t>进一步严格落实林长制，全力争取国家储备林建设项目，着力推进“森林碳汇”上市交易，加快新绿公司市场化运作。系统推进精准提升森林质量、持续开展国土绿化、加强草原与湿地保护修复、做大做强林草产业、全面深化集体林权制度改革、强化林草资源监督管理、持续完善自然保护地体系、全面加强野生动物保护、提升森林草原火灾防控能力、提升林业有害生物综合治理能力。探索构建县域碳汇资源库，稳步探索农业土壤、草地等类型碳汇项目试点。强化与辽宁碳排放权交易中心的对接联动</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通过平台优势积极参与全国和区域碳排放权交易</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将资源优势转化为经济价值。</w:t>
      </w:r>
    </w:p>
    <w:p w14:paraId="52D087E2">
      <w:pPr>
        <w:bidi w:val="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创新碳汇融合发展与健全价值实现机制。</w:t>
      </w:r>
      <w:r>
        <w:rPr>
          <w:rFonts w:hint="default" w:ascii="Times New Roman" w:hAnsi="Times New Roman" w:cs="Times New Roman"/>
          <w:b w:val="0"/>
          <w:bCs w:val="0"/>
          <w:color w:val="auto"/>
          <w:highlight w:val="none"/>
          <w:lang w:val="en-US" w:eastAsia="zh-CN"/>
        </w:rPr>
        <w:t>探索碳汇与生态康养、特色农产品、玉石产业等特色领域深度融合</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打造碳中和农产品品牌</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试点建设零碳矿山</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全面提升生态经济附加值。健全生态产品价值实现保障机制</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鼓励金融机构创新碳金融产品</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积极研究并向上争取与省内受益地区建立横向生态补偿机制</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全力打造辽东绿色经济区生态价值转化岫岩样板。</w:t>
      </w:r>
    </w:p>
    <w:p w14:paraId="004A43D4">
      <w:pPr>
        <w:pStyle w:val="3"/>
        <w:bidi w:val="0"/>
        <w:rPr>
          <w:rFonts w:hint="default" w:ascii="Times New Roman" w:hAnsi="Times New Roman" w:eastAsia="楷体_GB2312" w:cs="Times New Roman"/>
          <w:b/>
          <w:bCs w:val="0"/>
          <w:color w:val="auto"/>
          <w:highlight w:val="none"/>
          <w:lang w:val="en-US" w:eastAsia="zh-CN"/>
        </w:rPr>
      </w:pPr>
      <w:bookmarkStart w:id="41" w:name="_Toc10603"/>
      <w:r>
        <w:rPr>
          <w:rFonts w:hint="default" w:ascii="Times New Roman" w:hAnsi="Times New Roman" w:cs="Times New Roman"/>
          <w:b/>
          <w:bCs w:val="0"/>
          <w:color w:val="auto"/>
          <w:highlight w:val="none"/>
          <w:lang w:val="en-US" w:eastAsia="zh-CN"/>
        </w:rPr>
        <w:t>第四节</w:t>
      </w:r>
      <w:r>
        <w:rPr>
          <w:rFonts w:hint="default" w:ascii="Times New Roman" w:hAnsi="Times New Roman" w:eastAsia="楷体_GB2312" w:cs="Times New Roman"/>
          <w:b/>
          <w:bCs w:val="0"/>
          <w:color w:val="auto"/>
          <w:highlight w:val="none"/>
          <w:lang w:val="en-US" w:eastAsia="zh-CN"/>
        </w:rPr>
        <w:t>提升生态治理现代化水平</w:t>
      </w:r>
      <w:bookmarkEnd w:id="41"/>
    </w:p>
    <w:p w14:paraId="459D0D74">
      <w:pPr>
        <w:bidi w:val="0"/>
        <w:rPr>
          <w:rFonts w:hint="default" w:ascii="Times New Roman" w:hAnsi="Times New Roman" w:eastAsia="仿宋_GB2312" w:cs="Times New Roman"/>
          <w:color w:val="auto"/>
          <w:kern w:val="0"/>
          <w:sz w:val="31"/>
          <w:szCs w:val="31"/>
          <w:highlight w:val="none"/>
          <w:lang w:val="en-US" w:eastAsia="zh-CN" w:bidi="ar"/>
        </w:rPr>
      </w:pPr>
      <w:r>
        <w:rPr>
          <w:rFonts w:hint="default" w:ascii="Times New Roman" w:hAnsi="Times New Roman" w:cs="Times New Roman"/>
          <w:b/>
          <w:bCs/>
          <w:color w:val="auto"/>
          <w:highlight w:val="none"/>
        </w:rPr>
        <w:t>健全全民共治行动体系</w:t>
      </w:r>
      <w:r>
        <w:rPr>
          <w:rFonts w:hint="default" w:ascii="Times New Roman" w:hAnsi="Times New Roman" w:cs="Times New Roman"/>
          <w:b/>
          <w:bCs/>
          <w:color w:val="auto"/>
          <w:highlight w:val="none"/>
          <w:lang w:eastAsia="zh-CN"/>
        </w:rPr>
        <w:t>。</w:t>
      </w:r>
      <w:r>
        <w:rPr>
          <w:rFonts w:hint="default" w:ascii="Times New Roman" w:hAnsi="Times New Roman" w:eastAsia="仿宋_GB2312" w:cs="Times New Roman"/>
          <w:color w:val="auto"/>
          <w:kern w:val="0"/>
          <w:sz w:val="31"/>
          <w:szCs w:val="31"/>
          <w:highlight w:val="none"/>
          <w:lang w:val="en-US" w:eastAsia="zh-CN" w:bidi="ar"/>
        </w:rPr>
        <w:t>合理划分各级环境保护事权财权，实行生态环境保护</w:t>
      </w:r>
      <w:r>
        <w:rPr>
          <w:rFonts w:hint="default" w:ascii="Times New Roman" w:hAnsi="Times New Roman"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党政同责</w:t>
      </w:r>
      <w:r>
        <w:rPr>
          <w:rFonts w:hint="default" w:ascii="Times New Roman" w:hAnsi="Times New Roman"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一岗双责</w:t>
      </w:r>
      <w:r>
        <w:rPr>
          <w:rFonts w:hint="default" w:ascii="Times New Roman" w:hAnsi="Times New Roman"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落实企业环境治理主体责任。畅通环保监督举报渠道，完善生态环境信息公开，形成政府、企业、公众多元共治格局。加大与周边市县生态环境共同保护合作力度，实施流域上下游共同治理，区域生态环境共同建设，加强网格化生态环境监管，加快形成区域协作、县市联动的联防联治机制。</w:t>
      </w:r>
    </w:p>
    <w:p w14:paraId="08C33CD2">
      <w:pPr>
        <w:bidi w:val="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完善系统治理模式。</w:t>
      </w:r>
      <w:r>
        <w:rPr>
          <w:rFonts w:hint="default" w:ascii="Times New Roman" w:hAnsi="Times New Roman" w:cs="Times New Roman"/>
          <w:b w:val="0"/>
          <w:bCs w:val="0"/>
          <w:color w:val="auto"/>
          <w:highlight w:val="none"/>
          <w:lang w:val="en-US" w:eastAsia="zh-CN"/>
        </w:rPr>
        <w:t>强化“三线一单”生态环境分区管控的硬约束，从空间布局、资源能源利用等源头预防生态破坏和环境污染。针对重点流域、矿区及农业面源区，分区域分流域明确质量改善目标，统筹运用结构优化、污染治理、生态修复等多种手段，推进多污染物协同控制。建立系统完整、权责清晰、监管有效的管理格局，深化生态、生产、生活空间分级管控，实施工业、农业、生活、交通源差异化管理，分区分级精准施策，全面提升优质生态产品供给能力。</w:t>
      </w:r>
    </w:p>
    <w:p w14:paraId="721EA724">
      <w:pPr>
        <w:bidi w:val="0"/>
        <w:rPr>
          <w:rFonts w:hint="default" w:ascii="Times New Roman" w:hAnsi="Times New Roman" w:eastAsia="仿宋_GB2312" w:cs="Times New Roman"/>
          <w:color w:val="auto"/>
          <w:kern w:val="0"/>
          <w:sz w:val="31"/>
          <w:szCs w:val="31"/>
          <w:highlight w:val="none"/>
          <w:lang w:val="en-US" w:eastAsia="zh-CN" w:bidi="ar"/>
        </w:rPr>
      </w:pPr>
      <w:r>
        <w:rPr>
          <w:rFonts w:hint="default" w:ascii="Times New Roman" w:hAnsi="Times New Roman" w:cs="Times New Roman"/>
          <w:b/>
          <w:bCs/>
          <w:color w:val="auto"/>
          <w:highlight w:val="none"/>
          <w:lang w:val="en-US" w:eastAsia="zh-CN"/>
        </w:rPr>
        <w:t>完善生态保护监管制度。</w:t>
      </w:r>
      <w:r>
        <w:rPr>
          <w:rFonts w:hint="default" w:ascii="Times New Roman" w:hAnsi="Times New Roman" w:cs="Times New Roman"/>
          <w:b w:val="0"/>
          <w:bCs w:val="0"/>
          <w:color w:val="auto"/>
          <w:highlight w:val="none"/>
          <w:lang w:val="en-US" w:eastAsia="zh-CN"/>
        </w:rPr>
        <w:t>严格落实环境保护法律法规，构建以排污许可为核心的固定源监管制度体系。强化智慧监管，建设“天地空”一体化生态环境监控平台，提升对排污单位、矿山、河道等重点目标的精准发现与快速处置能力。开展矿山、饮用水源地、畜禽养殖等重点领域专项执法行动，推行企业环境信用评价与分级分类监管。健全网格化监管体系，压实基层网格员巡查上报职责，综合运用法律、技术、信用等手段，实现源头预防、过程严管、后果严惩，全面增强环境监管效能。</w:t>
      </w:r>
    </w:p>
    <w:p w14:paraId="12401E70">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F91992C">
      <w:pPr>
        <w:pStyle w:val="2"/>
        <w:bidi w:val="0"/>
        <w:rPr>
          <w:rFonts w:hint="default" w:ascii="Times New Roman" w:hAnsi="Times New Roman" w:cs="Times New Roman"/>
          <w:color w:val="auto"/>
          <w:highlight w:val="none"/>
        </w:rPr>
      </w:pPr>
      <w:bookmarkStart w:id="42" w:name="_Toc12315"/>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章持续增进人民福祉</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绘就普惠共享</w:t>
      </w:r>
      <w:r>
        <w:rPr>
          <w:rFonts w:hint="default" w:ascii="Times New Roman" w:hAnsi="Times New Roman" w:cs="Times New Roman"/>
          <w:color w:val="auto"/>
          <w:highlight w:val="none"/>
          <w:lang w:val="en-US" w:eastAsia="zh-CN"/>
        </w:rPr>
        <w:t>图景</w:t>
      </w:r>
      <w:bookmarkEnd w:id="42"/>
    </w:p>
    <w:p w14:paraId="13D1721A">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坚持以人民为中心的发展思想，全面提升公共服务供给质量和效率。聚焦就业、教育、医疗等民生重点领域，构建更加完善的民生保障体系；优化资源配置，推动基本公共服务均等化；丰富文化体育供给，满足群众精神文化需求，让发展成果更多更公平惠及全体人民。</w:t>
      </w:r>
    </w:p>
    <w:p w14:paraId="4EB924F7">
      <w:pPr>
        <w:pStyle w:val="3"/>
        <w:bidi w:val="0"/>
        <w:rPr>
          <w:rFonts w:hint="default" w:ascii="Times New Roman" w:hAnsi="Times New Roman" w:eastAsia="楷体_GB2312" w:cs="Times New Roman"/>
          <w:b/>
          <w:bCs w:val="0"/>
          <w:color w:val="auto"/>
          <w:highlight w:val="none"/>
          <w:lang w:val="en-US" w:eastAsia="zh-CN"/>
        </w:rPr>
      </w:pPr>
      <w:bookmarkStart w:id="43" w:name="_Toc28371"/>
      <w:r>
        <w:rPr>
          <w:rFonts w:hint="default" w:ascii="Times New Roman" w:hAnsi="Times New Roman" w:eastAsia="楷体_GB2312" w:cs="Times New Roman"/>
          <w:b/>
          <w:bCs w:val="0"/>
          <w:color w:val="auto"/>
          <w:highlight w:val="none"/>
          <w:lang w:val="en-US" w:eastAsia="zh-CN"/>
        </w:rPr>
        <w:t>第一节促进高质量充分就业</w:t>
      </w:r>
      <w:bookmarkEnd w:id="43"/>
    </w:p>
    <w:p w14:paraId="2C8C7F43">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强化就业优先导向与人力资源建设</w:t>
      </w:r>
      <w:r>
        <w:rPr>
          <w:rFonts w:hint="default" w:ascii="Times New Roman" w:hAnsi="Times New Roman" w:cs="Times New Roman"/>
          <w:b/>
          <w:bCs/>
          <w:color w:val="auto"/>
          <w:highlight w:val="none"/>
          <w:lang w:eastAsia="zh-CN"/>
        </w:rPr>
        <w:t>。</w:t>
      </w:r>
      <w:r>
        <w:rPr>
          <w:rFonts w:hint="default" w:ascii="Times New Roman" w:hAnsi="Times New Roman" w:eastAsia="仿宋_GB2312" w:cs="Times New Roman"/>
          <w:color w:val="auto"/>
          <w:sz w:val="32"/>
          <w:szCs w:val="32"/>
          <w:highlight w:val="none"/>
          <w:lang w:val="en-US" w:eastAsia="zh-CN"/>
        </w:rPr>
        <w:t>着力构建就业友好型发展方式，支持发展吸纳就业能力强的产业和企业，促进就业提质扩容，加大助企稳岗扩岗力度。</w:t>
      </w:r>
      <w:r>
        <w:rPr>
          <w:rFonts w:hint="default" w:ascii="Times New Roman" w:hAnsi="Times New Roman" w:cs="Times New Roman"/>
          <w:color w:val="auto"/>
          <w:highlight w:val="none"/>
        </w:rPr>
        <w:t>破解结构性就业矛盾，实施职业技能提升行动，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十五五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期间完成技能人才培训5000人，加快人力资源现代化转型。力争到2030年，累计新增城镇就业1.35万人以上，技能人才供给与产业需求匹配度显著提升。</w:t>
      </w:r>
    </w:p>
    <w:p w14:paraId="0E37DEBE">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加强重点群体就业帮扶与服务覆盖</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聚焦重点群体精准施策：鼓励高校毕业生等青年群体到基层和中小微企业就业，强化困难家庭毕业生、长期失业青年帮扶；坚持农村劳动力外出就业与就地就业并重，培育特色劳务品牌，推动低收入人口就业帮扶常态化，坚决防止因失业规模性返贫；加大大龄、残疾、长期失业群体帮扶力度，统筹公益性岗位兜底，动态清零零就业家庭。健全全方位就业服务体系，推动岫岩人力资源市场、零工市场及乡镇保障所服务下沉，打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家门口</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就业服务站，延伸公共服务至农村基层；推广</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数字赋能+实地摸排</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模式，提升岗位匹配效能。</w:t>
      </w:r>
    </w:p>
    <w:p w14:paraId="3E9AC25E">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营造稳定公平安全的就业环境</w:t>
      </w:r>
      <w:r>
        <w:rPr>
          <w:rFonts w:hint="default" w:ascii="Times New Roman" w:hAnsi="Times New Roman" w:cs="Times New Roman"/>
          <w:b/>
          <w:bCs/>
          <w:color w:val="auto"/>
          <w:highlight w:val="none"/>
          <w:lang w:eastAsia="zh-CN"/>
        </w:rPr>
        <w:t>。</w:t>
      </w:r>
      <w:r>
        <w:rPr>
          <w:rFonts w:hint="default" w:ascii="Times New Roman" w:hAnsi="Times New Roman" w:cs="Times New Roman"/>
          <w:color w:val="auto"/>
          <w:highlight w:val="none"/>
        </w:rPr>
        <w:t>构建和谐劳动生态，强化欠薪治理与权益保障，严厉打击侵害劳动者权益的违法行为，完善就业风险预警机制，加强对重点行业、重点企业用工和失业动态监测。畅通劳动者诉求表达和权益保障渠道，完善劳动争议多元化解机制。加强新就业形态劳动者权益保障，探索适应灵活就业的劳动用工和社会保障政策。营造稳定、公平、安全的就业环境，不断提升劳动者就业满意度和获得感。</w:t>
      </w:r>
    </w:p>
    <w:p w14:paraId="696EBB10">
      <w:pPr>
        <w:pStyle w:val="3"/>
        <w:bidi w:val="0"/>
        <w:rPr>
          <w:rFonts w:hint="default" w:ascii="Times New Roman" w:hAnsi="Times New Roman" w:eastAsia="楷体_GB2312" w:cs="Times New Roman"/>
          <w:b/>
          <w:bCs w:val="0"/>
          <w:color w:val="auto"/>
          <w:highlight w:val="none"/>
          <w:lang w:val="en-US" w:eastAsia="zh-CN"/>
        </w:rPr>
      </w:pPr>
      <w:bookmarkStart w:id="44" w:name="_Toc20422"/>
      <w:r>
        <w:rPr>
          <w:rFonts w:hint="default" w:ascii="Times New Roman" w:hAnsi="Times New Roman" w:eastAsia="楷体_GB2312" w:cs="Times New Roman"/>
          <w:b/>
          <w:bCs w:val="0"/>
          <w:color w:val="auto"/>
          <w:highlight w:val="none"/>
          <w:lang w:val="en-US" w:eastAsia="zh-CN"/>
        </w:rPr>
        <w:t>第二节办好人民满意教育</w:t>
      </w:r>
      <w:bookmarkEnd w:id="44"/>
    </w:p>
    <w:p w14:paraId="0C355FB4">
      <w:pPr>
        <w:widowControl w:val="0"/>
        <w:numPr>
          <w:ilvl w:val="0"/>
          <w:numId w:val="0"/>
        </w:numPr>
        <w:ind w:firstLine="643" w:firstLineChars="200"/>
        <w:jc w:val="both"/>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b/>
          <w:bCs/>
          <w:color w:val="auto"/>
          <w:highlight w:val="none"/>
        </w:rPr>
        <w:t>推进</w:t>
      </w:r>
      <w:r>
        <w:rPr>
          <w:rFonts w:hint="default" w:ascii="Times New Roman" w:hAnsi="Times New Roman" w:cs="Times New Roman"/>
          <w:b/>
          <w:bCs/>
          <w:color w:val="auto"/>
          <w:highlight w:val="none"/>
          <w:lang w:val="en-US" w:eastAsia="zh-CN"/>
        </w:rPr>
        <w:t>基础</w:t>
      </w:r>
      <w:r>
        <w:rPr>
          <w:rFonts w:hint="default" w:ascii="Times New Roman" w:hAnsi="Times New Roman" w:cs="Times New Roman"/>
          <w:b/>
          <w:bCs/>
          <w:color w:val="auto"/>
          <w:highlight w:val="none"/>
        </w:rPr>
        <w:t>教育优质均衡发展</w:t>
      </w:r>
      <w:r>
        <w:rPr>
          <w:rFonts w:hint="default" w:ascii="Times New Roman" w:hAnsi="Times New Roman" w:cs="Times New Roman"/>
          <w:b/>
          <w:bCs/>
          <w:color w:val="auto"/>
          <w:highlight w:val="none"/>
          <w:lang w:eastAsia="zh-CN"/>
        </w:rPr>
        <w:t>。</w:t>
      </w:r>
      <w:r>
        <w:rPr>
          <w:rFonts w:hint="default" w:ascii="Times New Roman" w:hAnsi="Times New Roman" w:eastAsia="仿宋_GB2312" w:cs="Times New Roman"/>
          <w:color w:val="auto"/>
          <w:sz w:val="32"/>
          <w:szCs w:val="32"/>
          <w:highlight w:val="none"/>
          <w:lang w:val="en-US" w:eastAsia="zh-CN"/>
        </w:rPr>
        <w:t>加快办学条件提标升级，重点推进南门幼儿园、一中、岫光小学、满族幼儿园重建及改扩建，完善办学条件，提高办学水平</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改造城镇预制板结构校舍，全面消除安全隐患</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加强乡村寄宿制学校、小规模学校（</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两类学校</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薄弱学校标准化建设，确保城乡办学条件全面达标。优化教育资源空间配置，城区重点优化教育设施布点，乡村稳妥撤并生源萎缩的村小，推动教育资源向集约化、高效化配置转型。深化教育教学质量提升，强化师资培训与课程改革，全面提升课堂教学质量与办学效益，缩小校际差距，实现义务教育优质均衡发展目标。</w:t>
      </w:r>
    </w:p>
    <w:p w14:paraId="0DA14B94">
      <w:pPr>
        <w:widowControl w:val="0"/>
        <w:numPr>
          <w:ilvl w:val="0"/>
          <w:numId w:val="0"/>
        </w:numPr>
        <w:ind w:firstLine="643" w:firstLineChars="200"/>
        <w:jc w:val="both"/>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推进标准化高中建设</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提升硬件设施水平，加快实施标准化高中附属工程，重点满足走班教学与选课制需求，同步推进重点高中体育场馆等专项设施改造，完善现代化教学环境。强化师资队伍引育，健全跨区域教育人才引进机制，面向高水平师范院校精准引进优秀毕业生，配套建设教师周转宿舍，提供交通、医疗等专项补贴，提升岗位吸引力。制定系统发展规划，科学编制标准化高中建设长远方案，统筹硬件投入、师资管理、教学改革等关键要素，争创省内一流标杆高中。</w:t>
      </w:r>
    </w:p>
    <w:p w14:paraId="20125C5A">
      <w:pPr>
        <w:widowControl w:val="0"/>
        <w:numPr>
          <w:ilvl w:val="0"/>
          <w:numId w:val="0"/>
        </w:numPr>
        <w:ind w:firstLine="643" w:firstLineChars="200"/>
        <w:jc w:val="both"/>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加强教师队伍建设。</w:t>
      </w:r>
      <w:r>
        <w:rPr>
          <w:rFonts w:hint="default" w:ascii="Times New Roman" w:hAnsi="Times New Roman" w:eastAsia="仿宋_GB2312" w:cs="Times New Roman"/>
          <w:b w:val="0"/>
          <w:bCs/>
          <w:color w:val="auto"/>
          <w:sz w:val="32"/>
          <w:szCs w:val="32"/>
          <w:highlight w:val="none"/>
          <w:lang w:val="en-US" w:eastAsia="zh-CN"/>
        </w:rPr>
        <w:t>以</w:t>
      </w:r>
      <w:r>
        <w:rPr>
          <w:rFonts w:hint="default" w:ascii="Times New Roman" w:hAnsi="Times New Roman"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四有</w:t>
      </w:r>
      <w:r>
        <w:rPr>
          <w:rFonts w:hint="default" w:ascii="Times New Roman" w:hAnsi="Times New Roman"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好老师为示范，按照品质教育目标要求，努力形成一支师德高尚、业务精湛、结构合理、充满活力的高素质专业化教师队伍。强化师德师风建设，加大教师培训力度，多途径促进教师专业发展。优化教师队伍结构，摸底各学科教师总量，加大缺员学校及体音美、史地政生物化等紧缺学科师资配备，力争到2030年，每百名学生拥有体音美专任教师数小学、初中均达到0.9人以上。进一步提升教师学历与骨干比例，力争到2030年，每百名学生拥有高于规定学历教师数小学、初中分别达到4.2人以上、5.3人以上；拥有县级以上骨干教师数小学、初中均达到1人以上。完善引进与激励机制，严格落实省特岗教师招聘计划，多举措调动教师工作积极性，全面提升教师素养和综合能力。</w:t>
      </w:r>
    </w:p>
    <w:p w14:paraId="7933162F">
      <w:pPr>
        <w:widowControl w:val="0"/>
        <w:numPr>
          <w:ilvl w:val="0"/>
          <w:numId w:val="0"/>
        </w:numPr>
        <w:ind w:firstLine="643" w:firstLineChars="200"/>
        <w:jc w:val="both"/>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bCs w:val="0"/>
          <w:color w:val="auto"/>
          <w:sz w:val="32"/>
          <w:szCs w:val="32"/>
          <w:highlight w:val="none"/>
          <w:lang w:val="en-US" w:eastAsia="zh-CN"/>
        </w:rPr>
        <w:t>发展现代职业教育。</w:t>
      </w:r>
      <w:r>
        <w:rPr>
          <w:rFonts w:hint="default" w:ascii="Times New Roman" w:hAnsi="Times New Roman" w:eastAsia="仿宋_GB2312" w:cs="Times New Roman"/>
          <w:b w:val="0"/>
          <w:bCs/>
          <w:color w:val="auto"/>
          <w:sz w:val="32"/>
          <w:szCs w:val="32"/>
          <w:highlight w:val="none"/>
          <w:lang w:val="en-US" w:eastAsia="zh-CN"/>
        </w:rPr>
        <w:t>鼓励企业与职业院校共建实习实训基地，探索构建产业、行业、企业、职业、专业</w:t>
      </w:r>
      <w:r>
        <w:rPr>
          <w:rFonts w:hint="default" w:ascii="Times New Roman" w:hAnsi="Times New Roman"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五业联动</w:t>
      </w:r>
      <w:r>
        <w:rPr>
          <w:rFonts w:hint="default" w:ascii="Times New Roman" w:hAnsi="Times New Roman"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的发展模式，健全德技并修、工学结合的育人机制，打造职业教育优质品牌。</w:t>
      </w:r>
    </w:p>
    <w:p w14:paraId="4CB65367">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深化教育数字化转型。</w:t>
      </w:r>
      <w:r>
        <w:rPr>
          <w:rFonts w:hint="default" w:ascii="Times New Roman" w:hAnsi="Times New Roman" w:eastAsia="仿宋_GB2312" w:cs="Times New Roman"/>
          <w:b w:val="0"/>
          <w:bCs/>
          <w:color w:val="auto"/>
          <w:sz w:val="32"/>
          <w:szCs w:val="32"/>
          <w:highlight w:val="none"/>
          <w:lang w:val="en-US" w:eastAsia="zh-CN"/>
        </w:rPr>
        <w:t>以信息技术与教育教学深度融合为主线，加快推进智慧教育环境建设，促进国家中小学智慧教育平台常态化应用，全面提升教师数字资源应用能力。深化</w:t>
      </w:r>
      <w:r>
        <w:rPr>
          <w:rFonts w:hint="default" w:ascii="Times New Roman" w:hAnsi="Times New Roman"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专递课堂</w:t>
      </w:r>
      <w:r>
        <w:rPr>
          <w:rFonts w:hint="default" w:ascii="Times New Roman" w:hAnsi="Times New Roman"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名师课堂</w:t>
      </w:r>
      <w:r>
        <w:rPr>
          <w:rFonts w:hint="default" w:ascii="Times New Roman" w:hAnsi="Times New Roman"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同步互动课堂</w:t>
      </w:r>
      <w:r>
        <w:rPr>
          <w:rFonts w:hint="default" w:ascii="Times New Roman" w:hAnsi="Times New Roman"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应用，推动优质教育资源城乡共享，缩小区域、校际差距，构建数字化、智能化、个性化的教育新生态。</w:t>
      </w:r>
    </w:p>
    <w:p w14:paraId="770FC2BA">
      <w:pPr>
        <w:bidi w:val="0"/>
        <w:rPr>
          <w:rFonts w:hint="default" w:ascii="Times New Roman" w:hAnsi="Times New Roman" w:cs="Times New Roman"/>
          <w:b w:val="0"/>
          <w:bCs/>
          <w:color w:val="auto"/>
          <w:sz w:val="32"/>
          <w:szCs w:val="32"/>
          <w:highlight w:val="none"/>
          <w:lang w:val="en-US" w:eastAsia="zh-CN"/>
        </w:rPr>
      </w:pPr>
      <w:r>
        <w:rPr>
          <w:rFonts w:hint="default" w:ascii="Times New Roman" w:hAnsi="Times New Roman" w:cs="Times New Roman"/>
          <w:b/>
          <w:bCs w:val="0"/>
          <w:color w:val="auto"/>
          <w:sz w:val="32"/>
          <w:szCs w:val="32"/>
          <w:highlight w:val="none"/>
          <w:lang w:val="en-US" w:eastAsia="zh-CN"/>
        </w:rPr>
        <w:t>加强未成年人思想道德与心理健康教育。</w:t>
      </w:r>
      <w:r>
        <w:rPr>
          <w:rFonts w:hint="default" w:ascii="Times New Roman" w:hAnsi="Times New Roman" w:cs="Times New Roman"/>
          <w:b w:val="0"/>
          <w:bCs/>
          <w:color w:val="auto"/>
          <w:sz w:val="32"/>
          <w:szCs w:val="32"/>
          <w:highlight w:val="none"/>
          <w:lang w:val="en-US" w:eastAsia="zh-CN"/>
        </w:rPr>
        <w:t>构建“家校社”协同育人机制，推进思政教育一体化建设，实现中小学心理健康辅导站全覆盖，重点加强留守儿童心理干预。开展法治教育、传统文化教育、志愿服务等主题实践活动。整治校园周边环境，净化网络环境，预防校园欺凌和未成年人犯罪。</w:t>
      </w:r>
    </w:p>
    <w:p w14:paraId="0E76A033">
      <w:pPr>
        <w:pStyle w:val="3"/>
        <w:bidi w:val="0"/>
        <w:rPr>
          <w:rFonts w:hint="default" w:ascii="Times New Roman" w:hAnsi="Times New Roman" w:eastAsia="楷体_GB2312" w:cs="Times New Roman"/>
          <w:b/>
          <w:bCs w:val="0"/>
          <w:color w:val="auto"/>
          <w:highlight w:val="none"/>
          <w:lang w:val="en-US" w:eastAsia="zh-CN"/>
        </w:rPr>
      </w:pPr>
      <w:bookmarkStart w:id="45" w:name="_Toc21832"/>
      <w:r>
        <w:rPr>
          <w:rFonts w:hint="default" w:ascii="Times New Roman" w:hAnsi="Times New Roman" w:eastAsia="楷体_GB2312" w:cs="Times New Roman"/>
          <w:b/>
          <w:bCs w:val="0"/>
          <w:color w:val="auto"/>
          <w:highlight w:val="none"/>
          <w:lang w:val="en-US" w:eastAsia="zh-CN"/>
        </w:rPr>
        <w:t>第三节推进健康岫岩建设</w:t>
      </w:r>
      <w:bookmarkEnd w:id="45"/>
    </w:p>
    <w:p w14:paraId="438145C5">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lang w:val="en-US" w:eastAsia="zh-CN"/>
        </w:rPr>
        <w:t>优化医疗资源配置。</w:t>
      </w:r>
      <w:r>
        <w:rPr>
          <w:rFonts w:hint="default" w:ascii="Times New Roman" w:hAnsi="Times New Roman" w:cs="Times New Roman"/>
          <w:color w:val="auto"/>
          <w:highlight w:val="none"/>
        </w:rPr>
        <w:t>以县域医疗中心建设为核心，实施县中心人民医院扩建工程，争创三级甲等综合医院，完善胸痛中心、卒中中心和创伤中心建设，全面提升急危重症救治能力。同步推进县中医院特色发展，增设经典病房和治未病中心，强化中医药服务优势</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支持县妇幼保健院建设现代化妇儿医疗中心，整合孕产保健、儿童早期发展及妇女健康管理服务，打造全生命周期健康管理平台。针对区域发展不平衡问题，</w:t>
      </w:r>
      <w:r>
        <w:rPr>
          <w:rFonts w:hint="default" w:ascii="Times New Roman" w:hAnsi="Times New Roman" w:cs="Times New Roman"/>
          <w:color w:val="auto"/>
          <w:highlight w:val="none"/>
          <w:lang w:val="en-US" w:eastAsia="zh-CN"/>
        </w:rPr>
        <w:t>提级改造</w:t>
      </w:r>
      <w:r>
        <w:rPr>
          <w:rFonts w:hint="default" w:ascii="Times New Roman" w:hAnsi="Times New Roman" w:cs="Times New Roman"/>
          <w:color w:val="auto"/>
          <w:highlight w:val="none"/>
        </w:rPr>
        <w:t>黄花甸镇卫生院</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打造</w:t>
      </w:r>
      <w:r>
        <w:rPr>
          <w:rFonts w:hint="default" w:ascii="Times New Roman" w:hAnsi="Times New Roman" w:cs="Times New Roman"/>
          <w:color w:val="auto"/>
          <w:highlight w:val="none"/>
        </w:rPr>
        <w:t>北部山区医疗次中心，辐射周边乡镇，将急救响应时间缩短至20分钟以内。完善分级诊疗体系，建设县域影像、心电、病理、检验、消毒供应五大共享中心，推行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基层检查、县级诊断</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模式。深化家庭医生签约服务，组建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县级医生+镇级医生+村医</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1+1+X</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团队，建立24小时转诊绿色通道。补齐急救网络短板，新增9辆救护车实现乡镇全覆盖，急救服务半径控制在10公里以内，确保3分钟内出车。</w:t>
      </w:r>
    </w:p>
    <w:p w14:paraId="6A4B81DF">
      <w:pPr>
        <w:bidi w:val="0"/>
        <w:rPr>
          <w:rFonts w:hint="default" w:ascii="Times New Roman" w:hAnsi="Times New Roman" w:eastAsia="仿宋_GB2312" w:cs="Times New Roman"/>
          <w:color w:val="auto"/>
          <w:highlight w:val="none"/>
          <w:lang w:eastAsia="zh-CN"/>
        </w:rPr>
      </w:pPr>
      <w:r>
        <w:rPr>
          <w:rFonts w:hint="default" w:ascii="Times New Roman" w:hAnsi="Times New Roman" w:cs="Times New Roman"/>
          <w:b/>
          <w:bCs/>
          <w:color w:val="auto"/>
          <w:highlight w:val="none"/>
          <w:lang w:val="en-US" w:eastAsia="zh-CN"/>
        </w:rPr>
        <w:t>强化专科能力。</w:t>
      </w:r>
      <w:r>
        <w:rPr>
          <w:rFonts w:hint="default" w:ascii="Times New Roman" w:hAnsi="Times New Roman" w:cs="Times New Roman"/>
          <w:color w:val="auto"/>
          <w:highlight w:val="none"/>
          <w:lang w:val="en-US" w:eastAsia="zh-CN"/>
        </w:rPr>
        <w:t>强化县医院</w:t>
      </w:r>
      <w:r>
        <w:rPr>
          <w:rFonts w:hint="default" w:ascii="Times New Roman" w:hAnsi="Times New Roman" w:cs="Times New Roman"/>
          <w:color w:val="auto"/>
          <w:highlight w:val="none"/>
        </w:rPr>
        <w:t>肿瘤</w:t>
      </w:r>
      <w:r>
        <w:rPr>
          <w:rFonts w:hint="default" w:ascii="Times New Roman" w:hAnsi="Times New Roman" w:cs="Times New Roman"/>
          <w:color w:val="auto"/>
          <w:highlight w:val="none"/>
          <w:lang w:val="en-US" w:eastAsia="zh-CN"/>
        </w:rPr>
        <w:t>科建设</w:t>
      </w:r>
      <w:r>
        <w:rPr>
          <w:rFonts w:hint="default" w:ascii="Times New Roman" w:hAnsi="Times New Roman" w:cs="Times New Roman"/>
          <w:color w:val="auto"/>
          <w:highlight w:val="none"/>
        </w:rPr>
        <w:t>，配置直线加速器、PET-CT等设备，开展精准放疗和综合治疗。新建口腔专科医院和老年病康养中心，设置200张医养结合床位，提供慢性病管理、康复护理一体化服务。升级儿科服务，建设儿科诊疗中心，提升儿童常见病、多发病及急危重症救治能力</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实施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生命起点</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计划，整合婚检、孕前优生检查服务，新生儿遗传代谢病筛查率保持99%以上。建设儿童早期发展中心，将孤独症筛查覆盖率提升至95%，重点干预儿童近视、肥胖等健康问题。</w:t>
      </w:r>
    </w:p>
    <w:p w14:paraId="68DE051C">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lang w:val="en-US" w:eastAsia="zh-CN"/>
        </w:rPr>
        <w:t>夯实基层服务网底。</w:t>
      </w:r>
      <w:r>
        <w:rPr>
          <w:rFonts w:hint="default" w:ascii="Times New Roman" w:hAnsi="Times New Roman" w:cs="Times New Roman"/>
          <w:color w:val="auto"/>
          <w:highlight w:val="none"/>
        </w:rPr>
        <w:t>实施基层能力提升攻坚行动，完成7家中心乡镇卫生院标准化建设，解决偏远地区群众就医难题</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深化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县聘乡用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机制，每年下派50名县级医院骨干驻点帮扶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同步开展基层医务人员轮训，年度培训不少于300人次，重点提升慢病管理、急诊急救和中医适宜技术应用能力。在村级层面，197个村卫生室全面推行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健康小屋</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模式，配备智能血压计、血糖仪等设备，实现10项健康指标自助检测，推广中医药适宜技术，80%的村卫生室可提供艾灸、推拿等6类以上中医服务。</w:t>
      </w:r>
      <w:r>
        <w:rPr>
          <w:rFonts w:hint="default" w:ascii="Times New Roman" w:hAnsi="Times New Roman" w:cs="Times New Roman"/>
          <w:color w:val="auto"/>
          <w:highlight w:val="none"/>
          <w:lang w:val="en-US" w:eastAsia="zh-CN"/>
        </w:rPr>
        <w:t>每个乡镇卫生院</w:t>
      </w:r>
      <w:r>
        <w:rPr>
          <w:rFonts w:hint="default" w:ascii="Times New Roman" w:hAnsi="Times New Roman" w:cs="Times New Roman"/>
          <w:color w:val="auto"/>
          <w:highlight w:val="none"/>
        </w:rPr>
        <w:t>建设</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个基层特色专科，重点发展慢性病管理、中医康复和妇幼保健，推动优质服务向基层延伸。</w:t>
      </w:r>
    </w:p>
    <w:p w14:paraId="5A99A5D2">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lang w:val="en-US" w:eastAsia="zh-CN"/>
        </w:rPr>
        <w:t>深化医共体改革。</w:t>
      </w:r>
      <w:r>
        <w:rPr>
          <w:rFonts w:hint="default" w:ascii="Times New Roman" w:hAnsi="Times New Roman" w:cs="Times New Roman"/>
          <w:color w:val="auto"/>
          <w:highlight w:val="none"/>
        </w:rPr>
        <w:t>以</w:t>
      </w:r>
      <w:r>
        <w:rPr>
          <w:rFonts w:hint="default" w:ascii="Times New Roman" w:hAnsi="Times New Roman" w:cs="Times New Roman"/>
          <w:color w:val="auto"/>
          <w:highlight w:val="none"/>
          <w:lang w:val="en-US" w:eastAsia="zh-CN"/>
        </w:rPr>
        <w:t>紧密型</w:t>
      </w:r>
      <w:r>
        <w:rPr>
          <w:rFonts w:hint="default" w:ascii="Times New Roman" w:hAnsi="Times New Roman" w:cs="Times New Roman"/>
          <w:color w:val="auto"/>
          <w:highlight w:val="none"/>
        </w:rPr>
        <w:t>县域医共体建设为抓手，持续推进强基工程，重点补齐24个医共体分院资源共享中心设备缺口，实现医共体内数据互联互通、信息共享。依托黄花甸镇中心卫生院建设区域医疗服务枢纽，全面提升康复医学、老年医学、骨科、中医科、儿科等特色专科服务能力，打造辐射周边乡镇的医疗高地。配合县域医共体资源共享中心和中心药房建设，实现药品统一采购、配送和监管，确保村级卫生室24小时药品供应，解决偏远地区用药难题。升级全民健康信息平台，整合全县电子健康档案，提升基层诊断准确性。深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六统一</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管理机制，整合县域内人员、财务、药械等资源，实行医保“总额预付、结余留用”政策，激活医疗机构内生动力，将结余资金优先用于学科建设和设备更新。</w:t>
      </w:r>
    </w:p>
    <w:p w14:paraId="6B4EB62B">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lang w:val="en-US" w:eastAsia="zh-CN"/>
        </w:rPr>
        <w:t>健全公共卫生体系。</w:t>
      </w:r>
      <w:r>
        <w:rPr>
          <w:rFonts w:hint="default" w:ascii="Times New Roman" w:hAnsi="Times New Roman" w:cs="Times New Roman"/>
          <w:color w:val="auto"/>
          <w:highlight w:val="none"/>
          <w:lang w:val="en-US" w:eastAsia="zh-CN"/>
        </w:rPr>
        <w:t>维护</w:t>
      </w:r>
      <w:r>
        <w:rPr>
          <w:rFonts w:hint="default" w:ascii="Times New Roman" w:hAnsi="Times New Roman" w:cs="Times New Roman"/>
          <w:color w:val="auto"/>
          <w:highlight w:val="none"/>
        </w:rPr>
        <w:t>生物安全实验室，日核酸检测能力达1</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万管，配备病原微生物快速检测设备，提升传染病预警和突发公共卫生事件应对能力。组建200人流调溯源专业队伍，配置移动检测车、消杀系统，建立覆盖</w:t>
      </w:r>
      <w:r>
        <w:rPr>
          <w:rFonts w:hint="default" w:ascii="Times New Roman" w:hAnsi="Times New Roman" w:cs="Times New Roman"/>
          <w:color w:val="auto"/>
          <w:highlight w:val="none"/>
          <w:lang w:val="en-US" w:eastAsia="zh-CN"/>
        </w:rPr>
        <w:t>全县的</w:t>
      </w:r>
      <w:r>
        <w:rPr>
          <w:rFonts w:hint="default" w:ascii="Times New Roman" w:hAnsi="Times New Roman" w:cs="Times New Roman"/>
          <w:color w:val="auto"/>
          <w:highlight w:val="none"/>
        </w:rPr>
        <w:t>食源性疾病监测网络，实现从源头到终端的全链条防控。强化妇幼健康服务，建设危重孕产妇和新生儿救治中心，实施消除艾滋病、梅毒和乙肝母婴传播攻坚行动，</w:t>
      </w:r>
      <w:r>
        <w:rPr>
          <w:rFonts w:hint="default" w:ascii="Times New Roman" w:hAnsi="Times New Roman" w:cs="Times New Roman"/>
          <w:color w:val="auto"/>
          <w:highlight w:val="none"/>
          <w:lang w:val="en-US" w:eastAsia="zh-CN"/>
        </w:rPr>
        <w:t>控制</w:t>
      </w:r>
      <w:r>
        <w:rPr>
          <w:rFonts w:hint="default" w:ascii="Times New Roman" w:hAnsi="Times New Roman" w:cs="Times New Roman"/>
          <w:color w:val="auto"/>
          <w:highlight w:val="none"/>
        </w:rPr>
        <w:t>孕产妇死亡率。</w:t>
      </w:r>
    </w:p>
    <w:p w14:paraId="5BEB4F47">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lang w:val="en-US" w:eastAsia="zh-CN"/>
        </w:rPr>
        <w:t>推动中医药传承创新发展。</w:t>
      </w:r>
      <w:r>
        <w:rPr>
          <w:rFonts w:hint="default" w:ascii="Times New Roman" w:hAnsi="Times New Roman" w:cs="Times New Roman"/>
          <w:color w:val="auto"/>
          <w:highlight w:val="none"/>
          <w:lang w:val="en-US" w:eastAsia="zh-CN"/>
        </w:rPr>
        <w:t>推进中医药服务能力建设工程，县中医院加强重点专科建设。乡镇卫生院100%建成标准化中医馆，推广针灸、拔罐等6类以上适宜技术。村卫生室推行“中医阁”模式，提供便捷价廉的中医药服务。加强人才培养，每年选派临床医生参加“西学中”培训。开展中医药文化进社区、进校园、进企业活动，举办养生讲堂、义诊服务，弘扬中医药文化，提升群众健康素养</w:t>
      </w:r>
      <w:r>
        <w:rPr>
          <w:rFonts w:hint="default" w:ascii="Times New Roman" w:hAnsi="Times New Roman" w:cs="Times New Roman"/>
          <w:color w:val="auto"/>
          <w:highlight w:val="none"/>
        </w:rPr>
        <w:t>。</w:t>
      </w:r>
    </w:p>
    <w:p w14:paraId="6CFE8167">
      <w:pPr>
        <w:pStyle w:val="3"/>
        <w:bidi w:val="0"/>
        <w:rPr>
          <w:rFonts w:hint="default" w:ascii="Times New Roman" w:hAnsi="Times New Roman" w:eastAsia="楷体_GB2312" w:cs="Times New Roman"/>
          <w:b/>
          <w:bCs w:val="0"/>
          <w:color w:val="auto"/>
          <w:highlight w:val="none"/>
          <w:lang w:val="en-US" w:eastAsia="zh-CN"/>
        </w:rPr>
      </w:pPr>
      <w:bookmarkStart w:id="46" w:name="_Toc3231"/>
      <w:r>
        <w:rPr>
          <w:rFonts w:hint="default" w:ascii="Times New Roman" w:hAnsi="Times New Roman" w:eastAsia="楷体_GB2312" w:cs="Times New Roman"/>
          <w:b/>
          <w:bCs w:val="0"/>
          <w:color w:val="auto"/>
          <w:highlight w:val="none"/>
          <w:lang w:val="en-US" w:eastAsia="zh-CN"/>
        </w:rPr>
        <w:t>第四节健全多层次社会保障体系</w:t>
      </w:r>
      <w:bookmarkEnd w:id="46"/>
    </w:p>
    <w:p w14:paraId="3DAAC1EF">
      <w:pPr>
        <w:bidi w:val="0"/>
        <w:rPr>
          <w:rFonts w:hint="default" w:ascii="Times New Roman" w:hAnsi="Times New Roman" w:cs="Times New Roman"/>
          <w:color w:val="0000FF"/>
          <w:highlight w:val="none"/>
          <w:lang w:val="en-US" w:eastAsia="zh-CN"/>
        </w:rPr>
      </w:pPr>
      <w:r>
        <w:rPr>
          <w:rFonts w:hint="default" w:ascii="Times New Roman" w:hAnsi="Times New Roman" w:cs="Times New Roman"/>
          <w:b/>
          <w:bCs/>
          <w:color w:val="auto"/>
          <w:highlight w:val="none"/>
          <w:lang w:val="en-US" w:eastAsia="zh-CN"/>
        </w:rPr>
        <w:t>完善社会保障体系。</w:t>
      </w:r>
      <w:r>
        <w:rPr>
          <w:rFonts w:hint="default" w:ascii="Times New Roman" w:hAnsi="Times New Roman" w:cs="Times New Roman"/>
          <w:b w:val="0"/>
          <w:bCs w:val="0"/>
          <w:color w:val="auto"/>
          <w:highlight w:val="none"/>
          <w:lang w:val="en-US" w:eastAsia="zh-CN"/>
        </w:rPr>
        <w:t>一是持续扩大社会保险覆盖面。扎实做好城乡居民、新就业形态人员、灵活就业人员参保工作，实现基本养老保险应保尽保。有序实施渐进式延迟法定退休年龄政策，落实养老金待遇并确保按时足额发放。二是坚决守牢基金安全底线。继续深化社会保险基金安全警示教育活动，开展社保基金管理巩固提升行动，全面优化基金监督管理，巩固社保基金专项整治成果，防范化解基金风险，确保基金安全。三是深化医疗保障制度改革。全面融入市级统筹，落实统一政策。推进基金市级统收统支，完善风险调剂和收支管理机制。依托市级信息平台，实现对医疗行为的智能监控与基金风险预警。对特困、低保等群体实施分类资助，完善高额费用预警与主动救助机制，探索</w:t>
      </w:r>
      <w:r>
        <w:rPr>
          <w:rFonts w:hint="eastAsia" w:ascii="Times New Roman" w:hAnsi="Times New Roman" w:cs="Times New Roman"/>
          <w:b w:val="0"/>
          <w:bCs w:val="0"/>
          <w:color w:val="auto"/>
          <w:highlight w:val="none"/>
          <w:lang w:val="en-US" w:eastAsia="zh-CN"/>
        </w:rPr>
        <w:t>与</w:t>
      </w:r>
      <w:r>
        <w:rPr>
          <w:rFonts w:hint="default" w:ascii="Times New Roman" w:hAnsi="Times New Roman" w:cs="Times New Roman"/>
          <w:b w:val="0"/>
          <w:bCs w:val="0"/>
          <w:color w:val="auto"/>
          <w:highlight w:val="none"/>
          <w:lang w:val="en-US" w:eastAsia="zh-CN"/>
        </w:rPr>
        <w:t>商业健康保险有效衔接。协同推进“三医联动”，全面实施病种付费改革，强化集采药耗临床使用监测。四是提升基层服务可及性。推动参保登记、慢性病认定等权限下沉至基层网点，推广“掌上办”“刷脸办”等智能服务，构建县乡村联动的便捷高效服务网络。</w:t>
      </w:r>
    </w:p>
    <w:p w14:paraId="76B951CF">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加强住房保障体系建设。</w:t>
      </w:r>
      <w:r>
        <w:rPr>
          <w:rFonts w:hint="default" w:ascii="Times New Roman" w:hAnsi="Times New Roman" w:cs="Times New Roman"/>
          <w:b w:val="0"/>
          <w:bCs w:val="0"/>
          <w:color w:val="auto"/>
          <w:highlight w:val="none"/>
          <w:lang w:val="en-US" w:eastAsia="zh-CN"/>
        </w:rPr>
        <w:t>加快建立多主体供给、多渠道保障、租购并举的住房制度。通过收购存量商品房转保障房等多元化方式，有效增加保障性租赁住房供给，规范发展公共租赁住房，因地制宜探索发展共有产权住房，着力解决城镇低收入家庭、新市民、青年人等群体的住房困难问题。完善住房公积金制度，稳步推进城镇老旧住宅区改造和农村危房改造，持续提升城乡居民居住品质和安全感。</w:t>
      </w:r>
    </w:p>
    <w:p w14:paraId="4B0A4FF0">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提高社会福利水平。</w:t>
      </w:r>
      <w:r>
        <w:rPr>
          <w:rFonts w:hint="default" w:ascii="Times New Roman" w:hAnsi="Times New Roman" w:cs="Times New Roman"/>
          <w:b w:val="0"/>
          <w:bCs w:val="0"/>
          <w:color w:val="auto"/>
          <w:highlight w:val="none"/>
          <w:lang w:val="en-US" w:eastAsia="zh-CN"/>
        </w:rPr>
        <w:t>一是完善养老服务体系。加强养老服务设施建设，加大社区养老服务配建力度，推进居家和社区适老化改造，规划建设哨子河区域中心敬老院，夯实服务基础。加强养老机构规范化管理，提升服务质量和安全水平。深入推进医养结合，提高老年人健康服务水平。加强养老服务人才队伍建设，着力提高人员待遇和职业认同感。二是加强未成年人福利保障。提高孤儿、事实无人抚养儿童基本生活保障标准，健全农村留守儿童、困境儿童关爱服务体系，完善未成年人保护工作协调机制。三是优化残疾人福利制度。完善困难残疾人生活补贴和重度残疾人护理补贴动态调整机制，加强康复辅助器具服务和精神障碍社区康复服务，支持社会力量参与残疾人福利事业。</w:t>
      </w:r>
    </w:p>
    <w:p w14:paraId="3E894FD8">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完善社会救助制度。</w:t>
      </w:r>
      <w:r>
        <w:rPr>
          <w:rFonts w:hint="default" w:ascii="Times New Roman" w:hAnsi="Times New Roman" w:cs="Times New Roman"/>
          <w:b w:val="0"/>
          <w:bCs w:val="0"/>
          <w:color w:val="auto"/>
          <w:highlight w:val="none"/>
          <w:lang w:val="en-US" w:eastAsia="zh-CN"/>
        </w:rPr>
        <w:t>健全分层分类的社会救助体系，加强社会救助与其他保障制度的衔接。推进社会救助信息化建设，实现救助申请、审核、审批全流程网上办理。加强社会救助家庭经济状况核对机制建设，提高救助精准度。加大对特殊困难群体的救助力度，建立健全主动发现、快速响应机制，及时解决困难群众的急难问题。</w:t>
      </w:r>
    </w:p>
    <w:p w14:paraId="68331E07">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完善社会优抚制度。</w:t>
      </w:r>
      <w:r>
        <w:rPr>
          <w:rFonts w:hint="default" w:ascii="Times New Roman" w:hAnsi="Times New Roman" w:cs="Times New Roman"/>
          <w:b w:val="0"/>
          <w:bCs w:val="0"/>
          <w:color w:val="auto"/>
          <w:highlight w:val="none"/>
          <w:lang w:val="en-US" w:eastAsia="zh-CN"/>
        </w:rPr>
        <w:t>一是优化安置就业。持续完善“阳光安置”机制，优化工作程序，提升岗位质量；推行“直通车”式安置，打通从部队到地方的快速对接通道。构建适应性培训、职业技能培训、学历教育有机衔接的教育培训体系，严格落实就业创业税费优惠政策，全方位助力退役军人就业创业。二是提升待遇尊崇。持续提高优抚对象待遇标准，完善走访慰问常态化机制。深入推动双拥模范县创建，拓展社会化拥军优待场景。三是强化引领作用。夯实红色教育阵地，全力推进西山烈士陵园提级改造，打造全县红色教育主基地。实施“红色传承+先锋建功”行动，组建老兵宣讲团深入基层讲好红色故事，开展“最美退役军人”评选活动强化榜样引领；建立健全志愿服务管理机制，引导退役军人在应急处突、乡村振兴、基层治理等领域发挥积极作用，凝聚振兴发展先锋力量。四是夯实服务基础。加强退役军人服务机构标准化建设，力争在“十五五”期间新增两个省级优秀服务站。坚持和发展新时代“枫桥经验”，健全退役军人矛盾纠纷及时排查和化解机制，畅通诉求表达渠道，依法保障其合法权益，全力维护社会和谐稳定。</w:t>
      </w:r>
    </w:p>
    <w:p w14:paraId="2CAE7274">
      <w:pPr>
        <w:pStyle w:val="3"/>
        <w:bidi w:val="0"/>
        <w:rPr>
          <w:rFonts w:hint="default" w:ascii="Times New Roman" w:hAnsi="Times New Roman" w:eastAsia="楷体_GB2312" w:cs="Times New Roman"/>
          <w:b/>
          <w:bCs w:val="0"/>
          <w:color w:val="auto"/>
          <w:highlight w:val="none"/>
          <w:lang w:val="en-US" w:eastAsia="zh-CN"/>
        </w:rPr>
      </w:pPr>
      <w:bookmarkStart w:id="47" w:name="_Toc3123"/>
      <w:r>
        <w:rPr>
          <w:rFonts w:hint="default" w:ascii="Times New Roman" w:hAnsi="Times New Roman" w:eastAsia="楷体_GB2312" w:cs="Times New Roman"/>
          <w:b/>
          <w:bCs w:val="0"/>
          <w:color w:val="auto"/>
          <w:highlight w:val="none"/>
          <w:lang w:val="en-US" w:eastAsia="zh-CN"/>
        </w:rPr>
        <w:t>第五节推动文体事业繁荣发展</w:t>
      </w:r>
      <w:bookmarkEnd w:id="47"/>
    </w:p>
    <w:p w14:paraId="6ADB16B5">
      <w:pPr>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提升公共文化服务设施水平。</w:t>
      </w:r>
      <w:r>
        <w:rPr>
          <w:rFonts w:hint="default" w:ascii="Times New Roman" w:hAnsi="Times New Roman" w:cs="Times New Roman"/>
          <w:color w:val="auto"/>
          <w:highlight w:val="none"/>
          <w:lang w:val="en-US" w:eastAsia="zh-CN"/>
        </w:rPr>
        <w:t>完善城乡公共文化服务协同发展机制，促进优质文化资源下沉。推进图书馆、文化馆总分馆制建设，提升县级公共图书馆、文化馆统筹协调、组织指导、服务援助能力，依托具备条件的乡镇综合文化站、村级综合性文化服务中心和社会性文化机构等，设立分馆或基层服务点。积极推动公共图书馆实现免注册借阅，面向全民开展服务。提升数字化、智能化服务水平，增强公共文化服务的便利性和可及性。</w:t>
      </w:r>
    </w:p>
    <w:p w14:paraId="7A0A805C">
      <w:pP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提供丰富多样的公共文化产品。</w:t>
      </w:r>
      <w:r>
        <w:rPr>
          <w:rFonts w:hint="default" w:ascii="Times New Roman" w:hAnsi="Times New Roman" w:cs="Times New Roman"/>
          <w:b w:val="0"/>
          <w:bCs w:val="0"/>
          <w:color w:val="auto"/>
          <w:highlight w:val="none"/>
          <w:lang w:val="en-US" w:eastAsia="zh-CN"/>
        </w:rPr>
        <w:t>实施文艺精品创作工程，加强现实题材、革命历史题材、爱国主义题材及青少年题材创作，推动优秀传统文化创造性转化、创新性发展，推出一批具有岫岩特色、彰显时代精神的优秀文艺作品；推进数字文化资源建设，加强优秀作品数字化保存与传播。实施文化惠民工程，常态化开展映山红旅游节、送文化下乡文艺演出、四季“村晚”等活动；持续培育和打造具有地方特色的群众文化品牌活动，丰富活动内涵与形式；积极组织参与国家及省、市各级文艺赛事、展演展示和交流活动，提升公共文化服务品质和影响力。</w:t>
      </w:r>
    </w:p>
    <w:p w14:paraId="4B993801">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lang w:val="en-US" w:eastAsia="zh-CN"/>
        </w:rPr>
        <w:t>加快发展体育事业。</w:t>
      </w:r>
      <w:r>
        <w:rPr>
          <w:rFonts w:hint="default" w:ascii="Times New Roman" w:hAnsi="Times New Roman" w:cs="Times New Roman"/>
          <w:b w:val="0"/>
          <w:bCs w:val="0"/>
          <w:color w:val="auto"/>
          <w:highlight w:val="none"/>
          <w:lang w:val="en-US" w:eastAsia="zh-CN"/>
        </w:rPr>
        <w:t>优化城乡体育设施布局，重点推进健身步道、体育公园、</w:t>
      </w:r>
      <w:r>
        <w:rPr>
          <w:rFonts w:hint="default" w:ascii="Times New Roman" w:hAnsi="Times New Roman" w:eastAsia="仿宋_GB2312" w:cs="Times New Roman"/>
          <w:b w:val="0"/>
          <w:bCs w:val="0"/>
          <w:kern w:val="2"/>
          <w:sz w:val="34"/>
          <w:szCs w:val="34"/>
        </w:rPr>
        <w:t>健身广场</w:t>
      </w:r>
      <w:r>
        <w:rPr>
          <w:rFonts w:hint="default" w:ascii="Times New Roman" w:hAnsi="Times New Roman" w:cs="Times New Roman"/>
          <w:b w:val="0"/>
          <w:bCs w:val="0"/>
          <w:color w:val="auto"/>
          <w:highlight w:val="none"/>
          <w:lang w:val="en-US" w:eastAsia="zh-CN"/>
        </w:rPr>
        <w:t>及足球场地等项目实施，持续推动体育设施提质更新，积极培育特色体育项目，</w:t>
      </w:r>
      <w:r>
        <w:rPr>
          <w:rFonts w:hint="default" w:ascii="Times New Roman" w:hAnsi="Times New Roman" w:cs="Times New Roman"/>
          <w:b w:val="0"/>
          <w:bCs w:val="0"/>
          <w:color w:val="auto"/>
          <w:highlight w:val="none"/>
        </w:rPr>
        <w:t>打造全县三级全民健身设施网络和城镇1</w:t>
      </w:r>
      <w:r>
        <w:rPr>
          <w:rFonts w:hint="default" w:ascii="Times New Roman" w:hAnsi="Times New Roman" w:cs="Times New Roman"/>
          <w:b w:val="0"/>
          <w:bCs w:val="0"/>
          <w:color w:val="auto"/>
          <w:highlight w:val="none"/>
          <w:lang w:val="en-US" w:eastAsia="zh-CN"/>
        </w:rPr>
        <w:t>5</w:t>
      </w:r>
      <w:r>
        <w:rPr>
          <w:rFonts w:hint="default" w:ascii="Times New Roman" w:hAnsi="Times New Roman" w:cs="Times New Roman"/>
          <w:b w:val="0"/>
          <w:bCs w:val="0"/>
          <w:color w:val="auto"/>
          <w:highlight w:val="none"/>
        </w:rPr>
        <w:t>分钟健身圈。</w:t>
      </w:r>
      <w:r>
        <w:rPr>
          <w:rFonts w:hint="default" w:ascii="Times New Roman" w:hAnsi="Times New Roman" w:cs="Times New Roman"/>
          <w:b w:val="0"/>
          <w:bCs w:val="0"/>
          <w:color w:val="auto"/>
          <w:highlight w:val="none"/>
          <w:lang w:val="en-US" w:eastAsia="zh-CN"/>
        </w:rPr>
        <w:t>深入推动全民健身，全面</w:t>
      </w:r>
      <w:r>
        <w:rPr>
          <w:rFonts w:hint="default" w:ascii="Times New Roman" w:hAnsi="Times New Roman" w:cs="Times New Roman"/>
          <w:b w:val="0"/>
          <w:bCs w:val="0"/>
          <w:color w:val="auto"/>
          <w:highlight w:val="none"/>
        </w:rPr>
        <w:t>实施全民健身国家战略和健康中国战略，提升经常参加体育锻炼人数比例，深化体教</w:t>
      </w:r>
      <w:r>
        <w:rPr>
          <w:rFonts w:hint="default" w:ascii="Times New Roman" w:hAnsi="Times New Roman" w:cs="Times New Roman"/>
          <w:color w:val="auto"/>
          <w:highlight w:val="none"/>
        </w:rPr>
        <w:t>融合、体卫融合，</w:t>
      </w:r>
      <w:r>
        <w:rPr>
          <w:rFonts w:hint="default" w:ascii="Times New Roman" w:hAnsi="Times New Roman" w:cs="Times New Roman"/>
          <w:color w:val="auto"/>
          <w:highlight w:val="none"/>
          <w:lang w:val="en-US" w:eastAsia="zh-CN"/>
        </w:rPr>
        <w:t>力争2030年</w:t>
      </w:r>
      <w:r>
        <w:rPr>
          <w:rFonts w:hint="default" w:ascii="Times New Roman" w:hAnsi="Times New Roman" w:cs="Times New Roman"/>
          <w:color w:val="auto"/>
          <w:highlight w:val="none"/>
        </w:rPr>
        <w:t>每千人拥有社会体育指导员不少于4名，城乡居民达到《国民体质测定标准》合格以上人数比例超过95%，发展壮大体育协会至5个以上。</w:t>
      </w:r>
      <w:r>
        <w:rPr>
          <w:rFonts w:hint="default" w:ascii="Times New Roman" w:hAnsi="Times New Roman" w:cs="Times New Roman"/>
          <w:color w:val="auto"/>
          <w:highlight w:val="none"/>
          <w:lang w:val="en-US" w:eastAsia="zh-CN"/>
        </w:rPr>
        <w:t>全力</w:t>
      </w:r>
      <w:r>
        <w:rPr>
          <w:rFonts w:hint="default" w:ascii="Times New Roman" w:hAnsi="Times New Roman" w:cs="Times New Roman"/>
          <w:color w:val="auto"/>
          <w:highlight w:val="none"/>
        </w:rPr>
        <w:t>发展竞技体育。依托岫岩县业余体育学校和全民健身场馆，选拔优秀青少年运动员，组建高水平县代表队，提升专项训练水平，积极向上输送优秀体育苗子。积极培育体育产业新业态，推动体育与文旅、康养等产业深度融合，促进体育消费，提升体育治理现代化水平。</w:t>
      </w:r>
    </w:p>
    <w:p w14:paraId="21000D0F">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传承弘扬优秀地域文化。</w:t>
      </w:r>
      <w:r>
        <w:rPr>
          <w:rFonts w:hint="default" w:ascii="Times New Roman" w:hAnsi="Times New Roman" w:cs="Times New Roman"/>
          <w:color w:val="auto"/>
          <w:highlight w:val="none"/>
          <w:lang w:eastAsia="zh-CN"/>
        </w:rPr>
        <w:t>加强历史文物保护与活化利用，扎实推进卧龙山山城遗址、黄显声故居、卧鹿山石庙、姑嫂石石棚、石湖石柱等重点文物安防提升工程，持续完善人防、物防、技防综合体系。系统开展县域历史文化资源调查与评估，加快推进未定级文物和尚未核定公布为文物保护单位的文物认定、保护范围划定及规划编制工作。深入挖掘明长城文化价值与精神内涵，积极申报岫岩长城国家文化公园保护建设项目，配套推进烽火台服务设施、智慧展示平台及周边环境整治等文体旅</w:t>
      </w:r>
      <w:r>
        <w:rPr>
          <w:rFonts w:hint="eastAsia" w:ascii="Times New Roman" w:hAnsi="Times New Roman" w:cs="Times New Roman"/>
          <w:color w:val="auto"/>
          <w:highlight w:val="none"/>
          <w:lang w:val="en-US" w:eastAsia="zh-CN"/>
        </w:rPr>
        <w:t>商</w:t>
      </w:r>
      <w:r>
        <w:rPr>
          <w:rFonts w:hint="default" w:ascii="Times New Roman" w:hAnsi="Times New Roman" w:cs="Times New Roman"/>
          <w:color w:val="auto"/>
          <w:highlight w:val="none"/>
          <w:lang w:eastAsia="zh-CN"/>
        </w:rPr>
        <w:t>融合项目，实现文物保护、生态建设与文化传承有机统一。全面贯彻《中华人民共和国文物保护法》，扎实推进第四次全国文物普查工作，进一步提升文物保护整体水平。健全非物质文化遗产保护传承体系，支持岫岩玉雕技艺申报更高层级非物质文化遗产代表性项目名录。加强岫岩玉雕、满族剪纸、皮影戏等非遗项目系统保护，推动建设非遗展示馆、传承实践基地，促进非遗进校园、进社区，加强代表性传承人培育，支持活态传承与创新转化。力争“十五五”期间成功申报省级非遗代表性项目1项、省级代表性传承人3人。</w:t>
      </w:r>
    </w:p>
    <w:p w14:paraId="1E1797E5">
      <w:pPr>
        <w:bidi w:val="0"/>
        <w:ind w:left="0" w:leftChars="0" w:firstLine="0" w:firstLineChars="0"/>
        <w:rPr>
          <w:rFonts w:hint="default" w:ascii="Times New Roman" w:hAnsi="Times New Roman" w:cs="Times New Roman"/>
          <w:color w:val="auto"/>
          <w:highlight w:val="none"/>
        </w:rPr>
      </w:pPr>
    </w:p>
    <w:p w14:paraId="34144EB3">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5A292DC4">
      <w:pPr>
        <w:pStyle w:val="2"/>
        <w:bidi w:val="0"/>
        <w:rPr>
          <w:rFonts w:hint="default" w:ascii="Times New Roman" w:hAnsi="Times New Roman" w:cs="Times New Roman"/>
          <w:color w:val="auto"/>
          <w:highlight w:val="none"/>
          <w:lang w:val="en-US" w:eastAsia="zh-CN"/>
        </w:rPr>
      </w:pPr>
      <w:bookmarkStart w:id="48" w:name="_Toc25888"/>
      <w:r>
        <w:rPr>
          <w:rFonts w:hint="default" w:ascii="Times New Roman" w:hAnsi="Times New Roman" w:cs="Times New Roman"/>
          <w:color w:val="auto"/>
          <w:highlight w:val="none"/>
        </w:rPr>
        <w:t>第九章</w:t>
      </w:r>
      <w:r>
        <w:rPr>
          <w:rFonts w:hint="default" w:ascii="Times New Roman" w:hAnsi="Times New Roman" w:cs="Times New Roman"/>
          <w:color w:val="auto"/>
          <w:highlight w:val="none"/>
          <w:lang w:val="en-US" w:eastAsia="zh-CN"/>
        </w:rPr>
        <w:t>创新社会治理体系，维护社会和谐稳定</w:t>
      </w:r>
      <w:bookmarkEnd w:id="48"/>
    </w:p>
    <w:p w14:paraId="7540806F">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坚持共建共治共享原则，全面提升社会治理现代化水平。以法治建设为引领，增强依法治理能力；以基层治理为重点，完善多元协同机制；以公共安全为底线，构建全方位防控体系，着力打造平安稳定的社会环境，为经济社会发展提供坚实保障。</w:t>
      </w:r>
    </w:p>
    <w:p w14:paraId="1B2631AC">
      <w:pPr>
        <w:pStyle w:val="3"/>
        <w:bidi w:val="0"/>
        <w:rPr>
          <w:rFonts w:hint="default" w:ascii="Times New Roman" w:hAnsi="Times New Roman" w:eastAsia="楷体_GB2312" w:cs="Times New Roman"/>
          <w:b/>
          <w:bCs w:val="0"/>
          <w:color w:val="auto"/>
          <w:highlight w:val="none"/>
          <w:lang w:val="en-US" w:eastAsia="zh-CN"/>
        </w:rPr>
      </w:pPr>
      <w:bookmarkStart w:id="49" w:name="_Toc14858"/>
      <w:r>
        <w:rPr>
          <w:rFonts w:hint="default" w:ascii="Times New Roman" w:hAnsi="Times New Roman" w:eastAsia="楷体_GB2312" w:cs="Times New Roman"/>
          <w:b/>
          <w:bCs w:val="0"/>
          <w:color w:val="auto"/>
          <w:highlight w:val="none"/>
          <w:lang w:val="en-US" w:eastAsia="zh-CN"/>
        </w:rPr>
        <w:t>第一节</w:t>
      </w:r>
      <w:r>
        <w:rPr>
          <w:rFonts w:hint="default" w:ascii="Times New Roman" w:hAnsi="Times New Roman" w:cs="Times New Roman"/>
          <w:b/>
          <w:bCs w:val="0"/>
          <w:color w:val="auto"/>
          <w:highlight w:val="none"/>
          <w:lang w:val="en-US" w:eastAsia="zh-CN"/>
        </w:rPr>
        <w:t>深化推进依法治县</w:t>
      </w:r>
      <w:bookmarkEnd w:id="49"/>
    </w:p>
    <w:p w14:paraId="19D6B1EC">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强化法治建设统筹协调。</w:t>
      </w:r>
      <w:r>
        <w:rPr>
          <w:rFonts w:hint="default" w:ascii="Times New Roman" w:hAnsi="Times New Roman" w:cs="Times New Roman"/>
          <w:color w:val="auto"/>
          <w:highlight w:val="none"/>
          <w:lang w:val="en-US" w:eastAsia="zh-CN"/>
        </w:rPr>
        <w:t>一是</w:t>
      </w:r>
      <w:r>
        <w:rPr>
          <w:rFonts w:hint="default" w:ascii="Times New Roman" w:hAnsi="Times New Roman" w:cs="Times New Roman"/>
          <w:color w:val="auto"/>
          <w:highlight w:val="none"/>
        </w:rPr>
        <w:t>完善党领导法治建设制度机制，定期向县委汇报法治建设工作进展，推动法治建设重大决策部署落实。</w:t>
      </w:r>
      <w:r>
        <w:rPr>
          <w:rFonts w:hint="default" w:ascii="Times New Roman" w:hAnsi="Times New Roman" w:cs="Times New Roman"/>
          <w:color w:val="auto"/>
          <w:highlight w:val="none"/>
          <w:lang w:val="en-US" w:eastAsia="zh-CN"/>
        </w:rPr>
        <w:t>二是</w:t>
      </w:r>
      <w:r>
        <w:rPr>
          <w:rFonts w:hint="default" w:ascii="Times New Roman" w:hAnsi="Times New Roman" w:cs="Times New Roman"/>
          <w:color w:val="auto"/>
          <w:highlight w:val="none"/>
        </w:rPr>
        <w:t>健全依法治县工作制度，细化各部门法治建设职责，加强法治建设考核评价，强化考核结果运用。</w:t>
      </w:r>
      <w:r>
        <w:rPr>
          <w:rFonts w:hint="default" w:ascii="Times New Roman" w:hAnsi="Times New Roman" w:cs="Times New Roman"/>
          <w:color w:val="auto"/>
          <w:highlight w:val="none"/>
          <w:lang w:val="en-US" w:eastAsia="zh-CN"/>
        </w:rPr>
        <w:t>三是</w:t>
      </w:r>
      <w:r>
        <w:rPr>
          <w:rFonts w:hint="default" w:ascii="Times New Roman" w:hAnsi="Times New Roman" w:cs="Times New Roman"/>
          <w:color w:val="auto"/>
          <w:highlight w:val="none"/>
        </w:rPr>
        <w:t>加强法治督察工作，围绕重点领域、重点工作开展专项督察，及时发现问题并督促整改。</w:t>
      </w:r>
      <w:r>
        <w:rPr>
          <w:rFonts w:hint="default" w:ascii="Times New Roman" w:hAnsi="Times New Roman" w:cs="Times New Roman"/>
          <w:color w:val="auto"/>
          <w:highlight w:val="none"/>
          <w:lang w:val="en-US" w:eastAsia="zh-CN"/>
        </w:rPr>
        <w:t>四是深化行政执法监督体制机制改革，明确监督主体、对象、内容和程序。</w:t>
      </w:r>
    </w:p>
    <w:p w14:paraId="6098F852">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lang w:val="en-US" w:eastAsia="zh-CN"/>
        </w:rPr>
        <w:t>优化公共法律服务供给。</w:t>
      </w:r>
      <w:r>
        <w:rPr>
          <w:rFonts w:hint="default" w:ascii="Times New Roman" w:hAnsi="Times New Roman" w:cs="Times New Roman"/>
          <w:color w:val="auto"/>
          <w:highlight w:val="none"/>
        </w:rPr>
        <w:t>加强公共法律服务平台建设，优化县级公共法律服务中心功能布局，提升乡镇（街道）公共法律服务工作站、村（居）法律顾问服务水平。加强法律服务队伍建设，</w:t>
      </w:r>
      <w:r>
        <w:rPr>
          <w:rFonts w:hint="default" w:ascii="Times New Roman" w:hAnsi="Times New Roman" w:cs="Times New Roman"/>
          <w:color w:val="auto"/>
          <w:highlight w:val="none"/>
          <w:lang w:val="en-US" w:eastAsia="zh-CN"/>
        </w:rPr>
        <w:t>配合行业协会开展业务培训和职业道德教育，规范执业行为，提高服务质量和水平</w:t>
      </w:r>
      <w:r>
        <w:rPr>
          <w:rFonts w:hint="default" w:ascii="Times New Roman" w:hAnsi="Times New Roman" w:cs="Times New Roman"/>
          <w:color w:val="auto"/>
          <w:highlight w:val="none"/>
        </w:rPr>
        <w:t>。</w:t>
      </w:r>
    </w:p>
    <w:p w14:paraId="1ECB68DA">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深入开展普法宣传。</w:t>
      </w:r>
      <w:r>
        <w:rPr>
          <w:rFonts w:hint="default" w:ascii="Times New Roman" w:hAnsi="Times New Roman" w:cs="Times New Roman"/>
          <w:color w:val="auto"/>
          <w:highlight w:val="none"/>
        </w:rPr>
        <w:t>深入推进普法规划实施，全面落实</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谁执法谁普法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普法责任制，深入推动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谁管理谁普法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谁服务谁普法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落地见效。结合普法责任部门工作实际需求，动态调整普法责任清单，加强对普法责任落实情况的监督检查。重点宣传习近平法治思想，深入开展宪法、民法典等法律法规学习宣传活动，创新宣传形式，开展有针对性的主题普法活动，增强普法效果</w:t>
      </w:r>
      <w:r>
        <w:rPr>
          <w:rFonts w:hint="default" w:ascii="Times New Roman" w:hAnsi="Times New Roman" w:cs="Times New Roman"/>
          <w:color w:val="auto"/>
          <w:highlight w:val="none"/>
          <w:lang w:val="en-US" w:eastAsia="zh-CN"/>
        </w:rPr>
        <w:t>。</w:t>
      </w:r>
    </w:p>
    <w:p w14:paraId="46C04BCD">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lang w:eastAsia="zh-CN"/>
        </w:rPr>
      </w:pPr>
      <w:bookmarkStart w:id="50" w:name="_Toc10278"/>
      <w:r>
        <w:rPr>
          <w:rFonts w:hint="default" w:ascii="Times New Roman" w:hAnsi="Times New Roman" w:cs="Times New Roman"/>
          <w:b/>
          <w:bCs w:val="0"/>
          <w:color w:val="auto"/>
          <w:highlight w:val="none"/>
          <w:lang w:val="en-US" w:eastAsia="zh-CN"/>
        </w:rPr>
        <w:t>第二节推动</w:t>
      </w:r>
      <w:r>
        <w:rPr>
          <w:rFonts w:hint="default" w:ascii="Times New Roman" w:hAnsi="Times New Roman" w:eastAsia="楷体_GB2312" w:cs="Times New Roman"/>
          <w:b/>
          <w:bCs w:val="0"/>
          <w:color w:val="auto"/>
          <w:highlight w:val="none"/>
        </w:rPr>
        <w:t>社会治理</w:t>
      </w:r>
      <w:r>
        <w:rPr>
          <w:rFonts w:hint="default" w:ascii="Times New Roman" w:hAnsi="Times New Roman" w:cs="Times New Roman"/>
          <w:b/>
          <w:bCs w:val="0"/>
          <w:color w:val="auto"/>
          <w:highlight w:val="none"/>
          <w:lang w:val="en-US" w:eastAsia="zh-CN"/>
        </w:rPr>
        <w:t>创新</w:t>
      </w:r>
      <w:bookmarkEnd w:id="50"/>
    </w:p>
    <w:p w14:paraId="02FE5A3B">
      <w:pPr>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强化党建</w:t>
      </w:r>
      <w:r>
        <w:rPr>
          <w:rFonts w:hint="default" w:ascii="Times New Roman" w:hAnsi="Times New Roman" w:cs="Times New Roman"/>
          <w:b/>
          <w:bCs/>
          <w:color w:val="auto"/>
          <w:sz w:val="32"/>
          <w:szCs w:val="32"/>
          <w:highlight w:val="none"/>
          <w:lang w:val="en-US" w:eastAsia="zh-CN"/>
        </w:rPr>
        <w:t>引领</w:t>
      </w:r>
      <w:r>
        <w:rPr>
          <w:rFonts w:hint="default" w:ascii="Times New Roman" w:hAnsi="Times New Roman" w:eastAsia="仿宋_GB2312" w:cs="Times New Roman"/>
          <w:b/>
          <w:bCs/>
          <w:color w:val="auto"/>
          <w:sz w:val="32"/>
          <w:szCs w:val="32"/>
          <w:highlight w:val="none"/>
          <w:lang w:val="en-US" w:eastAsia="zh-CN"/>
        </w:rPr>
        <w:t>，筑牢治理根基。</w:t>
      </w:r>
      <w:r>
        <w:rPr>
          <w:rFonts w:hint="default" w:ascii="Times New Roman" w:hAnsi="Times New Roman" w:eastAsia="仿宋_GB2312" w:cs="Times New Roman"/>
          <w:color w:val="auto"/>
          <w:sz w:val="32"/>
          <w:szCs w:val="32"/>
          <w:highlight w:val="none"/>
        </w:rPr>
        <w:t>坚持把加强党的全面领导贯穿基层治理全过程、各方面，持续深化党建引领基层治理体制机制创新。优化</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乡镇（街道）党（工）委</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村（社区）党组织</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网格党支部（党小组）</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党员中心户</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组织体系，建强基层治理</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主心骨</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和战斗堡垒。做强街道、做优社区、做实网格，深入推进党群服务中心（站）标准化、规范化、数字化建设，将组织优势转化为治理效能。发挥党组织在产业发展、环境整治、平安建设、应急管理中的引领作用，特别是在推动乡村振兴中强化组织带动，探索</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支部</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合作社+产业链</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模式，赋能特色农业发展。坚持共建共治共享，畅通多元主体参与渠道，激发社会组织、志愿者等社会力量活力，构建党组织统一领导、各类组织积极协同、广大群众广泛参与的基层治理共同体，持续提升岫岩群众的获得感、幸福感、安全感。</w:t>
      </w:r>
    </w:p>
    <w:p w14:paraId="0C77A689">
      <w:pPr>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创新体制机制，提升治理效能。</w:t>
      </w:r>
      <w:r>
        <w:rPr>
          <w:rFonts w:hint="default" w:ascii="Times New Roman" w:hAnsi="Times New Roman" w:eastAsia="仿宋_GB2312" w:cs="Times New Roman"/>
          <w:color w:val="auto"/>
          <w:sz w:val="32"/>
          <w:szCs w:val="32"/>
          <w:highlight w:val="none"/>
          <w:lang w:val="en-US" w:eastAsia="zh-CN"/>
        </w:rPr>
        <w:t>深化新时代</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枫桥经验</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岫岩实践，构建</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源头预防+多元化解+闭环处置</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全链条治理机制。依托网格化管理体系，细化矛盾纠纷排查单元，对婚姻家庭、邻里纠纷、经济债务等高频矛盾建立分类台账，实现早发现、早介入、早化解。充分发挥岫岩满族自治县联合调解中心平台优势，整合人民调解、司法调解、行政调解资源，对法院委派、信访转办等案件实行</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一站式</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调解。加强专职人民调解员队伍建设，提高人民调解员待遇保障。开展人民调解员业务培训，提升调解能力和水平，完善调解工作激励机制，激发调解工作积极性。</w:t>
      </w:r>
      <w:r>
        <w:rPr>
          <w:rFonts w:hint="default" w:ascii="Times New Roman" w:hAnsi="Times New Roman" w:eastAsia="仿宋_GB2312" w:cs="Times New Roman"/>
          <w:b w:val="0"/>
          <w:bCs w:val="0"/>
          <w:color w:val="auto"/>
          <w:sz w:val="32"/>
          <w:szCs w:val="32"/>
          <w:highlight w:val="none"/>
          <w:lang w:val="en-US" w:eastAsia="zh-CN"/>
        </w:rPr>
        <w:t>推进综治中心规范化建设</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以</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场所设置标准化、部门入驻集成化、运行机制高效化、督办落实责任化、信息化支撑智能化</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为目标，推进县乡村三级社会治理服务中心建设。整合公安、司法、信访等部门资源，构建</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统一受理、分类流转、协同处置、闭环管理</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的工作流程，打造</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一站式受理、一揽子调处、全链条解决</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的矛盾纠纷调处平台，实现群众诉求</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最多跑一地</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6B311272">
      <w:pPr>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构建共治格局，激发社会活力</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充分发挥群团组织、社会组织、志愿者队伍在基层治理中的作用，支持群团组织依法依章程开展工作，培育发展各类社会组织，加强志愿者队伍建设和管理，建立健全激励保障机制。畅通市场主体、新社会阶层、社会工作者等参与治理的渠道，搭建参与平台，明确参与途径和方式，鼓励其在产业发展、公共服务、社会事务等方面发挥作用。完善村（居）民自治机制，规范村（居）民会议、村（居）民代表会议等议事决策制度，健全村（居）务公开制度，保障群众的知情权、参与权、表达权和监督权；加强村（居）民委员会规范化建设，提升村（居）干部队伍素质和履职能力，推动形成民事民议、民事民办、民事民管的基层治理局面</w:t>
      </w:r>
      <w:r>
        <w:rPr>
          <w:rFonts w:hint="default" w:ascii="Times New Roman" w:hAnsi="Times New Roman" w:eastAsia="仿宋_GB2312" w:cs="Times New Roman"/>
          <w:color w:val="auto"/>
          <w:sz w:val="32"/>
          <w:szCs w:val="32"/>
          <w:highlight w:val="none"/>
          <w:lang w:val="en-US" w:eastAsia="zh-CN"/>
        </w:rPr>
        <w:t>。</w:t>
      </w:r>
    </w:p>
    <w:p w14:paraId="06EA6BB4">
      <w:pPr>
        <w:bidi w:val="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深化文明建设，培育良好风尚。</w:t>
      </w:r>
      <w:r>
        <w:rPr>
          <w:rFonts w:hint="default" w:ascii="Times New Roman" w:hAnsi="Times New Roman" w:eastAsia="仿宋_GB2312" w:cs="Times New Roman"/>
          <w:color w:val="auto"/>
          <w:sz w:val="32"/>
          <w:szCs w:val="32"/>
          <w:highlight w:val="none"/>
        </w:rPr>
        <w:t>强化思想政治引领，依托新时代文明实践中心（所、站）等阵地，推动党的创新理论融入日常生活，增强群众对国家及岫岩发展的认同。深化文明创建，推进城乡精神文明与人居环境协同提升，治理高价彩礼、大操大办等陋习，推广积分制、红白理事会等有效机制。开展</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文明岫岩人</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主题活动，倡导文明交通、餐饮、上网等新风。选树宣传</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岫岩好人</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道德模范</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等先进典型，建设宣传阵地，弘扬榜样精神。拓展新时代文明实践功能，完善</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点单</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派单</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接单</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评单”机制，培育特色志愿服务品牌。推进诚信岫岩建设，加强政务、商务、社会诚信建设，规范玉器市场秩序，健全守信激励和失信惩戒机制，开展</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诚信示范店</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等创建，营造诚实守信的社会环境。</w:t>
      </w:r>
    </w:p>
    <w:p w14:paraId="567B22D1">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b/>
          <w:bCs w:val="0"/>
          <w:color w:val="auto"/>
          <w:highlight w:val="none"/>
          <w:lang w:val="en-US" w:eastAsia="zh-CN"/>
        </w:rPr>
      </w:pPr>
      <w:bookmarkStart w:id="51" w:name="_Toc13175"/>
      <w:r>
        <w:rPr>
          <w:rFonts w:hint="default" w:ascii="Times New Roman" w:hAnsi="Times New Roman" w:cs="Times New Roman"/>
          <w:b/>
          <w:bCs w:val="0"/>
          <w:color w:val="auto"/>
          <w:highlight w:val="none"/>
          <w:lang w:val="en-US" w:eastAsia="zh-CN"/>
        </w:rPr>
        <w:t>第三节健全应急管理体系</w:t>
      </w:r>
      <w:bookmarkEnd w:id="51"/>
    </w:p>
    <w:p w14:paraId="36D0FEC9">
      <w:pP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完善应急管理</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一案三制</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体系</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围绕应急预案、机制、体制、</w:t>
      </w:r>
      <w:r>
        <w:rPr>
          <w:rFonts w:hint="default" w:ascii="Times New Roman" w:hAnsi="Times New Roman" w:cs="Times New Roman"/>
          <w:b w:val="0"/>
          <w:bCs w:val="0"/>
          <w:color w:val="auto"/>
          <w:sz w:val="32"/>
          <w:szCs w:val="32"/>
          <w:highlight w:val="none"/>
          <w:lang w:val="en-US" w:eastAsia="zh-CN"/>
        </w:rPr>
        <w:t>法制</w:t>
      </w:r>
      <w:r>
        <w:rPr>
          <w:rFonts w:hint="default" w:ascii="Times New Roman" w:hAnsi="Times New Roman" w:eastAsia="仿宋_GB2312" w:cs="Times New Roman"/>
          <w:b w:val="0"/>
          <w:bCs w:val="0"/>
          <w:color w:val="auto"/>
          <w:sz w:val="32"/>
          <w:szCs w:val="32"/>
          <w:highlight w:val="none"/>
          <w:lang w:val="en-US" w:eastAsia="zh-CN"/>
        </w:rPr>
        <w:t>建设，系统构建统一指挥、专常兼备、反应灵敏、上下联动的应急管理体系。健全应急预案体系，完成县乡两级预案修编与动态管理，强化实战演练与复盘评估，提升预案科学性</w:t>
      </w:r>
      <w:r>
        <w:rPr>
          <w:rFonts w:hint="default" w:ascii="Times New Roman" w:hAnsi="Times New Roman"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color w:val="auto"/>
          <w:sz w:val="32"/>
          <w:szCs w:val="32"/>
          <w:highlight w:val="none"/>
          <w:lang w:val="en-US" w:eastAsia="zh-CN"/>
        </w:rPr>
        <w:t>实用性。完善协同应对机制，压实各方责任，建立</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防救衔接、统分结合</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的工作格局。优化应急指挥体系，加强指挥部建设与多部门会商研判，完善现场指挥调度，提升极端情况通信保障能力。推进应急管理法治建设，规范执法行为，创新监管方式，强化科技赋能，提升执法效能，营造良好安全生态。</w:t>
      </w:r>
    </w:p>
    <w:p w14:paraId="37327EFF">
      <w:pP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强化风险源头管控。</w:t>
      </w:r>
      <w:r>
        <w:rPr>
          <w:rFonts w:hint="default" w:ascii="Times New Roman" w:hAnsi="Times New Roman" w:eastAsia="仿宋_GB2312" w:cs="Times New Roman"/>
          <w:b w:val="0"/>
          <w:bCs w:val="0"/>
          <w:color w:val="auto"/>
          <w:sz w:val="32"/>
          <w:szCs w:val="32"/>
          <w:highlight w:val="none"/>
          <w:lang w:val="en-US" w:eastAsia="zh-CN"/>
        </w:rPr>
        <w:t>坚持源头防控、系统治理，健全安全风险全过程管控机制。强化自然灾害综合风险与减灾能力评估，完善发展规划和安全准入的部门联审联查程序，严格高风险区域开发强度与高危项目安全审查，动态厘清新产业新业态安全监管职责。深化安全生产治本攻坚，推进重点领域“一件事”全链条整治，健全重大事故隐患闭环整改与责任倒查机制，推广企业员工主动报告隐患奖励制度。构建全域覆盖的监测预警网络，推进重点行业企业在线监测系统联网并拓展应用范围，加密多灾易灾区域监测设施，探索建设城市安全风险综合监测预警平台，强化预警与应急响应无缝衔接。提升科技兴安水平，推动设备更新、机器换人与智能化改造，实现高风险岗位机器人替代、无人作业及违章行为智能识别。</w:t>
      </w:r>
    </w:p>
    <w:p w14:paraId="7A334ED8">
      <w:pP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建强应急救援</w:t>
      </w:r>
      <w:r>
        <w:rPr>
          <w:rFonts w:hint="default" w:ascii="Times New Roman" w:hAnsi="Times New Roman" w:cs="Times New Roman"/>
          <w:b/>
          <w:bCs/>
          <w:color w:val="auto"/>
          <w:sz w:val="32"/>
          <w:szCs w:val="32"/>
          <w:highlight w:val="none"/>
          <w:lang w:val="en-US" w:eastAsia="zh-CN"/>
        </w:rPr>
        <w:t>处置能力。</w:t>
      </w:r>
      <w:r>
        <w:rPr>
          <w:rFonts w:hint="default" w:ascii="Times New Roman" w:hAnsi="Times New Roman" w:eastAsia="仿宋_GB2312" w:cs="Times New Roman"/>
          <w:b w:val="0"/>
          <w:bCs w:val="0"/>
          <w:color w:val="auto"/>
          <w:sz w:val="32"/>
          <w:szCs w:val="32"/>
          <w:highlight w:val="none"/>
          <w:lang w:val="en-US" w:eastAsia="zh-CN"/>
        </w:rPr>
        <w:t>统筹优化专业救援、企业专职和社会应急力量布局，依托现有应急力量组建县矿山应急救援队伍，推动消防力量下沉并纳入统一指挥调度体系。提升整体救援效能，规范政府购买应急服务，支持队伍“一专多能”转型与重型装备配备，强化各类力量联训联战。构建现代化应急指挥体系，完善县、乡、村三级应急指挥场所与设施，推动应急数字化指挥系统功能向基层延伸，力争实现县乡村三级覆盖率达90%，提升指挥调度扁平化、可视化水平。强化科技赋能，整合矿山、冶金、危化等重点企业实时监控数据，提升安全风险远程智能化监管能力。</w:t>
      </w:r>
    </w:p>
    <w:p w14:paraId="6A84884A">
      <w:pPr>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健全</w:t>
      </w:r>
      <w:r>
        <w:rPr>
          <w:rFonts w:hint="default" w:ascii="Times New Roman" w:hAnsi="Times New Roman" w:cs="Times New Roman"/>
          <w:b/>
          <w:bCs/>
          <w:color w:val="auto"/>
          <w:sz w:val="32"/>
          <w:szCs w:val="32"/>
          <w:highlight w:val="none"/>
          <w:lang w:val="en-US" w:eastAsia="zh-CN"/>
        </w:rPr>
        <w:t>应急保障机制。</w:t>
      </w:r>
      <w:r>
        <w:rPr>
          <w:rFonts w:hint="default" w:ascii="Times New Roman" w:hAnsi="Times New Roman" w:eastAsia="仿宋_GB2312" w:cs="Times New Roman"/>
          <w:b w:val="0"/>
          <w:bCs w:val="0"/>
          <w:color w:val="auto"/>
          <w:sz w:val="32"/>
          <w:szCs w:val="32"/>
          <w:highlight w:val="none"/>
          <w:lang w:val="en-US" w:eastAsia="zh-CN"/>
        </w:rPr>
        <w:t>实施“智慧应急”战略，运用人工智能、数字孪生等前沿技术，赋能灾害模拟、风险识别、辅助决策与远程监管，推动安全监管数字化转型。优化应急物资储备库布局，强化实物储备与前置配送，完善储备、轮换与调拨机制，构建高效可靠的物资供应链与快速配送网络。实施应急骨干人才培养工程，加强分领域专题培训和通识教育，鼓励基层人员提升学历与职业资格水平，并依托县级专家库提升专业决策与应急处置能力。</w:t>
      </w:r>
    </w:p>
    <w:p w14:paraId="0A565F26">
      <w:pPr>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提升应急指挥体系能力。</w:t>
      </w:r>
      <w:r>
        <w:rPr>
          <w:rFonts w:hint="default" w:ascii="Times New Roman" w:hAnsi="Times New Roman" w:eastAsia="仿宋_GB2312" w:cs="Times New Roman"/>
          <w:b w:val="0"/>
          <w:bCs w:val="0"/>
          <w:color w:val="auto"/>
          <w:sz w:val="32"/>
          <w:szCs w:val="32"/>
          <w:highlight w:val="none"/>
          <w:lang w:val="en-US" w:eastAsia="zh-CN"/>
        </w:rPr>
        <w:t>深入推进基层应急管理能力提升试点县建设，按期落实各项创建任务。健全县乡两级应急指挥与组织体系，完善调度研判机制，通过设立基层应急特设岗位、推动</w:t>
      </w:r>
      <w:r>
        <w:rPr>
          <w:rFonts w:hint="default" w:ascii="Times New Roman" w:hAnsi="Times New Roman" w:cs="Times New Roman"/>
        </w:rPr>
        <w:t>应消合一、队站一体</w:t>
      </w:r>
      <w:r>
        <w:rPr>
          <w:rFonts w:hint="default" w:ascii="Times New Roman" w:hAnsi="Times New Roman" w:eastAsia="仿宋_GB2312" w:cs="Times New Roman"/>
          <w:b w:val="0"/>
          <w:bCs w:val="0"/>
          <w:color w:val="auto"/>
          <w:sz w:val="32"/>
          <w:szCs w:val="32"/>
          <w:highlight w:val="none"/>
          <w:lang w:val="en-US" w:eastAsia="zh-CN"/>
        </w:rPr>
        <w:t>综合救援站建设，促进人员、设施、装备标准化。提升基层风险精准感知与响应能力，绘制乡镇（社区）风险“一张图”，健全隐患信息报送网络，推行“街乡吹哨、部门报到”，补齐农村预警传递与防灾减灾设施短板。完善市场化保障机制，推广巨灾保险、安全生产责任险等风险分担模式，构建“灾害救助+金融保险”的新型保障体系。</w:t>
      </w:r>
    </w:p>
    <w:p w14:paraId="33C6F5B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lang w:val="en-US" w:eastAsia="zh-CN"/>
        </w:rPr>
      </w:pPr>
      <w:bookmarkStart w:id="52" w:name="_Toc31750"/>
      <w:r>
        <w:rPr>
          <w:rFonts w:hint="default" w:ascii="Times New Roman" w:hAnsi="Times New Roman" w:cs="Times New Roman"/>
          <w:b/>
          <w:bCs w:val="0"/>
          <w:color w:val="auto"/>
          <w:highlight w:val="none"/>
          <w:lang w:val="en-US" w:eastAsia="zh-CN"/>
        </w:rPr>
        <w:t>第四节强化平安岫岩建设</w:t>
      </w:r>
      <w:bookmarkEnd w:id="52"/>
    </w:p>
    <w:p w14:paraId="1F906E5C">
      <w:pPr>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织密社会治安防控网络</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升级社会治安防控体系，强化科技赋能支撑，推进无人机巡检系统建设，前期重点实现城区核心区域全覆盖，聚焦商圈、主干道、大型居民区等人员密集场所，开展交通秩序监测、突发事件快速勘察、安全隐患空中排查等工作，未来全面拓展至全县域，组建专业巡检队伍，开展常态化空中巡查，配套建立</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空中巡查-地面处置</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联动机制。推进城市视频智能化管理平台迭代升级，整合现有公共安全视频监控资源，融入人工智能分析技术，提升对人流密集区域异常行为识别、重点人员轨迹追踪、安全隐患自动预警等能力，打造精准高效的智能防控中枢。优化街面警务站布局，提升</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网格+警格</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联动效能，加强对商业区、校园周边、交通枢纽等重点部位和敏感节点的动态巡防力度。持续开展扫黑除恶常态化斗争，严打电信网络诈骗、侵财犯罪、涉毒犯罪等影响群众安全感的突出违法犯罪行为。</w:t>
      </w:r>
    </w:p>
    <w:p w14:paraId="25D6D392">
      <w:pPr>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强化食品药品安全监管。</w:t>
      </w:r>
      <w:r>
        <w:rPr>
          <w:rFonts w:hint="default" w:ascii="Times New Roman" w:hAnsi="Times New Roman" w:eastAsia="仿宋_GB2312" w:cs="Times New Roman"/>
          <w:color w:val="auto"/>
          <w:sz w:val="32"/>
          <w:szCs w:val="32"/>
          <w:highlight w:val="none"/>
          <w:lang w:val="en-US" w:eastAsia="zh-CN"/>
        </w:rPr>
        <w:t>进一步健全食品安全全链条监管体系，确保人民群众</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舌尖上的安全</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。充分发挥食品安全委员会议事协调作用，完善</w:t>
      </w:r>
      <w:r>
        <w:rPr>
          <w:rFonts w:hint="default" w:ascii="Times New Roman" w:hAnsi="Times New Roman" w:eastAsia="仿宋_GB2312" w:cs="Times New Roman"/>
          <w:color w:val="auto"/>
          <w:sz w:val="32"/>
          <w:szCs w:val="32"/>
          <w:highlight w:val="none"/>
        </w:rPr>
        <w:t>风险会商、定期调度、责任约谈、三书一函、联席会议等工作机制。开展各食品安全风险分类分级监管，以提高风险防控的精准性和有效性。开展</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你点我检服务惠民生</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的食品安全活动，增强食品安全抽检的针对性和有效性。深入推进肉类产品、食用植物油、白酒、食品添加剂、食品虚假</w:t>
      </w:r>
      <w:r>
        <w:rPr>
          <w:rFonts w:hint="default" w:ascii="Times New Roman" w:hAnsi="Times New Roman" w:cs="Times New Roman"/>
          <w:color w:val="auto"/>
          <w:sz w:val="32"/>
          <w:szCs w:val="32"/>
          <w:highlight w:val="none"/>
          <w:lang w:val="en-US" w:eastAsia="zh-CN"/>
        </w:rPr>
        <w:t>宣传</w:t>
      </w:r>
      <w:r>
        <w:rPr>
          <w:rFonts w:hint="default" w:ascii="Times New Roman" w:hAnsi="Times New Roman" w:eastAsia="仿宋_GB2312" w:cs="Times New Roman"/>
          <w:color w:val="auto"/>
          <w:sz w:val="32"/>
          <w:szCs w:val="32"/>
          <w:highlight w:val="none"/>
        </w:rPr>
        <w:t>、网络订餐、</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校园餐</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领域的专项整治，严厉打击违法违规行为，切实保障人民群众的饮食安全。强化技术支撑，加强队伍建设，改进方式方法，全面提升监管能力，确保监管走在风险前面。要建设专业化、年轻化的监管队伍，以顺应新时期、新形势下的食品安全监管工作。凝聚社会共治合力，以食品安全</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五进</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行动、食品安全宣传周、科普宣传日、消费者权益保护日等活动为契机，加大宣传，提升人民群众的食品安全意识，提升全社会对食品安全的关注度、认知度和参与度。</w:t>
      </w:r>
    </w:p>
    <w:p w14:paraId="36EB2AAB">
      <w:pPr>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加强安全生产风险防控。</w:t>
      </w:r>
      <w:r>
        <w:rPr>
          <w:rFonts w:hint="default" w:ascii="Times New Roman" w:hAnsi="Times New Roman" w:eastAsia="仿宋_GB2312" w:cs="Times New Roman"/>
          <w:color w:val="auto"/>
          <w:sz w:val="32"/>
          <w:szCs w:val="32"/>
          <w:highlight w:val="none"/>
          <w:lang w:val="en-US" w:eastAsia="zh-CN"/>
        </w:rPr>
        <w:t>巩固拓展安全生产治本攻坚三年行动成果，深化重点领域专项整治，聚焦非煤矿山、危险化学品、工贸、建筑施工、城镇燃气、道路交通、消防等高危行业领域，强力推进重大事故隐患治理和动态清零；全面推广风险分级管控与隐患排查治理双重预防机制，建立企业自查、属地排查、行业督查、综合监管的责任清单，实现闭环整改。提升智慧监管能力，升级非煤矿山安全生产监管平台，建设重点企业实时监测预警系统，推动物联网、大数据技术在风险识别、远程执法中的应用。强化本质安全基础，严格高危行业安全准入和项目安全设施“三同时”管理，淘汰落后工艺设备；开展企业安全生产标准化达标创建，</w:t>
      </w:r>
      <w:r>
        <w:rPr>
          <w:rFonts w:hint="default" w:ascii="Times New Roman" w:hAnsi="Times New Roman" w:cs="Times New Roman"/>
          <w:color w:val="auto"/>
          <w:sz w:val="32"/>
          <w:szCs w:val="32"/>
          <w:highlight w:val="none"/>
          <w:lang w:val="en-US" w:eastAsia="zh-CN"/>
        </w:rPr>
        <w:t>实现</w:t>
      </w:r>
      <w:r>
        <w:rPr>
          <w:rFonts w:hint="default" w:ascii="Times New Roman" w:hAnsi="Times New Roman" w:eastAsia="仿宋_GB2312" w:cs="Times New Roman"/>
          <w:color w:val="auto"/>
          <w:sz w:val="32"/>
          <w:szCs w:val="32"/>
          <w:highlight w:val="none"/>
          <w:lang w:val="en-US" w:eastAsia="zh-CN"/>
        </w:rPr>
        <w:t>员工安全</w:t>
      </w:r>
      <w:r>
        <w:rPr>
          <w:rFonts w:hint="default" w:ascii="Times New Roman" w:hAnsi="Times New Roman" w:cs="Times New Roman"/>
          <w:color w:val="auto"/>
          <w:sz w:val="32"/>
          <w:szCs w:val="32"/>
          <w:highlight w:val="none"/>
          <w:lang w:val="en-US" w:eastAsia="zh-CN"/>
        </w:rPr>
        <w:t>教育</w:t>
      </w:r>
      <w:r>
        <w:rPr>
          <w:rFonts w:hint="default" w:ascii="Times New Roman" w:hAnsi="Times New Roman" w:eastAsia="仿宋_GB2312" w:cs="Times New Roman"/>
          <w:color w:val="auto"/>
          <w:sz w:val="32"/>
          <w:szCs w:val="32"/>
          <w:highlight w:val="none"/>
          <w:lang w:val="en-US" w:eastAsia="zh-CN"/>
        </w:rPr>
        <w:t>培训全覆盖；努力营造“人人讲安全、个个会应急”全民参与氛围，多元化开展安全宣传活动，加强“一老一小”等重点人群安全宣传教育。</w:t>
      </w:r>
    </w:p>
    <w:p w14:paraId="59A0984A">
      <w:pPr>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加强国防动员与军民融合。</w:t>
      </w:r>
      <w:r>
        <w:rPr>
          <w:rFonts w:hint="default" w:ascii="Times New Roman" w:hAnsi="Times New Roman" w:eastAsia="仿宋_GB2312" w:cs="Times New Roman"/>
          <w:color w:val="auto"/>
          <w:sz w:val="32"/>
          <w:szCs w:val="32"/>
          <w:highlight w:val="none"/>
          <w:lang w:val="en-US" w:eastAsia="zh-CN"/>
        </w:rPr>
        <w:t>坚持党管武装根本原则，健全工作机制，促进军民融合发展。全面深化全民国防教育，将其融入干部培训、学校教育和社会生活各领域，重点打造黄显声故居，持续推进岫岩抗战遗址纪念碑等纪念设施建设与管理，充分发扬其</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褒扬烈士、教育群众</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主阵地作用，深入挖掘本地优秀传统文化与红色资源，创新载体形式，营造全社会关心支持国防的浓厚氛围。加强基层民兵预备役工作，提升后备力量建设水平。持续巩固和发展军政军民团结，大力弘扬双拥光荣传统，积极引导当地群众树立拥军优属良好风气，创新拥军优属工作形式，依法全面落实各项优抚安置政策，用心解决军人后顾之忧，助力全县双拥工作深入发展。按照</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长期准备、重点建设、平战结合</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方针，贯彻与县域经济建设协调发展、提高城市整体防护功能相结合的原则，统筹人防工程与城市更新，推进地下空间复合利用，鼓励经营性人防工程开发，支持建设地下商业综合体、智能停车场等项目，明确战时功能转换方案，以确保有效增强城市的综合防护能力。</w:t>
      </w:r>
    </w:p>
    <w:p w14:paraId="51E7AE16">
      <w:pPr>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p w14:paraId="0803D3E8">
      <w:pPr>
        <w:pStyle w:val="2"/>
        <w:bidi w:val="0"/>
        <w:rPr>
          <w:rFonts w:hint="default" w:ascii="Times New Roman" w:hAnsi="Times New Roman" w:cs="Times New Roman"/>
          <w:color w:val="auto"/>
          <w:highlight w:val="none"/>
        </w:rPr>
      </w:pPr>
      <w:bookmarkStart w:id="53" w:name="_Toc24703"/>
      <w:r>
        <w:rPr>
          <w:rFonts w:hint="default" w:ascii="Times New Roman" w:hAnsi="Times New Roman" w:cs="Times New Roman"/>
          <w:color w:val="auto"/>
          <w:highlight w:val="none"/>
        </w:rPr>
        <w:t>第十章激发改革开放活力，塑造县域发展优势</w:t>
      </w:r>
      <w:bookmarkEnd w:id="53"/>
    </w:p>
    <w:p w14:paraId="6039F798">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坚持向改革要动力、以开放拓空间，全面激活发展内生动力。持续深化重点领域改革，着力优化营商环境；强化创新驱动发展，加快培育新动能；扩大高水平对外开放，深度融入区域发展格局，为高质量发展注入持久活力。</w:t>
      </w:r>
    </w:p>
    <w:p w14:paraId="7CB10488">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lang w:val="en-US" w:eastAsia="zh-CN"/>
        </w:rPr>
      </w:pPr>
      <w:bookmarkStart w:id="54" w:name="_Toc16279"/>
      <w:r>
        <w:rPr>
          <w:rFonts w:hint="default" w:ascii="Times New Roman" w:hAnsi="Times New Roman" w:cs="Times New Roman"/>
          <w:b/>
          <w:bCs w:val="0"/>
          <w:color w:val="auto"/>
          <w:highlight w:val="none"/>
          <w:lang w:val="en-US" w:eastAsia="zh-CN"/>
        </w:rPr>
        <w:t>第一节</w:t>
      </w:r>
      <w:r>
        <w:rPr>
          <w:rFonts w:hint="default" w:ascii="Times New Roman" w:hAnsi="Times New Roman" w:eastAsia="楷体_GB2312" w:cs="Times New Roman"/>
          <w:b/>
          <w:bCs w:val="0"/>
          <w:color w:val="auto"/>
          <w:highlight w:val="none"/>
          <w:lang w:val="en-US" w:eastAsia="zh-CN"/>
        </w:rPr>
        <w:t>持续优化营商环境</w:t>
      </w:r>
      <w:bookmarkEnd w:id="54"/>
    </w:p>
    <w:p w14:paraId="1B8D8282">
      <w:pPr>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打造智慧高效的政务服务环境</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以数字政府建设为引领，深化</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一网通办</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改革，建设全县统一的政务云平台，推动县、乡、村三级政务服务事项全流程在线办理，拓展电子证照共享应用。全面深化行政审批制度改革，严格实施行政许可清单管理，大力推进</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证照分离</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容缺受理</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告知承诺制</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，在重点区域探索</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标准地+承诺制</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模式，有效降低制度性交易成本。深化综合窗口改革，推动更多事项纳入“前台综合受理、后台分类审批、统一窗口出件”模式，健全运行机制，全面提升“一窗通办”集成效能。提升纳税服务水平，扩大</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非接触式</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办税和电子发票应用范围，压缩纳税时间和成本。加强公共数据汇聚共享与业务协同，推广智能导办、预约等服务，全面提升政务服务标准化、便利化、智能化水平。</w:t>
      </w:r>
    </w:p>
    <w:p w14:paraId="374B98BB">
      <w:pPr>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构建集成畅通</w:t>
      </w:r>
      <w:r>
        <w:rPr>
          <w:rFonts w:hint="default" w:ascii="Times New Roman" w:hAnsi="Times New Roman" w:cs="Times New Roman"/>
          <w:b/>
          <w:bCs/>
          <w:color w:val="auto"/>
          <w:sz w:val="32"/>
          <w:szCs w:val="32"/>
          <w:highlight w:val="none"/>
          <w:lang w:val="en-US" w:eastAsia="zh-CN"/>
        </w:rPr>
        <w:t>的</w:t>
      </w:r>
      <w:r>
        <w:rPr>
          <w:rFonts w:hint="default" w:ascii="Times New Roman" w:hAnsi="Times New Roman" w:eastAsia="仿宋_GB2312" w:cs="Times New Roman"/>
          <w:b/>
          <w:bCs/>
          <w:color w:val="auto"/>
          <w:sz w:val="32"/>
          <w:szCs w:val="32"/>
          <w:highlight w:val="none"/>
          <w:lang w:val="en-US" w:eastAsia="zh-CN"/>
        </w:rPr>
        <w:t>企业服务环境。</w:t>
      </w:r>
      <w:r>
        <w:rPr>
          <w:rFonts w:hint="default" w:ascii="Times New Roman" w:hAnsi="Times New Roman" w:eastAsia="仿宋_GB2312" w:cs="Times New Roman"/>
          <w:color w:val="auto"/>
          <w:sz w:val="32"/>
          <w:szCs w:val="32"/>
          <w:highlight w:val="none"/>
          <w:lang w:val="en-US" w:eastAsia="zh-CN"/>
        </w:rPr>
        <w:t>紧扣“高效办成一件事”目标导向，构建覆盖企业“准入、建设、运营、退出”全生命周期的服务链条。在准入环节，深化企业开办</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一网通办</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，推行</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一表填报、一日办结</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，推广电子营业执照、电子印章以及</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一照多址</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等便利化登记模式。在建设与运营环节，推行</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标准地+承诺制</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与工程建设项目分级分类审批，落实联合审图、联合验收，压缩审批时限</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完善普惠金融服务平台与政府性融资担保体系，推广</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信易贷</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、知识产权质押等模式，着力破解企业融资难题；健全</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企业管家</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制度、常态化</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政企面对面</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沟通机制及企业诉求闭环管理机制，精准破解要素制约，高效兑现惠企政策。在退出环节，优化企业简易注销程序，压缩公示时间，推行全流程</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一网服务</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，提升市场主体退出便利度，降低制度性成本。</w:t>
      </w:r>
    </w:p>
    <w:p w14:paraId="2C54CA1D">
      <w:pPr>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营造公平公正透明市场环境。</w:t>
      </w:r>
      <w:r>
        <w:rPr>
          <w:rFonts w:hint="default" w:ascii="Times New Roman" w:hAnsi="Times New Roman" w:eastAsia="仿宋_GB2312" w:cs="Times New Roman"/>
          <w:color w:val="auto"/>
          <w:sz w:val="32"/>
          <w:szCs w:val="32"/>
          <w:highlight w:val="none"/>
          <w:lang w:val="en-US" w:eastAsia="zh-CN"/>
        </w:rPr>
        <w:t>坚持法治化核心原则，致力打造稳定、透明、可预期的营商环境典范。全面规范涉企行政执法行为，深入推行</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双随机、一公开</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监管，严格落实行政执法公示、执法全过程记录、重大执法决定法制审核</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三项制度</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，建立涉企执法检查备案制。加强知识产权创造、运用与保护，设立知识产权</w:t>
      </w:r>
      <w:r>
        <w:rPr>
          <w:rFonts w:hint="default" w:ascii="Times New Roman" w:hAnsi="Times New Roman" w:cs="Times New Roman"/>
          <w:color w:val="auto"/>
          <w:sz w:val="32"/>
          <w:szCs w:val="32"/>
          <w:highlight w:val="none"/>
          <w:lang w:val="en-US" w:eastAsia="zh-CN"/>
        </w:rPr>
        <w:t>保护中心</w:t>
      </w:r>
      <w:r>
        <w:rPr>
          <w:rFonts w:hint="default" w:ascii="Times New Roman" w:hAnsi="Times New Roman" w:eastAsia="仿宋_GB2312" w:cs="Times New Roman"/>
          <w:color w:val="auto"/>
          <w:sz w:val="32"/>
          <w:szCs w:val="32"/>
          <w:highlight w:val="none"/>
          <w:lang w:val="en-US" w:eastAsia="zh-CN"/>
        </w:rPr>
        <w:t>，建立重点企业保护名录，严厉打击侵权假冒违法行为。加快完善以信用为基础的新型监管体系，健全覆盖全社会的信用承诺、信用评价和信用联合奖惩机制，强化守信激励与失信约束。</w:t>
      </w:r>
    </w:p>
    <w:p w14:paraId="34F56D92">
      <w:pPr>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加强专业化政务服务队伍建设。</w:t>
      </w:r>
      <w:r>
        <w:rPr>
          <w:rFonts w:hint="default" w:ascii="Times New Roman" w:hAnsi="Times New Roman" w:eastAsia="仿宋_GB2312" w:cs="Times New Roman"/>
          <w:color w:val="auto"/>
          <w:sz w:val="32"/>
          <w:szCs w:val="32"/>
          <w:highlight w:val="none"/>
          <w:lang w:val="en-US" w:eastAsia="zh-CN"/>
        </w:rPr>
        <w:t>将高素质队伍作为优化服务环境的关键支撑，着力组建职业化、专业化的政务服务团队。建立常态化培训与考核评价机制，不断提升服务能力和业务素养。强化政务服务闭环管理和作风建设，健全问题反馈倒逼服务改进机制，增强企业办事的</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暖心度</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爽心度</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，以队伍能力的迭代升级保障各项优化措施的有效落地。</w:t>
      </w:r>
    </w:p>
    <w:p w14:paraId="1BBDD554">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b/>
          <w:bCs w:val="0"/>
          <w:color w:val="auto"/>
          <w:highlight w:val="none"/>
          <w:lang w:val="en-US" w:eastAsia="zh-CN"/>
        </w:rPr>
      </w:pPr>
      <w:bookmarkStart w:id="55" w:name="_Toc26619"/>
      <w:r>
        <w:rPr>
          <w:rFonts w:hint="default" w:ascii="Times New Roman" w:hAnsi="Times New Roman" w:eastAsia="楷体_GB2312" w:cs="Times New Roman"/>
          <w:b/>
          <w:bCs w:val="0"/>
          <w:color w:val="auto"/>
          <w:highlight w:val="none"/>
          <w:lang w:val="en-US" w:eastAsia="zh-CN"/>
        </w:rPr>
        <w:t>第</w:t>
      </w:r>
      <w:r>
        <w:rPr>
          <w:rFonts w:hint="default" w:ascii="Times New Roman" w:hAnsi="Times New Roman" w:cs="Times New Roman"/>
          <w:b/>
          <w:bCs w:val="0"/>
          <w:color w:val="auto"/>
          <w:highlight w:val="none"/>
          <w:lang w:val="en-US" w:eastAsia="zh-CN"/>
        </w:rPr>
        <w:t>二</w:t>
      </w:r>
      <w:r>
        <w:rPr>
          <w:rFonts w:hint="default" w:ascii="Times New Roman" w:hAnsi="Times New Roman" w:eastAsia="楷体_GB2312" w:cs="Times New Roman"/>
          <w:b/>
          <w:bCs w:val="0"/>
          <w:color w:val="auto"/>
          <w:highlight w:val="none"/>
          <w:lang w:val="en-US" w:eastAsia="zh-CN"/>
        </w:rPr>
        <w:t>节</w:t>
      </w:r>
      <w:r>
        <w:rPr>
          <w:rFonts w:hint="default" w:ascii="Times New Roman" w:hAnsi="Times New Roman" w:cs="Times New Roman"/>
          <w:b/>
          <w:bCs w:val="0"/>
          <w:color w:val="auto"/>
          <w:highlight w:val="none"/>
          <w:lang w:val="en-US" w:eastAsia="zh-CN"/>
        </w:rPr>
        <w:t>深化重点领域改革</w:t>
      </w:r>
      <w:bookmarkEnd w:id="55"/>
    </w:p>
    <w:p w14:paraId="312A90B2">
      <w:pPr>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深化行政体制改革。</w:t>
      </w:r>
      <w:r>
        <w:rPr>
          <w:rFonts w:hint="default" w:ascii="Times New Roman" w:hAnsi="Times New Roman" w:eastAsia="仿宋_GB2312" w:cs="Times New Roman"/>
          <w:color w:val="auto"/>
          <w:sz w:val="32"/>
          <w:szCs w:val="32"/>
          <w:highlight w:val="none"/>
          <w:lang w:val="en-US" w:eastAsia="zh-CN"/>
        </w:rPr>
        <w:t>全面贯彻党中央关于政府职能转变的决策部署，落实辽宁省优化政府职责体系工作要求，按照鞍山市深化</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放管服</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改革总体安排，以提升政府效能为核心，持续推进机构职能优化协同高效。深化</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大部门制</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改革，健全部门间协调配合机制，完善乡镇（街道）权责清单制度，推动治理重心下移。深化行政审批制度改革，推进政务服务标准化规范化便利化，健全以</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双随机、一公开</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监管为基本手段的监管体系。创新行政管理和服务方式，推进政务数据有序共享，提升政府数字化治理能力，构建适应高质量发展要求的政府职责体系和组织架构，为岫岩县经济社会发展提供有力制度保障。</w:t>
      </w:r>
    </w:p>
    <w:p w14:paraId="419C6FE9">
      <w:pPr>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b/>
          <w:bCs/>
          <w:color w:val="auto"/>
          <w:kern w:val="2"/>
          <w:sz w:val="32"/>
          <w:szCs w:val="32"/>
          <w:highlight w:val="none"/>
          <w:lang w:val="en-US" w:eastAsia="zh-CN" w:bidi="ar-SA"/>
        </w:rPr>
        <w:t>深化要素市场化配置改革。</w:t>
      </w:r>
      <w:r>
        <w:rPr>
          <w:rFonts w:hint="default" w:ascii="Times New Roman" w:hAnsi="Times New Roman" w:eastAsia="仿宋_GB2312" w:cs="Times New Roman"/>
          <w:color w:val="auto"/>
          <w:sz w:val="32"/>
          <w:szCs w:val="32"/>
          <w:highlight w:val="none"/>
          <w:lang w:val="en-US" w:eastAsia="zh-CN"/>
        </w:rPr>
        <w:t>全面落实国家加快建设全国统一大市场战略部署，重点推进土地、劳动力、资本、技术、数据五大要素改革。健全城乡统一的建设用地市场，完善产业用地弹性供应机制；优化劳动力流动制度保障，建立技能人才共享平台；增强资本市场服务能力，拓宽中小企业融资渠道；加快技术要素向现实生产力转化，建设科技成果转化中试基地；探索数据要素基础制度体系，推动公共数据资源有序开放共享。</w:t>
      </w:r>
    </w:p>
    <w:p w14:paraId="3C9EC753">
      <w:pPr>
        <w:ind w:firstLine="643"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b/>
          <w:bCs/>
          <w:color w:val="auto"/>
          <w:kern w:val="2"/>
          <w:sz w:val="32"/>
          <w:szCs w:val="32"/>
          <w:highlight w:val="none"/>
          <w:lang w:val="en-US" w:eastAsia="zh-CN" w:bidi="ar-SA"/>
        </w:rPr>
        <w:t>深化国有企业改革。</w:t>
      </w:r>
      <w:r>
        <w:rPr>
          <w:rFonts w:hint="default" w:ascii="Times New Roman" w:hAnsi="Times New Roman" w:eastAsia="仿宋_GB2312" w:cs="Times New Roman"/>
          <w:color w:val="auto"/>
          <w:kern w:val="2"/>
          <w:sz w:val="32"/>
          <w:szCs w:val="32"/>
          <w:highlight w:val="none"/>
          <w:lang w:val="en-US" w:eastAsia="zh-CN" w:bidi="ar-SA"/>
        </w:rPr>
        <w:t>将坚持和加强党的领导全面贯穿于公司治理各环节，强化国企干部队伍建设，为改革提供坚强政治和组织保证。立足服务县域经济高质量发展，推动国有资本向城市公共服务、玉石特色产业、文化旅游等关键领域和优势产业集中，通过战略性重组和专业化整合，优化国有资本布局，延伸产业链条。持续深化市场化机制改革，全面推行经理层任期制和契约化管理，大力推行竞争上岗、末等调整和不胜任退出机制，面向社会公开选聘优秀管理人才，以灵活的薪酬分配机制激发企业内生活力。着力提升企业核心竞争力，支持县属国企围绕玉石产业升级、文旅资源开发等领域加大创新投入，增强资本运营能力，有效盘活存量资产，提升盈利水平。积极稳妥深化混合所有制改革，引入优质战略投资者，抢抓央地合作机遇，推动一批契合县域发展需要的项目落地。完善以管资本为主的国资监管体系，严格落实投资负面清单制度，严控非主业投资和高风险投资，建立覆盖项目全周期的投资决策和责任追究机制。强化债务规模和风险管控，压实企业安全生产和风险防控主体责任，坚决守住不发生重大风险的底线，为实现岫岩县国有企业健康可持续发展提供坚实保障。</w:t>
      </w:r>
    </w:p>
    <w:p w14:paraId="20AB4AE6">
      <w:pPr>
        <w:ind w:firstLine="643"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促进民营经济发展壮大。</w:t>
      </w:r>
      <w:r>
        <w:rPr>
          <w:rFonts w:hint="default" w:ascii="Times New Roman" w:hAnsi="Times New Roman" w:eastAsia="仿宋_GB2312" w:cs="Times New Roman"/>
          <w:color w:val="auto"/>
          <w:kern w:val="2"/>
          <w:sz w:val="32"/>
          <w:szCs w:val="32"/>
          <w:highlight w:val="none"/>
          <w:lang w:val="en-US" w:eastAsia="zh-CN" w:bidi="ar-SA"/>
        </w:rPr>
        <w:t>坚持“两个毫不动摇”，以优化营商环境为基础，全面激发各类市场主体活力。持续深化“放管服”改革，严格落实市场准入负面清单制度，定期清理废除妨碍统一市场和公平竞争的政策措施，破除制约民营企业发展的隐性壁垒。实施市场主体梯度培育计划，建立</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个转企、小升规、规改股</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全周期培育机制，推动中小企业专精特新发展。强化要素保障创新，完善政银企对接机制，拓宽融资渠道，加强用地、用能等政策协同，降低企业制度性交易成本。构建亲清统一的新型政商关系，健全领导干部联系服务企业制度，畅通政企沟通渠道，依法平等保护各类市场主体产权和合法权益。大力弘扬企业家精神，完善企业家参与涉企政策制定机制，营造尊重创新创业的浓厚氛围。推动民营经济高质量发展，鼓励参与重大科技攻关和产业转型升级，增强产业链供应链韧性和竞争力。完善促进个体工商户发展的政策体系，支持民营经济在稳就业、促创新、惠民生中发挥更大作用。</w:t>
      </w:r>
    </w:p>
    <w:p w14:paraId="47721B8B">
      <w:pPr>
        <w:ind w:firstLine="643" w:firstLineChars="200"/>
        <w:rPr>
          <w:rFonts w:hint="default" w:ascii="Times New Roman" w:hAnsi="Times New Roman" w:eastAsia="仿宋_GB2312" w:cs="Times New Roman"/>
          <w:color w:val="000000"/>
          <w:kern w:val="0"/>
          <w:sz w:val="32"/>
          <w:szCs w:val="32"/>
          <w:highlight w:val="yellow"/>
          <w:lang w:val="en-US" w:eastAsia="zh-CN" w:bidi="ar"/>
        </w:rPr>
      </w:pPr>
      <w:r>
        <w:rPr>
          <w:rFonts w:hint="default" w:ascii="Times New Roman" w:hAnsi="Times New Roman" w:eastAsia="仿宋_GB2312" w:cs="Times New Roman"/>
          <w:b/>
          <w:bCs/>
          <w:color w:val="auto"/>
          <w:kern w:val="2"/>
          <w:sz w:val="32"/>
          <w:szCs w:val="32"/>
          <w:highlight w:val="none"/>
          <w:lang w:val="en-US" w:eastAsia="zh-CN" w:bidi="ar-SA"/>
        </w:rPr>
        <w:t>深化</w:t>
      </w:r>
      <w:r>
        <w:rPr>
          <w:rFonts w:hint="default" w:ascii="Times New Roman" w:hAnsi="Times New Roman" w:cs="Times New Roman"/>
          <w:b/>
          <w:bCs/>
          <w:color w:val="auto"/>
          <w:kern w:val="2"/>
          <w:sz w:val="32"/>
          <w:szCs w:val="32"/>
          <w:highlight w:val="none"/>
          <w:lang w:val="en-US" w:eastAsia="zh-CN" w:bidi="ar-SA"/>
        </w:rPr>
        <w:t>农业</w:t>
      </w:r>
      <w:r>
        <w:rPr>
          <w:rFonts w:hint="default" w:ascii="Times New Roman" w:hAnsi="Times New Roman" w:eastAsia="仿宋_GB2312" w:cs="Times New Roman"/>
          <w:b/>
          <w:bCs/>
          <w:color w:val="auto"/>
          <w:kern w:val="2"/>
          <w:sz w:val="32"/>
          <w:szCs w:val="32"/>
          <w:highlight w:val="none"/>
          <w:lang w:val="en-US" w:eastAsia="zh-CN" w:bidi="ar-SA"/>
        </w:rPr>
        <w:t>农村综合改革。</w:t>
      </w:r>
      <w:r>
        <w:rPr>
          <w:rFonts w:hint="default" w:ascii="Times New Roman" w:hAnsi="Times New Roman" w:cs="Times New Roman"/>
          <w:b w:val="0"/>
          <w:bCs w:val="0"/>
          <w:color w:val="auto"/>
          <w:kern w:val="2"/>
          <w:sz w:val="32"/>
          <w:szCs w:val="32"/>
          <w:highlight w:val="none"/>
          <w:lang w:val="en-US" w:eastAsia="zh-CN" w:bidi="ar-SA"/>
        </w:rPr>
        <w:t>一是</w:t>
      </w:r>
      <w:r>
        <w:rPr>
          <w:rFonts w:hint="default" w:ascii="Times New Roman" w:hAnsi="Times New Roman" w:eastAsia="仿宋_GB2312" w:cs="Times New Roman"/>
          <w:color w:val="auto"/>
          <w:kern w:val="2"/>
          <w:sz w:val="32"/>
          <w:szCs w:val="32"/>
          <w:highlight w:val="none"/>
          <w:lang w:val="en-US" w:eastAsia="zh-CN" w:bidi="ar-SA"/>
        </w:rPr>
        <w:t>持续巩固和完善农村基本经营制度，稳定农村土地承包关系，有序推进第二轮土地承包到期后再延长三十年工作，指导各乡镇（街道）制定具体延包方案，确保农户承包地总体稳定顺延；深化承包地</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三权</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分置改革，加强土地流转管理与服务，发展农业适度规模经营</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深化农村集体产权制度改革，强化集体</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三资</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监管和产权流转交易规范化建设，因地制宜发展新型农村集体经济。</w:t>
      </w:r>
      <w:r>
        <w:rPr>
          <w:rFonts w:hint="default" w:ascii="Times New Roman" w:hAnsi="Times New Roman" w:cs="Times New Roman"/>
          <w:color w:val="auto"/>
          <w:kern w:val="2"/>
          <w:sz w:val="32"/>
          <w:szCs w:val="32"/>
          <w:highlight w:val="none"/>
          <w:lang w:val="en-US" w:eastAsia="zh-CN" w:bidi="ar-SA"/>
        </w:rPr>
        <w:t>二是</w:t>
      </w:r>
      <w:r>
        <w:rPr>
          <w:rFonts w:hint="default" w:ascii="Times New Roman" w:hAnsi="Times New Roman" w:eastAsia="仿宋_GB2312" w:cs="Times New Roman"/>
          <w:color w:val="auto"/>
          <w:kern w:val="2"/>
          <w:sz w:val="32"/>
          <w:szCs w:val="32"/>
          <w:highlight w:val="none"/>
          <w:lang w:val="en-US" w:eastAsia="zh-CN" w:bidi="ar-SA"/>
        </w:rPr>
        <w:t>完善农业经营体系，重点培育壮大新型农业经营主体，通过政策扶持与示范引导提升其管理水平和市场竞争力，鼓励以土地流转、托管、股份合作等方式带动小农户发展；健全小农户与新型经营主体利益联结机制，推广土地入股、订单农业等合作模式，加强小农户技术培训，支持发展特色农业、生态农业拓宽增收渠道。</w:t>
      </w:r>
      <w:r>
        <w:rPr>
          <w:rFonts w:hint="default" w:ascii="Times New Roman" w:hAnsi="Times New Roman" w:cs="Times New Roman"/>
          <w:color w:val="auto"/>
          <w:kern w:val="2"/>
          <w:sz w:val="32"/>
          <w:szCs w:val="32"/>
          <w:highlight w:val="none"/>
          <w:lang w:val="en-US" w:eastAsia="zh-CN" w:bidi="ar-SA"/>
        </w:rPr>
        <w:t>三是</w:t>
      </w:r>
      <w:r>
        <w:rPr>
          <w:rFonts w:hint="default" w:ascii="Times New Roman" w:hAnsi="Times New Roman" w:eastAsia="仿宋_GB2312" w:cs="Times New Roman"/>
          <w:color w:val="auto"/>
          <w:kern w:val="2"/>
          <w:sz w:val="32"/>
          <w:szCs w:val="32"/>
          <w:highlight w:val="none"/>
          <w:lang w:val="en-US" w:eastAsia="zh-CN" w:bidi="ar-SA"/>
        </w:rPr>
        <w:t>创新农村要素市场化配置机制</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完善农村金融服务体系，推动特色农产品纳入政策性农业保险覆盖范围，搭建银企对接平台，创新涉农信贷产品并落实惠农贴息政策；深化农村人才制度改革，加强实用人才培养和农技推广体系建设，实施高素质农民培育工程，健全人才柔性引进机制，引导各类人才返乡创新创业，全面激活农村发展动能</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000000"/>
          <w:kern w:val="0"/>
          <w:sz w:val="32"/>
          <w:szCs w:val="32"/>
          <w:highlight w:val="none"/>
          <w:lang w:val="en-US" w:eastAsia="zh-CN" w:bidi="ar"/>
        </w:rPr>
        <w:t>健全保障激励机制，强化县乡农业农村专业技术队伍建设，夯实农业农村高质量发展和农业现代化建设根基。</w:t>
      </w:r>
    </w:p>
    <w:p w14:paraId="0C0B2654">
      <w:pPr>
        <w:ind w:firstLine="643"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深化财政金融体制改革。</w:t>
      </w:r>
      <w:r>
        <w:rPr>
          <w:rFonts w:hint="default" w:ascii="Times New Roman" w:hAnsi="Times New Roman" w:eastAsia="仿宋_GB2312" w:cs="Times New Roman"/>
          <w:color w:val="auto"/>
          <w:kern w:val="2"/>
          <w:sz w:val="32"/>
          <w:szCs w:val="32"/>
          <w:highlight w:val="none"/>
          <w:lang w:val="en-US" w:eastAsia="zh-CN" w:bidi="ar-SA"/>
        </w:rPr>
        <w:t>深化预算管理制度改革，全面实施预算绩效管理，强化</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花钱必问效、无效必问责</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的硬约束机制。优化财政支出结构，坚决兜牢</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三保</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底线，优先保障重大战略任务。加强税收征管协同，依法落实国家各项税费政策，积极涵养优质税源，优化纳税服务，提升税收征管效能，确保财政收入稳定增长。 增强县级财政统筹保障能力，坚持底线思维，坚决遏制政府债务增量、稳妥化解存量。严格项目审批，加强财政承受能力评估，建立政府债务全口径监测预警机制，牢牢守住不发生系统性风险底线。营造良好金融生态，完善信用信息共享平台，严厉打击非法金融活动，增强金融服务实体经济能力。</w:t>
      </w:r>
    </w:p>
    <w:p w14:paraId="6BC4ABCB">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lang w:val="en-US" w:eastAsia="zh-CN"/>
        </w:rPr>
      </w:pPr>
      <w:bookmarkStart w:id="56" w:name="_Toc7225"/>
      <w:r>
        <w:rPr>
          <w:rFonts w:hint="default" w:ascii="Times New Roman" w:hAnsi="Times New Roman" w:cs="Times New Roman"/>
          <w:b/>
          <w:bCs w:val="0"/>
          <w:color w:val="auto"/>
          <w:highlight w:val="none"/>
          <w:lang w:val="en-US" w:eastAsia="zh-CN"/>
        </w:rPr>
        <w:t>第三节</w:t>
      </w:r>
      <w:r>
        <w:rPr>
          <w:rFonts w:hint="default" w:ascii="Times New Roman" w:hAnsi="Times New Roman" w:eastAsia="楷体_GB2312" w:cs="Times New Roman"/>
          <w:b/>
          <w:bCs w:val="0"/>
          <w:color w:val="auto"/>
          <w:highlight w:val="none"/>
          <w:lang w:val="en-US" w:eastAsia="zh-CN"/>
        </w:rPr>
        <w:t>增强科技创新能力</w:t>
      </w:r>
      <w:bookmarkEnd w:id="56"/>
    </w:p>
    <w:p w14:paraId="35E14E61">
      <w:pPr>
        <w:ind w:firstLine="643"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构建多层次创新平台体系。</w:t>
      </w:r>
      <w:r>
        <w:rPr>
          <w:rFonts w:hint="default" w:ascii="Times New Roman" w:hAnsi="Times New Roman" w:eastAsia="仿宋_GB2312" w:cs="Times New Roman"/>
          <w:b w:val="0"/>
          <w:bCs w:val="0"/>
          <w:color w:val="auto"/>
          <w:kern w:val="2"/>
          <w:sz w:val="32"/>
          <w:szCs w:val="32"/>
          <w:highlight w:val="none"/>
          <w:lang w:val="en-US" w:eastAsia="zh-CN" w:bidi="ar-SA"/>
        </w:rPr>
        <w:t>围绕菱镁、岫岩玉、食用菌等</w:t>
      </w:r>
      <w:r>
        <w:rPr>
          <w:rFonts w:hint="default" w:ascii="Times New Roman" w:hAnsi="Times New Roman" w:cs="Times New Roman"/>
          <w:b w:val="0"/>
          <w:bCs w:val="0"/>
          <w:color w:val="auto"/>
          <w:kern w:val="2"/>
          <w:sz w:val="32"/>
          <w:szCs w:val="32"/>
          <w:highlight w:val="none"/>
          <w:lang w:val="en-US" w:eastAsia="zh-CN" w:bidi="ar-SA"/>
        </w:rPr>
        <w:t>主导</w:t>
      </w:r>
      <w:r>
        <w:rPr>
          <w:rFonts w:hint="default" w:ascii="Times New Roman" w:hAnsi="Times New Roman" w:eastAsia="仿宋_GB2312" w:cs="Times New Roman"/>
          <w:b w:val="0"/>
          <w:bCs w:val="0"/>
          <w:color w:val="auto"/>
          <w:kern w:val="2"/>
          <w:sz w:val="32"/>
          <w:szCs w:val="32"/>
          <w:highlight w:val="none"/>
          <w:lang w:val="en-US" w:eastAsia="zh-CN" w:bidi="ar-SA"/>
        </w:rPr>
        <w:t>产业创新需求，实施</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平台强链</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行动，系统布局工程技术研究中心、企业技术中心等省级平台，实现核心产业链全覆盖。一是建强产业关键平台，支持龙头企业联合高校院所共建产学研联合实验室、省级重点实验室和技术创新中心，聚力攻关行业关键共性技术。二是畅通成果转化通道，在重点园区和</w:t>
      </w:r>
      <w:r>
        <w:rPr>
          <w:rFonts w:hint="default" w:ascii="Times New Roman" w:hAnsi="Times New Roman" w:cs="Times New Roman"/>
          <w:b w:val="0"/>
          <w:bCs w:val="0"/>
          <w:color w:val="auto"/>
          <w:kern w:val="2"/>
          <w:sz w:val="32"/>
          <w:szCs w:val="32"/>
          <w:highlight w:val="none"/>
          <w:lang w:val="en-US" w:eastAsia="zh-CN" w:bidi="ar-SA"/>
        </w:rPr>
        <w:t>农业主产区</w:t>
      </w:r>
      <w:r>
        <w:rPr>
          <w:rFonts w:hint="default" w:ascii="Times New Roman" w:hAnsi="Times New Roman" w:eastAsia="仿宋_GB2312" w:cs="Times New Roman"/>
          <w:b w:val="0"/>
          <w:bCs w:val="0"/>
          <w:color w:val="auto"/>
          <w:kern w:val="2"/>
          <w:sz w:val="32"/>
          <w:szCs w:val="32"/>
          <w:highlight w:val="none"/>
          <w:lang w:val="en-US" w:eastAsia="zh-CN" w:bidi="ar-SA"/>
        </w:rPr>
        <w:t>规划建设一批中试基地与产业技术示范中心，加速科技成果从</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实验室</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走向</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生产线</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。三是前瞻布局数字基建，高标准建设</w:t>
      </w:r>
      <w:r>
        <w:rPr>
          <w:rFonts w:hint="default" w:ascii="Times New Roman" w:hAnsi="Times New Roman" w:cs="Times New Roman"/>
          <w:b w:val="0"/>
          <w:bCs w:val="0"/>
          <w:color w:val="auto"/>
          <w:kern w:val="2"/>
          <w:sz w:val="32"/>
          <w:szCs w:val="32"/>
          <w:highlight w:val="none"/>
          <w:lang w:val="en-US" w:eastAsia="zh-CN" w:bidi="ar-SA"/>
        </w:rPr>
        <w:t>智能算力中心</w:t>
      </w:r>
      <w:r>
        <w:rPr>
          <w:rFonts w:hint="default" w:ascii="Times New Roman" w:hAnsi="Times New Roman" w:eastAsia="仿宋_GB2312" w:cs="Times New Roman"/>
          <w:b w:val="0"/>
          <w:bCs w:val="0"/>
          <w:color w:val="auto"/>
          <w:kern w:val="2"/>
          <w:sz w:val="32"/>
          <w:szCs w:val="32"/>
          <w:highlight w:val="none"/>
          <w:lang w:val="en-US" w:eastAsia="zh-CN" w:bidi="ar-SA"/>
        </w:rPr>
        <w:t>，为全产业数字化转型注入新动能。积极融入鞍山区域创新体系，对接鞍山科技大市场等高端资源。到2030年，力争建成一批功能互补、支撑有力的省级以上创新平台，形成覆盖产业全链条的平台支撑网络。</w:t>
      </w:r>
    </w:p>
    <w:p w14:paraId="17DEB1AD">
      <w:pPr>
        <w:ind w:firstLine="643"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推动重点产业绿色化智能化升级。</w:t>
      </w:r>
      <w:r>
        <w:rPr>
          <w:rFonts w:hint="default" w:ascii="Times New Roman" w:hAnsi="Times New Roman" w:eastAsia="仿宋_GB2312" w:cs="Times New Roman"/>
          <w:b w:val="0"/>
          <w:bCs w:val="0"/>
          <w:color w:val="auto"/>
          <w:kern w:val="2"/>
          <w:sz w:val="32"/>
          <w:szCs w:val="32"/>
          <w:highlight w:val="none"/>
          <w:lang w:val="en-US" w:eastAsia="zh-CN" w:bidi="ar-SA"/>
        </w:rPr>
        <w:t>围绕菱镁产业绿色低碳转型，研发推广高效煅烧、电熔镁炉节能环保、尾矿废渣资源化利用等关键技术，突破高附加值镁质新材料制备技术。支持装备制造业智能化改造，推动企业应用数字化设计、智能制造单元和工业互联网技术，开发智能成套装备，建设智能工厂和数字化车间。深化农业科技合作，加强优良品种选育和生态种养技术推广，发展智慧农业，提升农产品精深加工水平。</w:t>
      </w:r>
    </w:p>
    <w:p w14:paraId="52A01960">
      <w:pPr>
        <w:ind w:firstLine="643"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强化企业创新主体地位。</w:t>
      </w:r>
      <w:r>
        <w:rPr>
          <w:rFonts w:hint="default" w:ascii="Times New Roman" w:hAnsi="Times New Roman" w:eastAsia="仿宋_GB2312" w:cs="Times New Roman"/>
          <w:b w:val="0"/>
          <w:bCs w:val="0"/>
          <w:color w:val="auto"/>
          <w:kern w:val="2"/>
          <w:sz w:val="32"/>
          <w:szCs w:val="32"/>
          <w:highlight w:val="none"/>
          <w:lang w:val="en-US" w:eastAsia="zh-CN" w:bidi="ar-SA"/>
        </w:rPr>
        <w:t>实施科技型企业梯度培育计划，建立</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科技型中小企业-高新技术企业-领军型龙头企业”全生命周期培育库，扩大创新主体规模。落实研发费用加计扣除等政策，探索设立县级研发投入后补助资金，引导企业持续加大研发投入。引导和支持规上工业企业建立研发机构，鼓励其向</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规升巨</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目标迈进，形成龙头引领、梯队协同的发展格局。积极扶持农民合作社、家庭农场向</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种植+加工</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一体化转型，培育农业社会化服务组织，激发各类农业经营主体的创新活力，构建多元主体协同发展的创新生态。</w:t>
      </w:r>
    </w:p>
    <w:p w14:paraId="3EDBEB0C">
      <w:pPr>
        <w:ind w:firstLine="643"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完善科技成果转化机制。</w:t>
      </w:r>
      <w:r>
        <w:rPr>
          <w:rFonts w:hint="default" w:ascii="Times New Roman" w:hAnsi="Times New Roman" w:eastAsia="仿宋_GB2312" w:cs="Times New Roman"/>
          <w:b w:val="0"/>
          <w:bCs w:val="0"/>
          <w:color w:val="auto"/>
          <w:kern w:val="2"/>
          <w:sz w:val="32"/>
          <w:szCs w:val="32"/>
          <w:highlight w:val="none"/>
          <w:lang w:val="en-US" w:eastAsia="zh-CN" w:bidi="ar-SA"/>
        </w:rPr>
        <w:t>建立健全</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产业需求</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技术供给</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常态化对接机制，定期发布技术需求清单，组织开展产学研对接和</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揭榜挂帅</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活动。建设岫岩县技术转移中心，配备专业化技术经理人队伍，为企业提供从技术评估、供需对接到合同签署的全流程服务。深化与省农科院、大连理工大学、东北大学等高校院所合作，建立“校企合作联盟”，推行“企业出题、高校解题、政府助题”联合攻关模式。建设线上科技成果展示交易平台，促进技术成果与资本、市场的有效对接，提升科技成果本地转化效率和效益。</w:t>
      </w:r>
    </w:p>
    <w:p w14:paraId="0B1815A6">
      <w:pPr>
        <w:ind w:firstLine="643"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营造支撑创新的良好生态。</w:t>
      </w:r>
      <w:r>
        <w:rPr>
          <w:rFonts w:hint="default" w:ascii="Times New Roman" w:hAnsi="Times New Roman" w:eastAsia="仿宋_GB2312" w:cs="Times New Roman"/>
          <w:b w:val="0"/>
          <w:bCs w:val="0"/>
          <w:color w:val="auto"/>
          <w:kern w:val="2"/>
          <w:sz w:val="32"/>
          <w:szCs w:val="32"/>
          <w:highlight w:val="none"/>
          <w:lang w:val="en-US" w:eastAsia="zh-CN" w:bidi="ar-SA"/>
        </w:rPr>
        <w:t>强化科技金融支撑，引导银行机构开展科技信贷和投贷联动业务，吸引创业投资投向优质科技项目。加强科学普及，弘扬科学家精神和企业家精神，完善鼓励创新、宽容失败的容错机制。办好创新创业大赛，促进优秀项目与金融资本对接，营造良好双创氛围。提升科技治理效能，探索</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揭榜挂帅</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赛马</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等新型项目组织方式，加强科技统计与战略研究。</w:t>
      </w:r>
    </w:p>
    <w:p w14:paraId="2755AD16">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lang w:val="en-US" w:eastAsia="zh-CN"/>
        </w:rPr>
      </w:pPr>
      <w:bookmarkStart w:id="57" w:name="_Toc15345"/>
      <w:r>
        <w:rPr>
          <w:rFonts w:hint="default" w:ascii="Times New Roman" w:hAnsi="Times New Roman" w:cs="Times New Roman"/>
          <w:b/>
          <w:bCs w:val="0"/>
          <w:color w:val="auto"/>
          <w:highlight w:val="none"/>
          <w:lang w:val="en-US" w:eastAsia="zh-CN"/>
        </w:rPr>
        <w:t>第四节</w:t>
      </w:r>
      <w:r>
        <w:rPr>
          <w:rFonts w:hint="default" w:ascii="Times New Roman" w:hAnsi="Times New Roman" w:eastAsia="楷体_GB2312" w:cs="Times New Roman"/>
          <w:b/>
          <w:bCs w:val="0"/>
          <w:color w:val="auto"/>
          <w:highlight w:val="none"/>
          <w:lang w:val="en-US" w:eastAsia="zh-CN"/>
        </w:rPr>
        <w:t>加强对外开放合作</w:t>
      </w:r>
      <w:bookmarkEnd w:id="57"/>
    </w:p>
    <w:p w14:paraId="1979AD16">
      <w:pPr>
        <w:pStyle w:val="4"/>
        <w:numPr>
          <w:ilvl w:val="0"/>
          <w:numId w:val="12"/>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积极融入区域发展战略</w:t>
      </w:r>
    </w:p>
    <w:p w14:paraId="4383F50B">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省级层面。</w:t>
      </w:r>
      <w:r>
        <w:rPr>
          <w:rFonts w:hint="default" w:ascii="Times New Roman" w:hAnsi="Times New Roman" w:cs="Times New Roman"/>
          <w:color w:val="auto"/>
          <w:highlight w:val="none"/>
          <w:lang w:val="en-US" w:eastAsia="zh-CN"/>
        </w:rPr>
        <w:t>以辽东绿色经济区生态屏障为核心担当，主动对接辽宁省“一圈一带两区”布局。强化与沈阳现代化都市圈的装备制造、菱镁新材料、绿色农产品供应链协作。对接沈阳高校、科研院所，在农产品深加工、菱镁新材料等领域共建中试基地，推动“实验室-岫岩产线”直通。鼓励更多博物馆融入沈阳现代化都市圈博物馆联盟，深化与沈阳工艺美术院校、文创企业合作开发玉文化创意产品，促进与沈阳都市圈文体旅</w:t>
      </w:r>
      <w:r>
        <w:rPr>
          <w:rFonts w:hint="eastAsia" w:ascii="Times New Roman" w:hAnsi="Times New Roman" w:cs="Times New Roman"/>
          <w:color w:val="auto"/>
          <w:highlight w:val="none"/>
          <w:lang w:val="en-US" w:eastAsia="zh-CN"/>
        </w:rPr>
        <w:t>商</w:t>
      </w:r>
      <w:r>
        <w:rPr>
          <w:rFonts w:hint="default" w:ascii="Times New Roman" w:hAnsi="Times New Roman" w:cs="Times New Roman"/>
          <w:color w:val="auto"/>
          <w:highlight w:val="none"/>
          <w:lang w:val="en-US" w:eastAsia="zh-CN"/>
        </w:rPr>
        <w:t>一体化合作。积极引进沈阳、大连的高端优质医疗资源，鼓励组建跨区域医疗联合体。深化产教融合，与省内优质职业院校合作开设玉雕工艺特色专业，建立常态化师资交流培养机制。</w:t>
      </w:r>
    </w:p>
    <w:p w14:paraId="0E91870F">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区域联动层面。</w:t>
      </w:r>
      <w:r>
        <w:rPr>
          <w:rFonts w:hint="default" w:ascii="Times New Roman" w:hAnsi="Times New Roman" w:cs="Times New Roman"/>
          <w:color w:val="auto"/>
          <w:highlight w:val="none"/>
          <w:lang w:val="en-US" w:eastAsia="zh-CN"/>
        </w:rPr>
        <w:t>深度融入辽东绿色经济区建设，重点从三个维度推动区域协同发展。一是探索生态联防制度化，联合本溪、凤城共建辽东水源涵养区生态共治体系，推动制定大洋河流域水污染联合防治政策，探索水质监测数据实时共享与动态生态补偿机制，试点探索跨区域碳汇交易合作。二是推动产业协作链条化，协同海城、大石桥培育菱镁新材料精深加工集群，协同盖州、庄河建设区域农副产品加工产业带，携手本溪、凤城和东港策划辽东生态旅游线路。三是健全安全底线协同化，参与构建跨区域环境风险应急平台，重点完善水源地保护、矿区地质灾害、危险品运输等领域的联合预警处置机制，共同守护辽东生态安全屏障。</w:t>
      </w:r>
    </w:p>
    <w:p w14:paraId="62633F95">
      <w:pPr>
        <w:pStyle w:val="4"/>
        <w:numPr>
          <w:ilvl w:val="0"/>
          <w:numId w:val="12"/>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优化招商机制</w:t>
      </w:r>
    </w:p>
    <w:p w14:paraId="04C0A401">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完善全县统筹招商体系。</w:t>
      </w:r>
      <w:r>
        <w:rPr>
          <w:rFonts w:hint="default" w:ascii="Times New Roman" w:hAnsi="Times New Roman" w:cs="Times New Roman"/>
          <w:color w:val="auto"/>
          <w:highlight w:val="none"/>
          <w:lang w:val="en-US" w:eastAsia="zh-CN"/>
        </w:rPr>
        <w:t>强化招商引资“一盘棋”布局，建立由县主要领导牵头的招商引资工作领导小组，统筹全县招商资源与项目布局。制定并动态更新全县产业招商地图和投资机遇清单，统一宣传口径与政策标准。建设全县统一的“投资岫岩”数字化招商平台，集成项目推介、政策解读、资源匹配、意向洽谈等功能。全面推行“招落一体”工作机制，强化项目从签约、审批到建设、投产的全生命周期服务保障，确保项目引得进、落得下、发展好。</w:t>
      </w:r>
    </w:p>
    <w:p w14:paraId="3C512ABE">
      <w:pPr>
        <w:bidi w:val="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强化“走出去”精准对接与“请进来”深度体验。 </w:t>
      </w:r>
      <w:r>
        <w:rPr>
          <w:rFonts w:hint="default" w:ascii="Times New Roman" w:hAnsi="Times New Roman" w:cs="Times New Roman"/>
          <w:b w:val="0"/>
          <w:bCs w:val="0"/>
          <w:color w:val="auto"/>
          <w:highlight w:val="none"/>
          <w:lang w:val="en-US" w:eastAsia="zh-CN"/>
        </w:rPr>
        <w:t>一方面，聚焦长三角、珠三角、京津冀等重点区域，组建专业化招商攻坚专班，通过国际展会、产业峰会等平台开展“图谱化靶向招商”，依托数字化招商平台动态发布项目库、政策包、要素图，提升招商传播渗透力。另一方面，开设“玉都营商直通车”，邀请目标企业实地考察产业园区、重点企业及基础设施，定制化展示“标准地+承诺制”改革成果。建立“一个意向项目、一名服务管家、一套定制方案”的全周期服务体系，实行从签约到投产的审批代办制，确保重点项目及时落地达效。</w:t>
      </w:r>
    </w:p>
    <w:p w14:paraId="0AB09F92">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聚力产业链龙头攻坚。</w:t>
      </w:r>
      <w:r>
        <w:rPr>
          <w:rFonts w:hint="default" w:ascii="Times New Roman" w:hAnsi="Times New Roman" w:cs="Times New Roman"/>
          <w:color w:val="auto"/>
          <w:highlight w:val="none"/>
          <w:lang w:val="en-US" w:eastAsia="zh-CN"/>
        </w:rPr>
        <w:t>绘制菱镁、岫玉、新材料、农产品加工等重点产业链全景图谱，锚定世界500强、行业百强企业实施“头雁引领”计划，量身定制土地弹性出让、高端人才奖补、用能指标倾斜等政策工具箱，推动产业链供应链深度嵌入，带动产业集群能级跃升。</w:t>
      </w:r>
    </w:p>
    <w:p w14:paraId="09F4308C">
      <w:pPr>
        <w:pStyle w:val="4"/>
        <w:numPr>
          <w:ilvl w:val="0"/>
          <w:numId w:val="12"/>
        </w:numPr>
        <w:bidi w:val="0"/>
        <w:ind w:left="0" w:leftChars="0" w:firstLine="42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拓展对外经贸合作</w:t>
      </w:r>
    </w:p>
    <w:p w14:paraId="6E43B185">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拓展多元化开放合作渠道。</w:t>
      </w:r>
      <w:r>
        <w:rPr>
          <w:rFonts w:hint="default" w:ascii="Times New Roman" w:hAnsi="Times New Roman" w:cs="Times New Roman"/>
          <w:b w:val="0"/>
          <w:bCs w:val="0"/>
          <w:color w:val="auto"/>
          <w:highlight w:val="none"/>
          <w:lang w:val="en-US" w:eastAsia="zh-CN"/>
        </w:rPr>
        <w:t>积极融入共建“一带一路”和东北陆海通道建设，支持企业通过国际展会、跨境电商等渠道开拓国际市场。深化与对口合作地区、科研院所的产业协同创新，探索“飞地经济”等合作模式，着力引进资金、技术、人才和管理经验。创新开放合作机制，在上级政策引导下，探索与沈阳、大连等城市共建区域产业引导基金，重点投向菱镁新材料、岫玉深加工等本土优势产业链关键环节，撬动社会资本投资；借鉴“股权投资”等升级模式，对高成长性企业实施精准培育，加快构建全方位、高水平的开放新格局。</w:t>
      </w:r>
    </w:p>
    <w:p w14:paraId="58CE9690">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构建特色产业出口新优势。</w:t>
      </w:r>
      <w:r>
        <w:rPr>
          <w:rFonts w:hint="default" w:ascii="Times New Roman" w:hAnsi="Times New Roman" w:cs="Times New Roman"/>
          <w:color w:val="auto"/>
          <w:highlight w:val="none"/>
          <w:lang w:val="en-US" w:eastAsia="zh-CN"/>
        </w:rPr>
        <w:t>立足岫岩资源禀赋，重点培育食用菌、玉石、菱镁三大外贸支柱产业。支持食用菌企业开展精深加工技术改造，开发冻干菌类、菌汤包等高附加值产品，巩固日韩、东南亚等传统市场。扩大岫岩玉制品对RCEP成员国出口，重点开发文化创意类高附加值产品；培训双语玉雕师主播，建设TikTok跨境直播基地。发挥菱镁资源优势，组织企业参加国际展会，推动高端耐火材料产品纳入中欧班列（沈阳）货源目录，拓展“一带一路”沿线市场。</w:t>
      </w:r>
    </w:p>
    <w:p w14:paraId="28C7DCAE">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培育外贸新业态新模式。</w:t>
      </w:r>
      <w:r>
        <w:rPr>
          <w:rFonts w:hint="default" w:ascii="Times New Roman" w:hAnsi="Times New Roman" w:cs="Times New Roman"/>
          <w:color w:val="auto"/>
          <w:highlight w:val="none"/>
          <w:lang w:val="en-US" w:eastAsia="zh-CN"/>
        </w:rPr>
        <w:t>加快发展跨境电商，鼓励企业在阿里巴巴国际站、亚马逊等平台设立岫岩特色产品专区，重点推广玉器、食用菌、柞蚕制品等特色商品，加快培育跨境电商经营主体。探索市场采购贸易方式，在岫岩玉交易市场试点简化小批量玉器出口流程，为中小微企业提供便利化出口通道。</w:t>
      </w:r>
    </w:p>
    <w:p w14:paraId="39588F30">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lang w:val="en-US" w:eastAsia="zh-CN"/>
        </w:rPr>
      </w:pPr>
      <w:bookmarkStart w:id="58" w:name="_Toc6495"/>
      <w:r>
        <w:rPr>
          <w:rFonts w:hint="default" w:ascii="Times New Roman" w:hAnsi="Times New Roman" w:cs="Times New Roman"/>
          <w:b/>
          <w:bCs w:val="0"/>
          <w:color w:val="auto"/>
          <w:highlight w:val="none"/>
          <w:lang w:val="en-US" w:eastAsia="zh-CN"/>
        </w:rPr>
        <w:t>第五节</w:t>
      </w:r>
      <w:r>
        <w:rPr>
          <w:rFonts w:hint="default" w:ascii="Times New Roman" w:hAnsi="Times New Roman" w:eastAsia="楷体_GB2312" w:cs="Times New Roman"/>
          <w:b/>
          <w:bCs w:val="0"/>
          <w:color w:val="auto"/>
          <w:highlight w:val="none"/>
          <w:lang w:val="en-US" w:eastAsia="zh-CN"/>
        </w:rPr>
        <w:t>实施人才强县工程</w:t>
      </w:r>
      <w:bookmarkEnd w:id="58"/>
    </w:p>
    <w:p w14:paraId="63EDACA2">
      <w:pPr>
        <w:ind w:firstLine="643"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构建支撑高质量发展的人才体系</w:t>
      </w:r>
      <w:r>
        <w:rPr>
          <w:rFonts w:hint="default" w:ascii="Times New Roman" w:hAnsi="Times New Roman" w:cs="Times New Roman"/>
          <w:b/>
          <w:bCs/>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围绕全县产业升级与社会发展需求，构建多层次人才支撑体系。重点面向菱镁新材料、高端装备、智能制造等主导产业，精准引育一批科技创新领军人才与高技能应用型人才，传承弘扬工匠精神，加强与职业院校合作，打造数量充足、结构合理、技能精湛的产业人才队伍。加强教育、卫生、农业生产经营等社会民生领域专业人才队伍建设，实施“头雁”工程，培育模范带头人。同步推动企业经营管理、社会工作、文化旅游体育及数字经济等新兴领域人才发展，注重培养青年企业家，支持非遗传承人、旅游经营人才等特色人才成长，为全县经济社会全面发展提供坚实人才支撑。</w:t>
      </w:r>
    </w:p>
    <w:p w14:paraId="3B8F8ED1">
      <w:pPr>
        <w:ind w:firstLine="643"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打造开放高效的人才集聚平台。</w:t>
      </w:r>
      <w:r>
        <w:rPr>
          <w:rFonts w:hint="default" w:ascii="Times New Roman" w:hAnsi="Times New Roman" w:eastAsia="仿宋_GB2312" w:cs="Times New Roman"/>
          <w:b w:val="0"/>
          <w:bCs w:val="0"/>
          <w:color w:val="auto"/>
          <w:kern w:val="2"/>
          <w:sz w:val="32"/>
          <w:szCs w:val="32"/>
          <w:highlight w:val="none"/>
          <w:lang w:val="en-US" w:eastAsia="zh-CN" w:bidi="ar-SA"/>
        </w:rPr>
        <w:t>坚持平台聚才、项目引才，拓展多元化人才引进渠道。持续开展“双招双引”活动，调动全县积极性，融合产业链与人才链优势。实施“雁回”工程，健全岫岩籍在外人才信息库，以乡情为纽带吸引优秀人才回乡创业。深化与辽宁大学、辽宁省农业科学院等高校院所的校地合作，鼓励通过双向挂职、项目合作等方式促进人才智力共享。积极探索“人才飞地”建设，支持域外机构在岫设立研发中心，建设远程协作平台，构建“工作在外地、贡献在岫岩”的柔性引才机制。推动产业集群与创新创业平台建设，为人才项目落地提供高质量承载空间。</w:t>
      </w:r>
    </w:p>
    <w:p w14:paraId="16F54D25">
      <w:pPr>
        <w:ind w:firstLine="643"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营造近悦远来的人才发展生态。</w:t>
      </w:r>
      <w:r>
        <w:rPr>
          <w:rFonts w:hint="default" w:ascii="Times New Roman" w:hAnsi="Times New Roman" w:eastAsia="仿宋_GB2312" w:cs="Times New Roman"/>
          <w:b w:val="0"/>
          <w:bCs w:val="0"/>
          <w:color w:val="auto"/>
          <w:kern w:val="2"/>
          <w:sz w:val="32"/>
          <w:szCs w:val="32"/>
          <w:highlight w:val="none"/>
          <w:lang w:val="en-US" w:eastAsia="zh-CN" w:bidi="ar-SA"/>
        </w:rPr>
        <w:t>以体制机制改革创新优化人才发展环境。制定实施更具针对性和吸引力的岫岩本土人才招引政策，并与鞍山市“钢都英才计划”等上级政策形成衔接互补。围绕重点产业制定急需紧缺人才目录，深化柔性引才、兼职合作等机制，着力解决人才身份、待遇等关键问题。打造产教融合人才培养模式，发挥大学生实习实践基地作用，推动人才知识更新与双向供给。改进人才激励机制，支持用人单位建立有利于创新和成果转化的分配机制，持续开展“人才评审直通车”活动，积极参与“兴辽英才计划”等评选。畅通人才向基层一线流动渠道，探索建立跨区域人才共享平台。巩固人才服务机制，深化党委联系服务专家工作，对引进的急需紧缺人才，在安家补贴、薪酬待遇、子女教育等方面给予专项支持，加快人才公寓建设与供给，全力营造尊重人才、鼓励创新的社会环境。</w:t>
      </w:r>
    </w:p>
    <w:p w14:paraId="0CA5DC16">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b/>
          <w:bCs w:val="0"/>
          <w:color w:val="auto"/>
          <w:highlight w:val="none"/>
          <w:lang w:val="en-US" w:eastAsia="zh-CN"/>
        </w:rPr>
      </w:pPr>
      <w:bookmarkStart w:id="59" w:name="_Toc13703"/>
      <w:r>
        <w:rPr>
          <w:rFonts w:hint="default" w:ascii="Times New Roman" w:hAnsi="Times New Roman" w:cs="Times New Roman"/>
          <w:b/>
          <w:bCs w:val="0"/>
          <w:color w:val="auto"/>
          <w:highlight w:val="none"/>
          <w:lang w:val="en-US" w:eastAsia="zh-CN"/>
        </w:rPr>
        <w:t>第六节积极扩大有效投资</w:t>
      </w:r>
      <w:bookmarkEnd w:id="59"/>
    </w:p>
    <w:p w14:paraId="0F8604C9">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全力争取上级资金支持。</w:t>
      </w:r>
      <w:r>
        <w:rPr>
          <w:rFonts w:hint="default" w:ascii="Times New Roman" w:hAnsi="Times New Roman" w:cs="Times New Roman"/>
          <w:color w:val="auto"/>
          <w:highlight w:val="none"/>
        </w:rPr>
        <w:t>立足岫岩资源禀赋和发展需求，精准对接中央预算内资金、地方政府专项债、超长期特别国债等政策支持领域，谋划包装一批符合国家投向的重大项目。健全项目动态储备和前期推进机制，重点争取生态保护、乡村振兴、基础设施补短板等领域资金支持，深化与央企、省属企业的合作，推动资金与项目高效匹配，为县域发展注入强劲动力。</w:t>
      </w:r>
    </w:p>
    <w:p w14:paraId="49175007">
      <w:pPr>
        <w:bidi w:val="0"/>
        <w:rPr>
          <w:rFonts w:hint="default" w:ascii="Times New Roman" w:hAnsi="Times New Roman" w:eastAsia="仿宋_GB2312" w:cs="Times New Roman"/>
          <w:color w:val="auto"/>
          <w:highlight w:val="yellow"/>
          <w:lang w:val="en-US" w:eastAsia="zh-CN"/>
        </w:rPr>
      </w:pPr>
      <w:r>
        <w:rPr>
          <w:rFonts w:hint="default" w:ascii="Times New Roman" w:hAnsi="Times New Roman" w:cs="Times New Roman"/>
          <w:b/>
          <w:bCs/>
          <w:color w:val="auto"/>
          <w:highlight w:val="none"/>
        </w:rPr>
        <w:t>加力攻坚重大项目建设。</w:t>
      </w:r>
      <w:r>
        <w:rPr>
          <w:rFonts w:hint="default" w:ascii="Times New Roman" w:hAnsi="Times New Roman" w:cs="Times New Roman"/>
          <w:color w:val="auto"/>
          <w:highlight w:val="none"/>
        </w:rPr>
        <w:t>抢抓国家“两重”建设机遇，围绕交通、水利、能源、新基建等领域，实施一批打基础、利长远的重大项目。加快推进本溪至庄河高速公路（岫岩段）、海岫铁路电气化改造、农村公路提级改造</w:t>
      </w:r>
      <w:r>
        <w:rPr>
          <w:rFonts w:hint="default" w:ascii="Times New Roman" w:hAnsi="Times New Roman" w:cs="Times New Roman"/>
          <w:color w:val="auto"/>
          <w:highlight w:val="none"/>
          <w:lang w:eastAsia="zh-CN"/>
        </w:rPr>
        <w:t>、</w:t>
      </w:r>
      <w:r>
        <w:rPr>
          <w:rFonts w:hint="default" w:ascii="Times New Roman" w:hAnsi="Times New Roman" w:cs="Times New Roman"/>
          <w:b w:val="0"/>
          <w:bCs w:val="0"/>
          <w:highlight w:val="none"/>
          <w:lang w:val="en-US" w:eastAsia="zh-CN"/>
        </w:rPr>
        <w:t>丹营高铁</w:t>
      </w:r>
      <w:r>
        <w:rPr>
          <w:rFonts w:hint="default" w:ascii="Times New Roman" w:hAnsi="Times New Roman" w:cs="Times New Roman"/>
          <w:color w:val="auto"/>
          <w:highlight w:val="none"/>
        </w:rPr>
        <w:t>等工程，完善项目全周期管理机制，强化要素保障，确保投资增速与结构优化同步推进。</w:t>
      </w:r>
    </w:p>
    <w:p w14:paraId="3F574400">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加大特色产业投资力度。</w:t>
      </w:r>
      <w:r>
        <w:rPr>
          <w:rFonts w:hint="default" w:ascii="Times New Roman" w:hAnsi="Times New Roman" w:cs="Times New Roman"/>
          <w:color w:val="auto"/>
          <w:highlight w:val="none"/>
        </w:rPr>
        <w:t>聚焦岫岩玉深加工、</w:t>
      </w:r>
      <w:r>
        <w:rPr>
          <w:rFonts w:hint="eastAsia" w:ascii="Times New Roman" w:hAnsi="Times New Roman" w:cs="Times New Roman"/>
          <w:color w:val="auto"/>
          <w:highlight w:val="none"/>
          <w:lang w:val="en-US" w:eastAsia="zh-CN"/>
        </w:rPr>
        <w:t>新材料</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食用菌、柞蚕等特色产业，创新投融资机制，设立“岫岩县特色产业发展引导基金”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通过政府出资引导，广泛吸纳社会资本参与，采用市场化运作模式，</w:t>
      </w:r>
      <w:r>
        <w:rPr>
          <w:rFonts w:hint="default" w:ascii="Times New Roman" w:hAnsi="Times New Roman" w:cs="Times New Roman"/>
          <w:color w:val="auto"/>
          <w:highlight w:val="none"/>
          <w:lang w:val="en-US" w:eastAsia="zh-CN"/>
        </w:rPr>
        <w:t>重点</w:t>
      </w:r>
      <w:r>
        <w:rPr>
          <w:rFonts w:hint="default" w:ascii="Times New Roman" w:hAnsi="Times New Roman" w:cs="Times New Roman"/>
          <w:color w:val="auto"/>
          <w:highlight w:val="none"/>
        </w:rPr>
        <w:t>支持企业技术改造和产业链延伸，培育壮大产业集群，为产业转型升级注入新动能。推动玉文化产业园、食用菌产业集群等</w:t>
      </w:r>
      <w:r>
        <w:rPr>
          <w:rFonts w:hint="default" w:ascii="Times New Roman" w:hAnsi="Times New Roman" w:cs="Times New Roman"/>
          <w:color w:val="auto"/>
          <w:highlight w:val="none"/>
          <w:lang w:val="en-US" w:eastAsia="zh-CN"/>
        </w:rPr>
        <w:t>重点</w:t>
      </w:r>
      <w:r>
        <w:rPr>
          <w:rFonts w:hint="default" w:ascii="Times New Roman" w:hAnsi="Times New Roman" w:cs="Times New Roman"/>
          <w:color w:val="auto"/>
          <w:highlight w:val="none"/>
        </w:rPr>
        <w:t>项目建设，鼓励企业建设智能化生产线，提升产品附加值。依托生态资源优势，加大</w:t>
      </w:r>
      <w:r>
        <w:rPr>
          <w:rFonts w:hint="default" w:ascii="Times New Roman" w:hAnsi="Times New Roman" w:cs="Times New Roman"/>
          <w:color w:val="auto"/>
          <w:highlight w:val="none"/>
          <w:lang w:val="en-US" w:eastAsia="zh-CN"/>
        </w:rPr>
        <w:t>文化</w:t>
      </w:r>
      <w:r>
        <w:rPr>
          <w:rFonts w:hint="default" w:ascii="Times New Roman" w:hAnsi="Times New Roman" w:cs="Times New Roman"/>
          <w:color w:val="auto"/>
          <w:highlight w:val="none"/>
        </w:rPr>
        <w:t>旅游、康养休闲等产业投资，打造全域旅游示范区。</w:t>
      </w:r>
    </w:p>
    <w:p w14:paraId="2D2FAF9C">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完善民生和基础设施投资。</w:t>
      </w:r>
      <w:r>
        <w:rPr>
          <w:rFonts w:hint="default" w:ascii="Times New Roman" w:hAnsi="Times New Roman" w:cs="Times New Roman"/>
          <w:color w:val="auto"/>
          <w:highlight w:val="none"/>
        </w:rPr>
        <w:t>推进县城燃气、供水、排水、供热等市政设施改造，实施农村电网升级、数字乡村建设等项目。加快5G网络覆盖和智慧农业应用，推动教育、医疗、养老等公共服务设施提标扩面。重点建设岫岩县客运站客货邮共配中心、过水路面改桥等工程，增强城乡综合承载能力。</w:t>
      </w:r>
    </w:p>
    <w:p w14:paraId="7AA2FC44">
      <w:pPr>
        <w:bidi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激发民间投资活力。</w:t>
      </w:r>
      <w:r>
        <w:rPr>
          <w:rFonts w:hint="default" w:ascii="Times New Roman" w:hAnsi="Times New Roman" w:cs="Times New Roman"/>
          <w:color w:val="auto"/>
          <w:highlight w:val="none"/>
        </w:rPr>
        <w:t>破除民间资本准入壁垒，鼓励社会资本参与生态修复、文旅开发、冷链物流等领域投资。建立政银企对接长效机制，创新“玉产业贷”“乡村振兴贷”等金融产品，支持民营企业技术攻关和数字化转型。优化营商环境，健全投资者权益保护机制，推动民间资本在绿色低碳、数字经济等新兴领域发挥更大作用，形成政府投资与民间投资良性互动格局。</w:t>
      </w:r>
    </w:p>
    <w:p w14:paraId="209D17E3">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2218CFB">
      <w:pPr>
        <w:pStyle w:val="2"/>
        <w:bidi w:val="0"/>
        <w:rPr>
          <w:rFonts w:hint="default" w:ascii="Times New Roman" w:hAnsi="Times New Roman" w:cs="Times New Roman"/>
          <w:color w:val="auto"/>
          <w:highlight w:val="none"/>
        </w:rPr>
      </w:pPr>
      <w:bookmarkStart w:id="60" w:name="_Toc17706"/>
      <w:r>
        <w:rPr>
          <w:rFonts w:hint="default" w:ascii="Times New Roman" w:hAnsi="Times New Roman" w:cs="Times New Roman"/>
          <w:color w:val="auto"/>
          <w:highlight w:val="none"/>
        </w:rPr>
        <w:t>第十一章强化规划实施保障</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确保蓝图变为现实</w:t>
      </w:r>
      <w:bookmarkEnd w:id="60"/>
    </w:p>
    <w:p w14:paraId="60395A16">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加强党的全面领导，建立健全规划实施保障机制，举全县之力，集全民之智，共同推进规划落实，确保各项目标任务顺利完成。</w:t>
      </w:r>
    </w:p>
    <w:p w14:paraId="1D235B60">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lang w:val="en-US" w:eastAsia="zh-CN"/>
        </w:rPr>
      </w:pPr>
      <w:bookmarkStart w:id="61" w:name="_Toc9631"/>
      <w:r>
        <w:rPr>
          <w:rFonts w:hint="default" w:ascii="Times New Roman" w:hAnsi="Times New Roman" w:cs="Times New Roman"/>
          <w:b/>
          <w:bCs w:val="0"/>
          <w:color w:val="auto"/>
          <w:highlight w:val="none"/>
          <w:lang w:val="en-US" w:eastAsia="zh-CN"/>
        </w:rPr>
        <w:t>第一节</w:t>
      </w:r>
      <w:r>
        <w:rPr>
          <w:rFonts w:hint="default" w:ascii="Times New Roman" w:hAnsi="Times New Roman" w:eastAsia="楷体_GB2312" w:cs="Times New Roman"/>
          <w:b/>
          <w:bCs w:val="0"/>
          <w:color w:val="auto"/>
          <w:highlight w:val="none"/>
          <w:lang w:val="en-US" w:eastAsia="zh-CN"/>
        </w:rPr>
        <w:t>加强党的全面领导</w:t>
      </w:r>
      <w:bookmarkEnd w:id="61"/>
    </w:p>
    <w:p w14:paraId="0E112959">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坚持把党的政治建设摆在首位，全面落实“第一议题”制度，</w:t>
      </w:r>
      <w:r>
        <w:rPr>
          <w:rFonts w:hint="default" w:ascii="Times New Roman" w:hAnsi="Times New Roman" w:cs="Times New Roman"/>
          <w:color w:val="auto"/>
          <w:highlight w:val="none"/>
        </w:rPr>
        <w:t>始终把学习贯彻习近平新时代中国特色社会主义思想作为头等大事和首要政治任务，</w:t>
      </w:r>
      <w:r>
        <w:rPr>
          <w:rFonts w:hint="default" w:ascii="Times New Roman" w:hAnsi="Times New Roman" w:cs="Times New Roman"/>
          <w:color w:val="auto"/>
          <w:highlight w:val="none"/>
          <w:lang w:val="en-US" w:eastAsia="zh-CN"/>
        </w:rPr>
        <w:t>引导党员干部深刻领悟“两个确立”的决定性意义，坚决做到“两个维护”。强化党委总揽全局、协调各方的核心作用，健全贯彻党中央决策部署及省市工作要求闭环落实机制，完善“大学习、深调研、真落实”工作体系，压实党组织管党治党政治责任和书记第一责任人职责。纵深推进全面从严治党，深化落实中央八项规定精神，靶向纠治形式主义、官僚主义顽疾</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构建全链条监督体系，贯通纪律监督、监察监督、派驻监督、巡察监督，强化对“一把手”和关键岗位监督，将权力运行监督嵌入县域治理全流程</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一体推进“三不腐”体制机制建设，深化运用“四种形态”，精准落实“三个区分开来”，健全干部担当作为容错激励和保护机制。全面锻造高素质专业化队伍，实施干部政治能力提升工程，聚焦新发展格局强化年轻干部战略思维和专业素养；推动基层党组织标准化规范化建设，深化党建引领乡村振兴、基层治理实践，以高质量党建赋能岫岩振兴发展新突破。</w:t>
      </w:r>
    </w:p>
    <w:p w14:paraId="46180B4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lang w:val="en-US" w:eastAsia="zh-CN"/>
        </w:rPr>
      </w:pPr>
      <w:bookmarkStart w:id="62" w:name="_Toc25363"/>
      <w:r>
        <w:rPr>
          <w:rFonts w:hint="default" w:ascii="Times New Roman" w:hAnsi="Times New Roman" w:cs="Times New Roman"/>
          <w:b/>
          <w:bCs w:val="0"/>
          <w:color w:val="auto"/>
          <w:highlight w:val="none"/>
          <w:lang w:val="en-US" w:eastAsia="zh-CN"/>
        </w:rPr>
        <w:t>第二节</w:t>
      </w:r>
      <w:r>
        <w:rPr>
          <w:rFonts w:hint="default" w:ascii="Times New Roman" w:hAnsi="Times New Roman" w:eastAsia="楷体_GB2312" w:cs="Times New Roman"/>
          <w:b/>
          <w:bCs w:val="0"/>
          <w:color w:val="auto"/>
          <w:highlight w:val="none"/>
          <w:lang w:val="en-US" w:eastAsia="zh-CN"/>
        </w:rPr>
        <w:t>凝聚社会各界共识</w:t>
      </w:r>
      <w:bookmarkEnd w:id="62"/>
    </w:p>
    <w:p w14:paraId="1136D8E5">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坚持和发展全过程人民民主，充分调动社会各界积极性，形成推动高质量发展的强大合力。发挥党委总揽全局、协调各方作用，支持人大、政府、政协和司法机关依法依章程履职尽责，完善民主协商、民主决策、民主管理、民主监督制度。加强同民主党派、工商联和无党派人士合作共事，做好民族宗教工作，促进民族团结进步。充分发挥工会、共青团、妇联等人民团体桥梁纽带作用，更好联系服务群众。健全政府与企业、群众沟通机制，畅通诉求表达渠道，及时回应社会关切。弘扬新时代辽宁精神，激发干部群众干事创业热情，营造全社会共同参与岫岩振兴发展的良好氛围。</w:t>
      </w:r>
    </w:p>
    <w:p w14:paraId="64876DC0">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楷体_GB2312" w:cs="Times New Roman"/>
          <w:b/>
          <w:bCs w:val="0"/>
          <w:color w:val="auto"/>
          <w:highlight w:val="none"/>
          <w:lang w:val="en-US" w:eastAsia="zh-CN"/>
        </w:rPr>
      </w:pPr>
      <w:bookmarkStart w:id="63" w:name="_Toc10091"/>
      <w:r>
        <w:rPr>
          <w:rFonts w:hint="default" w:ascii="Times New Roman" w:hAnsi="Times New Roman" w:cs="Times New Roman"/>
          <w:b/>
          <w:bCs w:val="0"/>
          <w:color w:val="auto"/>
          <w:highlight w:val="none"/>
          <w:lang w:val="en-US" w:eastAsia="zh-CN"/>
        </w:rPr>
        <w:t>第三节</w:t>
      </w:r>
      <w:r>
        <w:rPr>
          <w:rFonts w:hint="default" w:ascii="Times New Roman" w:hAnsi="Times New Roman" w:eastAsia="楷体_GB2312" w:cs="Times New Roman"/>
          <w:b/>
          <w:bCs w:val="0"/>
          <w:color w:val="auto"/>
          <w:highlight w:val="none"/>
          <w:lang w:val="en-US" w:eastAsia="zh-CN"/>
        </w:rPr>
        <w:t>健全统一规划体系</w:t>
      </w:r>
      <w:bookmarkEnd w:id="63"/>
    </w:p>
    <w:p w14:paraId="41FD077D">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建立健全以本规划纲要为统领、以国土空间规划为基础、以专项规划和园区规划为支撑的全县统一规划体系。强化发展规划指导功能和约束作用，把县委、县政府决策部署转化为全县共同行动纲领。加强规划衔接协调，确保重大生产力布局、基础设施建设与生态保护红线、永久基本农田等空间管控要求相匹配。做深做细做实专项规划编制实施工作，制定细化落实的时间表和路线图，分解落实发展规划在重点领域提出的发展目标、重大任务、政策措施，形成对发展规划的有力支撑。</w:t>
      </w:r>
    </w:p>
    <w:p w14:paraId="1F9C3C70">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b/>
          <w:bCs w:val="0"/>
          <w:color w:val="auto"/>
          <w:highlight w:val="none"/>
          <w:lang w:val="en-US" w:eastAsia="zh-CN"/>
        </w:rPr>
      </w:pPr>
      <w:bookmarkStart w:id="64" w:name="_Toc22716"/>
      <w:r>
        <w:rPr>
          <w:rFonts w:hint="default" w:ascii="Times New Roman" w:hAnsi="Times New Roman" w:cs="Times New Roman"/>
          <w:b/>
          <w:bCs w:val="0"/>
          <w:color w:val="auto"/>
          <w:highlight w:val="none"/>
          <w:lang w:val="en-US" w:eastAsia="zh-CN"/>
        </w:rPr>
        <w:t>第四节完善规划实施机制</w:t>
      </w:r>
      <w:bookmarkEnd w:id="64"/>
    </w:p>
    <w:p w14:paraId="165A4537">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县政府负责执行县人民代表大会批准的国民经济和社会发展规划纲要，根据本规划确定的发展目标、主要任务，制定分解落实方案，明确牵头单位和工作责任，将规划任务分解到各年度，分解落实到各街道、乡镇、园区、部门，各基层单位要将任务分解落实到岗位，加大绩效考核力度，确保规划任务和目标如期完成。</w:t>
      </w:r>
      <w:r>
        <w:rPr>
          <w:rFonts w:hint="default" w:ascii="Times New Roman" w:hAnsi="Times New Roman" w:cs="Times New Roman"/>
          <w:color w:val="auto"/>
          <w:highlight w:val="none"/>
          <w:lang w:val="en-US" w:eastAsia="zh-CN"/>
        </w:rPr>
        <w:t>对纳入本规划的重大工程项目，要优化审批流程，优先保障规划选址、土地供应和融资安排。</w:t>
      </w:r>
      <w:r>
        <w:rPr>
          <w:rFonts w:hint="default" w:ascii="Times New Roman" w:hAnsi="Times New Roman" w:cs="Times New Roman"/>
          <w:color w:val="auto"/>
          <w:highlight w:val="none"/>
        </w:rPr>
        <w:t>加强规划宣传解读，提高规划知晓度和执行力，及时公布规划实施进展，自觉接受人大监督、政协监督、审计监督和社会监督</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建立健全定期检查和专项督查制度及纪律保障制度。加强规划动态管理，定期报告规划目标和主要任务进展情况，适时组织规划中期评估，依法开展规划修编和调整工作。</w:t>
      </w:r>
    </w:p>
    <w:p w14:paraId="5E008085">
      <w:pPr>
        <w:ind w:left="0" w:leftChars="0" w:firstLine="0" w:firstLineChars="0"/>
        <w:rPr>
          <w:rFonts w:hint="default" w:ascii="Times New Roman" w:hAnsi="Times New Roman" w:cs="Times New Roman"/>
          <w:lang w:val="en-US" w:eastAsia="zh-CN"/>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GWZT-EN">
    <w:panose1 w:val="02020400000000000000"/>
    <w:charset w:val="86"/>
    <w:family w:val="auto"/>
    <w:pitch w:val="default"/>
    <w:sig w:usb0="A00002BF" w:usb1="38CF7CFA" w:usb2="00082016" w:usb3="00000000" w:csb0="00040001"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1AA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510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FE40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EFE40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D3F3C"/>
    <w:multiLevelType w:val="singleLevel"/>
    <w:tmpl w:val="AB5D3F3C"/>
    <w:lvl w:ilvl="0" w:tentative="0">
      <w:start w:val="1"/>
      <w:numFmt w:val="chineseCounting"/>
      <w:suff w:val="nothing"/>
      <w:lvlText w:val="（%1）"/>
      <w:lvlJc w:val="left"/>
      <w:pPr>
        <w:ind w:left="0" w:firstLine="420"/>
      </w:pPr>
      <w:rPr>
        <w:rFonts w:hint="eastAsia"/>
      </w:rPr>
    </w:lvl>
  </w:abstractNum>
  <w:abstractNum w:abstractNumId="1">
    <w:nsid w:val="B8772BCC"/>
    <w:multiLevelType w:val="singleLevel"/>
    <w:tmpl w:val="B8772BCC"/>
    <w:lvl w:ilvl="0" w:tentative="0">
      <w:start w:val="1"/>
      <w:numFmt w:val="chineseCounting"/>
      <w:suff w:val="nothing"/>
      <w:lvlText w:val="（%1）"/>
      <w:lvlJc w:val="left"/>
      <w:pPr>
        <w:ind w:left="0" w:firstLine="420"/>
      </w:pPr>
      <w:rPr>
        <w:rFonts w:hint="eastAsia"/>
      </w:rPr>
    </w:lvl>
  </w:abstractNum>
  <w:abstractNum w:abstractNumId="2">
    <w:nsid w:val="C84B8CA0"/>
    <w:multiLevelType w:val="singleLevel"/>
    <w:tmpl w:val="C84B8CA0"/>
    <w:lvl w:ilvl="0" w:tentative="0">
      <w:start w:val="1"/>
      <w:numFmt w:val="chineseCounting"/>
      <w:suff w:val="nothing"/>
      <w:lvlText w:val="（%1）"/>
      <w:lvlJc w:val="left"/>
      <w:pPr>
        <w:ind w:left="0" w:firstLine="420"/>
      </w:pPr>
      <w:rPr>
        <w:rFonts w:hint="eastAsia"/>
      </w:rPr>
    </w:lvl>
  </w:abstractNum>
  <w:abstractNum w:abstractNumId="3">
    <w:nsid w:val="C8868A45"/>
    <w:multiLevelType w:val="singleLevel"/>
    <w:tmpl w:val="C8868A45"/>
    <w:lvl w:ilvl="0" w:tentative="0">
      <w:start w:val="2"/>
      <w:numFmt w:val="chineseCounting"/>
      <w:suff w:val="space"/>
      <w:lvlText w:val="第%1节"/>
      <w:lvlJc w:val="left"/>
      <w:rPr>
        <w:rFonts w:hint="eastAsia"/>
      </w:rPr>
    </w:lvl>
  </w:abstractNum>
  <w:abstractNum w:abstractNumId="4">
    <w:nsid w:val="CC4C4C4C"/>
    <w:multiLevelType w:val="singleLevel"/>
    <w:tmpl w:val="CC4C4C4C"/>
    <w:lvl w:ilvl="0" w:tentative="0">
      <w:start w:val="1"/>
      <w:numFmt w:val="chineseCounting"/>
      <w:suff w:val="nothing"/>
      <w:lvlText w:val="（%1）"/>
      <w:lvlJc w:val="left"/>
      <w:pPr>
        <w:ind w:left="0" w:firstLine="420"/>
      </w:pPr>
      <w:rPr>
        <w:rFonts w:hint="eastAsia"/>
      </w:rPr>
    </w:lvl>
  </w:abstractNum>
  <w:abstractNum w:abstractNumId="5">
    <w:nsid w:val="D9122F83"/>
    <w:multiLevelType w:val="singleLevel"/>
    <w:tmpl w:val="D9122F83"/>
    <w:lvl w:ilvl="0" w:tentative="0">
      <w:start w:val="1"/>
      <w:numFmt w:val="chineseCounting"/>
      <w:suff w:val="nothing"/>
      <w:lvlText w:val="（%1）"/>
      <w:lvlJc w:val="left"/>
      <w:pPr>
        <w:ind w:left="0" w:firstLine="420"/>
      </w:pPr>
      <w:rPr>
        <w:rFonts w:hint="eastAsia"/>
      </w:rPr>
    </w:lvl>
  </w:abstractNum>
  <w:abstractNum w:abstractNumId="6">
    <w:nsid w:val="0C0C9AAD"/>
    <w:multiLevelType w:val="singleLevel"/>
    <w:tmpl w:val="0C0C9AAD"/>
    <w:lvl w:ilvl="0" w:tentative="0">
      <w:start w:val="1"/>
      <w:numFmt w:val="chineseCounting"/>
      <w:suff w:val="nothing"/>
      <w:lvlText w:val="（%1）"/>
      <w:lvlJc w:val="left"/>
      <w:pPr>
        <w:ind w:left="0" w:firstLine="420"/>
      </w:pPr>
      <w:rPr>
        <w:rFonts w:hint="eastAsia"/>
      </w:rPr>
    </w:lvl>
  </w:abstractNum>
  <w:abstractNum w:abstractNumId="7">
    <w:nsid w:val="20EC9CE5"/>
    <w:multiLevelType w:val="singleLevel"/>
    <w:tmpl w:val="20EC9CE5"/>
    <w:lvl w:ilvl="0" w:tentative="0">
      <w:start w:val="1"/>
      <w:numFmt w:val="chineseCounting"/>
      <w:suff w:val="nothing"/>
      <w:lvlText w:val="（%1）"/>
      <w:lvlJc w:val="left"/>
      <w:pPr>
        <w:ind w:left="0" w:firstLine="420"/>
      </w:pPr>
      <w:rPr>
        <w:rFonts w:hint="eastAsia"/>
      </w:rPr>
    </w:lvl>
  </w:abstractNum>
  <w:abstractNum w:abstractNumId="8">
    <w:nsid w:val="35B93CFB"/>
    <w:multiLevelType w:val="multilevel"/>
    <w:tmpl w:val="35B93CFB"/>
    <w:lvl w:ilvl="0" w:tentative="0">
      <w:start w:val="1"/>
      <w:numFmt w:val="decimal"/>
      <w:pStyle w:val="25"/>
      <w:lvlText w:val="第%1条"/>
      <w:lvlJc w:val="left"/>
      <w:pPr>
        <w:ind w:left="1555" w:hanging="420"/>
      </w:pPr>
      <w:rPr>
        <w:rFonts w:hint="eastAsia" w:ascii="楷体_GB2312" w:hAnsi="黑体" w:eastAsia="楷体_GB2312"/>
        <w:b w:val="0"/>
        <w:i w:val="0"/>
        <w:color w:val="000000"/>
        <w:sz w:val="32"/>
        <w:lang w:val="en-US"/>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
    <w:nsid w:val="42ECDB36"/>
    <w:multiLevelType w:val="singleLevel"/>
    <w:tmpl w:val="42ECDB36"/>
    <w:lvl w:ilvl="0" w:tentative="0">
      <w:start w:val="2"/>
      <w:numFmt w:val="chineseCounting"/>
      <w:suff w:val="space"/>
      <w:lvlText w:val="第%1节"/>
      <w:lvlJc w:val="left"/>
      <w:rPr>
        <w:rFonts w:hint="eastAsia"/>
      </w:rPr>
    </w:lvl>
  </w:abstractNum>
  <w:abstractNum w:abstractNumId="10">
    <w:nsid w:val="430D4D43"/>
    <w:multiLevelType w:val="singleLevel"/>
    <w:tmpl w:val="430D4D43"/>
    <w:lvl w:ilvl="0" w:tentative="0">
      <w:start w:val="1"/>
      <w:numFmt w:val="chineseCounting"/>
      <w:suff w:val="nothing"/>
      <w:lvlText w:val="（%1）"/>
      <w:lvlJc w:val="left"/>
      <w:pPr>
        <w:ind w:left="0" w:firstLine="420"/>
      </w:pPr>
      <w:rPr>
        <w:rFonts w:hint="eastAsia"/>
      </w:rPr>
    </w:lvl>
  </w:abstractNum>
  <w:abstractNum w:abstractNumId="11">
    <w:nsid w:val="7E877A09"/>
    <w:multiLevelType w:val="singleLevel"/>
    <w:tmpl w:val="7E877A09"/>
    <w:lvl w:ilvl="0" w:tentative="0">
      <w:start w:val="1"/>
      <w:numFmt w:val="chineseCounting"/>
      <w:pStyle w:val="4"/>
      <w:suff w:val="nothing"/>
      <w:lvlText w:val="（%1）"/>
      <w:lvlJc w:val="left"/>
      <w:pPr>
        <w:ind w:left="0" w:firstLine="420"/>
      </w:pPr>
      <w:rPr>
        <w:rFonts w:hint="eastAsia"/>
      </w:rPr>
    </w:lvl>
  </w:abstractNum>
  <w:num w:numId="1">
    <w:abstractNumId w:val="11"/>
  </w:num>
  <w:num w:numId="2">
    <w:abstractNumId w:val="8"/>
  </w:num>
  <w:num w:numId="3">
    <w:abstractNumId w:val="3"/>
  </w:num>
  <w:num w:numId="4">
    <w:abstractNumId w:val="10"/>
  </w:num>
  <w:num w:numId="5">
    <w:abstractNumId w:val="9"/>
  </w:num>
  <w:num w:numId="6">
    <w:abstractNumId w:val="1"/>
  </w:num>
  <w:num w:numId="7">
    <w:abstractNumId w:val="7"/>
  </w:num>
  <w:num w:numId="8">
    <w:abstractNumId w:val="5"/>
  </w:num>
  <w:num w:numId="9">
    <w:abstractNumId w:val="0"/>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4097F"/>
    <w:rsid w:val="001A2968"/>
    <w:rsid w:val="00264745"/>
    <w:rsid w:val="002812DB"/>
    <w:rsid w:val="003174BD"/>
    <w:rsid w:val="003E2F09"/>
    <w:rsid w:val="00404647"/>
    <w:rsid w:val="005319D6"/>
    <w:rsid w:val="005A2CF3"/>
    <w:rsid w:val="005C75A3"/>
    <w:rsid w:val="006911F9"/>
    <w:rsid w:val="008C126F"/>
    <w:rsid w:val="00A6244D"/>
    <w:rsid w:val="00B95106"/>
    <w:rsid w:val="00E61CB9"/>
    <w:rsid w:val="00F8547C"/>
    <w:rsid w:val="00F85C85"/>
    <w:rsid w:val="0110559F"/>
    <w:rsid w:val="011A71D9"/>
    <w:rsid w:val="011E1FE4"/>
    <w:rsid w:val="01317F69"/>
    <w:rsid w:val="0136732D"/>
    <w:rsid w:val="0146446B"/>
    <w:rsid w:val="014827AF"/>
    <w:rsid w:val="015053DC"/>
    <w:rsid w:val="01631B43"/>
    <w:rsid w:val="01763BCE"/>
    <w:rsid w:val="017B31B9"/>
    <w:rsid w:val="01A60A78"/>
    <w:rsid w:val="01AB7E15"/>
    <w:rsid w:val="01C26E13"/>
    <w:rsid w:val="01D37272"/>
    <w:rsid w:val="01E52F0D"/>
    <w:rsid w:val="01E90844"/>
    <w:rsid w:val="020A3C56"/>
    <w:rsid w:val="020C4532"/>
    <w:rsid w:val="0224362A"/>
    <w:rsid w:val="023E5EC1"/>
    <w:rsid w:val="02431F65"/>
    <w:rsid w:val="025722C7"/>
    <w:rsid w:val="026125EF"/>
    <w:rsid w:val="02647ECA"/>
    <w:rsid w:val="026B4887"/>
    <w:rsid w:val="02804781"/>
    <w:rsid w:val="02924A37"/>
    <w:rsid w:val="029E4B2E"/>
    <w:rsid w:val="02A24112"/>
    <w:rsid w:val="02C60B85"/>
    <w:rsid w:val="02CC273C"/>
    <w:rsid w:val="02D7069C"/>
    <w:rsid w:val="02DE7A49"/>
    <w:rsid w:val="02DF1815"/>
    <w:rsid w:val="02E5725D"/>
    <w:rsid w:val="02ED72BD"/>
    <w:rsid w:val="03074706"/>
    <w:rsid w:val="030A2589"/>
    <w:rsid w:val="03233CCC"/>
    <w:rsid w:val="033B6E7D"/>
    <w:rsid w:val="03493125"/>
    <w:rsid w:val="034A3564"/>
    <w:rsid w:val="034B6EE4"/>
    <w:rsid w:val="034C72DC"/>
    <w:rsid w:val="0354707E"/>
    <w:rsid w:val="035E2972"/>
    <w:rsid w:val="03782989"/>
    <w:rsid w:val="037D7167"/>
    <w:rsid w:val="0383125F"/>
    <w:rsid w:val="038F66BC"/>
    <w:rsid w:val="039B3DC0"/>
    <w:rsid w:val="03A569EC"/>
    <w:rsid w:val="03AA5DB1"/>
    <w:rsid w:val="03B86720"/>
    <w:rsid w:val="03B95FF4"/>
    <w:rsid w:val="03BB1D6C"/>
    <w:rsid w:val="03BB7FBE"/>
    <w:rsid w:val="03D66BA6"/>
    <w:rsid w:val="03DA314B"/>
    <w:rsid w:val="03E5328D"/>
    <w:rsid w:val="03E72B61"/>
    <w:rsid w:val="04051E5E"/>
    <w:rsid w:val="041A7F27"/>
    <w:rsid w:val="041D47D5"/>
    <w:rsid w:val="042C4A18"/>
    <w:rsid w:val="045529F1"/>
    <w:rsid w:val="0458435A"/>
    <w:rsid w:val="045B49A7"/>
    <w:rsid w:val="046A4956"/>
    <w:rsid w:val="04702B56"/>
    <w:rsid w:val="0486237A"/>
    <w:rsid w:val="049A5E25"/>
    <w:rsid w:val="049E25F8"/>
    <w:rsid w:val="04A171B4"/>
    <w:rsid w:val="04A96068"/>
    <w:rsid w:val="04AD1909"/>
    <w:rsid w:val="04B25135"/>
    <w:rsid w:val="04BB3569"/>
    <w:rsid w:val="04BB5274"/>
    <w:rsid w:val="04BD7D66"/>
    <w:rsid w:val="04BF2C00"/>
    <w:rsid w:val="04D43F13"/>
    <w:rsid w:val="04DA4474"/>
    <w:rsid w:val="04E25142"/>
    <w:rsid w:val="04ED41A7"/>
    <w:rsid w:val="04F27A0F"/>
    <w:rsid w:val="050D2A9B"/>
    <w:rsid w:val="050F664B"/>
    <w:rsid w:val="05104339"/>
    <w:rsid w:val="051536FE"/>
    <w:rsid w:val="051C2CDE"/>
    <w:rsid w:val="05235E1B"/>
    <w:rsid w:val="052676B9"/>
    <w:rsid w:val="055951AB"/>
    <w:rsid w:val="05746676"/>
    <w:rsid w:val="0575419C"/>
    <w:rsid w:val="057B5C57"/>
    <w:rsid w:val="057E27D1"/>
    <w:rsid w:val="0580054A"/>
    <w:rsid w:val="05850883"/>
    <w:rsid w:val="05980631"/>
    <w:rsid w:val="05AC1672"/>
    <w:rsid w:val="05B670A1"/>
    <w:rsid w:val="05B977DA"/>
    <w:rsid w:val="05CE4891"/>
    <w:rsid w:val="05E4614D"/>
    <w:rsid w:val="05ED3A32"/>
    <w:rsid w:val="05F07445"/>
    <w:rsid w:val="05F45A09"/>
    <w:rsid w:val="061562A8"/>
    <w:rsid w:val="06175254"/>
    <w:rsid w:val="062260D2"/>
    <w:rsid w:val="06347010"/>
    <w:rsid w:val="0635149D"/>
    <w:rsid w:val="0635178D"/>
    <w:rsid w:val="063B3638"/>
    <w:rsid w:val="065D29CB"/>
    <w:rsid w:val="06626C28"/>
    <w:rsid w:val="06651661"/>
    <w:rsid w:val="06654211"/>
    <w:rsid w:val="0666315E"/>
    <w:rsid w:val="06677F89"/>
    <w:rsid w:val="06782196"/>
    <w:rsid w:val="06A66D03"/>
    <w:rsid w:val="06B55198"/>
    <w:rsid w:val="06CB7B62"/>
    <w:rsid w:val="06D80E87"/>
    <w:rsid w:val="06E63326"/>
    <w:rsid w:val="06E74FFD"/>
    <w:rsid w:val="06ED14B1"/>
    <w:rsid w:val="06F760EF"/>
    <w:rsid w:val="06F8266B"/>
    <w:rsid w:val="06F8632A"/>
    <w:rsid w:val="06FA704F"/>
    <w:rsid w:val="070424B8"/>
    <w:rsid w:val="070457D8"/>
    <w:rsid w:val="070954E4"/>
    <w:rsid w:val="070B133A"/>
    <w:rsid w:val="07120405"/>
    <w:rsid w:val="071D689A"/>
    <w:rsid w:val="0739338B"/>
    <w:rsid w:val="07643229"/>
    <w:rsid w:val="076B5857"/>
    <w:rsid w:val="077305E0"/>
    <w:rsid w:val="07754928"/>
    <w:rsid w:val="077D4575"/>
    <w:rsid w:val="07805FA5"/>
    <w:rsid w:val="07830DF3"/>
    <w:rsid w:val="07A80859"/>
    <w:rsid w:val="07AE561F"/>
    <w:rsid w:val="07B00DB5"/>
    <w:rsid w:val="07BE5C53"/>
    <w:rsid w:val="07C05BA3"/>
    <w:rsid w:val="07CA4C73"/>
    <w:rsid w:val="07CD6512"/>
    <w:rsid w:val="07D63618"/>
    <w:rsid w:val="07D71065"/>
    <w:rsid w:val="07DD0A14"/>
    <w:rsid w:val="07EB75B7"/>
    <w:rsid w:val="07F7358F"/>
    <w:rsid w:val="07F75E97"/>
    <w:rsid w:val="080638DB"/>
    <w:rsid w:val="080A078A"/>
    <w:rsid w:val="080B2B96"/>
    <w:rsid w:val="081E6D6D"/>
    <w:rsid w:val="08236132"/>
    <w:rsid w:val="083876CC"/>
    <w:rsid w:val="084037EA"/>
    <w:rsid w:val="08634780"/>
    <w:rsid w:val="08663767"/>
    <w:rsid w:val="086D3F47"/>
    <w:rsid w:val="086F18AD"/>
    <w:rsid w:val="087A136D"/>
    <w:rsid w:val="088A4403"/>
    <w:rsid w:val="088E3EF3"/>
    <w:rsid w:val="0895702F"/>
    <w:rsid w:val="0898607D"/>
    <w:rsid w:val="089E3A0A"/>
    <w:rsid w:val="08B84ACC"/>
    <w:rsid w:val="08BF5E5A"/>
    <w:rsid w:val="08D86A00"/>
    <w:rsid w:val="08DD3BE4"/>
    <w:rsid w:val="08F22866"/>
    <w:rsid w:val="08FC70AE"/>
    <w:rsid w:val="090D47DF"/>
    <w:rsid w:val="09121943"/>
    <w:rsid w:val="09253D35"/>
    <w:rsid w:val="09360577"/>
    <w:rsid w:val="09517964"/>
    <w:rsid w:val="096609CC"/>
    <w:rsid w:val="09691401"/>
    <w:rsid w:val="098D7D07"/>
    <w:rsid w:val="099E7FC1"/>
    <w:rsid w:val="09BE25B6"/>
    <w:rsid w:val="09C315DC"/>
    <w:rsid w:val="09D54437"/>
    <w:rsid w:val="09DD090D"/>
    <w:rsid w:val="09E162A4"/>
    <w:rsid w:val="0A0106F5"/>
    <w:rsid w:val="0A0C3321"/>
    <w:rsid w:val="0A24581E"/>
    <w:rsid w:val="0A3A2034"/>
    <w:rsid w:val="0A4A4B5C"/>
    <w:rsid w:val="0A504224"/>
    <w:rsid w:val="0A5142B8"/>
    <w:rsid w:val="0A8266DE"/>
    <w:rsid w:val="0A84159F"/>
    <w:rsid w:val="0A973559"/>
    <w:rsid w:val="0AA373E9"/>
    <w:rsid w:val="0AA736ED"/>
    <w:rsid w:val="0AAB1AD2"/>
    <w:rsid w:val="0AAD2893"/>
    <w:rsid w:val="0AAF50D6"/>
    <w:rsid w:val="0AB40ABB"/>
    <w:rsid w:val="0AC7549A"/>
    <w:rsid w:val="0ACF6DDC"/>
    <w:rsid w:val="0AD00B10"/>
    <w:rsid w:val="0AD025A1"/>
    <w:rsid w:val="0AF52007"/>
    <w:rsid w:val="0B016828"/>
    <w:rsid w:val="0B097861"/>
    <w:rsid w:val="0B21104E"/>
    <w:rsid w:val="0B27418B"/>
    <w:rsid w:val="0B2E72C7"/>
    <w:rsid w:val="0B2F77D2"/>
    <w:rsid w:val="0B4511B7"/>
    <w:rsid w:val="0B521208"/>
    <w:rsid w:val="0B521A65"/>
    <w:rsid w:val="0B5C5BE2"/>
    <w:rsid w:val="0B7A42BB"/>
    <w:rsid w:val="0B7D1FFD"/>
    <w:rsid w:val="0B995089"/>
    <w:rsid w:val="0BA1569B"/>
    <w:rsid w:val="0BA94306"/>
    <w:rsid w:val="0BC37AA3"/>
    <w:rsid w:val="0BC57EE9"/>
    <w:rsid w:val="0BD86FD0"/>
    <w:rsid w:val="0BDA63E2"/>
    <w:rsid w:val="0BDC5C2E"/>
    <w:rsid w:val="0BFE7C41"/>
    <w:rsid w:val="0C055185"/>
    <w:rsid w:val="0C0B7609"/>
    <w:rsid w:val="0C1E0A6B"/>
    <w:rsid w:val="0C35268A"/>
    <w:rsid w:val="0C3B4C5D"/>
    <w:rsid w:val="0C4B5C57"/>
    <w:rsid w:val="0C4C6152"/>
    <w:rsid w:val="0C564D28"/>
    <w:rsid w:val="0C6F61CA"/>
    <w:rsid w:val="0C874EE1"/>
    <w:rsid w:val="0C9C373F"/>
    <w:rsid w:val="0C9D7720"/>
    <w:rsid w:val="0CB35CD6"/>
    <w:rsid w:val="0CBB102F"/>
    <w:rsid w:val="0D0B1865"/>
    <w:rsid w:val="0D1349C7"/>
    <w:rsid w:val="0D22719E"/>
    <w:rsid w:val="0D2E35AF"/>
    <w:rsid w:val="0D2E7A52"/>
    <w:rsid w:val="0D35493D"/>
    <w:rsid w:val="0D58687D"/>
    <w:rsid w:val="0D646FD0"/>
    <w:rsid w:val="0D682F64"/>
    <w:rsid w:val="0D6E6B91"/>
    <w:rsid w:val="0D735465"/>
    <w:rsid w:val="0D774F56"/>
    <w:rsid w:val="0D7D62E4"/>
    <w:rsid w:val="0D803EC3"/>
    <w:rsid w:val="0D88250A"/>
    <w:rsid w:val="0D8D4779"/>
    <w:rsid w:val="0D8F7C75"/>
    <w:rsid w:val="0D927FE1"/>
    <w:rsid w:val="0DA42D99"/>
    <w:rsid w:val="0DAF49FC"/>
    <w:rsid w:val="0DB67743"/>
    <w:rsid w:val="0DC0318D"/>
    <w:rsid w:val="0DC11EEC"/>
    <w:rsid w:val="0DC14423"/>
    <w:rsid w:val="0DCD5D4F"/>
    <w:rsid w:val="0DD73263"/>
    <w:rsid w:val="0DDF26C2"/>
    <w:rsid w:val="0DF742E8"/>
    <w:rsid w:val="0DF83B9F"/>
    <w:rsid w:val="0DFE6DCD"/>
    <w:rsid w:val="0E0D1416"/>
    <w:rsid w:val="0E1F4E61"/>
    <w:rsid w:val="0E323572"/>
    <w:rsid w:val="0E344BF5"/>
    <w:rsid w:val="0E436630"/>
    <w:rsid w:val="0E455054"/>
    <w:rsid w:val="0E5C414B"/>
    <w:rsid w:val="0E5D717C"/>
    <w:rsid w:val="0E7616B1"/>
    <w:rsid w:val="0E884F40"/>
    <w:rsid w:val="0E912D25"/>
    <w:rsid w:val="0EAD7B7A"/>
    <w:rsid w:val="0EB61AAE"/>
    <w:rsid w:val="0ECB5FCD"/>
    <w:rsid w:val="0ED56C85"/>
    <w:rsid w:val="0F037F40"/>
    <w:rsid w:val="0F095EF3"/>
    <w:rsid w:val="0F135152"/>
    <w:rsid w:val="0F3745E2"/>
    <w:rsid w:val="0F3F316D"/>
    <w:rsid w:val="0F4D75A3"/>
    <w:rsid w:val="0F5117D6"/>
    <w:rsid w:val="0F7057D1"/>
    <w:rsid w:val="0F720802"/>
    <w:rsid w:val="0F7B797C"/>
    <w:rsid w:val="0F9C6EF5"/>
    <w:rsid w:val="0F9D4A1B"/>
    <w:rsid w:val="0FBA381F"/>
    <w:rsid w:val="0FD30EB5"/>
    <w:rsid w:val="0FDC5544"/>
    <w:rsid w:val="0FED0DC8"/>
    <w:rsid w:val="10034CC7"/>
    <w:rsid w:val="10060813"/>
    <w:rsid w:val="103412D0"/>
    <w:rsid w:val="103B37E4"/>
    <w:rsid w:val="107D37BB"/>
    <w:rsid w:val="107E65FB"/>
    <w:rsid w:val="108A25E9"/>
    <w:rsid w:val="10A926FD"/>
    <w:rsid w:val="10AB4B20"/>
    <w:rsid w:val="10AC5B32"/>
    <w:rsid w:val="10B14C22"/>
    <w:rsid w:val="10B849B9"/>
    <w:rsid w:val="10DA130A"/>
    <w:rsid w:val="10DB2CC4"/>
    <w:rsid w:val="10F11160"/>
    <w:rsid w:val="110201C7"/>
    <w:rsid w:val="11390774"/>
    <w:rsid w:val="1145536B"/>
    <w:rsid w:val="114F1D45"/>
    <w:rsid w:val="114F7F97"/>
    <w:rsid w:val="11536462"/>
    <w:rsid w:val="115A5929"/>
    <w:rsid w:val="11653E90"/>
    <w:rsid w:val="11671785"/>
    <w:rsid w:val="117D32B6"/>
    <w:rsid w:val="118045F5"/>
    <w:rsid w:val="118555A5"/>
    <w:rsid w:val="11877731"/>
    <w:rsid w:val="11916B34"/>
    <w:rsid w:val="11954918"/>
    <w:rsid w:val="11A647B8"/>
    <w:rsid w:val="11B031DE"/>
    <w:rsid w:val="11C873D2"/>
    <w:rsid w:val="11D015CA"/>
    <w:rsid w:val="11D47106"/>
    <w:rsid w:val="11DA2898"/>
    <w:rsid w:val="11DA5E77"/>
    <w:rsid w:val="11EC5ABD"/>
    <w:rsid w:val="11F8418B"/>
    <w:rsid w:val="12011ED5"/>
    <w:rsid w:val="120B4BD9"/>
    <w:rsid w:val="121433D0"/>
    <w:rsid w:val="121C3A86"/>
    <w:rsid w:val="12201A44"/>
    <w:rsid w:val="12217B86"/>
    <w:rsid w:val="12274A70"/>
    <w:rsid w:val="122E5DFF"/>
    <w:rsid w:val="123037F5"/>
    <w:rsid w:val="123D6042"/>
    <w:rsid w:val="123E08C6"/>
    <w:rsid w:val="125473DE"/>
    <w:rsid w:val="12567459"/>
    <w:rsid w:val="1258203C"/>
    <w:rsid w:val="126023CE"/>
    <w:rsid w:val="12696E37"/>
    <w:rsid w:val="126D6927"/>
    <w:rsid w:val="128879FC"/>
    <w:rsid w:val="128C6687"/>
    <w:rsid w:val="128D714B"/>
    <w:rsid w:val="1292638E"/>
    <w:rsid w:val="12934674"/>
    <w:rsid w:val="12B33150"/>
    <w:rsid w:val="12B46304"/>
    <w:rsid w:val="12CE1482"/>
    <w:rsid w:val="12D36530"/>
    <w:rsid w:val="12D5055C"/>
    <w:rsid w:val="12DB084A"/>
    <w:rsid w:val="13050E55"/>
    <w:rsid w:val="130C16C4"/>
    <w:rsid w:val="130F3E82"/>
    <w:rsid w:val="131A7445"/>
    <w:rsid w:val="131B790F"/>
    <w:rsid w:val="13203999"/>
    <w:rsid w:val="13394A5B"/>
    <w:rsid w:val="133C4205"/>
    <w:rsid w:val="13653AA2"/>
    <w:rsid w:val="136E7210"/>
    <w:rsid w:val="137361BF"/>
    <w:rsid w:val="138959E3"/>
    <w:rsid w:val="13916645"/>
    <w:rsid w:val="139A07F7"/>
    <w:rsid w:val="13C149D4"/>
    <w:rsid w:val="13C2402B"/>
    <w:rsid w:val="13DD7927"/>
    <w:rsid w:val="13F73B49"/>
    <w:rsid w:val="14044715"/>
    <w:rsid w:val="140538AC"/>
    <w:rsid w:val="14076907"/>
    <w:rsid w:val="140C5C8F"/>
    <w:rsid w:val="14125909"/>
    <w:rsid w:val="14151126"/>
    <w:rsid w:val="141E2CB3"/>
    <w:rsid w:val="142474B9"/>
    <w:rsid w:val="14363DC9"/>
    <w:rsid w:val="14447B5C"/>
    <w:rsid w:val="144933C4"/>
    <w:rsid w:val="14494F10"/>
    <w:rsid w:val="144D471F"/>
    <w:rsid w:val="14610BA8"/>
    <w:rsid w:val="14636905"/>
    <w:rsid w:val="14684F0D"/>
    <w:rsid w:val="146C59F2"/>
    <w:rsid w:val="147321EF"/>
    <w:rsid w:val="1485733D"/>
    <w:rsid w:val="14860174"/>
    <w:rsid w:val="14860DA6"/>
    <w:rsid w:val="149019C4"/>
    <w:rsid w:val="149743A5"/>
    <w:rsid w:val="14997EA7"/>
    <w:rsid w:val="14A01236"/>
    <w:rsid w:val="14A24B95"/>
    <w:rsid w:val="14AB7BDB"/>
    <w:rsid w:val="14B7410B"/>
    <w:rsid w:val="14B97990"/>
    <w:rsid w:val="14C64FA3"/>
    <w:rsid w:val="14CF4012"/>
    <w:rsid w:val="14D760A7"/>
    <w:rsid w:val="14F055ED"/>
    <w:rsid w:val="1506213E"/>
    <w:rsid w:val="151B08BC"/>
    <w:rsid w:val="152738F7"/>
    <w:rsid w:val="1528158D"/>
    <w:rsid w:val="15431BC1"/>
    <w:rsid w:val="154A73F4"/>
    <w:rsid w:val="15664323"/>
    <w:rsid w:val="156A68C4"/>
    <w:rsid w:val="157F6D34"/>
    <w:rsid w:val="15B036A4"/>
    <w:rsid w:val="15B13CA7"/>
    <w:rsid w:val="15B42D6D"/>
    <w:rsid w:val="15B825AF"/>
    <w:rsid w:val="15BD5E17"/>
    <w:rsid w:val="15C52DE7"/>
    <w:rsid w:val="15DD5543"/>
    <w:rsid w:val="15EB2077"/>
    <w:rsid w:val="15EF3AF7"/>
    <w:rsid w:val="15F315EF"/>
    <w:rsid w:val="15F66C34"/>
    <w:rsid w:val="15F96350"/>
    <w:rsid w:val="15FB575E"/>
    <w:rsid w:val="16074970"/>
    <w:rsid w:val="16111CBF"/>
    <w:rsid w:val="1615355E"/>
    <w:rsid w:val="16464112"/>
    <w:rsid w:val="16510F16"/>
    <w:rsid w:val="165174A0"/>
    <w:rsid w:val="16583BA8"/>
    <w:rsid w:val="16612C47"/>
    <w:rsid w:val="1666025D"/>
    <w:rsid w:val="16774218"/>
    <w:rsid w:val="167D5F68"/>
    <w:rsid w:val="167F2A1D"/>
    <w:rsid w:val="168570D8"/>
    <w:rsid w:val="169C16C1"/>
    <w:rsid w:val="16A1058E"/>
    <w:rsid w:val="16BA4105"/>
    <w:rsid w:val="16C04F0D"/>
    <w:rsid w:val="16C755B9"/>
    <w:rsid w:val="16D37279"/>
    <w:rsid w:val="16E42F30"/>
    <w:rsid w:val="16E66CA8"/>
    <w:rsid w:val="16EC4088"/>
    <w:rsid w:val="17050E6B"/>
    <w:rsid w:val="17061355"/>
    <w:rsid w:val="173907BF"/>
    <w:rsid w:val="174340FA"/>
    <w:rsid w:val="174A257A"/>
    <w:rsid w:val="174B25FE"/>
    <w:rsid w:val="174C7453"/>
    <w:rsid w:val="17773DA4"/>
    <w:rsid w:val="1782598D"/>
    <w:rsid w:val="1799486D"/>
    <w:rsid w:val="17A821AF"/>
    <w:rsid w:val="17A82F6A"/>
    <w:rsid w:val="17AD024C"/>
    <w:rsid w:val="17B40B54"/>
    <w:rsid w:val="17BD20FF"/>
    <w:rsid w:val="17C355BE"/>
    <w:rsid w:val="17C4118C"/>
    <w:rsid w:val="17FF6273"/>
    <w:rsid w:val="1809246F"/>
    <w:rsid w:val="180D777E"/>
    <w:rsid w:val="180E22F4"/>
    <w:rsid w:val="181A1675"/>
    <w:rsid w:val="181B6E25"/>
    <w:rsid w:val="182A3829"/>
    <w:rsid w:val="182D3CDB"/>
    <w:rsid w:val="182F467F"/>
    <w:rsid w:val="183B1452"/>
    <w:rsid w:val="184751DB"/>
    <w:rsid w:val="18602A8A"/>
    <w:rsid w:val="186F7922"/>
    <w:rsid w:val="18737BB2"/>
    <w:rsid w:val="188822F6"/>
    <w:rsid w:val="18914B45"/>
    <w:rsid w:val="189D1E4F"/>
    <w:rsid w:val="18A4097F"/>
    <w:rsid w:val="18A44A6A"/>
    <w:rsid w:val="18A4506D"/>
    <w:rsid w:val="18AB0D80"/>
    <w:rsid w:val="18B117B0"/>
    <w:rsid w:val="18DF6E59"/>
    <w:rsid w:val="18E32AAE"/>
    <w:rsid w:val="18E70105"/>
    <w:rsid w:val="18EE0096"/>
    <w:rsid w:val="18F46799"/>
    <w:rsid w:val="18F73D78"/>
    <w:rsid w:val="18FC6C57"/>
    <w:rsid w:val="190E24E6"/>
    <w:rsid w:val="19141836"/>
    <w:rsid w:val="1921046B"/>
    <w:rsid w:val="192166BD"/>
    <w:rsid w:val="192F165F"/>
    <w:rsid w:val="19314B52"/>
    <w:rsid w:val="193B23CF"/>
    <w:rsid w:val="19417476"/>
    <w:rsid w:val="195C2647"/>
    <w:rsid w:val="196636DF"/>
    <w:rsid w:val="196B0D46"/>
    <w:rsid w:val="196D717D"/>
    <w:rsid w:val="196F7429"/>
    <w:rsid w:val="197954B1"/>
    <w:rsid w:val="198D78AF"/>
    <w:rsid w:val="198F1879"/>
    <w:rsid w:val="19A94152"/>
    <w:rsid w:val="19B46737"/>
    <w:rsid w:val="19BE5749"/>
    <w:rsid w:val="19D53F8B"/>
    <w:rsid w:val="19D86FBC"/>
    <w:rsid w:val="19F3005A"/>
    <w:rsid w:val="1A08403E"/>
    <w:rsid w:val="1A1D0C33"/>
    <w:rsid w:val="1A240213"/>
    <w:rsid w:val="1A2A0EFD"/>
    <w:rsid w:val="1A3356E6"/>
    <w:rsid w:val="1A4F7538"/>
    <w:rsid w:val="1A6D78D8"/>
    <w:rsid w:val="1A7C7635"/>
    <w:rsid w:val="1A8769F4"/>
    <w:rsid w:val="1A8974F0"/>
    <w:rsid w:val="1A974E89"/>
    <w:rsid w:val="1A9A5B22"/>
    <w:rsid w:val="1AB5530F"/>
    <w:rsid w:val="1ADD03C2"/>
    <w:rsid w:val="1AE5601C"/>
    <w:rsid w:val="1AF80930"/>
    <w:rsid w:val="1AFB7C4D"/>
    <w:rsid w:val="1AFF2A2E"/>
    <w:rsid w:val="1B012302"/>
    <w:rsid w:val="1B0D2CEC"/>
    <w:rsid w:val="1B1F4E7E"/>
    <w:rsid w:val="1B2342BD"/>
    <w:rsid w:val="1B2D1586"/>
    <w:rsid w:val="1B3560D5"/>
    <w:rsid w:val="1B474345"/>
    <w:rsid w:val="1B542D7A"/>
    <w:rsid w:val="1B5543FC"/>
    <w:rsid w:val="1B610FF3"/>
    <w:rsid w:val="1B625754"/>
    <w:rsid w:val="1B67330E"/>
    <w:rsid w:val="1B7452FD"/>
    <w:rsid w:val="1B811695"/>
    <w:rsid w:val="1B8908F3"/>
    <w:rsid w:val="1B8D5679"/>
    <w:rsid w:val="1B9C202B"/>
    <w:rsid w:val="1BA809D0"/>
    <w:rsid w:val="1BAC57CF"/>
    <w:rsid w:val="1BAE3374"/>
    <w:rsid w:val="1BB40ABA"/>
    <w:rsid w:val="1BB9498B"/>
    <w:rsid w:val="1BDD3B29"/>
    <w:rsid w:val="1C024584"/>
    <w:rsid w:val="1C035FB2"/>
    <w:rsid w:val="1C0A168B"/>
    <w:rsid w:val="1C115F19"/>
    <w:rsid w:val="1C197B20"/>
    <w:rsid w:val="1C225300"/>
    <w:rsid w:val="1C4B3C81"/>
    <w:rsid w:val="1C4C7E65"/>
    <w:rsid w:val="1C6946B9"/>
    <w:rsid w:val="1C7A0F4E"/>
    <w:rsid w:val="1C7B531C"/>
    <w:rsid w:val="1C892E65"/>
    <w:rsid w:val="1C8E2EC1"/>
    <w:rsid w:val="1C952A47"/>
    <w:rsid w:val="1CB810E7"/>
    <w:rsid w:val="1CBC0BD7"/>
    <w:rsid w:val="1CC17F9B"/>
    <w:rsid w:val="1CD43891"/>
    <w:rsid w:val="1CF10155"/>
    <w:rsid w:val="1D047337"/>
    <w:rsid w:val="1D0B4F98"/>
    <w:rsid w:val="1D2752B5"/>
    <w:rsid w:val="1D3369BF"/>
    <w:rsid w:val="1D42188E"/>
    <w:rsid w:val="1D4937D8"/>
    <w:rsid w:val="1D601DE5"/>
    <w:rsid w:val="1D730399"/>
    <w:rsid w:val="1D74500E"/>
    <w:rsid w:val="1D752B34"/>
    <w:rsid w:val="1D8F11D2"/>
    <w:rsid w:val="1D994A74"/>
    <w:rsid w:val="1D9B3460"/>
    <w:rsid w:val="1DC11D64"/>
    <w:rsid w:val="1DC27282"/>
    <w:rsid w:val="1DCA7323"/>
    <w:rsid w:val="1DF919B7"/>
    <w:rsid w:val="1E2C2D12"/>
    <w:rsid w:val="1E2E25BD"/>
    <w:rsid w:val="1E3E3F8C"/>
    <w:rsid w:val="1E6058EF"/>
    <w:rsid w:val="1E756C9C"/>
    <w:rsid w:val="1E8850A7"/>
    <w:rsid w:val="1EA9070F"/>
    <w:rsid w:val="1EC45B21"/>
    <w:rsid w:val="1ED76064"/>
    <w:rsid w:val="1EDD4E34"/>
    <w:rsid w:val="1EF657D6"/>
    <w:rsid w:val="1EFB52BB"/>
    <w:rsid w:val="1F0050E4"/>
    <w:rsid w:val="1F117FAD"/>
    <w:rsid w:val="1F134CFA"/>
    <w:rsid w:val="1F171A29"/>
    <w:rsid w:val="1F292BE0"/>
    <w:rsid w:val="1F5A21E2"/>
    <w:rsid w:val="1F6B3DDD"/>
    <w:rsid w:val="1F6C499D"/>
    <w:rsid w:val="1F757996"/>
    <w:rsid w:val="1F797C0C"/>
    <w:rsid w:val="1F93531D"/>
    <w:rsid w:val="1F98426B"/>
    <w:rsid w:val="1F9C3D7C"/>
    <w:rsid w:val="1F9E17E9"/>
    <w:rsid w:val="1FB65C0F"/>
    <w:rsid w:val="1FB8338A"/>
    <w:rsid w:val="1FD224BF"/>
    <w:rsid w:val="1FD72A31"/>
    <w:rsid w:val="1FE779F9"/>
    <w:rsid w:val="1FEC15D6"/>
    <w:rsid w:val="1FF05470"/>
    <w:rsid w:val="20332DE9"/>
    <w:rsid w:val="20342019"/>
    <w:rsid w:val="203B7F46"/>
    <w:rsid w:val="204038CD"/>
    <w:rsid w:val="20450D36"/>
    <w:rsid w:val="20482EF6"/>
    <w:rsid w:val="20542783"/>
    <w:rsid w:val="20666BE6"/>
    <w:rsid w:val="20713A86"/>
    <w:rsid w:val="208B5D68"/>
    <w:rsid w:val="209B0B03"/>
    <w:rsid w:val="209D0D1F"/>
    <w:rsid w:val="20A45071"/>
    <w:rsid w:val="20B47865"/>
    <w:rsid w:val="20BC5D59"/>
    <w:rsid w:val="20C938C2"/>
    <w:rsid w:val="20D36967"/>
    <w:rsid w:val="21063182"/>
    <w:rsid w:val="21154D5A"/>
    <w:rsid w:val="2140492E"/>
    <w:rsid w:val="214334DB"/>
    <w:rsid w:val="21475EFD"/>
    <w:rsid w:val="21724FCA"/>
    <w:rsid w:val="21731DFE"/>
    <w:rsid w:val="217C26E3"/>
    <w:rsid w:val="21806D62"/>
    <w:rsid w:val="218E459D"/>
    <w:rsid w:val="21925DB3"/>
    <w:rsid w:val="21965C8F"/>
    <w:rsid w:val="2197576F"/>
    <w:rsid w:val="219E4D4F"/>
    <w:rsid w:val="21A607FA"/>
    <w:rsid w:val="21AB205E"/>
    <w:rsid w:val="21AD2CA4"/>
    <w:rsid w:val="21B12E6B"/>
    <w:rsid w:val="21BA6877"/>
    <w:rsid w:val="21C422DC"/>
    <w:rsid w:val="21C916A0"/>
    <w:rsid w:val="21C9418C"/>
    <w:rsid w:val="21CF4F08"/>
    <w:rsid w:val="21F17CEF"/>
    <w:rsid w:val="21F948AE"/>
    <w:rsid w:val="220620E3"/>
    <w:rsid w:val="220A10EA"/>
    <w:rsid w:val="22117BFE"/>
    <w:rsid w:val="22177093"/>
    <w:rsid w:val="22273E4A"/>
    <w:rsid w:val="222F3BF9"/>
    <w:rsid w:val="224B5175"/>
    <w:rsid w:val="224F021B"/>
    <w:rsid w:val="226C7D3C"/>
    <w:rsid w:val="22703D3C"/>
    <w:rsid w:val="227A213B"/>
    <w:rsid w:val="227C4964"/>
    <w:rsid w:val="2284621A"/>
    <w:rsid w:val="228C769A"/>
    <w:rsid w:val="22913F82"/>
    <w:rsid w:val="22942AB8"/>
    <w:rsid w:val="229E5C88"/>
    <w:rsid w:val="22AC24D1"/>
    <w:rsid w:val="22C10163"/>
    <w:rsid w:val="22C30D9A"/>
    <w:rsid w:val="22CC381D"/>
    <w:rsid w:val="22CE674F"/>
    <w:rsid w:val="22D13EAF"/>
    <w:rsid w:val="22E07C0E"/>
    <w:rsid w:val="22E625B8"/>
    <w:rsid w:val="22E83DA8"/>
    <w:rsid w:val="22EA7B20"/>
    <w:rsid w:val="232341E0"/>
    <w:rsid w:val="232474D6"/>
    <w:rsid w:val="232F36A0"/>
    <w:rsid w:val="23465516"/>
    <w:rsid w:val="235608D9"/>
    <w:rsid w:val="23645B24"/>
    <w:rsid w:val="236732A7"/>
    <w:rsid w:val="236B4599"/>
    <w:rsid w:val="23776D7D"/>
    <w:rsid w:val="237B69CA"/>
    <w:rsid w:val="23902E4B"/>
    <w:rsid w:val="23910CC7"/>
    <w:rsid w:val="23974A32"/>
    <w:rsid w:val="23AB72AF"/>
    <w:rsid w:val="23BC1F08"/>
    <w:rsid w:val="23C10881"/>
    <w:rsid w:val="23C24047"/>
    <w:rsid w:val="23C71C0F"/>
    <w:rsid w:val="23DE5189"/>
    <w:rsid w:val="23F5677C"/>
    <w:rsid w:val="241430A6"/>
    <w:rsid w:val="2417647E"/>
    <w:rsid w:val="2442358C"/>
    <w:rsid w:val="244874F9"/>
    <w:rsid w:val="244E25E1"/>
    <w:rsid w:val="24577437"/>
    <w:rsid w:val="24637B8A"/>
    <w:rsid w:val="246F29D3"/>
    <w:rsid w:val="24712DDC"/>
    <w:rsid w:val="2472601F"/>
    <w:rsid w:val="24822706"/>
    <w:rsid w:val="248B7B1A"/>
    <w:rsid w:val="24EA4129"/>
    <w:rsid w:val="24EF7670"/>
    <w:rsid w:val="24FE7EC9"/>
    <w:rsid w:val="25000BEA"/>
    <w:rsid w:val="25076C47"/>
    <w:rsid w:val="2509239E"/>
    <w:rsid w:val="250A26FB"/>
    <w:rsid w:val="25180974"/>
    <w:rsid w:val="251F61A7"/>
    <w:rsid w:val="25207829"/>
    <w:rsid w:val="252319CD"/>
    <w:rsid w:val="25554923"/>
    <w:rsid w:val="256C440E"/>
    <w:rsid w:val="256C658B"/>
    <w:rsid w:val="25710085"/>
    <w:rsid w:val="25804B6B"/>
    <w:rsid w:val="258B383C"/>
    <w:rsid w:val="259049AF"/>
    <w:rsid w:val="25905039"/>
    <w:rsid w:val="25A154A2"/>
    <w:rsid w:val="25B76DA6"/>
    <w:rsid w:val="25D13E91"/>
    <w:rsid w:val="25DD571A"/>
    <w:rsid w:val="25E03D9F"/>
    <w:rsid w:val="25E27C61"/>
    <w:rsid w:val="25E42F4C"/>
    <w:rsid w:val="26092822"/>
    <w:rsid w:val="261D0B5A"/>
    <w:rsid w:val="262275D1"/>
    <w:rsid w:val="26284BE7"/>
    <w:rsid w:val="26414229"/>
    <w:rsid w:val="264A49B7"/>
    <w:rsid w:val="265A3EF1"/>
    <w:rsid w:val="26655E3B"/>
    <w:rsid w:val="26973D4E"/>
    <w:rsid w:val="269E358A"/>
    <w:rsid w:val="26C02E84"/>
    <w:rsid w:val="26C03072"/>
    <w:rsid w:val="26C32037"/>
    <w:rsid w:val="26C32B62"/>
    <w:rsid w:val="26D6070D"/>
    <w:rsid w:val="26E76E1D"/>
    <w:rsid w:val="26F10E21"/>
    <w:rsid w:val="26F62F37"/>
    <w:rsid w:val="270E195B"/>
    <w:rsid w:val="27182EAE"/>
    <w:rsid w:val="27204124"/>
    <w:rsid w:val="27256144"/>
    <w:rsid w:val="272B69DB"/>
    <w:rsid w:val="2739373B"/>
    <w:rsid w:val="273C33CE"/>
    <w:rsid w:val="27545AF9"/>
    <w:rsid w:val="275B3C7F"/>
    <w:rsid w:val="276C6D8F"/>
    <w:rsid w:val="276C7F1B"/>
    <w:rsid w:val="27735434"/>
    <w:rsid w:val="2793784D"/>
    <w:rsid w:val="27AE3812"/>
    <w:rsid w:val="27B63ADE"/>
    <w:rsid w:val="27B64475"/>
    <w:rsid w:val="27C16042"/>
    <w:rsid w:val="27D01A35"/>
    <w:rsid w:val="27DA1B38"/>
    <w:rsid w:val="27DB7619"/>
    <w:rsid w:val="27E04A80"/>
    <w:rsid w:val="27EB3AA3"/>
    <w:rsid w:val="28013942"/>
    <w:rsid w:val="280B3EC9"/>
    <w:rsid w:val="281D490F"/>
    <w:rsid w:val="28215D92"/>
    <w:rsid w:val="28237D5C"/>
    <w:rsid w:val="282809D3"/>
    <w:rsid w:val="282F2844"/>
    <w:rsid w:val="283261F1"/>
    <w:rsid w:val="28341F69"/>
    <w:rsid w:val="283F446A"/>
    <w:rsid w:val="28577020"/>
    <w:rsid w:val="285C6DCA"/>
    <w:rsid w:val="286F399E"/>
    <w:rsid w:val="28704451"/>
    <w:rsid w:val="287A1946"/>
    <w:rsid w:val="28907385"/>
    <w:rsid w:val="28996270"/>
    <w:rsid w:val="289A78F2"/>
    <w:rsid w:val="28A51739"/>
    <w:rsid w:val="28AE37C0"/>
    <w:rsid w:val="28AF7842"/>
    <w:rsid w:val="28CF4AA8"/>
    <w:rsid w:val="28E75731"/>
    <w:rsid w:val="28E8368E"/>
    <w:rsid w:val="28ED3EC6"/>
    <w:rsid w:val="28F7610F"/>
    <w:rsid w:val="28F9286B"/>
    <w:rsid w:val="28FC1431"/>
    <w:rsid w:val="291B4ED7"/>
    <w:rsid w:val="29275693"/>
    <w:rsid w:val="29336A3F"/>
    <w:rsid w:val="29683E39"/>
    <w:rsid w:val="29705FFE"/>
    <w:rsid w:val="297E0FC2"/>
    <w:rsid w:val="297E5A34"/>
    <w:rsid w:val="298737A1"/>
    <w:rsid w:val="298C01A8"/>
    <w:rsid w:val="299810D6"/>
    <w:rsid w:val="29A175F2"/>
    <w:rsid w:val="29A96C5C"/>
    <w:rsid w:val="29B260BA"/>
    <w:rsid w:val="29D31568"/>
    <w:rsid w:val="29D5758A"/>
    <w:rsid w:val="29E67293"/>
    <w:rsid w:val="29F27FD8"/>
    <w:rsid w:val="29F44607"/>
    <w:rsid w:val="29F94298"/>
    <w:rsid w:val="29FF6A17"/>
    <w:rsid w:val="2A0D39B0"/>
    <w:rsid w:val="2A241B69"/>
    <w:rsid w:val="2A253539"/>
    <w:rsid w:val="2A331DAD"/>
    <w:rsid w:val="2A461AE0"/>
    <w:rsid w:val="2A4C7C68"/>
    <w:rsid w:val="2A6603D4"/>
    <w:rsid w:val="2A693A20"/>
    <w:rsid w:val="2A7A6782"/>
    <w:rsid w:val="2A8715CC"/>
    <w:rsid w:val="2A9071FF"/>
    <w:rsid w:val="2A9B3C1A"/>
    <w:rsid w:val="2A9D3806"/>
    <w:rsid w:val="2AAA6513"/>
    <w:rsid w:val="2AB00E6E"/>
    <w:rsid w:val="2ABF7532"/>
    <w:rsid w:val="2AC67953"/>
    <w:rsid w:val="2AF94DA4"/>
    <w:rsid w:val="2AFD7D84"/>
    <w:rsid w:val="2B050994"/>
    <w:rsid w:val="2B0A11BA"/>
    <w:rsid w:val="2B0C727D"/>
    <w:rsid w:val="2B0D6AA1"/>
    <w:rsid w:val="2B223979"/>
    <w:rsid w:val="2B2838DB"/>
    <w:rsid w:val="2B3C2EE3"/>
    <w:rsid w:val="2B3F2753"/>
    <w:rsid w:val="2B4515B1"/>
    <w:rsid w:val="2B49055E"/>
    <w:rsid w:val="2B4C75CA"/>
    <w:rsid w:val="2B535DCA"/>
    <w:rsid w:val="2B603A71"/>
    <w:rsid w:val="2B7A1D63"/>
    <w:rsid w:val="2B852ADC"/>
    <w:rsid w:val="2B86625A"/>
    <w:rsid w:val="2B960845"/>
    <w:rsid w:val="2B980A61"/>
    <w:rsid w:val="2B9A72B4"/>
    <w:rsid w:val="2BAE2033"/>
    <w:rsid w:val="2BB327BE"/>
    <w:rsid w:val="2BB54B9E"/>
    <w:rsid w:val="2BC37160"/>
    <w:rsid w:val="2BCA6741"/>
    <w:rsid w:val="2BDB1BA3"/>
    <w:rsid w:val="2BF7152C"/>
    <w:rsid w:val="2BFD2B77"/>
    <w:rsid w:val="2C183950"/>
    <w:rsid w:val="2C1D7762"/>
    <w:rsid w:val="2C1F6654"/>
    <w:rsid w:val="2C212C29"/>
    <w:rsid w:val="2C2C2F57"/>
    <w:rsid w:val="2C414C55"/>
    <w:rsid w:val="2C4D535D"/>
    <w:rsid w:val="2C554C3F"/>
    <w:rsid w:val="2C66290D"/>
    <w:rsid w:val="2C7C3F6A"/>
    <w:rsid w:val="2C840FE5"/>
    <w:rsid w:val="2C871510"/>
    <w:rsid w:val="2CC2347E"/>
    <w:rsid w:val="2CEA17AA"/>
    <w:rsid w:val="2CEB6D5D"/>
    <w:rsid w:val="2D03015C"/>
    <w:rsid w:val="2D0F4D53"/>
    <w:rsid w:val="2D0F5CA2"/>
    <w:rsid w:val="2D1759B5"/>
    <w:rsid w:val="2D2300B7"/>
    <w:rsid w:val="2D2F0944"/>
    <w:rsid w:val="2D2F7B08"/>
    <w:rsid w:val="2D546C0A"/>
    <w:rsid w:val="2D602859"/>
    <w:rsid w:val="2D6230D5"/>
    <w:rsid w:val="2D7B7CF2"/>
    <w:rsid w:val="2D8A6798"/>
    <w:rsid w:val="2D8C3793"/>
    <w:rsid w:val="2D9A3BB6"/>
    <w:rsid w:val="2DA53F6F"/>
    <w:rsid w:val="2DA5590A"/>
    <w:rsid w:val="2DA873C9"/>
    <w:rsid w:val="2DB9081B"/>
    <w:rsid w:val="2DBC254E"/>
    <w:rsid w:val="2DE75388"/>
    <w:rsid w:val="2DF729B9"/>
    <w:rsid w:val="2E042A4D"/>
    <w:rsid w:val="2E142328"/>
    <w:rsid w:val="2E1819E5"/>
    <w:rsid w:val="2E224612"/>
    <w:rsid w:val="2E256A2B"/>
    <w:rsid w:val="2E3A0726"/>
    <w:rsid w:val="2E4C4BE3"/>
    <w:rsid w:val="2E5E5C0B"/>
    <w:rsid w:val="2E675395"/>
    <w:rsid w:val="2E693FEF"/>
    <w:rsid w:val="2E876B6B"/>
    <w:rsid w:val="2E9077CD"/>
    <w:rsid w:val="2E9547C3"/>
    <w:rsid w:val="2E9D013C"/>
    <w:rsid w:val="2E9E5C6E"/>
    <w:rsid w:val="2EB55486"/>
    <w:rsid w:val="2EB919F6"/>
    <w:rsid w:val="2EB92876"/>
    <w:rsid w:val="2EBA1C80"/>
    <w:rsid w:val="2ECA3A16"/>
    <w:rsid w:val="2ECE217C"/>
    <w:rsid w:val="2EE21406"/>
    <w:rsid w:val="2EF43A8A"/>
    <w:rsid w:val="2F183797"/>
    <w:rsid w:val="2F1877C3"/>
    <w:rsid w:val="2F3D4733"/>
    <w:rsid w:val="2F3E59D7"/>
    <w:rsid w:val="2F45680A"/>
    <w:rsid w:val="2F544C9F"/>
    <w:rsid w:val="2F584065"/>
    <w:rsid w:val="2F5F04B7"/>
    <w:rsid w:val="2F852645"/>
    <w:rsid w:val="2F854ACC"/>
    <w:rsid w:val="2F944666"/>
    <w:rsid w:val="2F9934C3"/>
    <w:rsid w:val="2F9A4323"/>
    <w:rsid w:val="2F9B338B"/>
    <w:rsid w:val="2FA03738"/>
    <w:rsid w:val="2FA46DCC"/>
    <w:rsid w:val="2FA85975"/>
    <w:rsid w:val="2FAC28ED"/>
    <w:rsid w:val="2FB971F8"/>
    <w:rsid w:val="2FBD2430"/>
    <w:rsid w:val="2FD90498"/>
    <w:rsid w:val="2FD9660F"/>
    <w:rsid w:val="2FDB2CCA"/>
    <w:rsid w:val="2FE15D9D"/>
    <w:rsid w:val="2FE222AB"/>
    <w:rsid w:val="2FE22EBF"/>
    <w:rsid w:val="2FF03A45"/>
    <w:rsid w:val="2FFF57F7"/>
    <w:rsid w:val="30114900"/>
    <w:rsid w:val="301B1BE8"/>
    <w:rsid w:val="30240B15"/>
    <w:rsid w:val="3038794B"/>
    <w:rsid w:val="30420F9B"/>
    <w:rsid w:val="3042287F"/>
    <w:rsid w:val="305257E7"/>
    <w:rsid w:val="306414F9"/>
    <w:rsid w:val="30693FE1"/>
    <w:rsid w:val="306C1CE1"/>
    <w:rsid w:val="306E7FE2"/>
    <w:rsid w:val="307750E9"/>
    <w:rsid w:val="307C26FF"/>
    <w:rsid w:val="307F3F9D"/>
    <w:rsid w:val="30850E88"/>
    <w:rsid w:val="30896BCA"/>
    <w:rsid w:val="309A2B85"/>
    <w:rsid w:val="309F019C"/>
    <w:rsid w:val="309F26DC"/>
    <w:rsid w:val="30B01166"/>
    <w:rsid w:val="30C407C0"/>
    <w:rsid w:val="30D82A88"/>
    <w:rsid w:val="30DF101B"/>
    <w:rsid w:val="30F43453"/>
    <w:rsid w:val="30FD1934"/>
    <w:rsid w:val="310B771F"/>
    <w:rsid w:val="311B13B6"/>
    <w:rsid w:val="312106D4"/>
    <w:rsid w:val="31242ED2"/>
    <w:rsid w:val="31336B36"/>
    <w:rsid w:val="313C1E8F"/>
    <w:rsid w:val="31433A7F"/>
    <w:rsid w:val="31456F95"/>
    <w:rsid w:val="314C6BD7"/>
    <w:rsid w:val="314F1BC2"/>
    <w:rsid w:val="318163CA"/>
    <w:rsid w:val="31945827"/>
    <w:rsid w:val="319677F1"/>
    <w:rsid w:val="31AD0696"/>
    <w:rsid w:val="31B3229F"/>
    <w:rsid w:val="31C0285F"/>
    <w:rsid w:val="31C17076"/>
    <w:rsid w:val="31CB13C9"/>
    <w:rsid w:val="31CE6055"/>
    <w:rsid w:val="31ED3189"/>
    <w:rsid w:val="31FE1C79"/>
    <w:rsid w:val="32047BF9"/>
    <w:rsid w:val="3211620D"/>
    <w:rsid w:val="32116E77"/>
    <w:rsid w:val="32266448"/>
    <w:rsid w:val="322748ED"/>
    <w:rsid w:val="32295A9A"/>
    <w:rsid w:val="3239745D"/>
    <w:rsid w:val="32451264"/>
    <w:rsid w:val="324C711F"/>
    <w:rsid w:val="32560D2E"/>
    <w:rsid w:val="32582CF8"/>
    <w:rsid w:val="32611093"/>
    <w:rsid w:val="326173EC"/>
    <w:rsid w:val="326507BB"/>
    <w:rsid w:val="326C0551"/>
    <w:rsid w:val="3272116D"/>
    <w:rsid w:val="32721698"/>
    <w:rsid w:val="327827C9"/>
    <w:rsid w:val="327877A7"/>
    <w:rsid w:val="327B0795"/>
    <w:rsid w:val="32807B59"/>
    <w:rsid w:val="328911D6"/>
    <w:rsid w:val="32A01FA9"/>
    <w:rsid w:val="32AF693E"/>
    <w:rsid w:val="32B2723F"/>
    <w:rsid w:val="32BB6DE3"/>
    <w:rsid w:val="32C35685"/>
    <w:rsid w:val="32CB5119"/>
    <w:rsid w:val="32D31C12"/>
    <w:rsid w:val="32DC3920"/>
    <w:rsid w:val="32DC7485"/>
    <w:rsid w:val="32F32A21"/>
    <w:rsid w:val="33137F70"/>
    <w:rsid w:val="334119DE"/>
    <w:rsid w:val="33423060"/>
    <w:rsid w:val="33513762"/>
    <w:rsid w:val="335A65FC"/>
    <w:rsid w:val="336E20A7"/>
    <w:rsid w:val="33801040"/>
    <w:rsid w:val="33982320"/>
    <w:rsid w:val="33A60B13"/>
    <w:rsid w:val="33AA091C"/>
    <w:rsid w:val="33B413DB"/>
    <w:rsid w:val="33B9552C"/>
    <w:rsid w:val="33CF6FEA"/>
    <w:rsid w:val="33DA7D18"/>
    <w:rsid w:val="33DD557C"/>
    <w:rsid w:val="33F04676"/>
    <w:rsid w:val="340D5393"/>
    <w:rsid w:val="34210E80"/>
    <w:rsid w:val="34476B80"/>
    <w:rsid w:val="34627E5E"/>
    <w:rsid w:val="34637732"/>
    <w:rsid w:val="346A0AC1"/>
    <w:rsid w:val="347278D8"/>
    <w:rsid w:val="3479582F"/>
    <w:rsid w:val="348E3489"/>
    <w:rsid w:val="34AA5361"/>
    <w:rsid w:val="34B72695"/>
    <w:rsid w:val="34BA06FF"/>
    <w:rsid w:val="34CC1E77"/>
    <w:rsid w:val="34CD6FC5"/>
    <w:rsid w:val="34E03CBE"/>
    <w:rsid w:val="35016757"/>
    <w:rsid w:val="350B657B"/>
    <w:rsid w:val="350C348F"/>
    <w:rsid w:val="350D491F"/>
    <w:rsid w:val="35101668"/>
    <w:rsid w:val="35243365"/>
    <w:rsid w:val="3533407A"/>
    <w:rsid w:val="353E2C35"/>
    <w:rsid w:val="35412402"/>
    <w:rsid w:val="35441312"/>
    <w:rsid w:val="35464344"/>
    <w:rsid w:val="35472BB0"/>
    <w:rsid w:val="35507CB7"/>
    <w:rsid w:val="355C665B"/>
    <w:rsid w:val="355F7EFA"/>
    <w:rsid w:val="35613C72"/>
    <w:rsid w:val="35645277"/>
    <w:rsid w:val="3574290A"/>
    <w:rsid w:val="358D79EC"/>
    <w:rsid w:val="358F1EF9"/>
    <w:rsid w:val="35951B6D"/>
    <w:rsid w:val="359D0C08"/>
    <w:rsid w:val="359F6A89"/>
    <w:rsid w:val="35A26038"/>
    <w:rsid w:val="35C30772"/>
    <w:rsid w:val="35CD6513"/>
    <w:rsid w:val="35FF3812"/>
    <w:rsid w:val="360129C7"/>
    <w:rsid w:val="3619454C"/>
    <w:rsid w:val="36341386"/>
    <w:rsid w:val="363F5927"/>
    <w:rsid w:val="364315C9"/>
    <w:rsid w:val="36486BE0"/>
    <w:rsid w:val="364B035D"/>
    <w:rsid w:val="365260C2"/>
    <w:rsid w:val="366B269C"/>
    <w:rsid w:val="3687595A"/>
    <w:rsid w:val="36931098"/>
    <w:rsid w:val="369D1D15"/>
    <w:rsid w:val="369D33CF"/>
    <w:rsid w:val="36A23F8F"/>
    <w:rsid w:val="36B01B18"/>
    <w:rsid w:val="36BD312A"/>
    <w:rsid w:val="36CF2454"/>
    <w:rsid w:val="36DC334F"/>
    <w:rsid w:val="36E3011C"/>
    <w:rsid w:val="370068A1"/>
    <w:rsid w:val="37036BB0"/>
    <w:rsid w:val="370419F2"/>
    <w:rsid w:val="371A63C7"/>
    <w:rsid w:val="371D006C"/>
    <w:rsid w:val="372E5DD5"/>
    <w:rsid w:val="37333E6F"/>
    <w:rsid w:val="374A7F7E"/>
    <w:rsid w:val="376543AA"/>
    <w:rsid w:val="37734130"/>
    <w:rsid w:val="377A09BF"/>
    <w:rsid w:val="377C2B98"/>
    <w:rsid w:val="37824832"/>
    <w:rsid w:val="379B61F3"/>
    <w:rsid w:val="37A83F1E"/>
    <w:rsid w:val="37E66B23"/>
    <w:rsid w:val="37EE3EBB"/>
    <w:rsid w:val="37F11517"/>
    <w:rsid w:val="3814321D"/>
    <w:rsid w:val="382D50AF"/>
    <w:rsid w:val="38331D16"/>
    <w:rsid w:val="38360C7F"/>
    <w:rsid w:val="383B638A"/>
    <w:rsid w:val="383C407F"/>
    <w:rsid w:val="384B399F"/>
    <w:rsid w:val="385834EC"/>
    <w:rsid w:val="385839D6"/>
    <w:rsid w:val="386121DB"/>
    <w:rsid w:val="386A3027"/>
    <w:rsid w:val="386E43B5"/>
    <w:rsid w:val="387376D6"/>
    <w:rsid w:val="388429BD"/>
    <w:rsid w:val="38862A57"/>
    <w:rsid w:val="388F0AF6"/>
    <w:rsid w:val="38A74091"/>
    <w:rsid w:val="38AB0436"/>
    <w:rsid w:val="38B118FA"/>
    <w:rsid w:val="38C97CB4"/>
    <w:rsid w:val="38F4410A"/>
    <w:rsid w:val="39311BAD"/>
    <w:rsid w:val="39355880"/>
    <w:rsid w:val="39616936"/>
    <w:rsid w:val="39627FB8"/>
    <w:rsid w:val="397117F7"/>
    <w:rsid w:val="397327A4"/>
    <w:rsid w:val="397A2714"/>
    <w:rsid w:val="398047C9"/>
    <w:rsid w:val="39BB4E14"/>
    <w:rsid w:val="39CE564E"/>
    <w:rsid w:val="39FF2F6E"/>
    <w:rsid w:val="3A086DB2"/>
    <w:rsid w:val="3A10210A"/>
    <w:rsid w:val="3A185E09"/>
    <w:rsid w:val="3A23599A"/>
    <w:rsid w:val="3A3000B7"/>
    <w:rsid w:val="3A334355"/>
    <w:rsid w:val="3A3F5D26"/>
    <w:rsid w:val="3A435C14"/>
    <w:rsid w:val="3A4536E5"/>
    <w:rsid w:val="3A483652"/>
    <w:rsid w:val="3A4A73CA"/>
    <w:rsid w:val="3A5329D3"/>
    <w:rsid w:val="3A573CEF"/>
    <w:rsid w:val="3A5B5749"/>
    <w:rsid w:val="3A620FBD"/>
    <w:rsid w:val="3A6F6E31"/>
    <w:rsid w:val="3ACF5CF5"/>
    <w:rsid w:val="3AD26687"/>
    <w:rsid w:val="3ADB1971"/>
    <w:rsid w:val="3ADB2718"/>
    <w:rsid w:val="3ADF67F8"/>
    <w:rsid w:val="3AE54968"/>
    <w:rsid w:val="3AED2E24"/>
    <w:rsid w:val="3B1D5D73"/>
    <w:rsid w:val="3B313993"/>
    <w:rsid w:val="3B3742A6"/>
    <w:rsid w:val="3B3F4A55"/>
    <w:rsid w:val="3B481E9D"/>
    <w:rsid w:val="3B681D64"/>
    <w:rsid w:val="3B781D15"/>
    <w:rsid w:val="3B8159AD"/>
    <w:rsid w:val="3B822B94"/>
    <w:rsid w:val="3B841676"/>
    <w:rsid w:val="3B8763FC"/>
    <w:rsid w:val="3B9B5A04"/>
    <w:rsid w:val="3BAD3FF6"/>
    <w:rsid w:val="3BBD6CE7"/>
    <w:rsid w:val="3BC46D08"/>
    <w:rsid w:val="3BD744E7"/>
    <w:rsid w:val="3BDB22D0"/>
    <w:rsid w:val="3BF91F2A"/>
    <w:rsid w:val="3C001612"/>
    <w:rsid w:val="3C1A7270"/>
    <w:rsid w:val="3C350128"/>
    <w:rsid w:val="3C3C23F3"/>
    <w:rsid w:val="3C506ABF"/>
    <w:rsid w:val="3C576B19"/>
    <w:rsid w:val="3C6109FB"/>
    <w:rsid w:val="3C6743D5"/>
    <w:rsid w:val="3C7A386B"/>
    <w:rsid w:val="3C830972"/>
    <w:rsid w:val="3CA34F09"/>
    <w:rsid w:val="3CAA05F4"/>
    <w:rsid w:val="3CAA23A2"/>
    <w:rsid w:val="3CAA4150"/>
    <w:rsid w:val="3CC32C8B"/>
    <w:rsid w:val="3CD347AF"/>
    <w:rsid w:val="3CE42E09"/>
    <w:rsid w:val="3CFC4E7F"/>
    <w:rsid w:val="3D0A727E"/>
    <w:rsid w:val="3D1C2E61"/>
    <w:rsid w:val="3D3252CB"/>
    <w:rsid w:val="3D33564C"/>
    <w:rsid w:val="3D422253"/>
    <w:rsid w:val="3D441F98"/>
    <w:rsid w:val="3D4D7385"/>
    <w:rsid w:val="3D5013B1"/>
    <w:rsid w:val="3D504115"/>
    <w:rsid w:val="3D522C3F"/>
    <w:rsid w:val="3D6C5BE6"/>
    <w:rsid w:val="3D706D51"/>
    <w:rsid w:val="3D8A5D30"/>
    <w:rsid w:val="3D8F31BA"/>
    <w:rsid w:val="3D911998"/>
    <w:rsid w:val="3D942549"/>
    <w:rsid w:val="3DAE1A1E"/>
    <w:rsid w:val="3DAF5796"/>
    <w:rsid w:val="3DB86D41"/>
    <w:rsid w:val="3DC72AE0"/>
    <w:rsid w:val="3DD570B7"/>
    <w:rsid w:val="3DED1091"/>
    <w:rsid w:val="3DF15D5F"/>
    <w:rsid w:val="3DFD29A6"/>
    <w:rsid w:val="3E0055CC"/>
    <w:rsid w:val="3E0B6E71"/>
    <w:rsid w:val="3E271B2F"/>
    <w:rsid w:val="3E3A59A8"/>
    <w:rsid w:val="3E431BC5"/>
    <w:rsid w:val="3E43780F"/>
    <w:rsid w:val="3E457D6F"/>
    <w:rsid w:val="3E611186"/>
    <w:rsid w:val="3E6B790F"/>
    <w:rsid w:val="3E7043BB"/>
    <w:rsid w:val="3E7569E0"/>
    <w:rsid w:val="3E78424B"/>
    <w:rsid w:val="3E7D1571"/>
    <w:rsid w:val="3EA520E2"/>
    <w:rsid w:val="3ECB4852"/>
    <w:rsid w:val="3ECF0068"/>
    <w:rsid w:val="3ED100BA"/>
    <w:rsid w:val="3EDD0306"/>
    <w:rsid w:val="3EE5704D"/>
    <w:rsid w:val="3EE85404"/>
    <w:rsid w:val="3EFC02AB"/>
    <w:rsid w:val="3EFC4A0B"/>
    <w:rsid w:val="3F067638"/>
    <w:rsid w:val="3F116709"/>
    <w:rsid w:val="3F147645"/>
    <w:rsid w:val="3F44723D"/>
    <w:rsid w:val="3F4B2AAD"/>
    <w:rsid w:val="3F4D0409"/>
    <w:rsid w:val="3F52287D"/>
    <w:rsid w:val="3F6054D6"/>
    <w:rsid w:val="3F9234F5"/>
    <w:rsid w:val="3FB15103"/>
    <w:rsid w:val="3FDE566B"/>
    <w:rsid w:val="3FE539A5"/>
    <w:rsid w:val="3FEB6060"/>
    <w:rsid w:val="3FF93A63"/>
    <w:rsid w:val="40005827"/>
    <w:rsid w:val="401319B1"/>
    <w:rsid w:val="401A23F7"/>
    <w:rsid w:val="401A50C7"/>
    <w:rsid w:val="40251D40"/>
    <w:rsid w:val="402B37FA"/>
    <w:rsid w:val="404C3770"/>
    <w:rsid w:val="40730CFD"/>
    <w:rsid w:val="407B3AD1"/>
    <w:rsid w:val="409B40BF"/>
    <w:rsid w:val="40A92971"/>
    <w:rsid w:val="40AE608D"/>
    <w:rsid w:val="40B05AAD"/>
    <w:rsid w:val="40B41A41"/>
    <w:rsid w:val="40BE641C"/>
    <w:rsid w:val="40C520B7"/>
    <w:rsid w:val="40C916D7"/>
    <w:rsid w:val="40CF7425"/>
    <w:rsid w:val="40D06E36"/>
    <w:rsid w:val="40DE2737"/>
    <w:rsid w:val="40ED4F53"/>
    <w:rsid w:val="40ED6D01"/>
    <w:rsid w:val="41036AD6"/>
    <w:rsid w:val="410F4ECA"/>
    <w:rsid w:val="412F7840"/>
    <w:rsid w:val="413413EA"/>
    <w:rsid w:val="414A7C46"/>
    <w:rsid w:val="414C5FC6"/>
    <w:rsid w:val="41556B65"/>
    <w:rsid w:val="415D3E87"/>
    <w:rsid w:val="4162149D"/>
    <w:rsid w:val="416B2A35"/>
    <w:rsid w:val="416B7C26"/>
    <w:rsid w:val="417D62D7"/>
    <w:rsid w:val="417F3FA3"/>
    <w:rsid w:val="417F4B93"/>
    <w:rsid w:val="41861A45"/>
    <w:rsid w:val="418F7DB9"/>
    <w:rsid w:val="41992351"/>
    <w:rsid w:val="41AA0D20"/>
    <w:rsid w:val="41AC3523"/>
    <w:rsid w:val="41AC5402"/>
    <w:rsid w:val="41AD4573"/>
    <w:rsid w:val="41BD115C"/>
    <w:rsid w:val="41BE0185"/>
    <w:rsid w:val="41C9151C"/>
    <w:rsid w:val="41D16B08"/>
    <w:rsid w:val="41EB5D50"/>
    <w:rsid w:val="41ED5810"/>
    <w:rsid w:val="41EE0932"/>
    <w:rsid w:val="41FA2FAC"/>
    <w:rsid w:val="420946BA"/>
    <w:rsid w:val="422A3FD4"/>
    <w:rsid w:val="42305EAC"/>
    <w:rsid w:val="423B584A"/>
    <w:rsid w:val="42472441"/>
    <w:rsid w:val="424B7EBF"/>
    <w:rsid w:val="42507F9E"/>
    <w:rsid w:val="425F3C2F"/>
    <w:rsid w:val="42642FF3"/>
    <w:rsid w:val="426A5E10"/>
    <w:rsid w:val="426D46D4"/>
    <w:rsid w:val="4278084D"/>
    <w:rsid w:val="427F1BDB"/>
    <w:rsid w:val="42884256"/>
    <w:rsid w:val="428E1E1E"/>
    <w:rsid w:val="42A9513D"/>
    <w:rsid w:val="42A95426"/>
    <w:rsid w:val="42B05680"/>
    <w:rsid w:val="42B35B89"/>
    <w:rsid w:val="42BE13B2"/>
    <w:rsid w:val="42CA306C"/>
    <w:rsid w:val="42CD6009"/>
    <w:rsid w:val="42D41E73"/>
    <w:rsid w:val="42E303BC"/>
    <w:rsid w:val="42EA174A"/>
    <w:rsid w:val="42F5057E"/>
    <w:rsid w:val="42F63FE3"/>
    <w:rsid w:val="42FA567F"/>
    <w:rsid w:val="432D5ADB"/>
    <w:rsid w:val="434B5F61"/>
    <w:rsid w:val="434C41B3"/>
    <w:rsid w:val="434C686C"/>
    <w:rsid w:val="435968D0"/>
    <w:rsid w:val="43695125"/>
    <w:rsid w:val="436C50F3"/>
    <w:rsid w:val="43727ED2"/>
    <w:rsid w:val="43811983"/>
    <w:rsid w:val="43882D11"/>
    <w:rsid w:val="438C377F"/>
    <w:rsid w:val="439671DC"/>
    <w:rsid w:val="439B3DB4"/>
    <w:rsid w:val="43A85162"/>
    <w:rsid w:val="43AC6A00"/>
    <w:rsid w:val="43C34D88"/>
    <w:rsid w:val="43D45F57"/>
    <w:rsid w:val="43D97731"/>
    <w:rsid w:val="43F72CBA"/>
    <w:rsid w:val="43F73405"/>
    <w:rsid w:val="440B30CB"/>
    <w:rsid w:val="44187FD3"/>
    <w:rsid w:val="441C3E7C"/>
    <w:rsid w:val="4441421B"/>
    <w:rsid w:val="44637365"/>
    <w:rsid w:val="446E2CF6"/>
    <w:rsid w:val="447A6AFE"/>
    <w:rsid w:val="448630B3"/>
    <w:rsid w:val="448D6C38"/>
    <w:rsid w:val="44A818BD"/>
    <w:rsid w:val="44C67EDF"/>
    <w:rsid w:val="44C935E1"/>
    <w:rsid w:val="44D73F50"/>
    <w:rsid w:val="44D823A5"/>
    <w:rsid w:val="44DA57EF"/>
    <w:rsid w:val="44E93C84"/>
    <w:rsid w:val="450C6A2F"/>
    <w:rsid w:val="45126D36"/>
    <w:rsid w:val="45153EC3"/>
    <w:rsid w:val="45167588"/>
    <w:rsid w:val="451D355E"/>
    <w:rsid w:val="45294080"/>
    <w:rsid w:val="45365B88"/>
    <w:rsid w:val="45383EA0"/>
    <w:rsid w:val="45392515"/>
    <w:rsid w:val="453E3FCF"/>
    <w:rsid w:val="454F3613"/>
    <w:rsid w:val="4555544A"/>
    <w:rsid w:val="45626EC4"/>
    <w:rsid w:val="457269B9"/>
    <w:rsid w:val="457B2BF7"/>
    <w:rsid w:val="45827D99"/>
    <w:rsid w:val="45877724"/>
    <w:rsid w:val="45BE4CA6"/>
    <w:rsid w:val="45C30031"/>
    <w:rsid w:val="45C736BF"/>
    <w:rsid w:val="45CA13BF"/>
    <w:rsid w:val="45DC10F2"/>
    <w:rsid w:val="45DE2E69"/>
    <w:rsid w:val="45E10CC7"/>
    <w:rsid w:val="45EF52CA"/>
    <w:rsid w:val="45F93F92"/>
    <w:rsid w:val="45FE60F3"/>
    <w:rsid w:val="46110BBC"/>
    <w:rsid w:val="463A37C2"/>
    <w:rsid w:val="4645313C"/>
    <w:rsid w:val="464836D2"/>
    <w:rsid w:val="4651388E"/>
    <w:rsid w:val="465E7A7F"/>
    <w:rsid w:val="46780E1B"/>
    <w:rsid w:val="467A2DE5"/>
    <w:rsid w:val="46935C11"/>
    <w:rsid w:val="46A47E62"/>
    <w:rsid w:val="46A936CA"/>
    <w:rsid w:val="46C709C7"/>
    <w:rsid w:val="46DA7FD3"/>
    <w:rsid w:val="46FC0964"/>
    <w:rsid w:val="470152B5"/>
    <w:rsid w:val="47074F0D"/>
    <w:rsid w:val="47226FD9"/>
    <w:rsid w:val="472622B8"/>
    <w:rsid w:val="47394A4E"/>
    <w:rsid w:val="474358CD"/>
    <w:rsid w:val="47465711"/>
    <w:rsid w:val="475F756A"/>
    <w:rsid w:val="4774318C"/>
    <w:rsid w:val="477912EF"/>
    <w:rsid w:val="477B05CE"/>
    <w:rsid w:val="4790359C"/>
    <w:rsid w:val="47927F1C"/>
    <w:rsid w:val="47C67DAD"/>
    <w:rsid w:val="47D326A6"/>
    <w:rsid w:val="47E250E6"/>
    <w:rsid w:val="47E655EF"/>
    <w:rsid w:val="47E928FA"/>
    <w:rsid w:val="47EA6D45"/>
    <w:rsid w:val="47F06A69"/>
    <w:rsid w:val="47F866B8"/>
    <w:rsid w:val="47F95F8C"/>
    <w:rsid w:val="480D64D5"/>
    <w:rsid w:val="4814642C"/>
    <w:rsid w:val="484D0066"/>
    <w:rsid w:val="48515D81"/>
    <w:rsid w:val="485E5503"/>
    <w:rsid w:val="48623B31"/>
    <w:rsid w:val="48731DB2"/>
    <w:rsid w:val="488B62F3"/>
    <w:rsid w:val="488D74D6"/>
    <w:rsid w:val="48A64365"/>
    <w:rsid w:val="48AE427C"/>
    <w:rsid w:val="48AF40D7"/>
    <w:rsid w:val="48B63E7D"/>
    <w:rsid w:val="48EB6641"/>
    <w:rsid w:val="49143C78"/>
    <w:rsid w:val="491750B6"/>
    <w:rsid w:val="49290AF3"/>
    <w:rsid w:val="494E42F6"/>
    <w:rsid w:val="496377A3"/>
    <w:rsid w:val="49690EEF"/>
    <w:rsid w:val="496A3433"/>
    <w:rsid w:val="497C7AEE"/>
    <w:rsid w:val="498B70B7"/>
    <w:rsid w:val="499A0307"/>
    <w:rsid w:val="49B008D8"/>
    <w:rsid w:val="49C8030C"/>
    <w:rsid w:val="49C900D9"/>
    <w:rsid w:val="49E5322B"/>
    <w:rsid w:val="49ED1167"/>
    <w:rsid w:val="49F90151"/>
    <w:rsid w:val="4A01737A"/>
    <w:rsid w:val="4A0E4855"/>
    <w:rsid w:val="4A1B48DF"/>
    <w:rsid w:val="4A245782"/>
    <w:rsid w:val="4A3314BF"/>
    <w:rsid w:val="4A3904D6"/>
    <w:rsid w:val="4A3D03F0"/>
    <w:rsid w:val="4A407EA2"/>
    <w:rsid w:val="4A4848B2"/>
    <w:rsid w:val="4A4A5EE9"/>
    <w:rsid w:val="4A6C0C97"/>
    <w:rsid w:val="4A6E2C61"/>
    <w:rsid w:val="4A742241"/>
    <w:rsid w:val="4A7E342A"/>
    <w:rsid w:val="4AA62C09"/>
    <w:rsid w:val="4AAD305D"/>
    <w:rsid w:val="4AB703EF"/>
    <w:rsid w:val="4ABE596A"/>
    <w:rsid w:val="4AC41642"/>
    <w:rsid w:val="4ACF1232"/>
    <w:rsid w:val="4AD52CE0"/>
    <w:rsid w:val="4AD970F3"/>
    <w:rsid w:val="4AE20F59"/>
    <w:rsid w:val="4AE7656F"/>
    <w:rsid w:val="4AF13892"/>
    <w:rsid w:val="4AF15056"/>
    <w:rsid w:val="4AFF5FAF"/>
    <w:rsid w:val="4B03590E"/>
    <w:rsid w:val="4B102402"/>
    <w:rsid w:val="4B1A34C8"/>
    <w:rsid w:val="4B1A6945"/>
    <w:rsid w:val="4B23027B"/>
    <w:rsid w:val="4B2B0B52"/>
    <w:rsid w:val="4B490407"/>
    <w:rsid w:val="4B49722A"/>
    <w:rsid w:val="4B4B1B86"/>
    <w:rsid w:val="4B4B73DD"/>
    <w:rsid w:val="4B4C033B"/>
    <w:rsid w:val="4B5D4584"/>
    <w:rsid w:val="4B5F07FC"/>
    <w:rsid w:val="4B6573C5"/>
    <w:rsid w:val="4B676243"/>
    <w:rsid w:val="4B7778F3"/>
    <w:rsid w:val="4B814C16"/>
    <w:rsid w:val="4B893ACB"/>
    <w:rsid w:val="4B921D85"/>
    <w:rsid w:val="4B9759E4"/>
    <w:rsid w:val="4B977936"/>
    <w:rsid w:val="4BA6467C"/>
    <w:rsid w:val="4BB950FE"/>
    <w:rsid w:val="4BBB5305"/>
    <w:rsid w:val="4BC80371"/>
    <w:rsid w:val="4BE91452"/>
    <w:rsid w:val="4BED5E07"/>
    <w:rsid w:val="4BFC3701"/>
    <w:rsid w:val="4C0373D9"/>
    <w:rsid w:val="4C0554CB"/>
    <w:rsid w:val="4C12586E"/>
    <w:rsid w:val="4C211DF2"/>
    <w:rsid w:val="4C213D03"/>
    <w:rsid w:val="4C270413"/>
    <w:rsid w:val="4C2A760F"/>
    <w:rsid w:val="4C366403"/>
    <w:rsid w:val="4C397AC3"/>
    <w:rsid w:val="4C42550A"/>
    <w:rsid w:val="4C753357"/>
    <w:rsid w:val="4C780389"/>
    <w:rsid w:val="4C7E483F"/>
    <w:rsid w:val="4C800429"/>
    <w:rsid w:val="4C866AA3"/>
    <w:rsid w:val="4C8E242B"/>
    <w:rsid w:val="4C911DF4"/>
    <w:rsid w:val="4C9E7102"/>
    <w:rsid w:val="4CC53A9E"/>
    <w:rsid w:val="4CCF550D"/>
    <w:rsid w:val="4CD11285"/>
    <w:rsid w:val="4CFF5E7A"/>
    <w:rsid w:val="4D0E4C2F"/>
    <w:rsid w:val="4D112DB7"/>
    <w:rsid w:val="4D1B1114"/>
    <w:rsid w:val="4D216DDD"/>
    <w:rsid w:val="4D422DCF"/>
    <w:rsid w:val="4D461C73"/>
    <w:rsid w:val="4D4917B1"/>
    <w:rsid w:val="4D4E0B28"/>
    <w:rsid w:val="4D5E3185"/>
    <w:rsid w:val="4D631F78"/>
    <w:rsid w:val="4D72579D"/>
    <w:rsid w:val="4D81508F"/>
    <w:rsid w:val="4D870D1E"/>
    <w:rsid w:val="4D9A38A9"/>
    <w:rsid w:val="4DA70238"/>
    <w:rsid w:val="4DBB7BDF"/>
    <w:rsid w:val="4DCC3983"/>
    <w:rsid w:val="4DD049F7"/>
    <w:rsid w:val="4DDD4877"/>
    <w:rsid w:val="4DE66FB2"/>
    <w:rsid w:val="4DEB281B"/>
    <w:rsid w:val="4DF71672"/>
    <w:rsid w:val="4E2A0265"/>
    <w:rsid w:val="4E3D2F3A"/>
    <w:rsid w:val="4E4B72E5"/>
    <w:rsid w:val="4E6B689F"/>
    <w:rsid w:val="4E773219"/>
    <w:rsid w:val="4E7B0F17"/>
    <w:rsid w:val="4E7E7251"/>
    <w:rsid w:val="4EA84268"/>
    <w:rsid w:val="4EB40E5E"/>
    <w:rsid w:val="4EFD45B3"/>
    <w:rsid w:val="4F0F1B80"/>
    <w:rsid w:val="4F11658F"/>
    <w:rsid w:val="4F206F36"/>
    <w:rsid w:val="4F363F69"/>
    <w:rsid w:val="4F3B332E"/>
    <w:rsid w:val="4F463F80"/>
    <w:rsid w:val="4F562DD9"/>
    <w:rsid w:val="4F716D4F"/>
    <w:rsid w:val="4F7276B8"/>
    <w:rsid w:val="4F7D3946"/>
    <w:rsid w:val="4F813B70"/>
    <w:rsid w:val="4F824AB9"/>
    <w:rsid w:val="4F9A44F8"/>
    <w:rsid w:val="4F9B3544"/>
    <w:rsid w:val="4FA42499"/>
    <w:rsid w:val="4FAE052E"/>
    <w:rsid w:val="4FB37368"/>
    <w:rsid w:val="4FCE27AD"/>
    <w:rsid w:val="4FD317B8"/>
    <w:rsid w:val="4FDA22F2"/>
    <w:rsid w:val="4FDE2637"/>
    <w:rsid w:val="4FF21C3E"/>
    <w:rsid w:val="50014FDC"/>
    <w:rsid w:val="50160C33"/>
    <w:rsid w:val="503234D1"/>
    <w:rsid w:val="50391409"/>
    <w:rsid w:val="504901AC"/>
    <w:rsid w:val="506077E4"/>
    <w:rsid w:val="50624E52"/>
    <w:rsid w:val="506A5C79"/>
    <w:rsid w:val="507E3CEF"/>
    <w:rsid w:val="50812FC2"/>
    <w:rsid w:val="50827466"/>
    <w:rsid w:val="509D2233"/>
    <w:rsid w:val="50A46306"/>
    <w:rsid w:val="50AA42C7"/>
    <w:rsid w:val="50BC588D"/>
    <w:rsid w:val="50D8472A"/>
    <w:rsid w:val="50DE6667"/>
    <w:rsid w:val="50E4559A"/>
    <w:rsid w:val="50EA627B"/>
    <w:rsid w:val="50EE11C2"/>
    <w:rsid w:val="50F52783"/>
    <w:rsid w:val="50FC34E3"/>
    <w:rsid w:val="50FD0E4D"/>
    <w:rsid w:val="510C31D4"/>
    <w:rsid w:val="510F6820"/>
    <w:rsid w:val="511403C6"/>
    <w:rsid w:val="512B7338"/>
    <w:rsid w:val="51303461"/>
    <w:rsid w:val="51467F57"/>
    <w:rsid w:val="514E7348"/>
    <w:rsid w:val="514E7430"/>
    <w:rsid w:val="515A52C0"/>
    <w:rsid w:val="516C5606"/>
    <w:rsid w:val="51782F6F"/>
    <w:rsid w:val="51835603"/>
    <w:rsid w:val="51931892"/>
    <w:rsid w:val="519E3A56"/>
    <w:rsid w:val="51A76A58"/>
    <w:rsid w:val="51B74DCB"/>
    <w:rsid w:val="51BB0DAD"/>
    <w:rsid w:val="51BC407E"/>
    <w:rsid w:val="51BC69A8"/>
    <w:rsid w:val="51C40786"/>
    <w:rsid w:val="51C56502"/>
    <w:rsid w:val="51E16653"/>
    <w:rsid w:val="51E23E3F"/>
    <w:rsid w:val="520E3420"/>
    <w:rsid w:val="522462FB"/>
    <w:rsid w:val="52304D8E"/>
    <w:rsid w:val="52413238"/>
    <w:rsid w:val="52466271"/>
    <w:rsid w:val="524F15CA"/>
    <w:rsid w:val="52585F3F"/>
    <w:rsid w:val="52630B3B"/>
    <w:rsid w:val="526F015E"/>
    <w:rsid w:val="527252B8"/>
    <w:rsid w:val="52994661"/>
    <w:rsid w:val="529E60AD"/>
    <w:rsid w:val="52A15B9E"/>
    <w:rsid w:val="52A80EC4"/>
    <w:rsid w:val="52C11D9C"/>
    <w:rsid w:val="52C14F1E"/>
    <w:rsid w:val="52D34D15"/>
    <w:rsid w:val="52E37F64"/>
    <w:rsid w:val="53053608"/>
    <w:rsid w:val="530C74BB"/>
    <w:rsid w:val="5311687F"/>
    <w:rsid w:val="531262E7"/>
    <w:rsid w:val="5314011E"/>
    <w:rsid w:val="531427A3"/>
    <w:rsid w:val="53234805"/>
    <w:rsid w:val="532442D1"/>
    <w:rsid w:val="532C3FB3"/>
    <w:rsid w:val="53542C10"/>
    <w:rsid w:val="53807561"/>
    <w:rsid w:val="538417A5"/>
    <w:rsid w:val="53B316E5"/>
    <w:rsid w:val="53B61F77"/>
    <w:rsid w:val="53DF072C"/>
    <w:rsid w:val="53DF421F"/>
    <w:rsid w:val="53F040F3"/>
    <w:rsid w:val="53F1220D"/>
    <w:rsid w:val="53F71F19"/>
    <w:rsid w:val="53F87A3F"/>
    <w:rsid w:val="540208BE"/>
    <w:rsid w:val="541505F1"/>
    <w:rsid w:val="542645AC"/>
    <w:rsid w:val="542C1497"/>
    <w:rsid w:val="54313F62"/>
    <w:rsid w:val="54435882"/>
    <w:rsid w:val="544773A1"/>
    <w:rsid w:val="5449029B"/>
    <w:rsid w:val="544F3B03"/>
    <w:rsid w:val="545F21A9"/>
    <w:rsid w:val="54620E63"/>
    <w:rsid w:val="546359FE"/>
    <w:rsid w:val="546649A9"/>
    <w:rsid w:val="546B5655"/>
    <w:rsid w:val="547846DC"/>
    <w:rsid w:val="54837309"/>
    <w:rsid w:val="549379D7"/>
    <w:rsid w:val="54B06E11"/>
    <w:rsid w:val="54B716A8"/>
    <w:rsid w:val="54C86878"/>
    <w:rsid w:val="54D46D5D"/>
    <w:rsid w:val="54D63A41"/>
    <w:rsid w:val="54D660E2"/>
    <w:rsid w:val="54D85200"/>
    <w:rsid w:val="54DA3618"/>
    <w:rsid w:val="54DC4C6B"/>
    <w:rsid w:val="54F93BA0"/>
    <w:rsid w:val="54FC5522"/>
    <w:rsid w:val="550F7668"/>
    <w:rsid w:val="5511700B"/>
    <w:rsid w:val="55164621"/>
    <w:rsid w:val="551A1D07"/>
    <w:rsid w:val="551E7103"/>
    <w:rsid w:val="55234128"/>
    <w:rsid w:val="552503C0"/>
    <w:rsid w:val="554F28A6"/>
    <w:rsid w:val="555051A5"/>
    <w:rsid w:val="5552317F"/>
    <w:rsid w:val="555A7C62"/>
    <w:rsid w:val="55603AEE"/>
    <w:rsid w:val="558772CD"/>
    <w:rsid w:val="55B255C1"/>
    <w:rsid w:val="55C96196"/>
    <w:rsid w:val="55D6790C"/>
    <w:rsid w:val="55F67FAE"/>
    <w:rsid w:val="56026C41"/>
    <w:rsid w:val="560C0B22"/>
    <w:rsid w:val="56151937"/>
    <w:rsid w:val="564B02FA"/>
    <w:rsid w:val="56523E5F"/>
    <w:rsid w:val="56643EF0"/>
    <w:rsid w:val="56780397"/>
    <w:rsid w:val="567C2B67"/>
    <w:rsid w:val="567E7E48"/>
    <w:rsid w:val="56836204"/>
    <w:rsid w:val="56913F48"/>
    <w:rsid w:val="56C67981"/>
    <w:rsid w:val="56DB78D0"/>
    <w:rsid w:val="56E4159D"/>
    <w:rsid w:val="56E46059"/>
    <w:rsid w:val="570510D6"/>
    <w:rsid w:val="57066A37"/>
    <w:rsid w:val="571B5F1F"/>
    <w:rsid w:val="57203535"/>
    <w:rsid w:val="572B7BB5"/>
    <w:rsid w:val="572D2E1D"/>
    <w:rsid w:val="574A2360"/>
    <w:rsid w:val="5754393A"/>
    <w:rsid w:val="57597B01"/>
    <w:rsid w:val="57684EDC"/>
    <w:rsid w:val="576E0644"/>
    <w:rsid w:val="577B596E"/>
    <w:rsid w:val="579C4724"/>
    <w:rsid w:val="57A02969"/>
    <w:rsid w:val="57AD28EF"/>
    <w:rsid w:val="57B7551B"/>
    <w:rsid w:val="57BF4950"/>
    <w:rsid w:val="57EC3417"/>
    <w:rsid w:val="57F369ED"/>
    <w:rsid w:val="58020E8D"/>
    <w:rsid w:val="58057E30"/>
    <w:rsid w:val="5809221B"/>
    <w:rsid w:val="58276B45"/>
    <w:rsid w:val="58293099"/>
    <w:rsid w:val="582C5F09"/>
    <w:rsid w:val="583239BD"/>
    <w:rsid w:val="58474AF1"/>
    <w:rsid w:val="5859559A"/>
    <w:rsid w:val="585D5314"/>
    <w:rsid w:val="587F0709"/>
    <w:rsid w:val="58841643"/>
    <w:rsid w:val="589246D3"/>
    <w:rsid w:val="58937D37"/>
    <w:rsid w:val="58A41F44"/>
    <w:rsid w:val="58AC4B99"/>
    <w:rsid w:val="58B10027"/>
    <w:rsid w:val="58B92086"/>
    <w:rsid w:val="58BB5FE9"/>
    <w:rsid w:val="58BD749D"/>
    <w:rsid w:val="58C16652"/>
    <w:rsid w:val="58C92347"/>
    <w:rsid w:val="58D26AB1"/>
    <w:rsid w:val="58EA204C"/>
    <w:rsid w:val="58F635E8"/>
    <w:rsid w:val="58F670FB"/>
    <w:rsid w:val="58F9403E"/>
    <w:rsid w:val="59345076"/>
    <w:rsid w:val="59396B30"/>
    <w:rsid w:val="5944329C"/>
    <w:rsid w:val="59490157"/>
    <w:rsid w:val="59563B77"/>
    <w:rsid w:val="5961765F"/>
    <w:rsid w:val="596A73F7"/>
    <w:rsid w:val="59834024"/>
    <w:rsid w:val="599216C6"/>
    <w:rsid w:val="59B139D7"/>
    <w:rsid w:val="59B166C6"/>
    <w:rsid w:val="59C3452F"/>
    <w:rsid w:val="59C7413C"/>
    <w:rsid w:val="59C960F9"/>
    <w:rsid w:val="59D14FBA"/>
    <w:rsid w:val="5A0108D2"/>
    <w:rsid w:val="5A025174"/>
    <w:rsid w:val="5A0F7891"/>
    <w:rsid w:val="5A1807C7"/>
    <w:rsid w:val="5A184230"/>
    <w:rsid w:val="5A20384C"/>
    <w:rsid w:val="5A2374CC"/>
    <w:rsid w:val="5A2C5871"/>
    <w:rsid w:val="5A36306F"/>
    <w:rsid w:val="5A4A544C"/>
    <w:rsid w:val="5A4D799E"/>
    <w:rsid w:val="5A551748"/>
    <w:rsid w:val="5A6E3015"/>
    <w:rsid w:val="5A6F71EA"/>
    <w:rsid w:val="5A7C4F26"/>
    <w:rsid w:val="5A875679"/>
    <w:rsid w:val="5A9F6E67"/>
    <w:rsid w:val="5AA4720F"/>
    <w:rsid w:val="5AAD7BA9"/>
    <w:rsid w:val="5AB87F28"/>
    <w:rsid w:val="5ABD01F3"/>
    <w:rsid w:val="5AD00DCE"/>
    <w:rsid w:val="5AF744DA"/>
    <w:rsid w:val="5AFC6067"/>
    <w:rsid w:val="5B1C4013"/>
    <w:rsid w:val="5B242EC8"/>
    <w:rsid w:val="5B252ECE"/>
    <w:rsid w:val="5B3752F1"/>
    <w:rsid w:val="5B3D0AF2"/>
    <w:rsid w:val="5B3F5463"/>
    <w:rsid w:val="5B5560E4"/>
    <w:rsid w:val="5B79751B"/>
    <w:rsid w:val="5B7A1EFD"/>
    <w:rsid w:val="5B7F55D7"/>
    <w:rsid w:val="5B87195D"/>
    <w:rsid w:val="5B8D072A"/>
    <w:rsid w:val="5B9938B6"/>
    <w:rsid w:val="5BA33C64"/>
    <w:rsid w:val="5BB1526C"/>
    <w:rsid w:val="5BB66216"/>
    <w:rsid w:val="5BB701E0"/>
    <w:rsid w:val="5BBE50CA"/>
    <w:rsid w:val="5BCC4C8F"/>
    <w:rsid w:val="5BCE2C90"/>
    <w:rsid w:val="5BDF06A2"/>
    <w:rsid w:val="5BE014E5"/>
    <w:rsid w:val="5BE51156"/>
    <w:rsid w:val="5BE93310"/>
    <w:rsid w:val="5BEF34D6"/>
    <w:rsid w:val="5C193BF9"/>
    <w:rsid w:val="5C2208F0"/>
    <w:rsid w:val="5C343C93"/>
    <w:rsid w:val="5C4610E4"/>
    <w:rsid w:val="5C470D42"/>
    <w:rsid w:val="5C54175F"/>
    <w:rsid w:val="5C6D0E70"/>
    <w:rsid w:val="5C6E4D42"/>
    <w:rsid w:val="5C783A22"/>
    <w:rsid w:val="5C8C6F77"/>
    <w:rsid w:val="5C8E2CEF"/>
    <w:rsid w:val="5C9D546B"/>
    <w:rsid w:val="5CB33911"/>
    <w:rsid w:val="5CB622AD"/>
    <w:rsid w:val="5CC223FD"/>
    <w:rsid w:val="5CD03F89"/>
    <w:rsid w:val="5CE82807"/>
    <w:rsid w:val="5CE83386"/>
    <w:rsid w:val="5CEE7C31"/>
    <w:rsid w:val="5CF52C0A"/>
    <w:rsid w:val="5CFB2E43"/>
    <w:rsid w:val="5D3466DE"/>
    <w:rsid w:val="5D3A4C25"/>
    <w:rsid w:val="5D3D7EE5"/>
    <w:rsid w:val="5D3F223B"/>
    <w:rsid w:val="5D431D2B"/>
    <w:rsid w:val="5D46469E"/>
    <w:rsid w:val="5D537A94"/>
    <w:rsid w:val="5D663C6C"/>
    <w:rsid w:val="5D715353"/>
    <w:rsid w:val="5D79399F"/>
    <w:rsid w:val="5DA66344"/>
    <w:rsid w:val="5DA97CEE"/>
    <w:rsid w:val="5DAA334D"/>
    <w:rsid w:val="5DAD537E"/>
    <w:rsid w:val="5DAF116F"/>
    <w:rsid w:val="5DB0035D"/>
    <w:rsid w:val="5DB76275"/>
    <w:rsid w:val="5DBF75F1"/>
    <w:rsid w:val="5DC12D1C"/>
    <w:rsid w:val="5DCE0500"/>
    <w:rsid w:val="5DE63E66"/>
    <w:rsid w:val="5DFA0EC0"/>
    <w:rsid w:val="5DFE10C6"/>
    <w:rsid w:val="5E0D2339"/>
    <w:rsid w:val="5E0E0E9D"/>
    <w:rsid w:val="5E21105E"/>
    <w:rsid w:val="5E3D2553"/>
    <w:rsid w:val="5E453881"/>
    <w:rsid w:val="5E4C10B3"/>
    <w:rsid w:val="5E522ABE"/>
    <w:rsid w:val="5E8249DF"/>
    <w:rsid w:val="5E826DD6"/>
    <w:rsid w:val="5EBF3633"/>
    <w:rsid w:val="5EC537C6"/>
    <w:rsid w:val="5EE4289C"/>
    <w:rsid w:val="5EEC4E95"/>
    <w:rsid w:val="5EF86B45"/>
    <w:rsid w:val="5EFC4888"/>
    <w:rsid w:val="5EFF1C82"/>
    <w:rsid w:val="5F026AF1"/>
    <w:rsid w:val="5F0B0627"/>
    <w:rsid w:val="5F2D3B55"/>
    <w:rsid w:val="5F486165"/>
    <w:rsid w:val="5F4A29C5"/>
    <w:rsid w:val="5F5244A8"/>
    <w:rsid w:val="5F64242D"/>
    <w:rsid w:val="5F763CA8"/>
    <w:rsid w:val="5F830B05"/>
    <w:rsid w:val="5F8A4915"/>
    <w:rsid w:val="5F926C73"/>
    <w:rsid w:val="5F971FA2"/>
    <w:rsid w:val="5F9B694B"/>
    <w:rsid w:val="5FA8408F"/>
    <w:rsid w:val="5FAA6092"/>
    <w:rsid w:val="5FBA15C9"/>
    <w:rsid w:val="5FC353A5"/>
    <w:rsid w:val="5FCA6734"/>
    <w:rsid w:val="5FFE7AC8"/>
    <w:rsid w:val="600B4546"/>
    <w:rsid w:val="600C76A9"/>
    <w:rsid w:val="602324E1"/>
    <w:rsid w:val="6033533E"/>
    <w:rsid w:val="60420861"/>
    <w:rsid w:val="6042451C"/>
    <w:rsid w:val="605B6F38"/>
    <w:rsid w:val="607478B7"/>
    <w:rsid w:val="60807B6C"/>
    <w:rsid w:val="60822B6A"/>
    <w:rsid w:val="60917251"/>
    <w:rsid w:val="60A30D33"/>
    <w:rsid w:val="60BE7457"/>
    <w:rsid w:val="60C211B9"/>
    <w:rsid w:val="60D365C2"/>
    <w:rsid w:val="60E55D1E"/>
    <w:rsid w:val="60ED35FB"/>
    <w:rsid w:val="60EE1FAE"/>
    <w:rsid w:val="60EF43EF"/>
    <w:rsid w:val="61124671"/>
    <w:rsid w:val="611C2069"/>
    <w:rsid w:val="613528A4"/>
    <w:rsid w:val="61473A6F"/>
    <w:rsid w:val="61504A17"/>
    <w:rsid w:val="61572249"/>
    <w:rsid w:val="615C4FD3"/>
    <w:rsid w:val="617259EB"/>
    <w:rsid w:val="61786E15"/>
    <w:rsid w:val="61822C96"/>
    <w:rsid w:val="61885089"/>
    <w:rsid w:val="618B5A4F"/>
    <w:rsid w:val="619C19E8"/>
    <w:rsid w:val="61A361C3"/>
    <w:rsid w:val="61D40B48"/>
    <w:rsid w:val="62051CA5"/>
    <w:rsid w:val="62126170"/>
    <w:rsid w:val="621974FF"/>
    <w:rsid w:val="621E4F5E"/>
    <w:rsid w:val="622A170C"/>
    <w:rsid w:val="622B4360"/>
    <w:rsid w:val="623F6839"/>
    <w:rsid w:val="624125B1"/>
    <w:rsid w:val="62500696"/>
    <w:rsid w:val="625E22F1"/>
    <w:rsid w:val="62807852"/>
    <w:rsid w:val="62A401DE"/>
    <w:rsid w:val="62C53759"/>
    <w:rsid w:val="62DA3158"/>
    <w:rsid w:val="62E0001C"/>
    <w:rsid w:val="62E92C8E"/>
    <w:rsid w:val="63046AB5"/>
    <w:rsid w:val="631F0B45"/>
    <w:rsid w:val="63245BB4"/>
    <w:rsid w:val="632C5010"/>
    <w:rsid w:val="63370151"/>
    <w:rsid w:val="633839B4"/>
    <w:rsid w:val="63471E49"/>
    <w:rsid w:val="635B6FD3"/>
    <w:rsid w:val="635B76A3"/>
    <w:rsid w:val="636649C5"/>
    <w:rsid w:val="6372145A"/>
    <w:rsid w:val="637C7D45"/>
    <w:rsid w:val="63911685"/>
    <w:rsid w:val="639826A5"/>
    <w:rsid w:val="63984453"/>
    <w:rsid w:val="63C44A20"/>
    <w:rsid w:val="63C7541B"/>
    <w:rsid w:val="63D731CD"/>
    <w:rsid w:val="63E345A8"/>
    <w:rsid w:val="63EE1899"/>
    <w:rsid w:val="63F5294F"/>
    <w:rsid w:val="63FE3A6A"/>
    <w:rsid w:val="64334D4A"/>
    <w:rsid w:val="6434096B"/>
    <w:rsid w:val="64463901"/>
    <w:rsid w:val="645111D2"/>
    <w:rsid w:val="64583524"/>
    <w:rsid w:val="645E7CD3"/>
    <w:rsid w:val="64682355"/>
    <w:rsid w:val="647461B3"/>
    <w:rsid w:val="64850E7B"/>
    <w:rsid w:val="64966BE4"/>
    <w:rsid w:val="649E018F"/>
    <w:rsid w:val="64A37553"/>
    <w:rsid w:val="64D02791"/>
    <w:rsid w:val="64D63485"/>
    <w:rsid w:val="64EA5182"/>
    <w:rsid w:val="64F251BB"/>
    <w:rsid w:val="64F42470"/>
    <w:rsid w:val="65074799"/>
    <w:rsid w:val="651B358E"/>
    <w:rsid w:val="653528A1"/>
    <w:rsid w:val="653A7EB8"/>
    <w:rsid w:val="65436640"/>
    <w:rsid w:val="6550117E"/>
    <w:rsid w:val="65502E23"/>
    <w:rsid w:val="65516FAF"/>
    <w:rsid w:val="65893B33"/>
    <w:rsid w:val="658F79A7"/>
    <w:rsid w:val="65AC068A"/>
    <w:rsid w:val="65AD68DC"/>
    <w:rsid w:val="65AE4402"/>
    <w:rsid w:val="65BC5C3F"/>
    <w:rsid w:val="65BF0F00"/>
    <w:rsid w:val="65BF216B"/>
    <w:rsid w:val="65C84B00"/>
    <w:rsid w:val="65CB4FB4"/>
    <w:rsid w:val="65CD2ADA"/>
    <w:rsid w:val="65CD5BB9"/>
    <w:rsid w:val="65E841D1"/>
    <w:rsid w:val="66065FEC"/>
    <w:rsid w:val="660B53B0"/>
    <w:rsid w:val="66171991"/>
    <w:rsid w:val="6640530D"/>
    <w:rsid w:val="66456B14"/>
    <w:rsid w:val="664663E8"/>
    <w:rsid w:val="664A7005"/>
    <w:rsid w:val="664F7993"/>
    <w:rsid w:val="665F7D80"/>
    <w:rsid w:val="66607EAF"/>
    <w:rsid w:val="667E3DD4"/>
    <w:rsid w:val="668E5F32"/>
    <w:rsid w:val="668F4233"/>
    <w:rsid w:val="66A43975"/>
    <w:rsid w:val="66A80E51"/>
    <w:rsid w:val="66BA2F72"/>
    <w:rsid w:val="66C63E61"/>
    <w:rsid w:val="66CA300B"/>
    <w:rsid w:val="66CA526B"/>
    <w:rsid w:val="66DA1067"/>
    <w:rsid w:val="66DE4873"/>
    <w:rsid w:val="66EA76BB"/>
    <w:rsid w:val="66EC51E2"/>
    <w:rsid w:val="66F76F48"/>
    <w:rsid w:val="66F85997"/>
    <w:rsid w:val="67065B78"/>
    <w:rsid w:val="67065C98"/>
    <w:rsid w:val="67203BCE"/>
    <w:rsid w:val="672F2593"/>
    <w:rsid w:val="67481760"/>
    <w:rsid w:val="67530CFF"/>
    <w:rsid w:val="675542DE"/>
    <w:rsid w:val="676C1E7F"/>
    <w:rsid w:val="67757B00"/>
    <w:rsid w:val="67A1421E"/>
    <w:rsid w:val="67AE693B"/>
    <w:rsid w:val="67BF6452"/>
    <w:rsid w:val="67C44CF5"/>
    <w:rsid w:val="67D11D6C"/>
    <w:rsid w:val="67E1461B"/>
    <w:rsid w:val="67EE4F89"/>
    <w:rsid w:val="67F26828"/>
    <w:rsid w:val="67F65BEC"/>
    <w:rsid w:val="6803795C"/>
    <w:rsid w:val="681A18DB"/>
    <w:rsid w:val="681A7B2C"/>
    <w:rsid w:val="68310698"/>
    <w:rsid w:val="68352BB8"/>
    <w:rsid w:val="685605CA"/>
    <w:rsid w:val="686139AD"/>
    <w:rsid w:val="686139F1"/>
    <w:rsid w:val="687E00BB"/>
    <w:rsid w:val="688E4077"/>
    <w:rsid w:val="689B1037"/>
    <w:rsid w:val="689D03A5"/>
    <w:rsid w:val="689F0032"/>
    <w:rsid w:val="68A5389A"/>
    <w:rsid w:val="68AA773C"/>
    <w:rsid w:val="68AB231B"/>
    <w:rsid w:val="68BE670A"/>
    <w:rsid w:val="68BE7F21"/>
    <w:rsid w:val="68BF3280"/>
    <w:rsid w:val="68C212C3"/>
    <w:rsid w:val="68D81FCE"/>
    <w:rsid w:val="68E5638C"/>
    <w:rsid w:val="6900563A"/>
    <w:rsid w:val="690E4F0F"/>
    <w:rsid w:val="69232A11"/>
    <w:rsid w:val="69250563"/>
    <w:rsid w:val="69401815"/>
    <w:rsid w:val="695A24AF"/>
    <w:rsid w:val="696279DD"/>
    <w:rsid w:val="69690D6B"/>
    <w:rsid w:val="696C2247"/>
    <w:rsid w:val="696F44F7"/>
    <w:rsid w:val="69787200"/>
    <w:rsid w:val="69796AD5"/>
    <w:rsid w:val="697B5280"/>
    <w:rsid w:val="69847953"/>
    <w:rsid w:val="699562F4"/>
    <w:rsid w:val="69AF0EE7"/>
    <w:rsid w:val="69B53FB1"/>
    <w:rsid w:val="69C510D5"/>
    <w:rsid w:val="69CA7330"/>
    <w:rsid w:val="69D46C4E"/>
    <w:rsid w:val="69DA2765"/>
    <w:rsid w:val="69DB3FA5"/>
    <w:rsid w:val="69E079D3"/>
    <w:rsid w:val="69FB2F29"/>
    <w:rsid w:val="6A0C2AF8"/>
    <w:rsid w:val="6A1F767C"/>
    <w:rsid w:val="6A381856"/>
    <w:rsid w:val="6A425119"/>
    <w:rsid w:val="6A445335"/>
    <w:rsid w:val="6A490F27"/>
    <w:rsid w:val="6A58719D"/>
    <w:rsid w:val="6A592348"/>
    <w:rsid w:val="6A5A6906"/>
    <w:rsid w:val="6A5E4E13"/>
    <w:rsid w:val="6A7A5206"/>
    <w:rsid w:val="6A851832"/>
    <w:rsid w:val="6A86594D"/>
    <w:rsid w:val="6A966DFE"/>
    <w:rsid w:val="6AA264DC"/>
    <w:rsid w:val="6ABE009D"/>
    <w:rsid w:val="6ADC488C"/>
    <w:rsid w:val="6AE81BC8"/>
    <w:rsid w:val="6B0068C8"/>
    <w:rsid w:val="6B1236DE"/>
    <w:rsid w:val="6B250D0C"/>
    <w:rsid w:val="6B264488"/>
    <w:rsid w:val="6B2A6A3B"/>
    <w:rsid w:val="6B325FF1"/>
    <w:rsid w:val="6B4D28F5"/>
    <w:rsid w:val="6B4D3143"/>
    <w:rsid w:val="6B510E38"/>
    <w:rsid w:val="6B511AB7"/>
    <w:rsid w:val="6B555325"/>
    <w:rsid w:val="6B687F2C"/>
    <w:rsid w:val="6B741C4A"/>
    <w:rsid w:val="6B7A086E"/>
    <w:rsid w:val="6B8A321B"/>
    <w:rsid w:val="6B915026"/>
    <w:rsid w:val="6BA75B7B"/>
    <w:rsid w:val="6BA914C0"/>
    <w:rsid w:val="6BCA186A"/>
    <w:rsid w:val="6BCE7866"/>
    <w:rsid w:val="6BD34BC2"/>
    <w:rsid w:val="6BD60F99"/>
    <w:rsid w:val="6BD61264"/>
    <w:rsid w:val="6BE1147D"/>
    <w:rsid w:val="6BE42896"/>
    <w:rsid w:val="6BE97F42"/>
    <w:rsid w:val="6BF3524F"/>
    <w:rsid w:val="6BF608B1"/>
    <w:rsid w:val="6BFD1C3F"/>
    <w:rsid w:val="6BFF59B7"/>
    <w:rsid w:val="6C027425"/>
    <w:rsid w:val="6C164AAF"/>
    <w:rsid w:val="6C186A79"/>
    <w:rsid w:val="6C1944ED"/>
    <w:rsid w:val="6C2E1DF8"/>
    <w:rsid w:val="6C3D5DF3"/>
    <w:rsid w:val="6C3E11F1"/>
    <w:rsid w:val="6C450EF0"/>
    <w:rsid w:val="6C5C35CA"/>
    <w:rsid w:val="6C5C4BB7"/>
    <w:rsid w:val="6C5F3A2C"/>
    <w:rsid w:val="6C757A27"/>
    <w:rsid w:val="6C8673CA"/>
    <w:rsid w:val="6C923AA2"/>
    <w:rsid w:val="6C944351"/>
    <w:rsid w:val="6C95591D"/>
    <w:rsid w:val="6C971E47"/>
    <w:rsid w:val="6C9F2F49"/>
    <w:rsid w:val="6CA171F6"/>
    <w:rsid w:val="6CA64085"/>
    <w:rsid w:val="6CBD5C5E"/>
    <w:rsid w:val="6CCF65C2"/>
    <w:rsid w:val="6CD67A15"/>
    <w:rsid w:val="6CD97FB6"/>
    <w:rsid w:val="6CF21078"/>
    <w:rsid w:val="6CFF09DC"/>
    <w:rsid w:val="6D276295"/>
    <w:rsid w:val="6D29638D"/>
    <w:rsid w:val="6D2B3BBA"/>
    <w:rsid w:val="6D2B6338"/>
    <w:rsid w:val="6D372470"/>
    <w:rsid w:val="6D490077"/>
    <w:rsid w:val="6D546331"/>
    <w:rsid w:val="6D594C53"/>
    <w:rsid w:val="6D667B04"/>
    <w:rsid w:val="6D7502C8"/>
    <w:rsid w:val="6D8A5754"/>
    <w:rsid w:val="6D8F3838"/>
    <w:rsid w:val="6D977DFB"/>
    <w:rsid w:val="6DA06D26"/>
    <w:rsid w:val="6DB225B5"/>
    <w:rsid w:val="6DB519B1"/>
    <w:rsid w:val="6DC80165"/>
    <w:rsid w:val="6DD16018"/>
    <w:rsid w:val="6DD46DD3"/>
    <w:rsid w:val="6DD64568"/>
    <w:rsid w:val="6DDB64CE"/>
    <w:rsid w:val="6DEE5CE3"/>
    <w:rsid w:val="6DF56252"/>
    <w:rsid w:val="6DFB3ECD"/>
    <w:rsid w:val="6DFE5E04"/>
    <w:rsid w:val="6E22773B"/>
    <w:rsid w:val="6E280C55"/>
    <w:rsid w:val="6E2C3DCE"/>
    <w:rsid w:val="6E3B7290"/>
    <w:rsid w:val="6E3C2F36"/>
    <w:rsid w:val="6E4F6056"/>
    <w:rsid w:val="6E5419B5"/>
    <w:rsid w:val="6E573888"/>
    <w:rsid w:val="6E5813AF"/>
    <w:rsid w:val="6E607369"/>
    <w:rsid w:val="6E706C3B"/>
    <w:rsid w:val="6E95001C"/>
    <w:rsid w:val="6E97541D"/>
    <w:rsid w:val="6E9973E0"/>
    <w:rsid w:val="6EBB7166"/>
    <w:rsid w:val="6EE038E1"/>
    <w:rsid w:val="6EE80B8F"/>
    <w:rsid w:val="6EF94940"/>
    <w:rsid w:val="6F1214CF"/>
    <w:rsid w:val="6F233805"/>
    <w:rsid w:val="6F240166"/>
    <w:rsid w:val="6F370125"/>
    <w:rsid w:val="6F396A01"/>
    <w:rsid w:val="6F3B0679"/>
    <w:rsid w:val="6F3C2A7E"/>
    <w:rsid w:val="6F4B0F13"/>
    <w:rsid w:val="6F5C6A58"/>
    <w:rsid w:val="6F662CAD"/>
    <w:rsid w:val="6F69477C"/>
    <w:rsid w:val="6F6B7C8C"/>
    <w:rsid w:val="6F6F4C02"/>
    <w:rsid w:val="6F784737"/>
    <w:rsid w:val="6F7E05D3"/>
    <w:rsid w:val="6F8166E3"/>
    <w:rsid w:val="6F8C5134"/>
    <w:rsid w:val="6FAC19B2"/>
    <w:rsid w:val="6FB638B5"/>
    <w:rsid w:val="6FB72105"/>
    <w:rsid w:val="6FC44A5D"/>
    <w:rsid w:val="6FD221F0"/>
    <w:rsid w:val="6FD85181"/>
    <w:rsid w:val="6FE70C3C"/>
    <w:rsid w:val="6FE81C18"/>
    <w:rsid w:val="6FED512C"/>
    <w:rsid w:val="6FF716B4"/>
    <w:rsid w:val="70087D92"/>
    <w:rsid w:val="70235E37"/>
    <w:rsid w:val="702754DC"/>
    <w:rsid w:val="703177B7"/>
    <w:rsid w:val="70507E63"/>
    <w:rsid w:val="70556A72"/>
    <w:rsid w:val="70681710"/>
    <w:rsid w:val="706E310B"/>
    <w:rsid w:val="70731A1E"/>
    <w:rsid w:val="70785480"/>
    <w:rsid w:val="70986263"/>
    <w:rsid w:val="70B22512"/>
    <w:rsid w:val="70CB476E"/>
    <w:rsid w:val="70D96804"/>
    <w:rsid w:val="70F55305"/>
    <w:rsid w:val="70FC014B"/>
    <w:rsid w:val="70FC69B1"/>
    <w:rsid w:val="711C2B67"/>
    <w:rsid w:val="71224A68"/>
    <w:rsid w:val="71255CAC"/>
    <w:rsid w:val="712972A3"/>
    <w:rsid w:val="712B1CAF"/>
    <w:rsid w:val="714844A1"/>
    <w:rsid w:val="714C3BDE"/>
    <w:rsid w:val="714F1D90"/>
    <w:rsid w:val="7153785D"/>
    <w:rsid w:val="7158404F"/>
    <w:rsid w:val="716419ED"/>
    <w:rsid w:val="7169742F"/>
    <w:rsid w:val="717C5D0F"/>
    <w:rsid w:val="719135DB"/>
    <w:rsid w:val="71AF6B64"/>
    <w:rsid w:val="71B51080"/>
    <w:rsid w:val="71BA3437"/>
    <w:rsid w:val="71CD3E62"/>
    <w:rsid w:val="71E64B39"/>
    <w:rsid w:val="71ED3D7B"/>
    <w:rsid w:val="72086C48"/>
    <w:rsid w:val="7217648C"/>
    <w:rsid w:val="7218332F"/>
    <w:rsid w:val="721A10D6"/>
    <w:rsid w:val="72200435"/>
    <w:rsid w:val="72323CC5"/>
    <w:rsid w:val="72330169"/>
    <w:rsid w:val="72347A3D"/>
    <w:rsid w:val="723E08BB"/>
    <w:rsid w:val="72441905"/>
    <w:rsid w:val="72496CC0"/>
    <w:rsid w:val="724B7048"/>
    <w:rsid w:val="72550877"/>
    <w:rsid w:val="725D4DFA"/>
    <w:rsid w:val="726447C6"/>
    <w:rsid w:val="72667860"/>
    <w:rsid w:val="726B67E2"/>
    <w:rsid w:val="7274015D"/>
    <w:rsid w:val="72822E9E"/>
    <w:rsid w:val="728C6641"/>
    <w:rsid w:val="729606F7"/>
    <w:rsid w:val="729D0723"/>
    <w:rsid w:val="72B017B9"/>
    <w:rsid w:val="72B5599C"/>
    <w:rsid w:val="72B8580A"/>
    <w:rsid w:val="72CE60E3"/>
    <w:rsid w:val="72D04415"/>
    <w:rsid w:val="72DA3B34"/>
    <w:rsid w:val="72EC6569"/>
    <w:rsid w:val="72F47F9C"/>
    <w:rsid w:val="72F85FEB"/>
    <w:rsid w:val="72FC60A4"/>
    <w:rsid w:val="730438B3"/>
    <w:rsid w:val="732B67A4"/>
    <w:rsid w:val="7355410F"/>
    <w:rsid w:val="735A1725"/>
    <w:rsid w:val="736E2FE6"/>
    <w:rsid w:val="73724CC1"/>
    <w:rsid w:val="738343D4"/>
    <w:rsid w:val="73911993"/>
    <w:rsid w:val="73993FFB"/>
    <w:rsid w:val="739B049F"/>
    <w:rsid w:val="73B63327"/>
    <w:rsid w:val="73E36617"/>
    <w:rsid w:val="73EA6238"/>
    <w:rsid w:val="73F751C6"/>
    <w:rsid w:val="7401366E"/>
    <w:rsid w:val="740A6CA7"/>
    <w:rsid w:val="740D6797"/>
    <w:rsid w:val="74237D69"/>
    <w:rsid w:val="742A7349"/>
    <w:rsid w:val="74312486"/>
    <w:rsid w:val="743C0E2B"/>
    <w:rsid w:val="743E0DEC"/>
    <w:rsid w:val="744E2AE1"/>
    <w:rsid w:val="74533F0F"/>
    <w:rsid w:val="745368A0"/>
    <w:rsid w:val="74597959"/>
    <w:rsid w:val="745A3C9B"/>
    <w:rsid w:val="747174D0"/>
    <w:rsid w:val="74806F69"/>
    <w:rsid w:val="74832712"/>
    <w:rsid w:val="74A72748"/>
    <w:rsid w:val="74BA691F"/>
    <w:rsid w:val="74C3388D"/>
    <w:rsid w:val="74C472BA"/>
    <w:rsid w:val="74C72DEA"/>
    <w:rsid w:val="74E03FDF"/>
    <w:rsid w:val="74E21EC9"/>
    <w:rsid w:val="74E46B56"/>
    <w:rsid w:val="74E80C35"/>
    <w:rsid w:val="74F1655B"/>
    <w:rsid w:val="74F87447"/>
    <w:rsid w:val="74FA31C0"/>
    <w:rsid w:val="74FB2A94"/>
    <w:rsid w:val="74FD680C"/>
    <w:rsid w:val="75093403"/>
    <w:rsid w:val="75210DC6"/>
    <w:rsid w:val="752E554A"/>
    <w:rsid w:val="754601B3"/>
    <w:rsid w:val="75664E30"/>
    <w:rsid w:val="757271FA"/>
    <w:rsid w:val="757C1F17"/>
    <w:rsid w:val="757F74C3"/>
    <w:rsid w:val="758E56B6"/>
    <w:rsid w:val="759A04FF"/>
    <w:rsid w:val="759A7808"/>
    <w:rsid w:val="759C12DB"/>
    <w:rsid w:val="759E2C03"/>
    <w:rsid w:val="75A36308"/>
    <w:rsid w:val="75AB6268"/>
    <w:rsid w:val="75B94E29"/>
    <w:rsid w:val="75C630A2"/>
    <w:rsid w:val="75D73DE6"/>
    <w:rsid w:val="75E306B8"/>
    <w:rsid w:val="75E663D6"/>
    <w:rsid w:val="75E906D1"/>
    <w:rsid w:val="76086D93"/>
    <w:rsid w:val="760C246D"/>
    <w:rsid w:val="76236746"/>
    <w:rsid w:val="764F4EB0"/>
    <w:rsid w:val="76500BBD"/>
    <w:rsid w:val="76875B4E"/>
    <w:rsid w:val="768A2321"/>
    <w:rsid w:val="76916DB5"/>
    <w:rsid w:val="76A553AD"/>
    <w:rsid w:val="76A67BC6"/>
    <w:rsid w:val="76AD53F3"/>
    <w:rsid w:val="76C1738E"/>
    <w:rsid w:val="76C375E1"/>
    <w:rsid w:val="76EC44D1"/>
    <w:rsid w:val="76EE0B02"/>
    <w:rsid w:val="76F53C3E"/>
    <w:rsid w:val="76FA74A7"/>
    <w:rsid w:val="76FF1C95"/>
    <w:rsid w:val="77075720"/>
    <w:rsid w:val="770854F7"/>
    <w:rsid w:val="7714428A"/>
    <w:rsid w:val="77275DC2"/>
    <w:rsid w:val="77440722"/>
    <w:rsid w:val="7745051E"/>
    <w:rsid w:val="774E334F"/>
    <w:rsid w:val="7755445A"/>
    <w:rsid w:val="776808B4"/>
    <w:rsid w:val="77792DBE"/>
    <w:rsid w:val="777C7EBC"/>
    <w:rsid w:val="777F5120"/>
    <w:rsid w:val="77815801"/>
    <w:rsid w:val="778B4406"/>
    <w:rsid w:val="778C4D30"/>
    <w:rsid w:val="779A6470"/>
    <w:rsid w:val="779C67B0"/>
    <w:rsid w:val="77B108DA"/>
    <w:rsid w:val="77B462A2"/>
    <w:rsid w:val="77C83101"/>
    <w:rsid w:val="77D221D2"/>
    <w:rsid w:val="77D3326F"/>
    <w:rsid w:val="77D41B9E"/>
    <w:rsid w:val="77D5581E"/>
    <w:rsid w:val="77E12415"/>
    <w:rsid w:val="77EE030C"/>
    <w:rsid w:val="77FA34D6"/>
    <w:rsid w:val="78001060"/>
    <w:rsid w:val="78004549"/>
    <w:rsid w:val="781E71C5"/>
    <w:rsid w:val="78540E39"/>
    <w:rsid w:val="78623289"/>
    <w:rsid w:val="786477EF"/>
    <w:rsid w:val="78697533"/>
    <w:rsid w:val="788110E8"/>
    <w:rsid w:val="78811502"/>
    <w:rsid w:val="788D60F9"/>
    <w:rsid w:val="789456D9"/>
    <w:rsid w:val="78946B43"/>
    <w:rsid w:val="78955947"/>
    <w:rsid w:val="78A85AEB"/>
    <w:rsid w:val="78B81231"/>
    <w:rsid w:val="78C37D6C"/>
    <w:rsid w:val="78C614A0"/>
    <w:rsid w:val="78D25B12"/>
    <w:rsid w:val="78E73A5B"/>
    <w:rsid w:val="791A527E"/>
    <w:rsid w:val="79281493"/>
    <w:rsid w:val="792C5912"/>
    <w:rsid w:val="792E420C"/>
    <w:rsid w:val="79337C3E"/>
    <w:rsid w:val="794635A4"/>
    <w:rsid w:val="7979285B"/>
    <w:rsid w:val="798020FD"/>
    <w:rsid w:val="79836B0A"/>
    <w:rsid w:val="798B6DBB"/>
    <w:rsid w:val="79912CD6"/>
    <w:rsid w:val="7993773F"/>
    <w:rsid w:val="79A8143C"/>
    <w:rsid w:val="79AE4579"/>
    <w:rsid w:val="79C478F8"/>
    <w:rsid w:val="79D30DC6"/>
    <w:rsid w:val="79D35A59"/>
    <w:rsid w:val="79D7587D"/>
    <w:rsid w:val="79D833A4"/>
    <w:rsid w:val="79E4560A"/>
    <w:rsid w:val="79F762D6"/>
    <w:rsid w:val="7A1B5706"/>
    <w:rsid w:val="7A25365F"/>
    <w:rsid w:val="7A290AAC"/>
    <w:rsid w:val="7A2C5E5B"/>
    <w:rsid w:val="7A2D4C4C"/>
    <w:rsid w:val="7A3727C0"/>
    <w:rsid w:val="7A480529"/>
    <w:rsid w:val="7A48677B"/>
    <w:rsid w:val="7A4874F5"/>
    <w:rsid w:val="7A517883"/>
    <w:rsid w:val="7A7E5845"/>
    <w:rsid w:val="7A9279F6"/>
    <w:rsid w:val="7A99244D"/>
    <w:rsid w:val="7AA84F31"/>
    <w:rsid w:val="7AC37345"/>
    <w:rsid w:val="7ACB4FBA"/>
    <w:rsid w:val="7AD87CD9"/>
    <w:rsid w:val="7AED48E3"/>
    <w:rsid w:val="7B29556A"/>
    <w:rsid w:val="7B2F62E4"/>
    <w:rsid w:val="7B351B22"/>
    <w:rsid w:val="7B4F534F"/>
    <w:rsid w:val="7B5178B1"/>
    <w:rsid w:val="7B593CB9"/>
    <w:rsid w:val="7B6770D5"/>
    <w:rsid w:val="7B690757"/>
    <w:rsid w:val="7B7636F2"/>
    <w:rsid w:val="7B847758"/>
    <w:rsid w:val="7B914152"/>
    <w:rsid w:val="7B961F8A"/>
    <w:rsid w:val="7B972609"/>
    <w:rsid w:val="7B9C5880"/>
    <w:rsid w:val="7BA07EF1"/>
    <w:rsid w:val="7BA158F4"/>
    <w:rsid w:val="7BA5080C"/>
    <w:rsid w:val="7BBC1AD5"/>
    <w:rsid w:val="7BCB31C0"/>
    <w:rsid w:val="7BDA1655"/>
    <w:rsid w:val="7BDF03C3"/>
    <w:rsid w:val="7BE06C12"/>
    <w:rsid w:val="7C01687E"/>
    <w:rsid w:val="7C076569"/>
    <w:rsid w:val="7C091208"/>
    <w:rsid w:val="7C097FED"/>
    <w:rsid w:val="7C286864"/>
    <w:rsid w:val="7C2B064C"/>
    <w:rsid w:val="7C441D3E"/>
    <w:rsid w:val="7C444D20"/>
    <w:rsid w:val="7C4D62CB"/>
    <w:rsid w:val="7C523FC8"/>
    <w:rsid w:val="7C5E5DE2"/>
    <w:rsid w:val="7C701FB9"/>
    <w:rsid w:val="7C7F3FAA"/>
    <w:rsid w:val="7C8141C6"/>
    <w:rsid w:val="7C8B0BA1"/>
    <w:rsid w:val="7C8F2B0F"/>
    <w:rsid w:val="7C943EFA"/>
    <w:rsid w:val="7C9C690A"/>
    <w:rsid w:val="7CA073C2"/>
    <w:rsid w:val="7CB35F4B"/>
    <w:rsid w:val="7CB43C54"/>
    <w:rsid w:val="7CD93074"/>
    <w:rsid w:val="7CF141F8"/>
    <w:rsid w:val="7CF93D5D"/>
    <w:rsid w:val="7CFA7EFA"/>
    <w:rsid w:val="7D032E2D"/>
    <w:rsid w:val="7D034BDB"/>
    <w:rsid w:val="7D0C25DF"/>
    <w:rsid w:val="7D0E502D"/>
    <w:rsid w:val="7D102BDB"/>
    <w:rsid w:val="7D17181D"/>
    <w:rsid w:val="7D1961AD"/>
    <w:rsid w:val="7D4070BB"/>
    <w:rsid w:val="7D450D50"/>
    <w:rsid w:val="7D4C6582"/>
    <w:rsid w:val="7D6E0B58"/>
    <w:rsid w:val="7D7D498E"/>
    <w:rsid w:val="7DA55C93"/>
    <w:rsid w:val="7DA7322A"/>
    <w:rsid w:val="7DB3215D"/>
    <w:rsid w:val="7DB708C0"/>
    <w:rsid w:val="7DC132D8"/>
    <w:rsid w:val="7DC30812"/>
    <w:rsid w:val="7DC7089B"/>
    <w:rsid w:val="7DC90D2D"/>
    <w:rsid w:val="7DD93A16"/>
    <w:rsid w:val="7DEE7682"/>
    <w:rsid w:val="7E0B3D48"/>
    <w:rsid w:val="7E1F3FB4"/>
    <w:rsid w:val="7E230B0D"/>
    <w:rsid w:val="7E2E5B56"/>
    <w:rsid w:val="7E372D8F"/>
    <w:rsid w:val="7E3C65F7"/>
    <w:rsid w:val="7E444D47"/>
    <w:rsid w:val="7E47281F"/>
    <w:rsid w:val="7E5020A2"/>
    <w:rsid w:val="7E521976"/>
    <w:rsid w:val="7E7A3F89"/>
    <w:rsid w:val="7E843AFA"/>
    <w:rsid w:val="7E8F7E9B"/>
    <w:rsid w:val="7E980F95"/>
    <w:rsid w:val="7EA63720"/>
    <w:rsid w:val="7EC32874"/>
    <w:rsid w:val="7ECA2D87"/>
    <w:rsid w:val="7ED76320"/>
    <w:rsid w:val="7EE3158B"/>
    <w:rsid w:val="7EE60311"/>
    <w:rsid w:val="7F013462"/>
    <w:rsid w:val="7F0C37F3"/>
    <w:rsid w:val="7F0D59F3"/>
    <w:rsid w:val="7F126204"/>
    <w:rsid w:val="7F1430D0"/>
    <w:rsid w:val="7F166E48"/>
    <w:rsid w:val="7F1C3F56"/>
    <w:rsid w:val="7F211349"/>
    <w:rsid w:val="7F21759B"/>
    <w:rsid w:val="7F24604F"/>
    <w:rsid w:val="7F331058"/>
    <w:rsid w:val="7F402117"/>
    <w:rsid w:val="7F4411B7"/>
    <w:rsid w:val="7F45772D"/>
    <w:rsid w:val="7F4F235A"/>
    <w:rsid w:val="7F703475"/>
    <w:rsid w:val="7F721BA4"/>
    <w:rsid w:val="7F75524E"/>
    <w:rsid w:val="7F763529"/>
    <w:rsid w:val="7F845F9E"/>
    <w:rsid w:val="7F9C388A"/>
    <w:rsid w:val="7FD12D6F"/>
    <w:rsid w:val="7FE4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spacing w:before="240" w:beforeLines="0" w:after="240" w:afterLines="0" w:line="480" w:lineRule="auto"/>
      <w:ind w:firstLine="0" w:firstLineChars="0"/>
      <w:jc w:val="center"/>
      <w:outlineLvl w:val="0"/>
    </w:pPr>
    <w:rPr>
      <w:rFonts w:ascii="方正小标宋_GBK" w:hAnsi="方正小标宋_GBK" w:eastAsia="方正小标宋_GBK" w:cs="方正小标宋_GBK"/>
      <w:bCs/>
      <w:kern w:val="44"/>
      <w:sz w:val="36"/>
      <w:szCs w:val="36"/>
    </w:rPr>
  </w:style>
  <w:style w:type="paragraph" w:styleId="3">
    <w:name w:val="heading 2"/>
    <w:basedOn w:val="1"/>
    <w:next w:val="1"/>
    <w:unhideWhenUsed/>
    <w:qFormat/>
    <w:uiPriority w:val="0"/>
    <w:pPr>
      <w:keepNext/>
      <w:keepLines/>
      <w:spacing w:before="313" w:beforeLines="100" w:after="313" w:afterLines="100" w:line="360" w:lineRule="auto"/>
      <w:ind w:firstLine="0" w:firstLineChars="0"/>
      <w:jc w:val="center"/>
      <w:outlineLvl w:val="1"/>
    </w:pPr>
    <w:rPr>
      <w:rFonts w:ascii="Times New Roman" w:hAnsi="Times New Roman" w:eastAsia="楷体_GB2312" w:cs="Times New Roman"/>
      <w:b/>
    </w:rPr>
  </w:style>
  <w:style w:type="paragraph" w:styleId="4">
    <w:name w:val="heading 3"/>
    <w:basedOn w:val="1"/>
    <w:next w:val="1"/>
    <w:unhideWhenUsed/>
    <w:qFormat/>
    <w:uiPriority w:val="0"/>
    <w:pPr>
      <w:numPr>
        <w:ilvl w:val="0"/>
        <w:numId w:val="1"/>
      </w:numPr>
      <w:spacing w:before="157" w:beforeLines="50" w:after="157" w:afterLines="50"/>
      <w:ind w:firstLine="420" w:firstLineChars="0"/>
      <w:jc w:val="left"/>
      <w:outlineLvl w:val="2"/>
    </w:pPr>
    <w:rPr>
      <w:rFonts w:ascii="黑体" w:hAnsi="黑体" w:eastAsia="黑体" w:cs="黑体"/>
      <w:kern w:val="0"/>
      <w:lang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caption"/>
    <w:basedOn w:val="1"/>
    <w:next w:val="1"/>
    <w:semiHidden/>
    <w:unhideWhenUsed/>
    <w:qFormat/>
    <w:uiPriority w:val="0"/>
    <w:rPr>
      <w:rFonts w:ascii="Arial" w:hAnsi="Arial" w:eastAsia="黑体"/>
      <w:sz w:val="20"/>
    </w:rPr>
  </w:style>
  <w:style w:type="paragraph" w:styleId="7">
    <w:name w:val="Body Text"/>
    <w:basedOn w:val="1"/>
    <w:qFormat/>
    <w:uiPriority w:val="1"/>
    <w:rPr>
      <w:sz w:val="28"/>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footnote text"/>
    <w:basedOn w:val="1"/>
    <w:qFormat/>
    <w:uiPriority w:val="0"/>
    <w:pPr>
      <w:snapToGrid w:val="0"/>
      <w:spacing w:line="240" w:lineRule="auto"/>
      <w:jc w:val="left"/>
    </w:pPr>
    <w:rPr>
      <w:sz w:val="18"/>
    </w:rPr>
  </w:style>
  <w:style w:type="paragraph" w:styleId="12">
    <w:name w:val="toc 2"/>
    <w:basedOn w:val="1"/>
    <w:next w:val="1"/>
    <w:qFormat/>
    <w:uiPriority w:val="0"/>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unhideWhenUsed/>
    <w:qFormat/>
    <w:uiPriority w:val="99"/>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Emphasis"/>
    <w:basedOn w:val="18"/>
    <w:qFormat/>
    <w:uiPriority w:val="0"/>
    <w:rPr>
      <w:i/>
    </w:rPr>
  </w:style>
  <w:style w:type="character" w:styleId="21">
    <w:name w:val="Hyperlink"/>
    <w:basedOn w:val="18"/>
    <w:qFormat/>
    <w:uiPriority w:val="0"/>
    <w:rPr>
      <w:color w:val="0000FF"/>
      <w:u w:val="single"/>
    </w:rPr>
  </w:style>
  <w:style w:type="character" w:styleId="22">
    <w:name w:val="footnote reference"/>
    <w:basedOn w:val="18"/>
    <w:qFormat/>
    <w:uiPriority w:val="0"/>
    <w:rPr>
      <w:vertAlign w:val="superscript"/>
    </w:rPr>
  </w:style>
  <w:style w:type="paragraph" w:customStyle="1" w:styleId="23">
    <w:name w:val="题目"/>
    <w:basedOn w:val="1"/>
    <w:qFormat/>
    <w:uiPriority w:val="0"/>
    <w:pPr>
      <w:jc w:val="center"/>
    </w:pPr>
    <w:rPr>
      <w:rFonts w:hint="eastAsia" w:ascii="方正小标宋_GBK" w:hAnsi="方正小标宋_GBK" w:eastAsia="方正小标宋_GBK" w:cs="方正小标宋_GBK"/>
      <w:sz w:val="44"/>
      <w:szCs w:val="44"/>
    </w:rPr>
  </w:style>
  <w:style w:type="paragraph" w:customStyle="1" w:styleId="24">
    <w:name w:val="表名"/>
    <w:basedOn w:val="1"/>
    <w:qFormat/>
    <w:uiPriority w:val="0"/>
    <w:pPr>
      <w:spacing w:before="50" w:beforeLines="50" w:after="50" w:afterLines="50"/>
      <w:jc w:val="center"/>
    </w:pPr>
    <w:rPr>
      <w:rFonts w:hint="eastAsia" w:ascii="黑体" w:hAnsi="黑体" w:eastAsia="黑体"/>
    </w:rPr>
  </w:style>
  <w:style w:type="paragraph" w:customStyle="1" w:styleId="25">
    <w:name w:val="条标题"/>
    <w:basedOn w:val="1"/>
    <w:qFormat/>
    <w:uiPriority w:val="0"/>
    <w:pPr>
      <w:numPr>
        <w:ilvl w:val="0"/>
        <w:numId w:val="2"/>
      </w:numPr>
      <w:ind w:left="0" w:firstLine="200"/>
      <w:jc w:val="left"/>
      <w:textAlignment w:val="auto"/>
    </w:pPr>
    <w:rPr>
      <w:rFonts w:ascii="Arial" w:hAnsi="Arial" w:eastAsia="楷体_GB2312"/>
      <w:szCs w:val="28"/>
    </w:rPr>
  </w:style>
  <w:style w:type="character" w:customStyle="1" w:styleId="26">
    <w:name w:val="强制性内容 Char"/>
    <w:link w:val="27"/>
    <w:qFormat/>
    <w:locked/>
    <w:uiPriority w:val="0"/>
    <w:rPr>
      <w:rFonts w:ascii="宋体" w:hAnsi="宋体"/>
      <w:kern w:val="2"/>
      <w:szCs w:val="21"/>
      <w:u w:val="single"/>
    </w:rPr>
  </w:style>
  <w:style w:type="paragraph" w:customStyle="1" w:styleId="27">
    <w:name w:val="强制性内容"/>
    <w:basedOn w:val="1"/>
    <w:link w:val="26"/>
    <w:qFormat/>
    <w:uiPriority w:val="0"/>
    <w:pPr>
      <w:spacing w:line="560" w:lineRule="exact"/>
      <w:textAlignment w:val="auto"/>
    </w:pPr>
    <w:rPr>
      <w:rFonts w:ascii="宋体" w:hAnsi="宋体"/>
      <w:kern w:val="2"/>
      <w:szCs w:val="21"/>
      <w:u w:val="single"/>
    </w:rPr>
  </w:style>
  <w:style w:type="paragraph" w:customStyle="1" w:styleId="28">
    <w:name w:val="专栏正文"/>
    <w:basedOn w:val="1"/>
    <w:link w:val="30"/>
    <w:qFormat/>
    <w:uiPriority w:val="0"/>
    <w:pPr>
      <w:spacing w:line="440" w:lineRule="exact"/>
      <w:ind w:firstLine="480"/>
      <w:jc w:val="left"/>
    </w:pPr>
    <w:rPr>
      <w:rFonts w:ascii="楷体_GB2312" w:hAnsi="楷体_GB2312" w:cstheme="minorBidi"/>
      <w:sz w:val="28"/>
      <w:szCs w:val="28"/>
    </w:rPr>
  </w:style>
  <w:style w:type="character" w:customStyle="1" w:styleId="29">
    <w:name w:val="专栏内短首句 字符"/>
    <w:basedOn w:val="30"/>
    <w:link w:val="31"/>
    <w:qFormat/>
    <w:uiPriority w:val="0"/>
    <w:rPr>
      <w:rFonts w:eastAsia="楷体_GB2312"/>
    </w:rPr>
  </w:style>
  <w:style w:type="character" w:customStyle="1" w:styleId="30">
    <w:name w:val="专栏正文 字符"/>
    <w:link w:val="28"/>
    <w:qFormat/>
    <w:uiPriority w:val="0"/>
    <w:rPr>
      <w:rFonts w:ascii="楷体_GB2312" w:hAnsi="楷体_GB2312" w:eastAsia="仿宋_GB2312" w:cstheme="minorBidi"/>
      <w:kern w:val="2"/>
      <w:sz w:val="28"/>
      <w:szCs w:val="28"/>
      <w:lang w:val="en-US" w:eastAsia="zh-CN" w:bidi="ar-SA"/>
    </w:rPr>
  </w:style>
  <w:style w:type="paragraph" w:customStyle="1" w:styleId="31">
    <w:name w:val="专栏内短首句"/>
    <w:basedOn w:val="28"/>
    <w:link w:val="29"/>
    <w:qFormat/>
    <w:uiPriority w:val="0"/>
    <w:rPr>
      <w:rFonts w:eastAsia="楷体_GB2312"/>
    </w:rPr>
  </w:style>
  <w:style w:type="paragraph" w:styleId="32">
    <w:name w:val="List Paragraph"/>
    <w:basedOn w:val="1"/>
    <w:qFormat/>
    <w:uiPriority w:val="34"/>
    <w:pPr>
      <w:ind w:firstLine="420" w:firstLineChars="200"/>
    </w:pPr>
  </w:style>
  <w:style w:type="character" w:customStyle="1" w:styleId="33">
    <w:name w:val="font11"/>
    <w:basedOn w:val="18"/>
    <w:qFormat/>
    <w:uiPriority w:val="0"/>
    <w:rPr>
      <w:rFonts w:hint="default" w:ascii="Times New Roman" w:hAnsi="Times New Roman" w:cs="Times New Roman"/>
      <w:color w:val="000000"/>
      <w:sz w:val="24"/>
      <w:szCs w:val="24"/>
      <w:u w:val="none"/>
    </w:rPr>
  </w:style>
  <w:style w:type="character" w:customStyle="1" w:styleId="34">
    <w:name w:val="font21"/>
    <w:basedOn w:val="18"/>
    <w:qFormat/>
    <w:uiPriority w:val="0"/>
    <w:rPr>
      <w:rFonts w:ascii="仿宋_GB2312" w:eastAsia="仿宋_GB2312" w:cs="仿宋_GB2312"/>
      <w:color w:val="000000"/>
      <w:sz w:val="24"/>
      <w:szCs w:val="24"/>
      <w:u w:val="none"/>
    </w:rPr>
  </w:style>
  <w:style w:type="character" w:customStyle="1" w:styleId="35">
    <w:name w:val="font31"/>
    <w:basedOn w:val="18"/>
    <w:qFormat/>
    <w:uiPriority w:val="0"/>
    <w:rPr>
      <w:rFonts w:hint="eastAsia" w:ascii="宋体" w:hAnsi="宋体" w:eastAsia="宋体" w:cs="宋体"/>
      <w:color w:val="000000"/>
      <w:sz w:val="20"/>
      <w:szCs w:val="20"/>
      <w:u w:val="none"/>
    </w:rPr>
  </w:style>
  <w:style w:type="character" w:customStyle="1" w:styleId="36">
    <w:name w:val="font41"/>
    <w:basedOn w:val="18"/>
    <w:qFormat/>
    <w:uiPriority w:val="0"/>
    <w:rPr>
      <w:rFonts w:hint="eastAsia" w:ascii="仿宋_GB2312" w:eastAsia="仿宋_GB2312" w:cs="仿宋_GB2312"/>
      <w:color w:val="000000"/>
      <w:sz w:val="20"/>
      <w:szCs w:val="20"/>
      <w:u w:val="none"/>
    </w:rPr>
  </w:style>
  <w:style w:type="paragraph" w:customStyle="1" w:styleId="37">
    <w:name w:val="专栏字体"/>
    <w:basedOn w:val="1"/>
    <w:qFormat/>
    <w:uiPriority w:val="0"/>
    <w:rPr>
      <w:rFonts w:ascii="Times New Roman" w:hAnsi="Times New Roman" w:cs="Times New Roman"/>
      <w:sz w:val="28"/>
      <w:szCs w:val="28"/>
    </w:rPr>
  </w:style>
  <w:style w:type="character" w:customStyle="1" w:styleId="38">
    <w:name w:val="font51"/>
    <w:basedOn w:val="18"/>
    <w:qFormat/>
    <w:uiPriority w:val="0"/>
    <w:rPr>
      <w:rFonts w:hint="eastAsia" w:ascii="仿宋_GB2312" w:eastAsia="仿宋_GB2312" w:cs="仿宋_GB2312"/>
      <w:color w:val="000000"/>
      <w:sz w:val="24"/>
      <w:szCs w:val="24"/>
      <w:u w:val="none"/>
    </w:rPr>
  </w:style>
  <w:style w:type="character" w:customStyle="1" w:styleId="39">
    <w:name w:val="font61"/>
    <w:basedOn w:val="18"/>
    <w:qFormat/>
    <w:uiPriority w:val="0"/>
    <w:rPr>
      <w:rFonts w:hint="eastAsia" w:ascii="仿宋_GB2312" w:eastAsia="仿宋_GB2312" w:cs="仿宋_GB2312"/>
      <w:color w:val="000000"/>
      <w:sz w:val="22"/>
      <w:szCs w:val="22"/>
      <w:u w:val="none"/>
    </w:rPr>
  </w:style>
  <w:style w:type="character" w:customStyle="1" w:styleId="40">
    <w:name w:val="font71"/>
    <w:basedOn w:val="18"/>
    <w:qFormat/>
    <w:uiPriority w:val="0"/>
    <w:rPr>
      <w:rFonts w:hint="default" w:ascii="Times New Roman" w:hAnsi="Times New Roman" w:cs="Times New Roman"/>
      <w:color w:val="000000"/>
      <w:sz w:val="22"/>
      <w:szCs w:val="22"/>
      <w:u w:val="none"/>
    </w:rPr>
  </w:style>
  <w:style w:type="paragraph" w:styleId="41">
    <w:name w:val="No Spacing"/>
    <w:basedOn w:val="1"/>
    <w:qFormat/>
    <w:uiPriority w:val="1"/>
    <w:pPr>
      <w:spacing w:after="312" w:line="560" w:lineRule="exact"/>
      <w:ind w:firstLine="0" w:firstLineChars="0"/>
      <w:jc w:val="center"/>
    </w:pPr>
    <w:rPr>
      <w:rFonts w:ascii="方正小标宋简体" w:hAnsi="方正小标宋简体" w:eastAsia="方正小标宋简体" w:cs="方正小标宋简体"/>
      <w:sz w:val="44"/>
      <w:szCs w:val="44"/>
    </w:rPr>
  </w:style>
  <w:style w:type="character" w:customStyle="1" w:styleId="42">
    <w:name w:val="font81"/>
    <w:basedOn w:val="1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246ab8db-44f0-4a4b-bc66-bbf59cb5b36f</errorID>
      <errorWord xmlns="http://schemas.wps.cn/vas-ai-hub/contract-review">贯彻新发展理念、融入新发展格局</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贯彻新发展理念、构建新发展格局</item>
      </candidateList>
      <explain xmlns="http://schemas.wps.cn/vas-ai-hub/contract-review">词汇“贯彻新发展理念、构建新发展格局”在特定场景下为固定表述形式，请确认此处的“贯彻新发展理念、融入新发展格局”是否存在不当。</explain>
      <paraID xmlns="http://schemas.wps.cn/vas-ai-hub/contract-review">23495079</paraID>
      <start xmlns="http://schemas.wps.cn/vas-ai-hub/contract-review">80</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5f2765aa-4699-49e2-b648-e26ae8da16a1</errorID>
      <errorWord xmlns="http://schemas.wps.cn/vas-ai-hub/contract-review">获选</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入选</item>
      </candidateList>
      <explain xmlns="http://schemas.wps.cn/vas-ai-hub/contract-review"/>
      <paraID xmlns="http://schemas.wps.cn/vas-ai-hub/contract-review"> C48A724</paraID>
      <start xmlns="http://schemas.wps.cn/vas-ai-hub/contract-review">248</start>
      <end xmlns="http://schemas.wps.cn/vas-ai-hub/contract-review">250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14ec9cb2-6c58-47db-96db-e003ecf96ca2</errorID>
      <errorWord xmlns="http://schemas.wps.cn/vas-ai-hub/contract-review">成功</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岫岩县成功</item>
      </candidateList>
      <explain xmlns="http://schemas.wps.cn/vas-ai-hub/contract-review"/>
      <paraID xmlns="http://schemas.wps.cn/vas-ai-hub/contract-review">78D5FBC9</paraID>
      <start xmlns="http://schemas.wps.cn/vas-ai-hub/contract-review">263</start>
      <end xmlns="http://schemas.wps.cn/vas-ai-hub/contract-review">265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a13eee61-ac01-48e3-9935-2aa240af0f4b</errorID>
      <errorWord xmlns="http://schemas.wps.cn/vas-ai-hub/contract-review">我县</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本县</item>
      </candidateList>
      <explain xmlns="http://schemas.wps.cn/vas-ai-hub/contract-review"/>
      <paraID xmlns="http://schemas.wps.cn/vas-ai-hub/contract-review">7F48FCD8</paraID>
      <start xmlns="http://schemas.wps.cn/vas-ai-hub/contract-review">28</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9aa90590-20ef-481a-9d9e-6e923361a8e7</errorID>
      <errorWord xmlns="http://schemas.wps.cn/vas-ai-hub/contract-review">获评</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本县获评</item>
      </candidateList>
      <explain xmlns="http://schemas.wps.cn/vas-ai-hub/contract-review"/>
      <paraID xmlns="http://schemas.wps.cn/vas-ai-hub/contract-review">7F48FCD8</paraID>
      <start xmlns="http://schemas.wps.cn/vas-ai-hub/contract-review">92</start>
      <end xmlns="http://schemas.wps.cn/vas-ai-hub/contract-review">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ddc982f9-c564-478b-9a6c-7c483f546d43</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4903F94F</paraID>
      <start xmlns="http://schemas.wps.cn/vas-ai-hub/contract-review">8</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c23fc9ab-565e-4c72-a227-620c10de2050</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5DE8D8B4</paraID>
      <start xmlns="http://schemas.wps.cn/vas-ai-hub/contract-review">615</start>
      <end xmlns="http://schemas.wps.cn/vas-ai-hub/contract-review">618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3961d7f7-9807-42ad-9dbf-46fcf86dfd47</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 FD97774</paraID>
      <start xmlns="http://schemas.wps.cn/vas-ai-hub/contract-review">52</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35e15927-cb71-4922-bc7a-7d9b4cbbdae9</errorID>
      <errorWord xmlns="http://schemas.wps.cn/vas-ai-hub/contract-review">新发展格局加快构建</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加快构建新发展格局</item>
      </candidateList>
      <explain xmlns="http://schemas.wps.cn/vas-ai-hub/contract-review">词汇“加快构建新发展格局”在特定场景下为固定表述形式，请确认此处的“新发展格局加快构建”是否存在不当。</explain>
      <paraID xmlns="http://schemas.wps.cn/vas-ai-hub/contract-review"> C30F2E9</paraID>
      <start xmlns="http://schemas.wps.cn/vas-ai-hub/contract-review">59</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f703cc36-cc0a-4eb6-8e23-9e3ec15312d8</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770B5D00</paraID>
      <start xmlns="http://schemas.wps.cn/vas-ai-hub/contract-review">13</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4a15ba66-ce93-455d-855f-816a236ee08a</errorID>
      <errorWord xmlns="http://schemas.wps.cn/vas-ai-hub/contract-review">思维定势</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思维定式</item>
      </candidateList>
      <explain xmlns="http://schemas.wps.cn/vas-ai-hub/contract-review">词汇[思维定势]为不规范表述或旧称，其规范书面表述为[思维定式]。</explain>
      <paraID xmlns="http://schemas.wps.cn/vas-ai-hub/contract-review">27E6724A</paraID>
      <start xmlns="http://schemas.wps.cn/vas-ai-hub/contract-review">27</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b2da9dc0-119c-4003-8224-7186d2aba60c</errorID>
      <errorWord xmlns="http://schemas.wps.cn/vas-ai-hub/contract-review">文化与旅游</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文化和旅游</item>
      </candidateList>
      <explain xmlns="http://schemas.wps.cn/vas-ai-hub/contract-review"/>
      <paraID xmlns="http://schemas.wps.cn/vas-ai-hub/contract-review">2E132443</paraID>
      <start xmlns="http://schemas.wps.cn/vas-ai-hub/contract-review">597</start>
      <end xmlns="http://schemas.wps.cn/vas-ai-hub/contract-review">602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4602cedb-9447-4262-9904-22528d298264</errorID>
      <errorWord xmlns="http://schemas.wps.cn/vas-ai-hub/contract-review">菌种资源</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品种资源</item>
      </candidateList>
      <explain xmlns="http://schemas.wps.cn/vas-ai-hub/contract-review"/>
      <paraID xmlns="http://schemas.wps.cn/vas-ai-hub/contract-review">2800A2BA</paraID>
      <start xmlns="http://schemas.wps.cn/vas-ai-hub/contract-review">99</start>
      <end xmlns="http://schemas.wps.cn/vas-ai-hub/contract-review">103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b95c06eb-2cb0-4c21-8b79-a99f7c0b5a5e</errorID>
      <errorWord xmlns="http://schemas.wps.cn/vas-ai-hub/contract-review">农业现代产业园</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现代农业产业园</item>
      </candidateList>
      <explain xmlns="http://schemas.wps.cn/vas-ai-hub/contract-review"/>
      <paraID xmlns="http://schemas.wps.cn/vas-ai-hub/contract-review"> 26C6334</paraID>
      <start xmlns="http://schemas.wps.cn/vas-ai-hub/contract-review">60</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4c855b6b-b5f2-4048-b7c3-4fd2364bb05b</errorID>
      <errorWord xmlns="http://schemas.wps.cn/vas-ai-hub/contract-review">树型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树形</item>
      </candidateList>
      <explain xmlns="http://schemas.wps.cn/vas-ai-hub/contract-review">存在发音相同字词的误用。</explain>
      <paraID xmlns="http://schemas.wps.cn/vas-ai-hub/contract-review">49E7E2FC</paraID>
      <start xmlns="http://schemas.wps.cn/vas-ai-hub/contract-review">111</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249a81a7-6407-4501-a99f-8bad5434190e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67BDA870</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cfc79ff1-385f-47b2-b403-36139ceae21e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2C6DC164</paraID>
      <start xmlns="http://schemas.wps.cn/vas-ai-hub/contract-review">123</start>
      <end xmlns="http://schemas.wps.cn/vas-ai-hub/contract-review">124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4be8c285-cbfc-4a54-a7ae-e0ff35e1ab53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2C6DC164</paraID>
      <start xmlns="http://schemas.wps.cn/vas-ai-hub/contract-review">132</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4b6021b9-9ad6-4db0-9b0a-92566e81180e</errorID>
      <errorWord xmlns="http://schemas.wps.cn/vas-ai-hub/contract-review">硫氧镁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硫酸镁</item>
      </candidateList>
      <explain xmlns="http://schemas.wps.cn/vas-ai-hub/contract-review"/>
      <paraID xmlns="http://schemas.wps.cn/vas-ai-hub/contract-review">2C6DC164</paraID>
      <start xmlns="http://schemas.wps.cn/vas-ai-hub/contract-review">172</start>
      <end xmlns="http://schemas.wps.cn/vas-ai-hub/contract-review">175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6e801ab5-bb1e-4ad6-9b4d-f55e629558c2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2A079805</paraID>
      <start xmlns="http://schemas.wps.cn/vas-ai-hub/contract-review">282</start>
      <end xmlns="http://schemas.wps.cn/vas-ai-hub/contract-review">283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05ee9400-8614-4d0f-b39a-1da7ef968d0e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2A079805</paraID>
      <start xmlns="http://schemas.wps.cn/vas-ai-hub/contract-review">287</start>
      <end xmlns="http://schemas.wps.cn/vas-ai-hub/contract-review">288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f8528bc4-c64e-4c79-b44e-201935fe4dc9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2A079805</paraID>
      <start xmlns="http://schemas.wps.cn/vas-ai-hub/contract-review">292</start>
      <end xmlns="http://schemas.wps.cn/vas-ai-hub/contract-review">293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b8d9c7cc-6ad2-4b81-ae4a-38e6f3303d21</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，将</item>
      </candidateList>
      <explain xmlns="http://schemas.wps.cn/vas-ai-hub/contract-review"/>
      <paraID xmlns="http://schemas.wps.cn/vas-ai-hub/contract-review">2011A9D7</paraID>
      <start xmlns="http://schemas.wps.cn/vas-ai-hub/contract-review">96</start>
      <end xmlns="http://schemas.wps.cn/vas-ai-hub/contract-review">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5db5f64b-b63b-4292-9a7e-cbdd99d1025a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1E4E3DC1</paraID>
      <start xmlns="http://schemas.wps.cn/vas-ai-hub/contract-review">136</start>
      <end xmlns="http://schemas.wps.cn/vas-ai-hub/contract-review">137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20038986-b788-4c01-811c-800ba6b94b71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717181F9</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7c66fe64-07a1-47ab-94e5-2b6a7be7f92f</errorID>
      <errorWord xmlns="http://schemas.wps.cn/vas-ai-hub/contract-review">玉文化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渔文化</item>
      </candidateList>
      <explain xmlns="http://schemas.wps.cn/vas-ai-hub/contract-review"/>
      <paraID xmlns="http://schemas.wps.cn/vas-ai-hub/contract-review">1C778299</paraID>
      <start xmlns="http://schemas.wps.cn/vas-ai-hub/contract-review">124</start>
      <end xmlns="http://schemas.wps.cn/vas-ai-hub/contract-review">127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88dccdfd-8788-42b9-9b06-02389304b02a</errorID>
      <errorWord xmlns="http://schemas.wps.cn/vas-ai-hub/contract-review">三级物流</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三级河流</item>
      </candidateList>
      <explain xmlns="http://schemas.wps.cn/vas-ai-hub/contract-review"/>
      <paraID xmlns="http://schemas.wps.cn/vas-ai-hub/contract-review">1B9FA036</paraID>
      <start xmlns="http://schemas.wps.cn/vas-ai-hub/contract-review">26</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a73fd3cc-c0e8-467c-a4eb-714773ff8a4c</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6B3F8574</paraID>
      <start xmlns="http://schemas.wps.cn/vas-ai-hub/contract-review">305</start>
      <end xmlns="http://schemas.wps.cn/vas-ai-hub/contract-review">308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b8079a25-15c1-40fd-ad38-14f15bf2fb9b</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20F3AEAB</paraID>
      <start xmlns="http://schemas.wps.cn/vas-ai-hub/contract-review">2</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8598f0cf-aa34-4bc4-870f-a772ab7ebf17</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38D6CD4B</paraID>
      <start xmlns="http://schemas.wps.cn/vas-ai-hub/contract-review">25</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4f2cc63f-8b7e-42b8-a0c2-5f9fbc4393f5</errorID>
      <errorWord xmlns="http://schemas.wps.cn/vas-ai-hub/contract-review">关陶县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馆陶县</item>
      </candidateList>
      <explain xmlns="http://schemas.wps.cn/vas-ai-hub/contract-review">地名表述错误</explain>
      <paraID xmlns="http://schemas.wps.cn/vas-ai-hub/contract-review">7050C513</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a3eddb9e-63c6-44d8-a5dd-217964918b51</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23154BDC</paraID>
      <start xmlns="http://schemas.wps.cn/vas-ai-hub/contract-review">150</start>
      <end xmlns="http://schemas.wps.cn/vas-ai-hub/contract-review">153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79836aeb-092f-4048-a60b-e4ef94ad3856</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41E890D6</paraID>
      <start xmlns="http://schemas.wps.cn/vas-ai-hub/contract-review">13</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1e9178ed-de7e-4b3f-91a9-9f036e64ba88</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41E890D6</paraID>
      <start xmlns="http://schemas.wps.cn/vas-ai-hub/contract-review">65</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2c01ae60-1c99-457a-a4a6-132b5aa85be1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41E890D6</paraID>
      <start xmlns="http://schemas.wps.cn/vas-ai-hub/contract-review">236</start>
      <end xmlns="http://schemas.wps.cn/vas-ai-hub/contract-review">237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4ae59a85-e3eb-4a1f-9cc6-50b9842a402e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41E890D6</paraID>
      <start xmlns="http://schemas.wps.cn/vas-ai-hub/contract-review">241</start>
      <end xmlns="http://schemas.wps.cn/vas-ai-hub/contract-review">242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d6d54e58-8567-495d-93f1-076c6feafd6a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3EDE9775</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90e04d9a-6b9c-413a-b6c4-a967c21e497a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3EDE9775</paraID>
      <start xmlns="http://schemas.wps.cn/vas-ai-hub/contract-review">65</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2eaeffed-35be-497d-9476-a8c0849b4920</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3EDE9775</paraID>
      <start xmlns="http://schemas.wps.cn/vas-ai-hub/contract-review">130</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f2387481-3c8b-4597-a58c-2a42b23200c1</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，将</item>
      </candidateList>
      <explain xmlns="http://schemas.wps.cn/vas-ai-hub/contract-review"/>
      <paraID xmlns="http://schemas.wps.cn/vas-ai-hub/contract-review">130AB87E</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2fdb117c-3317-488b-9380-b900d3f62277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3EF562F6</paraID>
      <start xmlns="http://schemas.wps.cn/vas-ai-hub/contract-review">437</start>
      <end xmlns="http://schemas.wps.cn/vas-ai-hub/contract-review">438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b66b7d46-292d-4204-8d88-68ebf29ed053</errorID>
      <errorWord xmlns="http://schemas.wps.cn/vas-ai-hub/contract-review">无废城市</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‘无废城市’</item>
      </candidateList>
      <explain xmlns="http://schemas.wps.cn/vas-ai-hub/contract-review">注意检查当前固定表述标点是否使用规范。</explain>
      <paraID xmlns="http://schemas.wps.cn/vas-ai-hub/contract-review">6C6BC9D6</paraID>
      <start xmlns="http://schemas.wps.cn/vas-ai-hub/contract-review">93</start>
      <end xmlns="http://schemas.wps.cn/vas-ai-hub/contract-review">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221f4990-af47-4199-a284-727a9ce72d5b</errorID>
      <errorWord xmlns="http://schemas.wps.cn/vas-ai-hub/contract-review">办好人民满意教育</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办好人民满意的教育</item>
      </candidateList>
      <explain xmlns="http://schemas.wps.cn/vas-ai-hub/contract-review">词汇“办好人民满意的教育”在特定场景下为固定表述形式，请确认此处的“办好人民满意教育”是否存在不当。</explain>
      <paraID xmlns="http://schemas.wps.cn/vas-ai-hub/contract-review">696EBB10</paraID>
      <start xmlns="http://schemas.wps.cn/vas-ai-hub/contract-review">3</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4a17bf40-c381-4424-9cc0-3db06353f2fc</errorID>
      <errorWord xmlns="http://schemas.wps.cn/vas-ai-hub/contract-review">法治教育</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法制教育</item>
      </candidateList>
      <explain xmlns="http://schemas.wps.cn/vas-ai-hub/contract-review"/>
      <paraID xmlns="http://schemas.wps.cn/vas-ai-hub/contract-review">770FC2BA</paraID>
      <start xmlns="http://schemas.wps.cn/vas-ai-hub/contract-review">75</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0c5237b1-60ac-4212-8f97-71856722269f</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4B993801</paraID>
      <start xmlns="http://schemas.wps.cn/vas-ai-hub/contract-review">234</start>
      <end xmlns="http://schemas.wps.cn/vas-ai-hub/contract-review">237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13ec0b83-4d34-434a-9bbd-489f1d4af2a8</errorID>
      <errorWord xmlns="http://schemas.wps.cn/vas-ai-hub/contract-review">卧鹿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卧龙</item>
      </candidateList>
      <explain xmlns="http://schemas.wps.cn/vas-ai-hub/contract-review"/>
      <paraID xmlns="http://schemas.wps.cn/vas-ai-hub/contract-review">21000D0F</paraID>
      <start xmlns="http://schemas.wps.cn/vas-ai-hub/contract-review">43</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9a076fb1-105b-4783-8f18-618a4c925fa8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2FE5A3B</paraID>
      <start xmlns="http://schemas.wps.cn/vas-ai-hub/contract-review">81</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abacbb53-a37d-4354-bbf6-d69871ea8857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2FE5A3B</paraID>
      <start xmlns="http://schemas.wps.cn/vas-ai-hub/contract-review">92</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f1dd978c-b26f-440f-91d6-1ff2db489053</errorID>
      <errorWord xmlns="http://schemas.wps.cn/vas-ai-hub/contract-review">知情权、参与权、表达权和监督权</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知情权、参与权、表达权、监督权</item>
      </candidateList>
      <explain xmlns="http://schemas.wps.cn/vas-ai-hub/contract-review">词汇“知情权、参与权、表达权、监督权”在特定场景下为固定表述形式，请确认此处的“知情权、参与权、表达权和监督权”是否存在不当。</explain>
      <paraID xmlns="http://schemas.wps.cn/vas-ai-hub/contract-review">6B311272</paraID>
      <start xmlns="http://schemas.wps.cn/vas-ai-hub/contract-review">220</start>
      <end xmlns="http://schemas.wps.cn/vas-ai-hub/contract-review">235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1300f90e-48ca-47eb-91f9-4c0ba929e029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6EA6BB4</paraID>
      <start xmlns="http://schemas.wps.cn/vas-ai-hub/contract-review">214</start>
      <end xmlns="http://schemas.wps.cn/vas-ai-hub/contract-review">215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febcf7dd-c040-4906-8798-d451f30076f4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6EA6BB4</paraID>
      <start xmlns="http://schemas.wps.cn/vas-ai-hub/contract-review">217</start>
      <end xmlns="http://schemas.wps.cn/vas-ai-hub/contract-review">218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238e6133-253d-41d0-88ab-9ea933da3c3d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6EA6BB4</paraID>
      <start xmlns="http://schemas.wps.cn/vas-ai-hub/contract-review">220</start>
      <end xmlns="http://schemas.wps.cn/vas-ai-hub/contract-review">221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04475ef0-0414-4866-82ba-aae6d96d3ee9</errorID>
      <errorWord xmlns="http://schemas.wps.cn/vas-ai-hub/contract-review">法制建设</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法治建设</item>
      </candidateList>
      <explain xmlns="http://schemas.wps.cn/vas-ai-hub/contract-review"/>
      <paraID xmlns="http://schemas.wps.cn/vas-ai-hub/contract-review">36D0FEC9</paraID>
      <start xmlns="http://schemas.wps.cn/vas-ai-hub/contract-review">28</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b81852f5-b6b8-47f0-bf6f-fb3a9a04c375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1F906E5C</paraID>
      <start xmlns="http://schemas.wps.cn/vas-ai-hub/contract-review">150</start>
      <end xmlns="http://schemas.wps.cn/vas-ai-hub/contract-review">151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773fd2d8-1019-480a-a9f4-11ef98bb6b86</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312A90B2</paraID>
      <start xmlns="http://schemas.wps.cn/vas-ai-hub/contract-review">252</start>
      <end xmlns="http://schemas.wps.cn/vas-ai-hub/contract-review">255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587c9496-3936-4522-8628-55760e8cee55</errorID>
      <errorWord xmlns="http://schemas.wps.cn/vas-ai-hub/contract-review">坚持和加强党的领导全面</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坚持和加强党的全面领导</item>
      </candidateList>
      <explain xmlns="http://schemas.wps.cn/vas-ai-hub/contract-review">词汇“坚持和加强党的全面领导”在特定场景下为固定表述形式，请确认此处的“坚持和加强党的领导全面”是否存在不当。</explain>
      <paraID xmlns="http://schemas.wps.cn/vas-ai-hub/contract-review">3C9EC753</paraID>
      <start xmlns="http://schemas.wps.cn/vas-ai-hub/contract-review">10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46f6c19f-7eec-436e-8ab3-abd82db90c29</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3C9EC753</paraID>
      <start xmlns="http://schemas.wps.cn/vas-ai-hub/contract-review">457</start>
      <end xmlns="http://schemas.wps.cn/vas-ai-hub/contract-review">460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2d6803ce-6ea7-4171-8753-d74102263cdc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52A01960</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48c187eb-bb3e-4145-b25f-0b3533084f87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52A01960</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584e667b-3728-414a-b22d-595ed840b870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3EDBEB0C</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5ce01345-3fb8-4410-98d6-85652e59465c</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3EDBEB0C</paraID>
      <start xmlns="http://schemas.wps.cn/vas-ai-hub/contract-review">66</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fde812c6-28a9-4a12-a47e-ee89bb4aa140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4383F50B</paraID>
      <start xmlns="http://schemas.wps.cn/vas-ai-hub/contract-review">116</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649e1f8a-8dc2-455e-bb68-2f67a65fb284</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3F574400</paraID>
      <start xmlns="http://schemas.wps.cn/vas-ai-hub/contract-review">47</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45dfa62b-93e9-49a5-86cd-effa3c7ea1e7</errorID>
      <errorWord xmlns="http://schemas.wps.cn/vas-ai-hub/contract-review">岫岩县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岫岩满族自治县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2D2FAF9C</paraID>
      <start xmlns="http://schemas.wps.cn/vas-ai-hub/contract-review">96</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89d38f-2e39-4d40-9f4d-d8eb2828d142}">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9617</Words>
  <Characters>9905</Characters>
  <Lines>0</Lines>
  <Paragraphs>0</Paragraphs>
  <TotalTime>130</TotalTime>
  <ScaleCrop>false</ScaleCrop>
  <LinksUpToDate>false</LinksUpToDate>
  <CharactersWithSpaces>10076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2025-06-30T10:37:00Z</dcterms:created>
  <dc:creator>AB</dc:creator>
  <cp:lastModifiedBy>baixin</cp:lastModifiedBy>
  <dcterms:modified xsi:type="dcterms:W3CDTF">2025-12-08T09:47:05Z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009578FE7E354B0FA79ABBD413024327_13</vt:lpwstr>
  </property>
  <property fmtid="{D5CDD505-2E9C-101B-9397-08002B2CF9AE}" pid="4" name="KSOTemplateDocerSaveRecord">
    <vt:lpwstr>eyJoZGlkIjoiNDA3OWM2MWM4OTAzY2U4OWM2MjFjN2VjMjJjMjAyZDciLCJ1c2VySWQiOiIyMjMzMzMxMzIifQ==</vt:lpwstr>
  </property>
</Properties>
</file>