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A0CECD1">
      <w:pPr>
        <w:keepNext w:val="0"/>
        <w:keepLines w:val="0"/>
        <w:widowControl w:val="0"/>
        <w:suppressLineNumbers w:val="0"/>
        <w:spacing w:before="0" w:beforeAutospacing="0" w:after="0" w:afterAutospacing="0"/>
        <w:ind w:left="0" w:right="0"/>
        <w:jc w:val="both"/>
        <w:rPr>
          <w:rFonts w:hint="eastAsia" w:ascii="仿宋_GB2312" w:hAnsi="仿宋_GB2312" w:eastAsia="仿宋_GB2312" w:cs="仿宋_GB2312"/>
          <w:color w:val="auto"/>
          <w:sz w:val="36"/>
          <w:szCs w:val="36"/>
          <w:highlight w:val="none"/>
          <w:lang w:val="en-US" w:eastAsia="zh-CN"/>
        </w:rPr>
      </w:pPr>
      <w:bookmarkStart w:id="2" w:name="_GoBack"/>
      <w:bookmarkEnd w:id="2"/>
    </w:p>
    <w:p w14:paraId="2EF2758F">
      <w:pPr>
        <w:keepNext w:val="0"/>
        <w:keepLines w:val="0"/>
        <w:widowControl w:val="0"/>
        <w:suppressLineNumbers w:val="0"/>
        <w:spacing w:before="0" w:beforeAutospacing="0" w:after="0" w:afterAutospacing="0"/>
        <w:ind w:left="0" w:right="0"/>
        <w:jc w:val="both"/>
        <w:rPr>
          <w:rFonts w:hint="eastAsia" w:ascii="仿宋_GB2312" w:hAnsi="仿宋_GB2312" w:eastAsia="仿宋_GB2312" w:cs="仿宋_GB2312"/>
          <w:color w:val="auto"/>
          <w:sz w:val="36"/>
          <w:szCs w:val="36"/>
          <w:highlight w:val="none"/>
          <w:lang w:val="en-US"/>
        </w:rPr>
      </w:pPr>
    </w:p>
    <w:p w14:paraId="290FE7C8">
      <w:pPr>
        <w:keepNext w:val="0"/>
        <w:keepLines w:val="0"/>
        <w:widowControl w:val="0"/>
        <w:suppressLineNumbers w:val="0"/>
        <w:adjustRightInd w:val="0"/>
        <w:snapToGrid w:val="0"/>
        <w:spacing w:before="0" w:beforeAutospacing="0" w:after="0" w:afterAutospacing="0"/>
        <w:ind w:left="0" w:right="0"/>
        <w:jc w:val="center"/>
        <w:outlineLvl w:val="0"/>
        <w:rPr>
          <w:rFonts w:hint="eastAsia" w:ascii="方正小标宋_GBK" w:hAnsi="方正小标宋_GBK" w:eastAsia="方正小标宋_GBK" w:cs="方正小标宋_GBK"/>
          <w:bCs/>
          <w:color w:val="auto"/>
          <w:sz w:val="72"/>
          <w:szCs w:val="72"/>
          <w:highlight w:val="none"/>
          <w:lang w:val="en-US"/>
        </w:rPr>
      </w:pPr>
      <w:r>
        <w:rPr>
          <w:rFonts w:hint="eastAsia" w:ascii="方正小标宋_GBK" w:hAnsi="方正小标宋_GBK" w:eastAsia="方正小标宋_GBK" w:cs="方正小标宋_GBK"/>
          <w:bCs/>
          <w:color w:val="auto"/>
          <w:kern w:val="2"/>
          <w:sz w:val="72"/>
          <w:szCs w:val="72"/>
          <w:highlight w:val="none"/>
          <w:lang w:val="en-US" w:eastAsia="zh-CN" w:bidi="ar"/>
        </w:rPr>
        <w:t>建设项目环境影响报告表</w:t>
      </w:r>
    </w:p>
    <w:p w14:paraId="662A0254">
      <w:pPr>
        <w:keepNext w:val="0"/>
        <w:keepLines w:val="0"/>
        <w:widowControl w:val="0"/>
        <w:suppressLineNumbers w:val="0"/>
        <w:adjustRightInd w:val="0"/>
        <w:snapToGrid w:val="0"/>
        <w:spacing w:before="192" w:beforeLines="80" w:beforeAutospacing="0" w:after="0" w:afterAutospacing="0"/>
        <w:ind w:left="0" w:right="0"/>
        <w:jc w:val="center"/>
        <w:rPr>
          <w:rFonts w:hint="eastAsia" w:ascii="楷体_GB2312" w:eastAsia="楷体_GB2312" w:cs="楷体_GB2312"/>
          <w:bCs/>
          <w:color w:val="auto"/>
          <w:sz w:val="48"/>
          <w:szCs w:val="48"/>
          <w:highlight w:val="none"/>
          <w:lang w:val="en-US"/>
        </w:rPr>
      </w:pPr>
      <w:r>
        <w:rPr>
          <w:rFonts w:hint="eastAsia" w:ascii="楷体_GB2312" w:hAnsi="Times New Roman" w:eastAsia="楷体_GB2312" w:cs="楷体_GB2312"/>
          <w:bCs/>
          <w:color w:val="auto"/>
          <w:kern w:val="2"/>
          <w:sz w:val="48"/>
          <w:szCs w:val="48"/>
          <w:highlight w:val="none"/>
          <w:lang w:val="en-US" w:eastAsia="zh-CN" w:bidi="ar"/>
        </w:rPr>
        <w:t>（污染影响类）</w:t>
      </w:r>
    </w:p>
    <w:p w14:paraId="5C1C2A86">
      <w:pPr>
        <w:keepNext w:val="0"/>
        <w:keepLines w:val="0"/>
        <w:widowControl w:val="0"/>
        <w:suppressLineNumbers w:val="0"/>
        <w:adjustRightInd w:val="0"/>
        <w:snapToGrid w:val="0"/>
        <w:spacing w:before="0" w:beforeAutospacing="0" w:after="0" w:afterAutospacing="0" w:line="288" w:lineRule="auto"/>
        <w:ind w:left="0" w:right="0"/>
        <w:jc w:val="center"/>
        <w:outlineLvl w:val="0"/>
        <w:rPr>
          <w:rFonts w:hint="eastAsia" w:ascii="华文仿宋" w:hAnsi="华文仿宋" w:eastAsia="华文仿宋" w:cs="华文仿宋"/>
          <w:color w:val="auto"/>
          <w:kern w:val="44"/>
          <w:sz w:val="44"/>
          <w:szCs w:val="44"/>
          <w:highlight w:val="none"/>
          <w:lang w:val="en-US"/>
        </w:rPr>
      </w:pPr>
    </w:p>
    <w:p w14:paraId="3A0C9AA9">
      <w:pPr>
        <w:keepNext w:val="0"/>
        <w:keepLines w:val="0"/>
        <w:widowControl w:val="0"/>
        <w:suppressLineNumbers w:val="0"/>
        <w:spacing w:before="0" w:beforeAutospacing="0" w:after="0" w:afterAutospacing="0"/>
        <w:ind w:left="0" w:right="0"/>
        <w:jc w:val="center"/>
        <w:rPr>
          <w:rFonts w:eastAsia="仿宋"/>
          <w:color w:val="auto"/>
          <w:sz w:val="52"/>
          <w:szCs w:val="52"/>
          <w:highlight w:val="none"/>
          <w:lang w:val="en-US"/>
        </w:rPr>
      </w:pPr>
    </w:p>
    <w:p w14:paraId="5FF8DF5F">
      <w:pPr>
        <w:keepNext w:val="0"/>
        <w:keepLines w:val="0"/>
        <w:widowControl w:val="0"/>
        <w:suppressLineNumbers w:val="0"/>
        <w:spacing w:before="0" w:beforeAutospacing="0" w:after="0" w:afterAutospacing="0"/>
        <w:ind w:left="0" w:right="0" w:firstLine="1040"/>
        <w:jc w:val="both"/>
        <w:rPr>
          <w:rFonts w:eastAsia="仿宋"/>
          <w:color w:val="auto"/>
          <w:sz w:val="44"/>
          <w:szCs w:val="44"/>
          <w:highlight w:val="none"/>
          <w:lang w:val="en-US"/>
        </w:rPr>
      </w:pPr>
    </w:p>
    <w:p w14:paraId="440217D9">
      <w:pPr>
        <w:keepNext w:val="0"/>
        <w:keepLines w:val="0"/>
        <w:widowControl w:val="0"/>
        <w:suppressLineNumbers w:val="0"/>
        <w:spacing w:before="0" w:beforeAutospacing="0" w:after="0" w:afterAutospacing="0"/>
        <w:ind w:left="0" w:right="0" w:firstLine="1040"/>
        <w:jc w:val="both"/>
        <w:rPr>
          <w:rFonts w:eastAsia="仿宋"/>
          <w:color w:val="auto"/>
          <w:sz w:val="44"/>
          <w:szCs w:val="44"/>
          <w:highlight w:val="none"/>
          <w:lang w:val="en-US"/>
        </w:rPr>
      </w:pPr>
    </w:p>
    <w:p w14:paraId="71F71F39">
      <w:pPr>
        <w:keepNext w:val="0"/>
        <w:keepLines w:val="0"/>
        <w:widowControl w:val="0"/>
        <w:suppressLineNumbers w:val="0"/>
        <w:spacing w:before="0" w:beforeAutospacing="0" w:after="0" w:afterAutospacing="0"/>
        <w:ind w:left="0" w:right="0" w:firstLine="1040"/>
        <w:jc w:val="both"/>
        <w:rPr>
          <w:rFonts w:eastAsia="仿宋"/>
          <w:color w:val="auto"/>
          <w:sz w:val="44"/>
          <w:szCs w:val="44"/>
          <w:highlight w:val="none"/>
          <w:lang w:val="en-US"/>
        </w:rPr>
      </w:pPr>
    </w:p>
    <w:p w14:paraId="68A14DD0">
      <w:pPr>
        <w:keepNext w:val="0"/>
        <w:keepLines w:val="0"/>
        <w:widowControl w:val="0"/>
        <w:suppressLineNumbers w:val="0"/>
        <w:spacing w:before="0" w:beforeAutospacing="0" w:after="0" w:afterAutospacing="0"/>
        <w:ind w:left="0" w:right="0" w:firstLine="1040"/>
        <w:jc w:val="both"/>
        <w:rPr>
          <w:rFonts w:eastAsia="仿宋"/>
          <w:color w:val="auto"/>
          <w:sz w:val="44"/>
          <w:szCs w:val="44"/>
          <w:highlight w:val="none"/>
          <w:lang w:val="en-US"/>
        </w:rPr>
      </w:pPr>
    </w:p>
    <w:p w14:paraId="768C2C4C">
      <w:pPr>
        <w:keepNext w:val="0"/>
        <w:keepLines w:val="0"/>
        <w:widowControl w:val="0"/>
        <w:suppressLineNumbers w:val="0"/>
        <w:adjustRightInd w:val="0"/>
        <w:snapToGrid w:val="0"/>
        <w:spacing w:before="0" w:beforeAutospacing="0" w:after="0" w:afterAutospacing="0" w:line="288" w:lineRule="auto"/>
        <w:ind w:left="2736" w:leftChars="504" w:right="0" w:hanging="1678" w:firstLineChars="0"/>
        <w:jc w:val="both"/>
        <w:rPr>
          <w:rFonts w:hint="default" w:ascii="Times New Roman" w:hAnsi="Times New Roman" w:eastAsia="宋体" w:cs="Times New Roman"/>
          <w:color w:val="auto"/>
          <w:sz w:val="36"/>
          <w:szCs w:val="36"/>
          <w:highlight w:val="none"/>
          <w:u w:val="single"/>
          <w:lang w:val="en-US"/>
        </w:rPr>
      </w:pPr>
      <w:r>
        <w:rPr>
          <w:rFonts w:hint="default" w:ascii="Times New Roman" w:hAnsi="Times New Roman" w:eastAsia="宋体" w:cs="Times New Roman"/>
          <w:color w:val="auto"/>
          <w:kern w:val="2"/>
          <w:sz w:val="36"/>
          <w:szCs w:val="36"/>
          <w:highlight w:val="none"/>
          <w:lang w:val="en-US" w:eastAsia="zh-CN" w:bidi="ar"/>
        </w:rPr>
        <w:t>项目名称：</w:t>
      </w:r>
      <w:r>
        <w:rPr>
          <w:rFonts w:hint="default" w:ascii="Times New Roman" w:hAnsi="Times New Roman" w:eastAsia="宋体" w:cs="Times New Roman"/>
          <w:color w:val="auto"/>
          <w:kern w:val="2"/>
          <w:sz w:val="36"/>
          <w:szCs w:val="36"/>
          <w:highlight w:val="none"/>
          <w:u w:val="single"/>
          <w:lang w:val="en-US" w:eastAsia="zh-CN" w:bidi="ar"/>
        </w:rPr>
        <w:t>辽宁金仑矿产品有限责任公司白云石加工项目</w:t>
      </w:r>
    </w:p>
    <w:p w14:paraId="46E2F988">
      <w:pPr>
        <w:keepNext w:val="0"/>
        <w:keepLines w:val="0"/>
        <w:widowControl w:val="0"/>
        <w:suppressLineNumbers w:val="0"/>
        <w:adjustRightInd w:val="0"/>
        <w:snapToGrid w:val="0"/>
        <w:spacing w:before="0" w:beforeAutospacing="0" w:after="0" w:afterAutospacing="0" w:line="288" w:lineRule="auto"/>
        <w:ind w:left="0" w:right="0" w:firstLine="1040"/>
        <w:jc w:val="both"/>
        <w:rPr>
          <w:rFonts w:hint="default" w:ascii="Times New Roman" w:hAnsi="Times New Roman" w:eastAsia="宋体" w:cs="Times New Roman"/>
          <w:color w:val="auto"/>
          <w:sz w:val="36"/>
          <w:szCs w:val="36"/>
          <w:highlight w:val="none"/>
          <w:u w:val="single"/>
          <w:lang w:val="en-US"/>
        </w:rPr>
      </w:pPr>
      <w:r>
        <w:rPr>
          <w:rFonts w:hint="default" w:ascii="Times New Roman" w:hAnsi="Times New Roman" w:eastAsia="宋体" w:cs="Times New Roman"/>
          <w:color w:val="auto"/>
          <w:kern w:val="2"/>
          <w:sz w:val="36"/>
          <w:szCs w:val="36"/>
          <w:highlight w:val="none"/>
          <w:lang w:val="en-US" w:eastAsia="zh-CN" w:bidi="ar"/>
        </w:rPr>
        <w:t>建设单位：</w:t>
      </w:r>
      <w:r>
        <w:rPr>
          <w:rFonts w:hint="default" w:ascii="Times New Roman" w:hAnsi="Times New Roman" w:eastAsia="宋体" w:cs="Times New Roman"/>
          <w:color w:val="auto"/>
          <w:kern w:val="2"/>
          <w:sz w:val="36"/>
          <w:szCs w:val="36"/>
          <w:highlight w:val="none"/>
          <w:u w:val="single"/>
          <w:lang w:val="en-US" w:eastAsia="zh-CN" w:bidi="ar"/>
        </w:rPr>
        <w:t>辽宁金仑矿产品有限责任公司</w:t>
      </w:r>
    </w:p>
    <w:p w14:paraId="57B9DDAF">
      <w:pPr>
        <w:keepNext w:val="0"/>
        <w:keepLines w:val="0"/>
        <w:widowControl w:val="0"/>
        <w:suppressLineNumbers w:val="0"/>
        <w:adjustRightInd w:val="0"/>
        <w:snapToGrid w:val="0"/>
        <w:spacing w:before="0" w:beforeAutospacing="0" w:after="0" w:afterAutospacing="0" w:line="288" w:lineRule="auto"/>
        <w:ind w:left="0" w:right="0" w:firstLine="1040"/>
        <w:jc w:val="both"/>
        <w:rPr>
          <w:rFonts w:hint="eastAsia" w:ascii="仿宋_GB2312" w:eastAsia="仿宋_GB2312" w:cs="仿宋_GB2312"/>
          <w:color w:val="auto"/>
          <w:sz w:val="36"/>
          <w:szCs w:val="36"/>
          <w:highlight w:val="none"/>
          <w:u w:val="single"/>
          <w:lang w:val="en-US"/>
        </w:rPr>
      </w:pPr>
      <w:r>
        <w:rPr>
          <w:rFonts w:hint="default" w:ascii="Times New Roman" w:hAnsi="Times New Roman" w:eastAsia="宋体" w:cs="Times New Roman"/>
          <w:color w:val="auto"/>
          <w:kern w:val="2"/>
          <w:sz w:val="36"/>
          <w:szCs w:val="36"/>
          <w:highlight w:val="none"/>
          <w:lang w:val="en-US" w:eastAsia="zh-CN" w:bidi="ar"/>
        </w:rPr>
        <w:t>编制日期：</w:t>
      </w:r>
      <w:r>
        <w:rPr>
          <w:rFonts w:hint="default" w:ascii="Times New Roman" w:hAnsi="Times New Roman" w:eastAsia="宋体" w:cs="Times New Roman"/>
          <w:color w:val="auto"/>
          <w:kern w:val="2"/>
          <w:sz w:val="36"/>
          <w:szCs w:val="36"/>
          <w:highlight w:val="none"/>
          <w:u w:val="single"/>
          <w:lang w:val="en-US" w:eastAsia="zh-CN" w:bidi="ar"/>
        </w:rPr>
        <w:t>2025年</w:t>
      </w:r>
      <w:r>
        <w:rPr>
          <w:rFonts w:hint="eastAsia" w:cs="Times New Roman"/>
          <w:color w:val="auto"/>
          <w:kern w:val="2"/>
          <w:sz w:val="36"/>
          <w:szCs w:val="36"/>
          <w:highlight w:val="none"/>
          <w:u w:val="single"/>
          <w:lang w:val="en-US" w:eastAsia="zh-CN" w:bidi="ar"/>
        </w:rPr>
        <w:t>4</w:t>
      </w:r>
      <w:r>
        <w:rPr>
          <w:rFonts w:hint="default" w:ascii="Times New Roman" w:hAnsi="Times New Roman" w:eastAsia="宋体" w:cs="Times New Roman"/>
          <w:color w:val="auto"/>
          <w:kern w:val="2"/>
          <w:sz w:val="36"/>
          <w:szCs w:val="36"/>
          <w:highlight w:val="none"/>
          <w:u w:val="single"/>
          <w:lang w:val="en-US" w:eastAsia="zh-CN" w:bidi="ar"/>
        </w:rPr>
        <w:t>月</w:t>
      </w:r>
    </w:p>
    <w:p w14:paraId="404AFC20">
      <w:pPr>
        <w:keepNext w:val="0"/>
        <w:keepLines w:val="0"/>
        <w:widowControl w:val="0"/>
        <w:suppressLineNumbers w:val="0"/>
        <w:adjustRightInd w:val="0"/>
        <w:snapToGrid w:val="0"/>
        <w:spacing w:before="0" w:beforeAutospacing="0" w:after="0" w:afterAutospacing="0" w:line="288" w:lineRule="auto"/>
        <w:ind w:left="0" w:right="0" w:firstLine="1040"/>
        <w:jc w:val="both"/>
        <w:rPr>
          <w:rFonts w:hint="eastAsia" w:ascii="仿宋_GB2312" w:eastAsia="仿宋_GB2312" w:cs="仿宋_GB2312"/>
          <w:color w:val="auto"/>
          <w:sz w:val="36"/>
          <w:szCs w:val="36"/>
          <w:highlight w:val="none"/>
          <w:u w:val="single"/>
          <w:lang w:val="en-US"/>
        </w:rPr>
      </w:pPr>
    </w:p>
    <w:p w14:paraId="284FA3AB">
      <w:pPr>
        <w:keepNext w:val="0"/>
        <w:keepLines w:val="0"/>
        <w:widowControl w:val="0"/>
        <w:suppressLineNumbers w:val="0"/>
        <w:adjustRightInd w:val="0"/>
        <w:snapToGrid w:val="0"/>
        <w:spacing w:before="0" w:beforeAutospacing="0" w:after="0" w:afterAutospacing="0" w:line="288" w:lineRule="auto"/>
        <w:ind w:left="0" w:right="0" w:firstLine="1040"/>
        <w:jc w:val="both"/>
        <w:rPr>
          <w:rFonts w:hint="eastAsia" w:ascii="仿宋_GB2312" w:eastAsia="仿宋_GB2312" w:cs="仿宋_GB2312"/>
          <w:color w:val="auto"/>
          <w:sz w:val="36"/>
          <w:szCs w:val="36"/>
          <w:highlight w:val="none"/>
          <w:lang w:val="en-US"/>
        </w:rPr>
      </w:pPr>
    </w:p>
    <w:p w14:paraId="6ACD5D1A">
      <w:pPr>
        <w:keepNext w:val="0"/>
        <w:keepLines w:val="0"/>
        <w:widowControl w:val="0"/>
        <w:suppressLineNumbers w:val="0"/>
        <w:adjustRightInd w:val="0"/>
        <w:snapToGrid w:val="0"/>
        <w:spacing w:before="0" w:beforeAutospacing="0" w:after="0" w:afterAutospacing="0" w:line="288" w:lineRule="auto"/>
        <w:ind w:left="0" w:right="0" w:firstLine="1040"/>
        <w:jc w:val="both"/>
        <w:rPr>
          <w:rFonts w:hint="eastAsia" w:ascii="仿宋_GB2312" w:eastAsia="仿宋_GB2312" w:cs="仿宋_GB2312"/>
          <w:color w:val="auto"/>
          <w:sz w:val="36"/>
          <w:szCs w:val="36"/>
          <w:highlight w:val="none"/>
          <w:lang w:val="en-US"/>
        </w:rPr>
      </w:pPr>
    </w:p>
    <w:p w14:paraId="403EED17">
      <w:pPr>
        <w:keepNext w:val="0"/>
        <w:keepLines w:val="0"/>
        <w:widowControl w:val="0"/>
        <w:suppressLineNumbers w:val="0"/>
        <w:adjustRightInd w:val="0"/>
        <w:snapToGrid w:val="0"/>
        <w:spacing w:before="0" w:beforeAutospacing="0" w:after="0" w:afterAutospacing="0" w:line="288" w:lineRule="auto"/>
        <w:ind w:left="0" w:right="0" w:firstLine="1040"/>
        <w:jc w:val="both"/>
        <w:rPr>
          <w:rFonts w:hint="eastAsia" w:ascii="仿宋_GB2312" w:eastAsia="仿宋_GB2312" w:cs="仿宋_GB2312"/>
          <w:color w:val="auto"/>
          <w:sz w:val="36"/>
          <w:szCs w:val="36"/>
          <w:highlight w:val="none"/>
          <w:lang w:val="en-US"/>
        </w:rPr>
      </w:pPr>
    </w:p>
    <w:p w14:paraId="13F4BD58">
      <w:pPr>
        <w:keepNext w:val="0"/>
        <w:keepLines w:val="0"/>
        <w:widowControl w:val="0"/>
        <w:suppressLineNumbers w:val="0"/>
        <w:adjustRightInd w:val="0"/>
        <w:snapToGrid w:val="0"/>
        <w:spacing w:before="0" w:beforeAutospacing="0" w:after="0" w:afterAutospacing="0" w:line="288" w:lineRule="auto"/>
        <w:ind w:left="0" w:right="0" w:firstLine="1040"/>
        <w:jc w:val="both"/>
        <w:rPr>
          <w:rFonts w:hint="eastAsia" w:ascii="仿宋_GB2312" w:eastAsia="仿宋_GB2312" w:cs="仿宋_GB2312"/>
          <w:color w:val="auto"/>
          <w:sz w:val="36"/>
          <w:szCs w:val="36"/>
          <w:highlight w:val="none"/>
          <w:lang w:val="en-US"/>
        </w:rPr>
      </w:pPr>
    </w:p>
    <w:p w14:paraId="56B8B975">
      <w:pPr>
        <w:keepNext w:val="0"/>
        <w:keepLines w:val="0"/>
        <w:widowControl w:val="0"/>
        <w:suppressLineNumbers w:val="0"/>
        <w:adjustRightInd w:val="0"/>
        <w:snapToGrid w:val="0"/>
        <w:spacing w:before="0" w:beforeAutospacing="0" w:after="0" w:afterAutospacing="0" w:line="288" w:lineRule="auto"/>
        <w:ind w:left="0" w:right="0"/>
        <w:jc w:val="center"/>
        <w:rPr>
          <w:rFonts w:hint="eastAsia" w:ascii="楷体_GB2312" w:eastAsia="楷体_GB2312" w:cs="楷体_GB2312"/>
          <w:color w:val="auto"/>
          <w:sz w:val="36"/>
          <w:szCs w:val="36"/>
          <w:highlight w:val="none"/>
          <w:lang w:val="en-US"/>
        </w:rPr>
      </w:pPr>
      <w:r>
        <w:rPr>
          <w:rFonts w:hint="eastAsia" w:ascii="楷体_GB2312" w:hAnsi="Times New Roman" w:eastAsia="楷体_GB2312" w:cs="楷体_GB2312"/>
          <w:color w:val="auto"/>
          <w:kern w:val="2"/>
          <w:sz w:val="36"/>
          <w:szCs w:val="36"/>
          <w:highlight w:val="none"/>
          <w:lang w:val="en-US" w:eastAsia="zh-CN" w:bidi="ar"/>
        </w:rPr>
        <w:t>中华人民共和国生态环境部制</w:t>
      </w:r>
    </w:p>
    <w:p w14:paraId="3529E65E">
      <w:pPr>
        <w:rPr>
          <w:rFonts w:ascii="黑体" w:eastAsia="黑体" w:cs="黑体"/>
          <w:snapToGrid w:val="0"/>
          <w:color w:val="auto"/>
          <w:sz w:val="30"/>
          <w:szCs w:val="30"/>
          <w:highlight w:val="none"/>
          <w:shd w:val="clear" w:color="auto" w:fill="auto"/>
        </w:rPr>
      </w:pPr>
      <w:r>
        <w:rPr>
          <w:rFonts w:ascii="黑体" w:eastAsia="黑体" w:cs="黑体"/>
          <w:snapToGrid w:val="0"/>
          <w:color w:val="auto"/>
          <w:sz w:val="30"/>
          <w:szCs w:val="30"/>
          <w:highlight w:val="none"/>
          <w:shd w:val="clear" w:color="auto" w:fill="auto"/>
        </w:rPr>
        <w:br w:type="page"/>
      </w:r>
    </w:p>
    <w:p w14:paraId="7056A512">
      <w:pPr>
        <w:pStyle w:val="22"/>
        <w:jc w:val="center"/>
        <w:outlineLvl w:val="0"/>
        <w:rPr>
          <w:rFonts w:ascii="黑体" w:eastAsia="黑体" w:cs="黑体"/>
          <w:snapToGrid w:val="0"/>
          <w:color w:val="auto"/>
          <w:sz w:val="30"/>
          <w:szCs w:val="30"/>
          <w:highlight w:val="none"/>
          <w:shd w:val="clear" w:color="auto" w:fill="auto"/>
        </w:rPr>
        <w:sectPr>
          <w:pgSz w:w="11906" w:h="16838"/>
          <w:pgMar w:top="1702" w:right="1531" w:bottom="1702" w:left="1531" w:header="851" w:footer="1077" w:gutter="0"/>
          <w:pgNumType w:fmt="decimal" w:start="1"/>
          <w:cols w:space="720" w:num="1"/>
          <w:docGrid w:type="lines" w:linePitch="312" w:charSpace="0"/>
        </w:sectPr>
      </w:pPr>
    </w:p>
    <w:p w14:paraId="109716F6">
      <w:pPr>
        <w:pStyle w:val="22"/>
        <w:jc w:val="center"/>
        <w:outlineLvl w:val="0"/>
        <w:rPr>
          <w:rFonts w:hint="eastAsia" w:ascii="黑体" w:eastAsia="黑体" w:cs="黑体"/>
          <w:snapToGrid w:val="0"/>
          <w:color w:val="auto"/>
          <w:sz w:val="30"/>
          <w:szCs w:val="30"/>
          <w:highlight w:val="none"/>
          <w:shd w:val="clear" w:color="auto" w:fill="auto"/>
          <w:lang w:eastAsia="zh-CN"/>
        </w:rPr>
        <w:sectPr>
          <w:pgSz w:w="11906" w:h="16838"/>
          <w:pgMar w:top="1702" w:right="1531" w:bottom="1702" w:left="1531" w:header="851" w:footer="1077" w:gutter="0"/>
          <w:pgNumType w:fmt="decimal" w:start="1"/>
          <w:cols w:space="720" w:num="1"/>
          <w:docGrid w:type="lines" w:linePitch="312" w:charSpace="0"/>
        </w:sectPr>
      </w:pPr>
      <w:r>
        <w:rPr>
          <w:rFonts w:hint="eastAsia" w:ascii="黑体" w:eastAsia="黑体" w:cs="黑体"/>
          <w:snapToGrid w:val="0"/>
          <w:color w:val="auto"/>
          <w:sz w:val="30"/>
          <w:szCs w:val="30"/>
          <w:highlight w:val="none"/>
          <w:shd w:val="clear" w:color="auto" w:fill="auto"/>
          <w:lang w:eastAsia="zh-CN"/>
        </w:rPr>
        <w:drawing>
          <wp:anchor distT="0" distB="0" distL="114300" distR="114300" simplePos="0" relativeHeight="251814912" behindDoc="0" locked="0" layoutInCell="1" allowOverlap="1">
            <wp:simplePos x="0" y="0"/>
            <wp:positionH relativeFrom="column">
              <wp:posOffset>-935355</wp:posOffset>
            </wp:positionH>
            <wp:positionV relativeFrom="page">
              <wp:posOffset>17780</wp:posOffset>
            </wp:positionV>
            <wp:extent cx="7564120" cy="10706735"/>
            <wp:effectExtent l="0" t="0" r="17780" b="18415"/>
            <wp:wrapNone/>
            <wp:docPr id="3" name="图片 3" descr="夸克分享_1741310873750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夸克分享_1741310873750_0"/>
                    <pic:cNvPicPr>
                      <a:picLocks noChangeAspect="1"/>
                    </pic:cNvPicPr>
                  </pic:nvPicPr>
                  <pic:blipFill>
                    <a:blip r:embed="rId6"/>
                    <a:stretch>
                      <a:fillRect/>
                    </a:stretch>
                  </pic:blipFill>
                  <pic:spPr>
                    <a:xfrm>
                      <a:off x="0" y="0"/>
                      <a:ext cx="7564120" cy="10706735"/>
                    </a:xfrm>
                    <a:prstGeom prst="rect">
                      <a:avLst/>
                    </a:prstGeom>
                  </pic:spPr>
                </pic:pic>
              </a:graphicData>
            </a:graphic>
          </wp:anchor>
        </w:drawing>
      </w:r>
    </w:p>
    <w:p w14:paraId="49CB4C8B">
      <w:pPr>
        <w:pStyle w:val="22"/>
        <w:jc w:val="center"/>
        <w:outlineLvl w:val="0"/>
        <w:rPr>
          <w:rFonts w:ascii="黑体" w:eastAsia="黑体" w:cs="黑体"/>
          <w:color w:val="auto"/>
          <w:sz w:val="30"/>
          <w:szCs w:val="30"/>
          <w:highlight w:val="none"/>
          <w:shd w:val="clear" w:color="auto" w:fill="auto"/>
        </w:rPr>
      </w:pPr>
      <w:r>
        <w:rPr>
          <w:rFonts w:ascii="黑体" w:eastAsia="黑体" w:cs="黑体"/>
          <w:snapToGrid w:val="0"/>
          <w:color w:val="auto"/>
          <w:sz w:val="30"/>
          <w:szCs w:val="30"/>
          <w:highlight w:val="none"/>
          <w:shd w:val="clear" w:color="auto" w:fill="auto"/>
        </w:rPr>
        <w:t>一、建设项目基本情况</w:t>
      </w:r>
    </w:p>
    <w:tbl>
      <w:tblPr>
        <w:tblStyle w:val="25"/>
        <w:tblW w:w="969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604"/>
        <w:gridCol w:w="1926"/>
        <w:gridCol w:w="2281"/>
        <w:gridCol w:w="2888"/>
      </w:tblGrid>
      <w:tr w14:paraId="08C2CE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03" w:hRule="atLeast"/>
          <w:jc w:val="center"/>
        </w:trPr>
        <w:tc>
          <w:tcPr>
            <w:tcW w:w="2604" w:type="dxa"/>
            <w:tcBorders>
              <w:top w:val="single" w:color="auto" w:sz="8" w:space="0"/>
              <w:left w:val="single" w:color="auto" w:sz="8" w:space="0"/>
              <w:bottom w:val="single" w:color="auto" w:sz="4" w:space="0"/>
              <w:right w:val="single" w:color="auto" w:sz="4" w:space="0"/>
            </w:tcBorders>
            <w:noWrap w:val="0"/>
            <w:tcMar>
              <w:top w:w="16" w:type="dxa"/>
              <w:left w:w="16" w:type="dxa"/>
              <w:right w:w="16" w:type="dxa"/>
            </w:tcMar>
            <w:vAlign w:val="center"/>
          </w:tcPr>
          <w:p w14:paraId="408A7D7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bidi="ar"/>
              </w:rPr>
              <w:t>建设项目名称</w:t>
            </w:r>
          </w:p>
        </w:tc>
        <w:tc>
          <w:tcPr>
            <w:tcW w:w="7095" w:type="dxa"/>
            <w:gridSpan w:val="3"/>
            <w:tcBorders>
              <w:top w:val="single" w:color="auto" w:sz="8" w:space="0"/>
              <w:left w:val="single" w:color="auto" w:sz="4" w:space="0"/>
              <w:bottom w:val="single" w:color="auto" w:sz="4" w:space="0"/>
              <w:right w:val="single" w:color="auto" w:sz="8" w:space="0"/>
            </w:tcBorders>
            <w:noWrap w:val="0"/>
            <w:vAlign w:val="center"/>
          </w:tcPr>
          <w:p w14:paraId="447C563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eastAsia="zh-CN"/>
              </w:rPr>
            </w:pPr>
            <w:r>
              <w:rPr>
                <w:rFonts w:hint="eastAsia" w:cs="Times New Roman"/>
                <w:color w:val="auto"/>
                <w:highlight w:val="none"/>
                <w:lang w:eastAsia="zh-CN"/>
              </w:rPr>
              <w:t>辽宁金仑矿产品有限责任公司白云石加工项目</w:t>
            </w:r>
          </w:p>
        </w:tc>
      </w:tr>
      <w:tr w14:paraId="28F1EF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82" w:hRule="atLeast"/>
          <w:jc w:val="center"/>
        </w:trPr>
        <w:tc>
          <w:tcPr>
            <w:tcW w:w="2604" w:type="dxa"/>
            <w:tcBorders>
              <w:top w:val="single" w:color="auto" w:sz="4" w:space="0"/>
              <w:left w:val="single" w:color="auto" w:sz="8" w:space="0"/>
              <w:bottom w:val="single" w:color="auto" w:sz="4" w:space="0"/>
              <w:right w:val="single" w:color="auto" w:sz="4" w:space="0"/>
            </w:tcBorders>
            <w:noWrap w:val="0"/>
            <w:tcMar>
              <w:top w:w="16" w:type="dxa"/>
              <w:left w:w="16" w:type="dxa"/>
              <w:right w:w="16" w:type="dxa"/>
            </w:tcMar>
            <w:vAlign w:val="center"/>
          </w:tcPr>
          <w:p w14:paraId="0AF7B63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bidi="ar"/>
              </w:rPr>
              <w:t>项目代码</w:t>
            </w:r>
          </w:p>
        </w:tc>
        <w:tc>
          <w:tcPr>
            <w:tcW w:w="7095" w:type="dxa"/>
            <w:gridSpan w:val="3"/>
            <w:tcBorders>
              <w:top w:val="single" w:color="auto" w:sz="4" w:space="0"/>
              <w:left w:val="single" w:color="auto" w:sz="4" w:space="0"/>
              <w:bottom w:val="single" w:color="auto" w:sz="4" w:space="0"/>
              <w:right w:val="single" w:color="auto" w:sz="8" w:space="0"/>
            </w:tcBorders>
            <w:noWrap w:val="0"/>
            <w:vAlign w:val="center"/>
          </w:tcPr>
          <w:p w14:paraId="64227AE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2501-210323-04-05-593178</w:t>
            </w:r>
          </w:p>
        </w:tc>
      </w:tr>
      <w:tr w14:paraId="47747A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82" w:hRule="atLeast"/>
          <w:jc w:val="center"/>
        </w:trPr>
        <w:tc>
          <w:tcPr>
            <w:tcW w:w="2604" w:type="dxa"/>
            <w:tcBorders>
              <w:top w:val="single" w:color="auto" w:sz="4" w:space="0"/>
              <w:left w:val="single" w:color="auto" w:sz="8" w:space="0"/>
              <w:bottom w:val="single" w:color="auto" w:sz="4" w:space="0"/>
              <w:right w:val="single" w:color="auto" w:sz="4" w:space="0"/>
            </w:tcBorders>
            <w:noWrap w:val="0"/>
            <w:tcMar>
              <w:top w:w="16" w:type="dxa"/>
              <w:left w:w="16" w:type="dxa"/>
              <w:right w:w="16" w:type="dxa"/>
            </w:tcMar>
            <w:vAlign w:val="center"/>
          </w:tcPr>
          <w:p w14:paraId="0894DA4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bidi="ar"/>
              </w:rPr>
              <w:t>建设单位联系人</w:t>
            </w:r>
          </w:p>
        </w:tc>
        <w:tc>
          <w:tcPr>
            <w:tcW w:w="1926" w:type="dxa"/>
            <w:tcBorders>
              <w:top w:val="single" w:color="auto" w:sz="4" w:space="0"/>
              <w:left w:val="single" w:color="auto" w:sz="4" w:space="0"/>
              <w:bottom w:val="single" w:color="auto" w:sz="4" w:space="0"/>
              <w:right w:val="single" w:color="auto" w:sz="4" w:space="0"/>
            </w:tcBorders>
            <w:noWrap w:val="0"/>
            <w:vAlign w:val="center"/>
          </w:tcPr>
          <w:p w14:paraId="34F82E3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eastAsia="zh-CN"/>
              </w:rPr>
              <w:t>姜雁</w:t>
            </w:r>
          </w:p>
        </w:tc>
        <w:tc>
          <w:tcPr>
            <w:tcW w:w="2281" w:type="dxa"/>
            <w:tcBorders>
              <w:top w:val="single" w:color="auto" w:sz="4" w:space="0"/>
              <w:left w:val="single" w:color="auto" w:sz="4" w:space="0"/>
              <w:bottom w:val="single" w:color="auto" w:sz="4" w:space="0"/>
              <w:right w:val="single" w:color="auto" w:sz="4" w:space="0"/>
            </w:tcBorders>
            <w:noWrap w:val="0"/>
            <w:vAlign w:val="center"/>
          </w:tcPr>
          <w:p w14:paraId="24EA462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bidi="ar"/>
              </w:rPr>
              <w:t>联系方式</w:t>
            </w:r>
          </w:p>
        </w:tc>
        <w:tc>
          <w:tcPr>
            <w:tcW w:w="2888" w:type="dxa"/>
            <w:tcBorders>
              <w:top w:val="single" w:color="auto" w:sz="4" w:space="0"/>
              <w:left w:val="single" w:color="auto" w:sz="4" w:space="0"/>
              <w:bottom w:val="single" w:color="auto" w:sz="4" w:space="0"/>
              <w:right w:val="single" w:color="auto" w:sz="8" w:space="0"/>
            </w:tcBorders>
            <w:noWrap w:val="0"/>
            <w:vAlign w:val="center"/>
          </w:tcPr>
          <w:p w14:paraId="10FAA63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eastAsia="zh-CN"/>
              </w:rPr>
              <w:t>15141222082</w:t>
            </w:r>
          </w:p>
        </w:tc>
      </w:tr>
      <w:tr w14:paraId="0ABCEE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82" w:hRule="atLeast"/>
          <w:jc w:val="center"/>
        </w:trPr>
        <w:tc>
          <w:tcPr>
            <w:tcW w:w="2604" w:type="dxa"/>
            <w:tcBorders>
              <w:top w:val="single" w:color="auto" w:sz="4" w:space="0"/>
              <w:left w:val="single" w:color="auto" w:sz="8" w:space="0"/>
              <w:bottom w:val="single" w:color="auto" w:sz="4" w:space="0"/>
              <w:right w:val="single" w:color="auto" w:sz="4" w:space="0"/>
            </w:tcBorders>
            <w:noWrap w:val="0"/>
            <w:tcMar>
              <w:top w:w="16" w:type="dxa"/>
              <w:left w:w="16" w:type="dxa"/>
              <w:right w:w="16" w:type="dxa"/>
            </w:tcMar>
            <w:vAlign w:val="center"/>
          </w:tcPr>
          <w:p w14:paraId="3DFF398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bidi="ar"/>
              </w:rPr>
              <w:t>建设地点</w:t>
            </w:r>
          </w:p>
        </w:tc>
        <w:tc>
          <w:tcPr>
            <w:tcW w:w="7095" w:type="dxa"/>
            <w:gridSpan w:val="3"/>
            <w:tcBorders>
              <w:top w:val="single" w:color="auto" w:sz="4" w:space="0"/>
              <w:left w:val="single" w:color="auto" w:sz="4" w:space="0"/>
              <w:bottom w:val="single" w:color="auto" w:sz="4" w:space="0"/>
              <w:right w:val="single" w:color="auto" w:sz="8" w:space="0"/>
            </w:tcBorders>
            <w:noWrap w:val="0"/>
            <w:vAlign w:val="center"/>
          </w:tcPr>
          <w:p w14:paraId="0F0F632E">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Cs w:val="21"/>
                <w:highlight w:val="none"/>
                <w:lang w:eastAsia="zh-CN"/>
              </w:rPr>
            </w:pPr>
            <w:r>
              <w:rPr>
                <w:rFonts w:hint="default" w:ascii="Times New Roman" w:hAnsi="Times New Roman" w:cs="Times New Roman"/>
                <w:color w:val="auto"/>
                <w:highlight w:val="none"/>
              </w:rPr>
              <w:t>辽宁省鞍山市岫岩满族自治县</w:t>
            </w:r>
            <w:r>
              <w:rPr>
                <w:rFonts w:hint="eastAsia" w:cs="Times New Roman"/>
                <w:color w:val="auto"/>
                <w:highlight w:val="none"/>
                <w:lang w:eastAsia="zh-CN"/>
              </w:rPr>
              <w:t>偏岭镇王家堡村</w:t>
            </w:r>
          </w:p>
        </w:tc>
      </w:tr>
      <w:tr w14:paraId="411B8B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82" w:hRule="atLeast"/>
          <w:jc w:val="center"/>
        </w:trPr>
        <w:tc>
          <w:tcPr>
            <w:tcW w:w="2604" w:type="dxa"/>
            <w:tcBorders>
              <w:top w:val="single" w:color="auto" w:sz="4" w:space="0"/>
              <w:left w:val="single" w:color="auto" w:sz="8" w:space="0"/>
              <w:bottom w:val="single" w:color="auto" w:sz="4" w:space="0"/>
              <w:right w:val="single" w:color="auto" w:sz="4" w:space="0"/>
            </w:tcBorders>
            <w:noWrap w:val="0"/>
            <w:tcMar>
              <w:top w:w="16" w:type="dxa"/>
              <w:left w:w="16" w:type="dxa"/>
              <w:right w:w="16" w:type="dxa"/>
            </w:tcMar>
            <w:vAlign w:val="center"/>
          </w:tcPr>
          <w:p w14:paraId="0BB7A48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bidi="ar"/>
              </w:rPr>
              <w:t>地理坐标</w:t>
            </w:r>
          </w:p>
        </w:tc>
        <w:tc>
          <w:tcPr>
            <w:tcW w:w="7095" w:type="dxa"/>
            <w:gridSpan w:val="3"/>
            <w:tcBorders>
              <w:top w:val="single" w:color="auto" w:sz="4" w:space="0"/>
              <w:left w:val="single" w:color="auto" w:sz="4" w:space="0"/>
              <w:bottom w:val="single" w:color="auto" w:sz="4" w:space="0"/>
              <w:right w:val="single" w:color="auto" w:sz="8" w:space="0"/>
            </w:tcBorders>
            <w:noWrap w:val="0"/>
            <w:vAlign w:val="center"/>
          </w:tcPr>
          <w:p w14:paraId="50AD45B2">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bidi="ar"/>
              </w:rPr>
              <w:t>（</w:t>
            </w:r>
            <w:r>
              <w:rPr>
                <w:rFonts w:hint="default" w:ascii="Times New Roman" w:hAnsi="Times New Roman" w:cs="Times New Roman"/>
                <w:color w:val="auto"/>
                <w:szCs w:val="21"/>
                <w:highlight w:val="none"/>
                <w:u w:val="single"/>
                <w:lang w:bidi="ar"/>
              </w:rPr>
              <w:t>123</w:t>
            </w:r>
            <w:r>
              <w:rPr>
                <w:rFonts w:hint="default" w:ascii="Times New Roman" w:hAnsi="Times New Roman" w:cs="Times New Roman"/>
                <w:color w:val="auto"/>
                <w:szCs w:val="21"/>
                <w:highlight w:val="none"/>
                <w:lang w:bidi="ar"/>
              </w:rPr>
              <w:t>度</w:t>
            </w:r>
            <w:r>
              <w:rPr>
                <w:rFonts w:hint="eastAsia" w:cs="Times New Roman"/>
                <w:color w:val="auto"/>
                <w:szCs w:val="21"/>
                <w:highlight w:val="none"/>
                <w:u w:val="single"/>
                <w:lang w:val="en-US" w:eastAsia="zh-CN" w:bidi="ar"/>
              </w:rPr>
              <w:t>9</w:t>
            </w:r>
            <w:r>
              <w:rPr>
                <w:rFonts w:hint="default" w:ascii="Times New Roman" w:hAnsi="Times New Roman" w:cs="Times New Roman"/>
                <w:color w:val="auto"/>
                <w:szCs w:val="21"/>
                <w:highlight w:val="none"/>
                <w:lang w:bidi="ar"/>
              </w:rPr>
              <w:t>分</w:t>
            </w:r>
            <w:r>
              <w:rPr>
                <w:rFonts w:hint="default" w:ascii="Times New Roman" w:hAnsi="Times New Roman" w:cs="Times New Roman"/>
                <w:color w:val="auto"/>
                <w:szCs w:val="21"/>
                <w:highlight w:val="none"/>
                <w:u w:val="single"/>
                <w:lang w:bidi="ar"/>
              </w:rPr>
              <w:t xml:space="preserve"> </w:t>
            </w:r>
            <w:r>
              <w:rPr>
                <w:rFonts w:hint="eastAsia" w:cs="Times New Roman"/>
                <w:color w:val="auto"/>
                <w:szCs w:val="21"/>
                <w:highlight w:val="none"/>
                <w:u w:val="single"/>
                <w:lang w:val="en-US" w:eastAsia="zh-CN" w:bidi="ar"/>
              </w:rPr>
              <w:t>47.659</w:t>
            </w:r>
            <w:r>
              <w:rPr>
                <w:rFonts w:hint="default" w:ascii="Times New Roman" w:hAnsi="Times New Roman" w:cs="Times New Roman"/>
                <w:color w:val="auto"/>
                <w:szCs w:val="21"/>
                <w:highlight w:val="none"/>
                <w:lang w:bidi="ar"/>
              </w:rPr>
              <w:t>秒，</w:t>
            </w:r>
            <w:r>
              <w:rPr>
                <w:rFonts w:hint="default" w:ascii="Times New Roman" w:hAnsi="Times New Roman" w:cs="Times New Roman"/>
                <w:color w:val="auto"/>
                <w:szCs w:val="21"/>
                <w:highlight w:val="none"/>
                <w:u w:val="single"/>
                <w:lang w:bidi="ar"/>
              </w:rPr>
              <w:t>40</w:t>
            </w:r>
            <w:r>
              <w:rPr>
                <w:rFonts w:hint="default" w:ascii="Times New Roman" w:hAnsi="Times New Roman" w:cs="Times New Roman"/>
                <w:color w:val="auto"/>
                <w:szCs w:val="21"/>
                <w:highlight w:val="none"/>
                <w:lang w:bidi="ar"/>
              </w:rPr>
              <w:t>度</w:t>
            </w:r>
            <w:r>
              <w:rPr>
                <w:rFonts w:hint="default" w:ascii="Times New Roman" w:hAnsi="Times New Roman" w:cs="Times New Roman"/>
                <w:color w:val="auto"/>
                <w:szCs w:val="21"/>
                <w:highlight w:val="none"/>
                <w:u w:val="single"/>
                <w:lang w:bidi="ar"/>
              </w:rPr>
              <w:t xml:space="preserve"> </w:t>
            </w:r>
            <w:r>
              <w:rPr>
                <w:rFonts w:hint="eastAsia" w:cs="Times New Roman"/>
                <w:color w:val="auto"/>
                <w:szCs w:val="21"/>
                <w:highlight w:val="none"/>
                <w:u w:val="single"/>
                <w:lang w:val="en-US" w:eastAsia="zh-CN" w:bidi="ar"/>
              </w:rPr>
              <w:t>28</w:t>
            </w:r>
            <w:r>
              <w:rPr>
                <w:rFonts w:hint="default" w:ascii="Times New Roman" w:hAnsi="Times New Roman" w:cs="Times New Roman"/>
                <w:color w:val="auto"/>
                <w:szCs w:val="21"/>
                <w:highlight w:val="none"/>
                <w:u w:val="single"/>
                <w:lang w:bidi="ar"/>
              </w:rPr>
              <w:t xml:space="preserve"> </w:t>
            </w:r>
            <w:r>
              <w:rPr>
                <w:rFonts w:hint="default" w:ascii="Times New Roman" w:hAnsi="Times New Roman" w:cs="Times New Roman"/>
                <w:color w:val="auto"/>
                <w:szCs w:val="21"/>
                <w:highlight w:val="none"/>
                <w:lang w:bidi="ar"/>
              </w:rPr>
              <w:t>分</w:t>
            </w:r>
            <w:r>
              <w:rPr>
                <w:rFonts w:hint="default" w:ascii="Times New Roman" w:hAnsi="Times New Roman" w:cs="Times New Roman"/>
                <w:color w:val="auto"/>
                <w:szCs w:val="21"/>
                <w:highlight w:val="none"/>
                <w:u w:val="single"/>
                <w:lang w:bidi="ar"/>
              </w:rPr>
              <w:t xml:space="preserve"> </w:t>
            </w:r>
            <w:r>
              <w:rPr>
                <w:rFonts w:hint="eastAsia" w:cs="Times New Roman"/>
                <w:color w:val="auto"/>
                <w:szCs w:val="21"/>
                <w:highlight w:val="none"/>
                <w:u w:val="single"/>
                <w:lang w:val="en-US" w:eastAsia="zh-CN" w:bidi="ar"/>
              </w:rPr>
              <w:t>27.273</w:t>
            </w:r>
            <w:r>
              <w:rPr>
                <w:rFonts w:hint="default" w:ascii="Times New Roman" w:hAnsi="Times New Roman" w:cs="Times New Roman"/>
                <w:color w:val="auto"/>
                <w:szCs w:val="21"/>
                <w:highlight w:val="none"/>
                <w:lang w:bidi="ar"/>
              </w:rPr>
              <w:t>秒）</w:t>
            </w:r>
          </w:p>
        </w:tc>
      </w:tr>
      <w:tr w14:paraId="75063C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23" w:hRule="atLeast"/>
          <w:jc w:val="center"/>
        </w:trPr>
        <w:tc>
          <w:tcPr>
            <w:tcW w:w="2604" w:type="dxa"/>
            <w:tcBorders>
              <w:top w:val="single" w:color="auto" w:sz="4" w:space="0"/>
              <w:left w:val="single" w:color="auto" w:sz="8" w:space="0"/>
              <w:bottom w:val="single" w:color="auto" w:sz="4" w:space="0"/>
              <w:right w:val="single" w:color="auto" w:sz="4" w:space="0"/>
            </w:tcBorders>
            <w:noWrap w:val="0"/>
            <w:tcMar>
              <w:top w:w="16" w:type="dxa"/>
              <w:left w:w="16" w:type="dxa"/>
              <w:right w:w="16" w:type="dxa"/>
            </w:tcMar>
            <w:vAlign w:val="center"/>
          </w:tcPr>
          <w:p w14:paraId="431C8F4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bidi="ar"/>
              </w:rPr>
              <w:t>国民经济</w:t>
            </w:r>
          </w:p>
          <w:p w14:paraId="17F62E0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bidi="ar"/>
              </w:rPr>
              <w:t>行业类别</w:t>
            </w:r>
          </w:p>
        </w:tc>
        <w:tc>
          <w:tcPr>
            <w:tcW w:w="1926" w:type="dxa"/>
            <w:tcBorders>
              <w:top w:val="single" w:color="auto" w:sz="4" w:space="0"/>
              <w:left w:val="single" w:color="auto" w:sz="4" w:space="0"/>
              <w:bottom w:val="single" w:color="auto" w:sz="4" w:space="0"/>
              <w:right w:val="single" w:color="auto" w:sz="4" w:space="0"/>
            </w:tcBorders>
            <w:noWrap w:val="0"/>
            <w:vAlign w:val="center"/>
          </w:tcPr>
          <w:p w14:paraId="5F90319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C3099 其他非金属矿物制品制造</w:t>
            </w:r>
          </w:p>
        </w:tc>
        <w:tc>
          <w:tcPr>
            <w:tcW w:w="2281" w:type="dxa"/>
            <w:tcBorders>
              <w:top w:val="single" w:color="auto" w:sz="4" w:space="0"/>
              <w:left w:val="single" w:color="auto" w:sz="4" w:space="0"/>
              <w:bottom w:val="single" w:color="auto" w:sz="4" w:space="0"/>
              <w:right w:val="single" w:color="auto" w:sz="4" w:space="0"/>
            </w:tcBorders>
            <w:noWrap w:val="0"/>
            <w:vAlign w:val="center"/>
          </w:tcPr>
          <w:p w14:paraId="476EDF6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bookmarkStart w:id="0" w:name="_Hlk49843745"/>
            <w:r>
              <w:rPr>
                <w:rFonts w:hint="default" w:ascii="Times New Roman" w:hAnsi="Times New Roman" w:cs="Times New Roman"/>
                <w:color w:val="auto"/>
                <w:szCs w:val="21"/>
                <w:highlight w:val="none"/>
                <w:lang w:bidi="ar"/>
              </w:rPr>
              <w:t>建设项目</w:t>
            </w:r>
          </w:p>
          <w:p w14:paraId="32B8E13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bidi="ar"/>
              </w:rPr>
              <w:t>行业类别</w:t>
            </w:r>
            <w:bookmarkEnd w:id="0"/>
          </w:p>
        </w:tc>
        <w:tc>
          <w:tcPr>
            <w:tcW w:w="2888" w:type="dxa"/>
            <w:tcBorders>
              <w:top w:val="single" w:color="auto" w:sz="4" w:space="0"/>
              <w:left w:val="single" w:color="auto" w:sz="4" w:space="0"/>
              <w:bottom w:val="single" w:color="auto" w:sz="4" w:space="0"/>
              <w:right w:val="single" w:color="auto" w:sz="8" w:space="0"/>
            </w:tcBorders>
            <w:noWrap w:val="0"/>
            <w:vAlign w:val="center"/>
          </w:tcPr>
          <w:p w14:paraId="4CDC958F">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二十七、非金属矿物制品业</w:t>
            </w:r>
          </w:p>
          <w:p w14:paraId="20AB27F2">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60-石墨及其他非金属矿物制品制造309其他</w:t>
            </w:r>
          </w:p>
        </w:tc>
      </w:tr>
      <w:tr w14:paraId="647C34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381" w:hRule="atLeast"/>
          <w:jc w:val="center"/>
        </w:trPr>
        <w:tc>
          <w:tcPr>
            <w:tcW w:w="2604" w:type="dxa"/>
            <w:tcBorders>
              <w:top w:val="single" w:color="auto" w:sz="4" w:space="0"/>
              <w:left w:val="single" w:color="auto" w:sz="8" w:space="0"/>
              <w:bottom w:val="single" w:color="auto" w:sz="4" w:space="0"/>
              <w:right w:val="single" w:color="auto" w:sz="4" w:space="0"/>
            </w:tcBorders>
            <w:noWrap w:val="0"/>
            <w:tcMar>
              <w:top w:w="16" w:type="dxa"/>
              <w:left w:w="16" w:type="dxa"/>
              <w:right w:w="16" w:type="dxa"/>
            </w:tcMar>
            <w:vAlign w:val="center"/>
          </w:tcPr>
          <w:p w14:paraId="43CA1D5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bidi="ar"/>
              </w:rPr>
              <w:t>建设性质</w:t>
            </w:r>
          </w:p>
        </w:tc>
        <w:tc>
          <w:tcPr>
            <w:tcW w:w="1926" w:type="dxa"/>
            <w:tcBorders>
              <w:top w:val="single" w:color="auto" w:sz="4" w:space="0"/>
              <w:left w:val="single" w:color="auto" w:sz="4" w:space="0"/>
              <w:bottom w:val="single" w:color="auto" w:sz="4" w:space="0"/>
              <w:right w:val="single" w:color="auto" w:sz="4" w:space="0"/>
            </w:tcBorders>
            <w:noWrap w:val="0"/>
            <w:vAlign w:val="center"/>
          </w:tcPr>
          <w:p w14:paraId="6419722A">
            <w:pPr>
              <w:keepNext w:val="0"/>
              <w:keepLines w:val="0"/>
              <w:suppressLineNumbers w:val="0"/>
              <w:spacing w:before="0" w:beforeAutospacing="0" w:after="0" w:afterAutospacing="0"/>
              <w:ind w:left="0" w:right="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bidi="ar"/>
              </w:rPr>
              <w:sym w:font="Wingdings 2" w:char="0052"/>
            </w:r>
            <w:r>
              <w:rPr>
                <w:rFonts w:hint="default" w:ascii="Times New Roman" w:hAnsi="Times New Roman" w:cs="Times New Roman"/>
                <w:color w:val="auto"/>
                <w:szCs w:val="21"/>
                <w:highlight w:val="none"/>
                <w:lang w:bidi="ar"/>
              </w:rPr>
              <w:t>新建（迁建）</w:t>
            </w:r>
          </w:p>
          <w:p w14:paraId="23C83CE5">
            <w:pPr>
              <w:keepNext w:val="0"/>
              <w:keepLines w:val="0"/>
              <w:suppressLineNumbers w:val="0"/>
              <w:spacing w:before="0" w:beforeAutospacing="0" w:after="0" w:afterAutospacing="0"/>
              <w:ind w:left="0" w:right="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bidi="ar"/>
              </w:rPr>
              <w:t>□改建</w:t>
            </w:r>
          </w:p>
          <w:p w14:paraId="644DD1A6">
            <w:pPr>
              <w:keepNext w:val="0"/>
              <w:keepLines w:val="0"/>
              <w:suppressLineNumbers w:val="0"/>
              <w:spacing w:before="0" w:beforeAutospacing="0" w:after="0" w:afterAutospacing="0"/>
              <w:ind w:left="0" w:right="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bidi="ar"/>
              </w:rPr>
              <w:t>□扩建</w:t>
            </w:r>
          </w:p>
          <w:p w14:paraId="0E748870">
            <w:pPr>
              <w:keepNext w:val="0"/>
              <w:keepLines w:val="0"/>
              <w:suppressLineNumbers w:val="0"/>
              <w:spacing w:before="0" w:beforeAutospacing="0" w:after="0" w:afterAutospacing="0"/>
              <w:ind w:left="0" w:right="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bidi="ar"/>
              </w:rPr>
              <w:t>□技术改造</w:t>
            </w:r>
          </w:p>
        </w:tc>
        <w:tc>
          <w:tcPr>
            <w:tcW w:w="2281" w:type="dxa"/>
            <w:tcBorders>
              <w:top w:val="single" w:color="auto" w:sz="4" w:space="0"/>
              <w:left w:val="single" w:color="auto" w:sz="4" w:space="0"/>
              <w:bottom w:val="single" w:color="auto" w:sz="4" w:space="0"/>
              <w:right w:val="single" w:color="auto" w:sz="4" w:space="0"/>
            </w:tcBorders>
            <w:noWrap w:val="0"/>
            <w:vAlign w:val="center"/>
          </w:tcPr>
          <w:p w14:paraId="29E7807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bidi="ar"/>
              </w:rPr>
              <w:t>建设项目</w:t>
            </w:r>
          </w:p>
          <w:p w14:paraId="24679D8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bidi="ar"/>
              </w:rPr>
              <w:t>申报情形</w:t>
            </w:r>
          </w:p>
        </w:tc>
        <w:tc>
          <w:tcPr>
            <w:tcW w:w="2888" w:type="dxa"/>
            <w:tcBorders>
              <w:top w:val="single" w:color="auto" w:sz="4" w:space="0"/>
              <w:left w:val="single" w:color="auto" w:sz="4" w:space="0"/>
              <w:bottom w:val="single" w:color="auto" w:sz="4" w:space="0"/>
              <w:right w:val="single" w:color="auto" w:sz="8" w:space="0"/>
            </w:tcBorders>
            <w:noWrap w:val="0"/>
            <w:vAlign w:val="center"/>
          </w:tcPr>
          <w:p w14:paraId="3B355DF6">
            <w:pPr>
              <w:keepNext w:val="0"/>
              <w:keepLines w:val="0"/>
              <w:suppressLineNumbers w:val="0"/>
              <w:spacing w:before="0" w:beforeAutospacing="0" w:after="0" w:afterAutospacing="0"/>
              <w:ind w:left="0" w:right="0"/>
              <w:jc w:val="left"/>
              <w:rPr>
                <w:rFonts w:hint="default" w:ascii="Times New Roman" w:hAnsi="Times New Roman" w:cs="Times New Roman"/>
                <w:color w:val="auto"/>
                <w:szCs w:val="21"/>
                <w:highlight w:val="none"/>
              </w:rPr>
            </w:pPr>
            <w:r>
              <w:rPr>
                <w:rFonts w:hint="default" w:ascii="Times New Roman" w:hAnsi="Times New Roman" w:eastAsia="Wingdings 2" w:cs="Times New Roman"/>
                <w:color w:val="auto"/>
                <w:szCs w:val="21"/>
                <w:highlight w:val="none"/>
                <w:lang w:bidi="ar"/>
              </w:rPr>
              <w:sym w:font="Wingdings 2" w:char="0052"/>
            </w:r>
            <w:r>
              <w:rPr>
                <w:rFonts w:hint="default" w:ascii="Times New Roman" w:hAnsi="Times New Roman" w:cs="Times New Roman"/>
                <w:color w:val="auto"/>
                <w:szCs w:val="21"/>
                <w:highlight w:val="none"/>
                <w:lang w:bidi="ar"/>
              </w:rPr>
              <w:t xml:space="preserve">首次申报项目             </w:t>
            </w:r>
          </w:p>
          <w:p w14:paraId="76B929F8">
            <w:pPr>
              <w:keepNext w:val="0"/>
              <w:keepLines w:val="0"/>
              <w:suppressLineNumbers w:val="0"/>
              <w:spacing w:before="0" w:beforeAutospacing="0" w:after="0" w:afterAutospacing="0"/>
              <w:ind w:left="0" w:right="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bidi="ar"/>
              </w:rPr>
              <w:t>□不予批准后再次申报项目</w:t>
            </w:r>
          </w:p>
          <w:p w14:paraId="48081EA0">
            <w:pPr>
              <w:keepNext w:val="0"/>
              <w:keepLines w:val="0"/>
              <w:suppressLineNumbers w:val="0"/>
              <w:spacing w:before="0" w:beforeAutospacing="0" w:after="0" w:afterAutospacing="0"/>
              <w:ind w:left="0" w:right="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bidi="ar"/>
              </w:rPr>
              <w:t xml:space="preserve">□超五年重新审核项目     </w:t>
            </w:r>
          </w:p>
          <w:p w14:paraId="3E501741">
            <w:pPr>
              <w:keepNext w:val="0"/>
              <w:keepLines w:val="0"/>
              <w:suppressLineNumbers w:val="0"/>
              <w:spacing w:before="0" w:beforeAutospacing="0" w:after="0" w:afterAutospacing="0"/>
              <w:ind w:left="0" w:right="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bidi="ar"/>
              </w:rPr>
              <w:t>□重大变动重新报批项目</w:t>
            </w:r>
          </w:p>
        </w:tc>
      </w:tr>
      <w:tr w14:paraId="059C34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58" w:hRule="atLeast"/>
          <w:jc w:val="center"/>
        </w:trPr>
        <w:tc>
          <w:tcPr>
            <w:tcW w:w="2604" w:type="dxa"/>
            <w:tcBorders>
              <w:top w:val="single" w:color="auto" w:sz="4" w:space="0"/>
              <w:left w:val="single" w:color="auto" w:sz="8" w:space="0"/>
              <w:bottom w:val="single" w:color="auto" w:sz="4" w:space="0"/>
              <w:right w:val="single" w:color="auto" w:sz="4" w:space="0"/>
            </w:tcBorders>
            <w:noWrap w:val="0"/>
            <w:tcMar>
              <w:top w:w="16" w:type="dxa"/>
              <w:left w:w="16" w:type="dxa"/>
              <w:right w:w="16" w:type="dxa"/>
            </w:tcMar>
            <w:vAlign w:val="center"/>
          </w:tcPr>
          <w:p w14:paraId="5E71E82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bidi="ar"/>
              </w:rPr>
              <w:t>项目审批（核准/</w:t>
            </w:r>
          </w:p>
          <w:p w14:paraId="297EA67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bidi="ar"/>
              </w:rPr>
              <w:t>备案）部门（选填）</w:t>
            </w:r>
          </w:p>
        </w:tc>
        <w:tc>
          <w:tcPr>
            <w:tcW w:w="1926" w:type="dxa"/>
            <w:tcBorders>
              <w:top w:val="single" w:color="auto" w:sz="4" w:space="0"/>
              <w:left w:val="single" w:color="auto" w:sz="4" w:space="0"/>
              <w:bottom w:val="single" w:color="auto" w:sz="4" w:space="0"/>
              <w:right w:val="single" w:color="auto" w:sz="4" w:space="0"/>
            </w:tcBorders>
            <w:noWrap w:val="0"/>
            <w:vAlign w:val="center"/>
          </w:tcPr>
          <w:p w14:paraId="0CC09DF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岫岩满族自治县发展和改革局</w:t>
            </w:r>
          </w:p>
        </w:tc>
        <w:tc>
          <w:tcPr>
            <w:tcW w:w="2281" w:type="dxa"/>
            <w:tcBorders>
              <w:top w:val="single" w:color="auto" w:sz="4" w:space="0"/>
              <w:left w:val="single" w:color="auto" w:sz="4" w:space="0"/>
              <w:bottom w:val="single" w:color="auto" w:sz="4" w:space="0"/>
              <w:right w:val="single" w:color="auto" w:sz="4" w:space="0"/>
            </w:tcBorders>
            <w:noWrap w:val="0"/>
            <w:vAlign w:val="center"/>
          </w:tcPr>
          <w:p w14:paraId="4D24DB7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bidi="ar"/>
              </w:rPr>
              <w:t>项目审批（核准/</w:t>
            </w:r>
          </w:p>
          <w:p w14:paraId="6EA0EDA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bidi="ar"/>
              </w:rPr>
              <w:t>备案）文号（选填）</w:t>
            </w:r>
          </w:p>
        </w:tc>
        <w:tc>
          <w:tcPr>
            <w:tcW w:w="2888" w:type="dxa"/>
            <w:tcBorders>
              <w:top w:val="single" w:color="auto" w:sz="4" w:space="0"/>
              <w:left w:val="single" w:color="auto" w:sz="4" w:space="0"/>
              <w:bottom w:val="single" w:color="auto" w:sz="4" w:space="0"/>
              <w:right w:val="single" w:color="auto" w:sz="8" w:space="0"/>
            </w:tcBorders>
            <w:noWrap w:val="0"/>
            <w:vAlign w:val="center"/>
          </w:tcPr>
          <w:p w14:paraId="33BD6D0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岫发改备</w:t>
            </w:r>
            <w:r>
              <w:rPr>
                <w:rFonts w:hint="default" w:ascii="Times New Roman" w:hAnsi="Times New Roman" w:eastAsia="宋体" w:cs="Times New Roman"/>
                <w:color w:val="auto"/>
                <w:szCs w:val="21"/>
                <w:highlight w:val="none"/>
              </w:rPr>
              <w:t>〔</w:t>
            </w:r>
            <w:r>
              <w:rPr>
                <w:rFonts w:hint="default" w:ascii="Times New Roman" w:hAnsi="Times New Roman" w:cs="Times New Roman"/>
                <w:color w:val="auto"/>
                <w:szCs w:val="21"/>
                <w:highlight w:val="none"/>
              </w:rPr>
              <w:t>202</w:t>
            </w:r>
            <w:r>
              <w:rPr>
                <w:rFonts w:hint="eastAsia" w:cs="Times New Roman"/>
                <w:color w:val="auto"/>
                <w:szCs w:val="21"/>
                <w:highlight w:val="none"/>
                <w:lang w:val="en-US" w:eastAsia="zh-CN"/>
              </w:rPr>
              <w:t>5</w:t>
            </w:r>
            <w:r>
              <w:rPr>
                <w:rFonts w:hint="default" w:ascii="Times New Roman" w:hAnsi="Times New Roman" w:eastAsia="宋体" w:cs="Times New Roman"/>
                <w:color w:val="auto"/>
                <w:szCs w:val="21"/>
                <w:highlight w:val="none"/>
              </w:rPr>
              <w:t>〕</w:t>
            </w:r>
            <w:r>
              <w:rPr>
                <w:rFonts w:hint="eastAsia" w:cs="Times New Roman"/>
                <w:color w:val="auto"/>
                <w:szCs w:val="21"/>
                <w:highlight w:val="none"/>
                <w:lang w:val="en-US" w:eastAsia="zh-CN"/>
              </w:rPr>
              <w:t>7</w:t>
            </w:r>
            <w:r>
              <w:rPr>
                <w:rFonts w:hint="default" w:ascii="Times New Roman" w:hAnsi="Times New Roman" w:cs="Times New Roman"/>
                <w:color w:val="auto"/>
                <w:szCs w:val="21"/>
                <w:highlight w:val="none"/>
              </w:rPr>
              <w:t>号</w:t>
            </w:r>
          </w:p>
        </w:tc>
      </w:tr>
      <w:tr w14:paraId="3E6231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82" w:hRule="atLeast"/>
          <w:jc w:val="center"/>
        </w:trPr>
        <w:tc>
          <w:tcPr>
            <w:tcW w:w="2604" w:type="dxa"/>
            <w:tcBorders>
              <w:top w:val="single" w:color="auto" w:sz="4" w:space="0"/>
              <w:left w:val="single" w:color="auto" w:sz="8" w:space="0"/>
              <w:bottom w:val="single" w:color="auto" w:sz="4" w:space="0"/>
              <w:right w:val="single" w:color="auto" w:sz="4" w:space="0"/>
            </w:tcBorders>
            <w:noWrap w:val="0"/>
            <w:tcMar>
              <w:top w:w="16" w:type="dxa"/>
              <w:left w:w="16" w:type="dxa"/>
              <w:right w:w="16" w:type="dxa"/>
            </w:tcMar>
            <w:vAlign w:val="center"/>
          </w:tcPr>
          <w:p w14:paraId="04CFAE5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bidi="ar"/>
              </w:rPr>
              <w:t>总投资（万元）</w:t>
            </w:r>
          </w:p>
        </w:tc>
        <w:tc>
          <w:tcPr>
            <w:tcW w:w="1926" w:type="dxa"/>
            <w:tcBorders>
              <w:top w:val="single" w:color="auto" w:sz="4" w:space="0"/>
              <w:left w:val="single" w:color="auto" w:sz="4" w:space="0"/>
              <w:bottom w:val="single" w:color="auto" w:sz="4" w:space="0"/>
              <w:right w:val="single" w:color="auto" w:sz="4" w:space="0"/>
            </w:tcBorders>
            <w:noWrap w:val="0"/>
            <w:vAlign w:val="center"/>
          </w:tcPr>
          <w:p w14:paraId="6C30893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2500</w:t>
            </w:r>
          </w:p>
        </w:tc>
        <w:tc>
          <w:tcPr>
            <w:tcW w:w="2281" w:type="dxa"/>
            <w:tcBorders>
              <w:top w:val="single" w:color="auto" w:sz="4" w:space="0"/>
              <w:left w:val="single" w:color="auto" w:sz="4" w:space="0"/>
              <w:bottom w:val="single" w:color="auto" w:sz="4" w:space="0"/>
              <w:right w:val="single" w:color="auto" w:sz="4" w:space="0"/>
            </w:tcBorders>
            <w:noWrap w:val="0"/>
            <w:tcMar>
              <w:top w:w="16" w:type="dxa"/>
              <w:left w:w="16" w:type="dxa"/>
              <w:right w:w="16" w:type="dxa"/>
            </w:tcMar>
            <w:vAlign w:val="center"/>
          </w:tcPr>
          <w:p w14:paraId="7A26FA3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bidi="ar"/>
              </w:rPr>
              <w:t>环保投资（万元）</w:t>
            </w:r>
          </w:p>
        </w:tc>
        <w:tc>
          <w:tcPr>
            <w:tcW w:w="2888" w:type="dxa"/>
            <w:tcBorders>
              <w:top w:val="single" w:color="auto" w:sz="4" w:space="0"/>
              <w:left w:val="single" w:color="auto" w:sz="4" w:space="0"/>
              <w:bottom w:val="single" w:color="auto" w:sz="4" w:space="0"/>
              <w:right w:val="single" w:color="auto" w:sz="8" w:space="0"/>
            </w:tcBorders>
            <w:noWrap w:val="0"/>
            <w:vAlign w:val="center"/>
          </w:tcPr>
          <w:p w14:paraId="09AA43E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 xml:space="preserve">100 </w:t>
            </w:r>
          </w:p>
        </w:tc>
      </w:tr>
      <w:tr w14:paraId="7DFDF0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82" w:hRule="atLeast"/>
          <w:jc w:val="center"/>
        </w:trPr>
        <w:tc>
          <w:tcPr>
            <w:tcW w:w="2604" w:type="dxa"/>
            <w:tcBorders>
              <w:top w:val="single" w:color="auto" w:sz="4" w:space="0"/>
              <w:left w:val="single" w:color="auto" w:sz="8" w:space="0"/>
              <w:bottom w:val="single" w:color="auto" w:sz="4" w:space="0"/>
              <w:right w:val="single" w:color="auto" w:sz="4" w:space="0"/>
            </w:tcBorders>
            <w:noWrap w:val="0"/>
            <w:tcMar>
              <w:top w:w="16" w:type="dxa"/>
              <w:left w:w="16" w:type="dxa"/>
              <w:right w:w="16" w:type="dxa"/>
            </w:tcMar>
            <w:vAlign w:val="center"/>
          </w:tcPr>
          <w:p w14:paraId="0D639B4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bidi="ar"/>
              </w:rPr>
              <w:t>环保投资占比（%）</w:t>
            </w:r>
          </w:p>
        </w:tc>
        <w:tc>
          <w:tcPr>
            <w:tcW w:w="1926" w:type="dxa"/>
            <w:tcBorders>
              <w:top w:val="single" w:color="auto" w:sz="4" w:space="0"/>
              <w:left w:val="single" w:color="auto" w:sz="4" w:space="0"/>
              <w:bottom w:val="single" w:color="auto" w:sz="4" w:space="0"/>
              <w:right w:val="single" w:color="auto" w:sz="4" w:space="0"/>
            </w:tcBorders>
            <w:noWrap w:val="0"/>
            <w:vAlign w:val="center"/>
          </w:tcPr>
          <w:p w14:paraId="75C1309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4</w:t>
            </w:r>
          </w:p>
        </w:tc>
        <w:tc>
          <w:tcPr>
            <w:tcW w:w="2281" w:type="dxa"/>
            <w:tcBorders>
              <w:top w:val="single" w:color="auto" w:sz="4" w:space="0"/>
              <w:left w:val="single" w:color="auto" w:sz="4" w:space="0"/>
              <w:bottom w:val="single" w:color="auto" w:sz="4" w:space="0"/>
              <w:right w:val="single" w:color="auto" w:sz="4" w:space="0"/>
            </w:tcBorders>
            <w:noWrap w:val="0"/>
            <w:tcMar>
              <w:top w:w="16" w:type="dxa"/>
              <w:left w:w="16" w:type="dxa"/>
              <w:right w:w="16" w:type="dxa"/>
            </w:tcMar>
            <w:vAlign w:val="center"/>
          </w:tcPr>
          <w:p w14:paraId="3477DA9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bidi="ar"/>
              </w:rPr>
              <w:t>施工工期</w:t>
            </w:r>
          </w:p>
        </w:tc>
        <w:tc>
          <w:tcPr>
            <w:tcW w:w="2888" w:type="dxa"/>
            <w:tcBorders>
              <w:top w:val="single" w:color="auto" w:sz="4" w:space="0"/>
              <w:left w:val="single" w:color="auto" w:sz="4" w:space="0"/>
              <w:bottom w:val="single" w:color="auto" w:sz="4" w:space="0"/>
              <w:right w:val="single" w:color="auto" w:sz="8" w:space="0"/>
            </w:tcBorders>
            <w:noWrap w:val="0"/>
            <w:vAlign w:val="center"/>
          </w:tcPr>
          <w:p w14:paraId="0A931E8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 xml:space="preserve">5 </w:t>
            </w:r>
            <w:r>
              <w:rPr>
                <w:rFonts w:hint="default" w:ascii="Times New Roman" w:hAnsi="Times New Roman" w:cs="Times New Roman"/>
                <w:color w:val="auto"/>
                <w:szCs w:val="21"/>
                <w:highlight w:val="none"/>
              </w:rPr>
              <w:t>个月</w:t>
            </w:r>
          </w:p>
        </w:tc>
      </w:tr>
      <w:tr w14:paraId="293919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32" w:hRule="atLeast"/>
          <w:jc w:val="center"/>
        </w:trPr>
        <w:tc>
          <w:tcPr>
            <w:tcW w:w="2604" w:type="dxa"/>
            <w:tcBorders>
              <w:top w:val="single" w:color="auto" w:sz="4" w:space="0"/>
              <w:left w:val="single" w:color="auto" w:sz="8" w:space="0"/>
              <w:bottom w:val="single" w:color="auto" w:sz="4" w:space="0"/>
              <w:right w:val="single" w:color="auto" w:sz="4" w:space="0"/>
            </w:tcBorders>
            <w:noWrap w:val="0"/>
            <w:tcMar>
              <w:top w:w="16" w:type="dxa"/>
              <w:left w:w="16" w:type="dxa"/>
              <w:right w:w="16" w:type="dxa"/>
            </w:tcMar>
            <w:vAlign w:val="center"/>
          </w:tcPr>
          <w:p w14:paraId="4C06C46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bidi="ar"/>
              </w:rPr>
              <w:t>是否开工建设</w:t>
            </w:r>
          </w:p>
        </w:tc>
        <w:tc>
          <w:tcPr>
            <w:tcW w:w="1926" w:type="dxa"/>
            <w:tcBorders>
              <w:top w:val="single" w:color="auto" w:sz="4" w:space="0"/>
              <w:left w:val="single" w:color="auto" w:sz="4" w:space="0"/>
              <w:bottom w:val="single" w:color="auto" w:sz="4" w:space="0"/>
              <w:right w:val="single" w:color="auto" w:sz="4" w:space="0"/>
            </w:tcBorders>
            <w:noWrap w:val="0"/>
            <w:vAlign w:val="center"/>
          </w:tcPr>
          <w:p w14:paraId="0BCDCBC5">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r>
              <w:rPr>
                <w:rFonts w:hint="default" w:ascii="Times New Roman" w:hAnsi="Times New Roman" w:eastAsia="Wingdings 2" w:cs="Times New Roman"/>
                <w:color w:val="auto"/>
                <w:szCs w:val="21"/>
                <w:highlight w:val="none"/>
                <w:lang w:bidi="ar"/>
              </w:rPr>
              <w:sym w:font="Wingdings 2" w:char="0052"/>
            </w:r>
            <w:r>
              <w:rPr>
                <w:rFonts w:hint="default" w:ascii="Times New Roman" w:hAnsi="Times New Roman" w:cs="Times New Roman"/>
                <w:color w:val="auto"/>
                <w:szCs w:val="21"/>
                <w:highlight w:val="none"/>
                <w:lang w:bidi="ar"/>
              </w:rPr>
              <w:t>否</w:t>
            </w:r>
          </w:p>
          <w:p w14:paraId="484531F3">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Cs w:val="21"/>
                <w:highlight w:val="none"/>
              </w:rPr>
            </w:pPr>
            <w:r>
              <w:rPr>
                <w:rFonts w:hint="default" w:ascii="Times New Roman" w:hAnsi="Times New Roman" w:eastAsia="Wingdings 2" w:cs="Times New Roman"/>
                <w:color w:val="auto"/>
                <w:szCs w:val="21"/>
                <w:highlight w:val="none"/>
                <w:lang w:bidi="ar"/>
              </w:rPr>
              <w:sym w:font="Wingdings 2" w:char="00A3"/>
            </w:r>
            <w:r>
              <w:rPr>
                <w:rFonts w:hint="default" w:ascii="Times New Roman" w:hAnsi="Times New Roman" w:cs="Times New Roman"/>
                <w:color w:val="auto"/>
                <w:szCs w:val="21"/>
                <w:highlight w:val="none"/>
                <w:lang w:bidi="ar"/>
              </w:rPr>
              <w:t>是</w:t>
            </w:r>
          </w:p>
        </w:tc>
        <w:tc>
          <w:tcPr>
            <w:tcW w:w="2281" w:type="dxa"/>
            <w:tcBorders>
              <w:top w:val="single" w:color="auto" w:sz="4" w:space="0"/>
              <w:left w:val="single" w:color="auto" w:sz="4" w:space="0"/>
              <w:bottom w:val="single" w:color="auto" w:sz="4" w:space="0"/>
              <w:right w:val="single" w:color="auto" w:sz="4" w:space="0"/>
            </w:tcBorders>
            <w:noWrap w:val="0"/>
            <w:tcMar>
              <w:top w:w="16" w:type="dxa"/>
              <w:left w:w="16" w:type="dxa"/>
              <w:right w:w="16" w:type="dxa"/>
            </w:tcMar>
            <w:vAlign w:val="center"/>
          </w:tcPr>
          <w:p w14:paraId="5F559BC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pacing w:val="-6"/>
                <w:szCs w:val="21"/>
                <w:highlight w:val="none"/>
              </w:rPr>
            </w:pPr>
            <w:r>
              <w:rPr>
                <w:rFonts w:hint="default" w:ascii="Times New Roman" w:hAnsi="Times New Roman" w:cs="Times New Roman"/>
                <w:color w:val="auto"/>
                <w:spacing w:val="-6"/>
                <w:szCs w:val="21"/>
                <w:highlight w:val="none"/>
                <w:lang w:bidi="ar"/>
              </w:rPr>
              <w:t>用地（用海）</w:t>
            </w:r>
          </w:p>
          <w:p w14:paraId="0365247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pacing w:val="-6"/>
                <w:szCs w:val="21"/>
                <w:highlight w:val="none"/>
                <w:lang w:bidi="ar"/>
              </w:rPr>
              <w:t>面积（m</w:t>
            </w:r>
            <w:r>
              <w:rPr>
                <w:rFonts w:hint="default" w:ascii="Times New Roman" w:hAnsi="Times New Roman" w:cs="Times New Roman"/>
                <w:color w:val="auto"/>
                <w:spacing w:val="-6"/>
                <w:szCs w:val="21"/>
                <w:highlight w:val="none"/>
                <w:vertAlign w:val="superscript"/>
                <w:lang w:bidi="ar"/>
              </w:rPr>
              <w:t>2</w:t>
            </w:r>
            <w:r>
              <w:rPr>
                <w:rFonts w:hint="default" w:ascii="Times New Roman" w:hAnsi="Times New Roman" w:cs="Times New Roman"/>
                <w:color w:val="auto"/>
                <w:spacing w:val="-6"/>
                <w:szCs w:val="21"/>
                <w:highlight w:val="none"/>
                <w:lang w:bidi="ar"/>
              </w:rPr>
              <w:t>）</w:t>
            </w:r>
          </w:p>
        </w:tc>
        <w:tc>
          <w:tcPr>
            <w:tcW w:w="2888" w:type="dxa"/>
            <w:tcBorders>
              <w:top w:val="single" w:color="auto" w:sz="4" w:space="0"/>
              <w:left w:val="single" w:color="auto" w:sz="4" w:space="0"/>
              <w:bottom w:val="single" w:color="auto" w:sz="4" w:space="0"/>
              <w:right w:val="single" w:color="auto" w:sz="8" w:space="0"/>
            </w:tcBorders>
            <w:noWrap w:val="0"/>
            <w:vAlign w:val="center"/>
          </w:tcPr>
          <w:p w14:paraId="4894FBC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18000</w:t>
            </w:r>
            <w:r>
              <w:rPr>
                <w:rFonts w:hint="default" w:ascii="Times New Roman" w:hAnsi="Times New Roman" w:cs="Times New Roman"/>
                <w:color w:val="auto"/>
                <w:szCs w:val="21"/>
                <w:highlight w:val="none"/>
                <w:lang w:val="en-US" w:eastAsia="zh-CN"/>
              </w:rPr>
              <w:t>（租用）</w:t>
            </w:r>
          </w:p>
        </w:tc>
      </w:tr>
      <w:tr w14:paraId="1E651D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77" w:hRule="atLeast"/>
          <w:jc w:val="center"/>
        </w:trPr>
        <w:tc>
          <w:tcPr>
            <w:tcW w:w="2604" w:type="dxa"/>
            <w:tcBorders>
              <w:top w:val="single" w:color="auto" w:sz="4" w:space="0"/>
              <w:left w:val="single" w:color="auto" w:sz="8" w:space="0"/>
              <w:bottom w:val="single" w:color="auto" w:sz="4" w:space="0"/>
              <w:right w:val="single" w:color="auto" w:sz="4" w:space="0"/>
            </w:tcBorders>
            <w:noWrap w:val="0"/>
            <w:tcMar>
              <w:left w:w="108" w:type="dxa"/>
              <w:right w:w="108" w:type="dxa"/>
            </w:tcMar>
            <w:vAlign w:val="center"/>
          </w:tcPr>
          <w:p w14:paraId="2E5B1544">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专项评价设置情况</w:t>
            </w:r>
          </w:p>
        </w:tc>
        <w:tc>
          <w:tcPr>
            <w:tcW w:w="7095" w:type="dxa"/>
            <w:gridSpan w:val="3"/>
            <w:tcBorders>
              <w:top w:val="single" w:color="auto" w:sz="4" w:space="0"/>
              <w:left w:val="single" w:color="auto" w:sz="4" w:space="0"/>
              <w:bottom w:val="single" w:color="auto" w:sz="4" w:space="0"/>
              <w:right w:val="single" w:color="auto" w:sz="8" w:space="0"/>
            </w:tcBorders>
            <w:noWrap w:val="0"/>
            <w:tcMar>
              <w:left w:w="108" w:type="dxa"/>
              <w:right w:w="108" w:type="dxa"/>
            </w:tcMar>
            <w:vAlign w:val="center"/>
          </w:tcPr>
          <w:p w14:paraId="6656BAAB">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无</w:t>
            </w:r>
          </w:p>
        </w:tc>
      </w:tr>
      <w:tr w14:paraId="17C498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52" w:hRule="atLeast"/>
          <w:jc w:val="center"/>
        </w:trPr>
        <w:tc>
          <w:tcPr>
            <w:tcW w:w="2604" w:type="dxa"/>
            <w:tcBorders>
              <w:top w:val="single" w:color="auto" w:sz="4" w:space="0"/>
              <w:left w:val="single" w:color="auto" w:sz="8" w:space="0"/>
              <w:bottom w:val="single" w:color="auto" w:sz="4" w:space="0"/>
              <w:right w:val="single" w:color="auto" w:sz="4" w:space="0"/>
            </w:tcBorders>
            <w:noWrap w:val="0"/>
            <w:tcMar>
              <w:left w:w="108" w:type="dxa"/>
              <w:right w:w="108" w:type="dxa"/>
            </w:tcMar>
            <w:vAlign w:val="center"/>
          </w:tcPr>
          <w:p w14:paraId="195602D2">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lang w:bidi="ar"/>
              </w:rPr>
              <w:t>规划情况</w:t>
            </w:r>
          </w:p>
        </w:tc>
        <w:tc>
          <w:tcPr>
            <w:tcW w:w="7095" w:type="dxa"/>
            <w:gridSpan w:val="3"/>
            <w:tcBorders>
              <w:top w:val="single" w:color="auto" w:sz="4" w:space="0"/>
              <w:left w:val="single" w:color="auto" w:sz="4" w:space="0"/>
              <w:bottom w:val="single" w:color="auto" w:sz="4" w:space="0"/>
              <w:right w:val="single" w:color="auto" w:sz="8" w:space="0"/>
            </w:tcBorders>
            <w:noWrap w:val="0"/>
            <w:tcMar>
              <w:left w:w="108" w:type="dxa"/>
              <w:right w:w="108" w:type="dxa"/>
            </w:tcMar>
            <w:vAlign w:val="center"/>
          </w:tcPr>
          <w:p w14:paraId="6BE7AC4F">
            <w:pPr>
              <w:keepNext w:val="0"/>
              <w:keepLines w:val="0"/>
              <w:suppressLineNumbers w:val="0"/>
              <w:autoSpaceDE w:val="0"/>
              <w:autoSpaceDN w:val="0"/>
              <w:adjustRightInd w:val="0"/>
              <w:snapToGrid w:val="0"/>
              <w:spacing w:before="0" w:beforeAutospacing="0" w:after="0" w:afterAutospacing="0" w:line="240" w:lineRule="auto"/>
              <w:ind w:left="0" w:right="0"/>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规划名称</w:t>
            </w:r>
            <w:r>
              <w:rPr>
                <w:rFonts w:hint="default" w:ascii="Times New Roman" w:hAnsi="Times New Roman" w:cs="Times New Roman"/>
                <w:color w:val="auto"/>
                <w:kern w:val="0"/>
                <w:sz w:val="21"/>
                <w:szCs w:val="21"/>
                <w:highlight w:val="none"/>
                <w:lang w:val="en-US" w:eastAsia="zh-CN"/>
              </w:rPr>
              <w:t>：</w:t>
            </w:r>
            <w:r>
              <w:rPr>
                <w:rFonts w:hint="default" w:ascii="Times New Roman" w:hAnsi="Times New Roman" w:cs="Times New Roman"/>
                <w:color w:val="auto"/>
                <w:kern w:val="0"/>
                <w:sz w:val="21"/>
                <w:szCs w:val="21"/>
                <w:highlight w:val="none"/>
              </w:rPr>
              <w:t>《岫岩满族自治县国土空间总体规划》（2021-2035年）</w:t>
            </w:r>
          </w:p>
          <w:p w14:paraId="4A4A46DF">
            <w:pPr>
              <w:keepNext w:val="0"/>
              <w:keepLines w:val="0"/>
              <w:suppressLineNumbers w:val="0"/>
              <w:autoSpaceDE w:val="0"/>
              <w:autoSpaceDN w:val="0"/>
              <w:adjustRightInd w:val="0"/>
              <w:snapToGrid w:val="0"/>
              <w:spacing w:before="0" w:beforeAutospacing="0" w:after="0" w:afterAutospacing="0" w:line="240" w:lineRule="auto"/>
              <w:ind w:left="0" w:right="0"/>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审批机关</w:t>
            </w:r>
            <w:r>
              <w:rPr>
                <w:rFonts w:hint="default" w:ascii="Times New Roman" w:hAnsi="Times New Roman" w:cs="Times New Roman"/>
                <w:color w:val="auto"/>
                <w:kern w:val="0"/>
                <w:sz w:val="21"/>
                <w:szCs w:val="21"/>
                <w:highlight w:val="none"/>
                <w:lang w:val="en-US" w:eastAsia="zh-CN"/>
              </w:rPr>
              <w:t>：</w:t>
            </w:r>
            <w:r>
              <w:rPr>
                <w:rFonts w:hint="default" w:ascii="Times New Roman" w:hAnsi="Times New Roman" w:cs="Times New Roman"/>
                <w:color w:val="auto"/>
                <w:kern w:val="0"/>
                <w:sz w:val="21"/>
                <w:szCs w:val="21"/>
                <w:highlight w:val="none"/>
              </w:rPr>
              <w:t>辽宁省人民政府</w:t>
            </w:r>
          </w:p>
          <w:p w14:paraId="25210951">
            <w:pPr>
              <w:keepNext w:val="0"/>
              <w:keepLines w:val="0"/>
              <w:suppressLineNumbers w:val="0"/>
              <w:autoSpaceDE w:val="0"/>
              <w:autoSpaceDN w:val="0"/>
              <w:adjustRightInd w:val="0"/>
              <w:snapToGrid w:val="0"/>
              <w:spacing w:before="0" w:beforeAutospacing="0" w:after="0" w:afterAutospacing="0" w:line="240" w:lineRule="auto"/>
              <w:ind w:left="0" w:right="0"/>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审批文件名称及文号</w:t>
            </w:r>
            <w:r>
              <w:rPr>
                <w:rFonts w:hint="default" w:ascii="Times New Roman" w:hAnsi="Times New Roman" w:cs="Times New Roman"/>
                <w:color w:val="auto"/>
                <w:kern w:val="0"/>
                <w:sz w:val="21"/>
                <w:szCs w:val="21"/>
                <w:highlight w:val="none"/>
                <w:lang w:val="en-US" w:eastAsia="zh-CN"/>
              </w:rPr>
              <w:t>：《辽宁省人民政府关于海城市、台安县、岫岩满族自治县国土空间总体规划（2021-2035年）的批复》</w:t>
            </w:r>
            <w:r>
              <w:rPr>
                <w:rFonts w:hint="default" w:ascii="Times New Roman" w:hAnsi="Times New Roman" w:cs="Times New Roman"/>
                <w:color w:val="auto"/>
                <w:kern w:val="0"/>
                <w:sz w:val="21"/>
                <w:szCs w:val="21"/>
                <w:highlight w:val="none"/>
              </w:rPr>
              <w:t>辽政〔2024〕68号</w:t>
            </w:r>
          </w:p>
        </w:tc>
      </w:tr>
      <w:tr w14:paraId="697244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64" w:hRule="atLeast"/>
          <w:jc w:val="center"/>
        </w:trPr>
        <w:tc>
          <w:tcPr>
            <w:tcW w:w="2604" w:type="dxa"/>
            <w:tcBorders>
              <w:top w:val="single" w:color="auto" w:sz="4" w:space="0"/>
              <w:left w:val="single" w:color="auto" w:sz="8" w:space="0"/>
              <w:bottom w:val="single" w:color="auto" w:sz="4" w:space="0"/>
              <w:right w:val="single" w:color="auto" w:sz="4" w:space="0"/>
            </w:tcBorders>
            <w:noWrap w:val="0"/>
            <w:tcMar>
              <w:left w:w="108" w:type="dxa"/>
              <w:right w:w="108" w:type="dxa"/>
            </w:tcMar>
            <w:vAlign w:val="center"/>
          </w:tcPr>
          <w:p w14:paraId="5E5C2EF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bidi="ar"/>
              </w:rPr>
              <w:t>规划环境影响</w:t>
            </w:r>
          </w:p>
          <w:p w14:paraId="525C9BA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lang w:bidi="ar"/>
              </w:rPr>
              <w:t>评价情况</w:t>
            </w:r>
          </w:p>
        </w:tc>
        <w:tc>
          <w:tcPr>
            <w:tcW w:w="7095" w:type="dxa"/>
            <w:gridSpan w:val="3"/>
            <w:tcBorders>
              <w:top w:val="single" w:color="auto" w:sz="4" w:space="0"/>
              <w:left w:val="single" w:color="auto" w:sz="4" w:space="0"/>
              <w:bottom w:val="single" w:color="auto" w:sz="4" w:space="0"/>
              <w:right w:val="single" w:color="auto" w:sz="8" w:space="0"/>
            </w:tcBorders>
            <w:noWrap w:val="0"/>
            <w:tcMar>
              <w:left w:w="108" w:type="dxa"/>
              <w:right w:w="108" w:type="dxa"/>
            </w:tcMar>
            <w:vAlign w:val="center"/>
          </w:tcPr>
          <w:p w14:paraId="4468F256">
            <w:pPr>
              <w:keepNext w:val="0"/>
              <w:keepLines w:val="0"/>
              <w:suppressLineNumbers w:val="0"/>
              <w:autoSpaceDE w:val="0"/>
              <w:autoSpaceDN w:val="0"/>
              <w:adjustRightInd w:val="0"/>
              <w:snapToGrid w:val="0"/>
              <w:spacing w:before="0" w:beforeAutospacing="0" w:after="0" w:afterAutospacing="0" w:line="36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无</w:t>
            </w:r>
          </w:p>
        </w:tc>
      </w:tr>
      <w:tr w14:paraId="0999D8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79" w:hRule="atLeast"/>
          <w:jc w:val="center"/>
        </w:trPr>
        <w:tc>
          <w:tcPr>
            <w:tcW w:w="2604" w:type="dxa"/>
            <w:tcBorders>
              <w:top w:val="single" w:color="auto" w:sz="4" w:space="0"/>
              <w:left w:val="single" w:color="auto" w:sz="8" w:space="0"/>
              <w:bottom w:val="single" w:color="auto" w:sz="4" w:space="0"/>
              <w:right w:val="single" w:color="auto" w:sz="4" w:space="0"/>
            </w:tcBorders>
            <w:noWrap w:val="0"/>
            <w:tcMar>
              <w:left w:w="108" w:type="dxa"/>
              <w:right w:w="108" w:type="dxa"/>
            </w:tcMar>
            <w:vAlign w:val="center"/>
          </w:tcPr>
          <w:p w14:paraId="66E74DDE">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规划及规划环境</w:t>
            </w:r>
          </w:p>
          <w:p w14:paraId="58E41527">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bidi="ar"/>
              </w:rPr>
              <w:t>影响评价符合性分析</w:t>
            </w:r>
          </w:p>
        </w:tc>
        <w:tc>
          <w:tcPr>
            <w:tcW w:w="7095" w:type="dxa"/>
            <w:gridSpan w:val="3"/>
            <w:tcBorders>
              <w:top w:val="single" w:color="auto" w:sz="4" w:space="0"/>
              <w:left w:val="single" w:color="auto" w:sz="4" w:space="0"/>
              <w:bottom w:val="single" w:color="auto" w:sz="4" w:space="0"/>
              <w:right w:val="single" w:color="auto" w:sz="8" w:space="0"/>
            </w:tcBorders>
            <w:noWrap w:val="0"/>
            <w:tcMar>
              <w:left w:w="108" w:type="dxa"/>
              <w:right w:w="108" w:type="dxa"/>
            </w:tcMar>
            <w:vAlign w:val="center"/>
          </w:tcPr>
          <w:p w14:paraId="03CBF2E1">
            <w:pPr>
              <w:keepNext w:val="0"/>
              <w:keepLines w:val="0"/>
              <w:pageBreakBefore w:val="0"/>
              <w:suppressLineNumbers w:val="0"/>
              <w:wordWrap/>
              <w:overflowPunct/>
              <w:topLinePunct w:val="0"/>
              <w:autoSpaceDE w:val="0"/>
              <w:autoSpaceDN w:val="0"/>
              <w:bidi w:val="0"/>
              <w:adjustRightInd/>
              <w:snapToGrid/>
              <w:spacing w:before="0" w:beforeAutospacing="0" w:after="0" w:afterAutospacing="0" w:line="240" w:lineRule="auto"/>
              <w:ind w:left="0" w:right="0" w:firstLine="420" w:firstLineChars="200"/>
              <w:jc w:val="both"/>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《岫岩满族自治县国土空间总体规划》（2021-2035年）符合性分析</w:t>
            </w:r>
          </w:p>
          <w:p w14:paraId="5EEE3839">
            <w:pPr>
              <w:keepNext w:val="0"/>
              <w:keepLines w:val="0"/>
              <w:pageBreakBefore w:val="0"/>
              <w:suppressLineNumbers w:val="0"/>
              <w:kinsoku w:val="0"/>
              <w:wordWrap/>
              <w:overflowPunct/>
              <w:topLinePunct w:val="0"/>
              <w:autoSpaceDE w:val="0"/>
              <w:autoSpaceDN w:val="0"/>
              <w:bidi w:val="0"/>
              <w:adjustRightInd/>
              <w:snapToGrid/>
              <w:spacing w:before="0" w:beforeAutospacing="0" w:after="0" w:afterAutospacing="0" w:line="240" w:lineRule="auto"/>
              <w:ind w:left="0" w:right="0" w:firstLine="420" w:firstLineChars="200"/>
              <w:jc w:val="both"/>
              <w:textAlignment w:val="baseline"/>
              <w:rPr>
                <w:rFonts w:hint="default" w:ascii="Times New Roman" w:hAnsi="Times New Roman" w:eastAsia="宋体" w:cs="Times New Roman"/>
                <w:snapToGrid w:val="0"/>
                <w:color w:val="auto"/>
                <w:spacing w:val="0"/>
                <w:kern w:val="0"/>
                <w:sz w:val="21"/>
                <w:szCs w:val="21"/>
                <w:highlight w:val="none"/>
                <w:lang w:val="en-US" w:eastAsia="en-US" w:bidi="ar-SA"/>
              </w:rPr>
            </w:pPr>
            <w:r>
              <w:rPr>
                <w:rFonts w:hint="default" w:ascii="Times New Roman" w:hAnsi="Times New Roman" w:eastAsia="宋体" w:cs="Times New Roman"/>
                <w:snapToGrid w:val="0"/>
                <w:color w:val="auto"/>
                <w:spacing w:val="0"/>
                <w:kern w:val="0"/>
                <w:sz w:val="21"/>
                <w:szCs w:val="21"/>
                <w:highlight w:val="none"/>
                <w:lang w:val="en-US" w:eastAsia="en-US" w:bidi="ar-SA"/>
              </w:rPr>
              <w:t>为深入贯彻中共中央、国务院关于建立国土空间规划体系并监督实施的重大部署，落实辽宁省与鞍山市的战略要求，</w:t>
            </w:r>
            <w:r>
              <w:rPr>
                <w:rFonts w:hint="eastAsia" w:cs="Times New Roman"/>
                <w:snapToGrid w:val="0"/>
                <w:color w:val="auto"/>
                <w:spacing w:val="0"/>
                <w:kern w:val="0"/>
                <w:sz w:val="21"/>
                <w:szCs w:val="21"/>
                <w:highlight w:val="none"/>
                <w:lang w:val="en-US" w:eastAsia="zh-CN" w:bidi="ar-SA"/>
              </w:rPr>
              <w:t>岫岩满族自治县</w:t>
            </w:r>
            <w:r>
              <w:rPr>
                <w:rFonts w:hint="default" w:ascii="Times New Roman" w:hAnsi="Times New Roman" w:eastAsia="宋体" w:cs="Times New Roman"/>
                <w:snapToGrid w:val="0"/>
                <w:color w:val="auto"/>
                <w:spacing w:val="0"/>
                <w:kern w:val="0"/>
                <w:sz w:val="21"/>
                <w:szCs w:val="21"/>
                <w:highlight w:val="none"/>
                <w:lang w:val="en-US" w:eastAsia="en-US" w:bidi="ar-SA"/>
              </w:rPr>
              <w:t>人民政府编制了《岫岩满族自治县国土空间总体规划（</w:t>
            </w:r>
            <w:r>
              <w:rPr>
                <w:rFonts w:hint="default" w:ascii="Times New Roman" w:hAnsi="Times New Roman" w:eastAsia="Times New Roman" w:cs="Times New Roman"/>
                <w:snapToGrid w:val="0"/>
                <w:color w:val="auto"/>
                <w:spacing w:val="0"/>
                <w:kern w:val="0"/>
                <w:sz w:val="21"/>
                <w:szCs w:val="21"/>
                <w:highlight w:val="none"/>
                <w:lang w:val="en-US" w:eastAsia="en-US" w:bidi="ar-SA"/>
              </w:rPr>
              <w:t>2021-2035</w:t>
            </w:r>
            <w:r>
              <w:rPr>
                <w:rFonts w:hint="default" w:ascii="Times New Roman" w:hAnsi="Times New Roman" w:eastAsia="宋体" w:cs="Times New Roman"/>
                <w:snapToGrid w:val="0"/>
                <w:color w:val="auto"/>
                <w:spacing w:val="0"/>
                <w:kern w:val="0"/>
                <w:sz w:val="21"/>
                <w:szCs w:val="21"/>
                <w:highlight w:val="none"/>
                <w:lang w:val="en-US" w:eastAsia="en-US" w:bidi="ar-SA"/>
              </w:rPr>
              <w:t>年）》，本项目与规划符合性分析见下表。</w:t>
            </w:r>
          </w:p>
          <w:p w14:paraId="717F8062">
            <w:pPr>
              <w:keepNext w:val="0"/>
              <w:keepLines w:val="0"/>
              <w:pageBreakBefore w:val="0"/>
              <w:suppressLineNumbers w:val="0"/>
              <w:wordWrap/>
              <w:overflowPunct/>
              <w:topLinePunct w:val="0"/>
              <w:autoSpaceDE w:val="0"/>
              <w:autoSpaceDN w:val="0"/>
              <w:bidi w:val="0"/>
              <w:adjustRightInd/>
              <w:snapToGrid/>
              <w:spacing w:before="0" w:beforeAutospacing="0" w:after="0" w:afterAutospacing="0" w:line="240" w:lineRule="auto"/>
              <w:ind w:left="0" w:right="0"/>
              <w:jc w:val="left"/>
              <w:rPr>
                <w:rFonts w:hint="default" w:ascii="Times New Roman" w:hAnsi="Times New Roman" w:eastAsia="宋体" w:cs="Times New Roman"/>
                <w:color w:val="auto"/>
                <w:spacing w:val="0"/>
                <w:kern w:val="0"/>
                <w:sz w:val="21"/>
                <w:szCs w:val="21"/>
                <w:highlight w:val="none"/>
                <w:lang w:val="en-US" w:eastAsia="en-US"/>
              </w:rPr>
            </w:pPr>
            <w:r>
              <w:rPr>
                <w:rFonts w:hint="default" w:ascii="Times New Roman" w:hAnsi="Times New Roman" w:eastAsia="宋体" w:cs="Times New Roman"/>
                <w:color w:val="auto"/>
                <w:spacing w:val="0"/>
                <w:kern w:val="0"/>
                <w:sz w:val="21"/>
                <w:szCs w:val="21"/>
                <w:highlight w:val="none"/>
                <w:lang w:val="en-US" w:eastAsia="en-US"/>
              </w:rPr>
              <w:t>表1与《岫岩满族自治县国土空间总体规划》（2021-2035年）符合性分析</w:t>
            </w:r>
          </w:p>
          <w:tbl>
            <w:tblPr>
              <w:tblStyle w:val="77"/>
              <w:tblW w:w="49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705"/>
              <w:gridCol w:w="3494"/>
              <w:gridCol w:w="656"/>
            </w:tblGrid>
            <w:tr w14:paraId="3C439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972" w:type="pct"/>
                  <w:noWrap w:val="0"/>
                  <w:vAlign w:val="center"/>
                </w:tcPr>
                <w:p w14:paraId="5EB2EEE0">
                  <w:pPr>
                    <w:keepNext w:val="0"/>
                    <w:keepLines w:val="0"/>
                    <w:pageBreakBefore w:val="0"/>
                    <w:widowControl/>
                    <w:kinsoku w:val="0"/>
                    <w:wordWrap/>
                    <w:overflowPunct/>
                    <w:topLinePunct w:val="0"/>
                    <w:autoSpaceDE w:val="0"/>
                    <w:autoSpaceDN w:val="0"/>
                    <w:bidi w:val="0"/>
                    <w:adjustRightInd/>
                    <w:snapToGrid w:val="0"/>
                    <w:spacing w:before="0" w:line="240" w:lineRule="auto"/>
                    <w:ind w:left="0" w:right="0" w:firstLine="0"/>
                    <w:jc w:val="center"/>
                    <w:textAlignment w:val="baseline"/>
                    <w:rPr>
                      <w:rFonts w:hint="default" w:ascii="Times New Roman" w:hAnsi="Times New Roman" w:eastAsia="宋体" w:cs="Times New Roman"/>
                      <w:snapToGrid w:val="0"/>
                      <w:color w:val="auto"/>
                      <w:spacing w:val="0"/>
                      <w:kern w:val="0"/>
                      <w:sz w:val="21"/>
                      <w:szCs w:val="21"/>
                      <w:highlight w:val="none"/>
                      <w:lang w:val="en-US" w:eastAsia="en-US" w:bidi="ar-SA"/>
                    </w:rPr>
                  </w:pPr>
                  <w:r>
                    <w:rPr>
                      <w:rFonts w:hint="default" w:ascii="Times New Roman" w:hAnsi="Times New Roman" w:eastAsia="宋体" w:cs="Times New Roman"/>
                      <w:snapToGrid w:val="0"/>
                      <w:color w:val="auto"/>
                      <w:spacing w:val="0"/>
                      <w:kern w:val="0"/>
                      <w:sz w:val="21"/>
                      <w:szCs w:val="21"/>
                      <w:highlight w:val="none"/>
                      <w:lang w:val="en-US" w:eastAsia="en-US" w:bidi="ar-SA"/>
                    </w:rPr>
                    <w:t>要求</w:t>
                  </w:r>
                </w:p>
              </w:tc>
              <w:tc>
                <w:tcPr>
                  <w:tcW w:w="2548" w:type="pct"/>
                  <w:noWrap w:val="0"/>
                  <w:vAlign w:val="center"/>
                </w:tcPr>
                <w:p w14:paraId="00BB7DFB">
                  <w:pPr>
                    <w:keepNext w:val="0"/>
                    <w:keepLines w:val="0"/>
                    <w:pageBreakBefore w:val="0"/>
                    <w:widowControl/>
                    <w:kinsoku w:val="0"/>
                    <w:wordWrap/>
                    <w:overflowPunct/>
                    <w:topLinePunct w:val="0"/>
                    <w:autoSpaceDE w:val="0"/>
                    <w:autoSpaceDN w:val="0"/>
                    <w:bidi w:val="0"/>
                    <w:adjustRightInd/>
                    <w:snapToGrid w:val="0"/>
                    <w:spacing w:before="0" w:line="240" w:lineRule="auto"/>
                    <w:ind w:left="0" w:right="0" w:firstLine="0"/>
                    <w:jc w:val="center"/>
                    <w:textAlignment w:val="baseline"/>
                    <w:rPr>
                      <w:rFonts w:hint="default" w:ascii="Times New Roman" w:hAnsi="Times New Roman" w:eastAsia="宋体" w:cs="Times New Roman"/>
                      <w:snapToGrid w:val="0"/>
                      <w:color w:val="auto"/>
                      <w:spacing w:val="0"/>
                      <w:kern w:val="0"/>
                      <w:sz w:val="21"/>
                      <w:szCs w:val="21"/>
                      <w:highlight w:val="none"/>
                      <w:lang w:val="en-US" w:eastAsia="en-US" w:bidi="ar-SA"/>
                    </w:rPr>
                  </w:pPr>
                  <w:r>
                    <w:rPr>
                      <w:rFonts w:hint="default" w:ascii="Times New Roman" w:hAnsi="Times New Roman" w:eastAsia="宋体" w:cs="Times New Roman"/>
                      <w:snapToGrid w:val="0"/>
                      <w:color w:val="auto"/>
                      <w:spacing w:val="0"/>
                      <w:kern w:val="0"/>
                      <w:sz w:val="21"/>
                      <w:szCs w:val="21"/>
                      <w:highlight w:val="none"/>
                      <w:lang w:val="en-US" w:eastAsia="en-US" w:bidi="ar-SA"/>
                    </w:rPr>
                    <w:t>该项目具体情况</w:t>
                  </w:r>
                </w:p>
              </w:tc>
              <w:tc>
                <w:tcPr>
                  <w:tcW w:w="478" w:type="pct"/>
                  <w:noWrap w:val="0"/>
                  <w:vAlign w:val="center"/>
                </w:tcPr>
                <w:p w14:paraId="55BF0DE7">
                  <w:pPr>
                    <w:keepNext w:val="0"/>
                    <w:keepLines w:val="0"/>
                    <w:pageBreakBefore w:val="0"/>
                    <w:widowControl/>
                    <w:kinsoku w:val="0"/>
                    <w:wordWrap/>
                    <w:overflowPunct/>
                    <w:topLinePunct w:val="0"/>
                    <w:autoSpaceDE w:val="0"/>
                    <w:autoSpaceDN w:val="0"/>
                    <w:bidi w:val="0"/>
                    <w:adjustRightInd/>
                    <w:snapToGrid w:val="0"/>
                    <w:spacing w:before="0" w:line="240" w:lineRule="auto"/>
                    <w:ind w:left="0" w:right="0" w:firstLine="0"/>
                    <w:jc w:val="center"/>
                    <w:textAlignment w:val="baseline"/>
                    <w:rPr>
                      <w:rFonts w:hint="default" w:ascii="Times New Roman" w:hAnsi="Times New Roman" w:eastAsia="宋体" w:cs="Times New Roman"/>
                      <w:snapToGrid w:val="0"/>
                      <w:color w:val="auto"/>
                      <w:spacing w:val="0"/>
                      <w:kern w:val="0"/>
                      <w:sz w:val="21"/>
                      <w:szCs w:val="21"/>
                      <w:highlight w:val="none"/>
                      <w:lang w:val="en-US" w:eastAsia="en-US" w:bidi="ar-SA"/>
                    </w:rPr>
                  </w:pPr>
                  <w:r>
                    <w:rPr>
                      <w:rFonts w:hint="default" w:ascii="Times New Roman" w:hAnsi="Times New Roman" w:eastAsia="宋体" w:cs="Times New Roman"/>
                      <w:snapToGrid w:val="0"/>
                      <w:color w:val="auto"/>
                      <w:spacing w:val="0"/>
                      <w:kern w:val="0"/>
                      <w:sz w:val="21"/>
                      <w:szCs w:val="21"/>
                      <w:highlight w:val="none"/>
                      <w:lang w:val="en-US" w:eastAsia="en-US" w:bidi="ar-SA"/>
                    </w:rPr>
                    <w:t>判定 结果</w:t>
                  </w:r>
                </w:p>
              </w:tc>
            </w:tr>
            <w:tr w14:paraId="336A6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972" w:type="pct"/>
                  <w:noWrap w:val="0"/>
                  <w:vAlign w:val="center"/>
                </w:tcPr>
                <w:p w14:paraId="59798C88">
                  <w:pPr>
                    <w:keepNext w:val="0"/>
                    <w:keepLines w:val="0"/>
                    <w:pageBreakBefore w:val="0"/>
                    <w:widowControl/>
                    <w:kinsoku w:val="0"/>
                    <w:wordWrap/>
                    <w:overflowPunct/>
                    <w:topLinePunct w:val="0"/>
                    <w:autoSpaceDE w:val="0"/>
                    <w:autoSpaceDN w:val="0"/>
                    <w:bidi w:val="0"/>
                    <w:adjustRightInd/>
                    <w:snapToGrid w:val="0"/>
                    <w:spacing w:before="0" w:line="240" w:lineRule="auto"/>
                    <w:ind w:left="0" w:right="0" w:firstLine="0"/>
                    <w:jc w:val="center"/>
                    <w:textAlignment w:val="baseline"/>
                    <w:rPr>
                      <w:rFonts w:hint="default" w:ascii="Times New Roman" w:hAnsi="Times New Roman" w:eastAsia="宋体" w:cs="Times New Roman"/>
                      <w:snapToGrid w:val="0"/>
                      <w:color w:val="auto"/>
                      <w:spacing w:val="0"/>
                      <w:kern w:val="0"/>
                      <w:sz w:val="21"/>
                      <w:szCs w:val="21"/>
                      <w:highlight w:val="none"/>
                      <w:lang w:val="en-US" w:eastAsia="en-US" w:bidi="ar-SA"/>
                    </w:rPr>
                  </w:pPr>
                  <w:r>
                    <w:rPr>
                      <w:rFonts w:hint="default" w:ascii="Times New Roman" w:hAnsi="Times New Roman" w:eastAsia="宋体" w:cs="Times New Roman"/>
                      <w:snapToGrid w:val="0"/>
                      <w:color w:val="auto"/>
                      <w:spacing w:val="0"/>
                      <w:kern w:val="0"/>
                      <w:sz w:val="21"/>
                      <w:szCs w:val="21"/>
                      <w:highlight w:val="none"/>
                      <w:lang w:val="en-US" w:eastAsia="en-US" w:bidi="ar-SA"/>
                    </w:rPr>
                    <w:t>规划期限：规划基期为 2020年，规划期限为 2021</w:t>
                  </w:r>
                  <w:r>
                    <w:rPr>
                      <w:rFonts w:hint="eastAsia" w:cs="Times New Roman"/>
                      <w:snapToGrid w:val="0"/>
                      <w:color w:val="auto"/>
                      <w:spacing w:val="0"/>
                      <w:kern w:val="0"/>
                      <w:sz w:val="21"/>
                      <w:szCs w:val="21"/>
                      <w:highlight w:val="none"/>
                      <w:lang w:val="en-US" w:eastAsia="zh-CN" w:bidi="ar-SA"/>
                    </w:rPr>
                    <w:t>-</w:t>
                  </w:r>
                  <w:r>
                    <w:rPr>
                      <w:rFonts w:hint="default" w:ascii="Times New Roman" w:hAnsi="Times New Roman" w:eastAsia="宋体" w:cs="Times New Roman"/>
                      <w:snapToGrid w:val="0"/>
                      <w:color w:val="auto"/>
                      <w:spacing w:val="0"/>
                      <w:kern w:val="0"/>
                      <w:sz w:val="21"/>
                      <w:szCs w:val="21"/>
                      <w:highlight w:val="none"/>
                      <w:lang w:val="en-US" w:eastAsia="en-US" w:bidi="ar-SA"/>
                    </w:rPr>
                    <w:t>2035年，近期到 2025年，远景展望到2050 年。规划范围：规划范围包括县域和中心城区两个层次。县域为岫岩满族自治县行政辖区内全部国土空间，中心城区规划范围为岫岩镇、雅河办事处、兴隆街道办事处和前营镇部分行政区域</w:t>
                  </w:r>
                </w:p>
              </w:tc>
              <w:tc>
                <w:tcPr>
                  <w:tcW w:w="2548" w:type="pct"/>
                  <w:noWrap w:val="0"/>
                  <w:vAlign w:val="center"/>
                </w:tcPr>
                <w:p w14:paraId="6713FD5D">
                  <w:pPr>
                    <w:keepNext w:val="0"/>
                    <w:keepLines w:val="0"/>
                    <w:suppressLineNumbers w:val="0"/>
                    <w:spacing w:before="0" w:beforeAutospacing="0" w:after="0" w:afterAutospacing="0" w:line="240" w:lineRule="auto"/>
                    <w:ind w:right="0"/>
                    <w:rPr>
                      <w:rFonts w:hint="default" w:ascii="Times New Roman" w:hAnsi="Times New Roman" w:eastAsia="宋体" w:cs="Times New Roman"/>
                      <w:snapToGrid w:val="0"/>
                      <w:color w:val="auto"/>
                      <w:spacing w:val="0"/>
                      <w:kern w:val="0"/>
                      <w:sz w:val="21"/>
                      <w:szCs w:val="21"/>
                      <w:highlight w:val="none"/>
                      <w:lang w:val="en-US" w:eastAsia="en-US" w:bidi="ar-SA"/>
                    </w:rPr>
                  </w:pPr>
                  <w:r>
                    <w:rPr>
                      <w:rFonts w:hint="default" w:ascii="Times New Roman" w:hAnsi="Times New Roman" w:eastAsia="宋体" w:cs="Times New Roman"/>
                      <w:i w:val="0"/>
                      <w:iCs w:val="0"/>
                      <w:color w:val="auto"/>
                      <w:kern w:val="0"/>
                      <w:sz w:val="21"/>
                      <w:szCs w:val="21"/>
                      <w:highlight w:val="none"/>
                      <w:u w:val="none"/>
                      <w:lang w:val="en-US" w:eastAsia="en-US" w:bidi="ar"/>
                    </w:rPr>
                    <w:t>本项目位于辽宁省鞍山市岫岩满族自治县</w:t>
                  </w:r>
                  <w:r>
                    <w:rPr>
                      <w:rFonts w:hint="eastAsia" w:ascii="Times New Roman" w:hAnsi="Times New Roman" w:eastAsia="宋体" w:cs="Times New Roman"/>
                      <w:i w:val="0"/>
                      <w:iCs w:val="0"/>
                      <w:color w:val="auto"/>
                      <w:kern w:val="0"/>
                      <w:sz w:val="21"/>
                      <w:szCs w:val="21"/>
                      <w:highlight w:val="none"/>
                      <w:u w:val="none"/>
                      <w:lang w:val="en-US" w:eastAsia="zh-CN" w:bidi="ar"/>
                    </w:rPr>
                    <w:t>偏岭镇王家堡村</w:t>
                  </w:r>
                  <w:r>
                    <w:rPr>
                      <w:rFonts w:hint="default" w:ascii="Times New Roman" w:hAnsi="Times New Roman" w:eastAsia="宋体" w:cs="Times New Roman"/>
                      <w:i w:val="0"/>
                      <w:iCs w:val="0"/>
                      <w:color w:val="auto"/>
                      <w:kern w:val="0"/>
                      <w:sz w:val="21"/>
                      <w:szCs w:val="21"/>
                      <w:highlight w:val="none"/>
                      <w:u w:val="none"/>
                      <w:lang w:val="en-US" w:eastAsia="en-US" w:bidi="ar"/>
                    </w:rPr>
                    <w:t>，</w:t>
                  </w:r>
                  <w:r>
                    <w:rPr>
                      <w:rFonts w:hint="default" w:ascii="Times New Roman" w:hAnsi="Times New Roman" w:eastAsia="宋体" w:cs="Times New Roman"/>
                      <w:i w:val="0"/>
                      <w:iCs w:val="0"/>
                      <w:color w:val="auto"/>
                      <w:kern w:val="0"/>
                      <w:sz w:val="21"/>
                      <w:szCs w:val="21"/>
                      <w:highlight w:val="none"/>
                      <w:u w:val="none"/>
                      <w:lang w:val="en-US" w:eastAsia="zh-CN" w:bidi="ar"/>
                    </w:rPr>
                    <w:t>租用</w:t>
                  </w:r>
                  <w:r>
                    <w:rPr>
                      <w:rFonts w:hint="eastAsia" w:ascii="Times New Roman" w:hAnsi="Times New Roman" w:eastAsia="宋体" w:cs="Times New Roman"/>
                      <w:i w:val="0"/>
                      <w:iCs w:val="0"/>
                      <w:color w:val="auto"/>
                      <w:kern w:val="0"/>
                      <w:sz w:val="21"/>
                      <w:szCs w:val="21"/>
                      <w:highlight w:val="none"/>
                      <w:u w:val="none"/>
                      <w:lang w:val="en-US" w:eastAsia="zh-CN" w:bidi="ar"/>
                    </w:rPr>
                    <w:t>辽宁佳合鹏程粉体科技有限公司现有厂房</w:t>
                  </w:r>
                  <w:r>
                    <w:rPr>
                      <w:rFonts w:hint="default" w:ascii="Times New Roman" w:hAnsi="Times New Roman" w:eastAsia="宋体" w:cs="Times New Roman"/>
                      <w:i w:val="0"/>
                      <w:iCs w:val="0"/>
                      <w:color w:val="auto"/>
                      <w:kern w:val="0"/>
                      <w:sz w:val="21"/>
                      <w:szCs w:val="21"/>
                      <w:highlight w:val="none"/>
                      <w:u w:val="none"/>
                      <w:lang w:val="en-US" w:eastAsia="zh-CN" w:bidi="ar"/>
                    </w:rPr>
                    <w:t>，不新增占地，用地性质为工业用地，用地符合国土空间规划和用途管制要求。</w:t>
                  </w:r>
                </w:p>
              </w:tc>
              <w:tc>
                <w:tcPr>
                  <w:tcW w:w="478" w:type="pct"/>
                  <w:noWrap w:val="0"/>
                  <w:vAlign w:val="center"/>
                </w:tcPr>
                <w:p w14:paraId="6064CEF1">
                  <w:pPr>
                    <w:keepNext w:val="0"/>
                    <w:keepLines w:val="0"/>
                    <w:pageBreakBefore w:val="0"/>
                    <w:widowControl/>
                    <w:kinsoku w:val="0"/>
                    <w:wordWrap/>
                    <w:overflowPunct/>
                    <w:topLinePunct w:val="0"/>
                    <w:autoSpaceDE w:val="0"/>
                    <w:autoSpaceDN w:val="0"/>
                    <w:bidi w:val="0"/>
                    <w:adjustRightInd/>
                    <w:snapToGrid w:val="0"/>
                    <w:spacing w:before="0" w:line="240" w:lineRule="auto"/>
                    <w:ind w:left="0" w:right="0" w:firstLine="0"/>
                    <w:jc w:val="center"/>
                    <w:textAlignment w:val="baseline"/>
                    <w:rPr>
                      <w:rFonts w:hint="default" w:ascii="Times New Roman" w:hAnsi="Times New Roman" w:eastAsia="宋体" w:cs="Times New Roman"/>
                      <w:snapToGrid w:val="0"/>
                      <w:color w:val="auto"/>
                      <w:spacing w:val="0"/>
                      <w:kern w:val="0"/>
                      <w:sz w:val="21"/>
                      <w:szCs w:val="21"/>
                      <w:highlight w:val="none"/>
                      <w:lang w:val="en-US" w:eastAsia="en-US" w:bidi="ar-SA"/>
                    </w:rPr>
                  </w:pPr>
                  <w:r>
                    <w:rPr>
                      <w:rFonts w:hint="default" w:ascii="Times New Roman" w:hAnsi="Times New Roman" w:eastAsia="宋体" w:cs="Times New Roman"/>
                      <w:snapToGrid w:val="0"/>
                      <w:color w:val="auto"/>
                      <w:spacing w:val="0"/>
                      <w:kern w:val="0"/>
                      <w:sz w:val="21"/>
                      <w:szCs w:val="21"/>
                      <w:highlight w:val="none"/>
                      <w:lang w:val="en-US" w:eastAsia="en-US" w:bidi="ar-SA"/>
                    </w:rPr>
                    <w:t>符合</w:t>
                  </w:r>
                </w:p>
              </w:tc>
            </w:tr>
            <w:tr w14:paraId="339D9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972" w:type="pct"/>
                  <w:noWrap w:val="0"/>
                  <w:vAlign w:val="center"/>
                </w:tcPr>
                <w:p w14:paraId="7A17D777">
                  <w:pPr>
                    <w:keepNext w:val="0"/>
                    <w:keepLines w:val="0"/>
                    <w:widowControl/>
                    <w:suppressLineNumbers w:val="0"/>
                    <w:jc w:val="center"/>
                    <w:textAlignment w:val="center"/>
                    <w:rPr>
                      <w:rFonts w:hint="default" w:ascii="Times New Roman" w:hAnsi="Times New Roman" w:eastAsia="宋体" w:cs="Times New Roman"/>
                      <w:snapToGrid w:val="0"/>
                      <w:color w:val="auto"/>
                      <w:spacing w:val="0"/>
                      <w:kern w:val="0"/>
                      <w:sz w:val="21"/>
                      <w:szCs w:val="21"/>
                      <w:highlight w:val="none"/>
                      <w:lang w:val="en-US" w:eastAsia="en-US" w:bidi="ar-SA"/>
                    </w:rPr>
                  </w:pPr>
                  <w:r>
                    <w:rPr>
                      <w:rFonts w:hint="default" w:ascii="Times New Roman" w:hAnsi="Times New Roman" w:eastAsia="宋体" w:cs="Times New Roman"/>
                      <w:i w:val="0"/>
                      <w:iCs w:val="0"/>
                      <w:color w:val="auto"/>
                      <w:kern w:val="0"/>
                      <w:sz w:val="21"/>
                      <w:szCs w:val="21"/>
                      <w:highlight w:val="none"/>
                      <w:u w:val="none"/>
                      <w:lang w:val="en-US" w:eastAsia="zh-CN" w:bidi="ar"/>
                    </w:rPr>
                    <w:t>北部水源涵养林功能区以涵养水源和保持水土等生态建设为重点，包括朝阳镇、牧牛镇、偏岭镇、三家子镇、石庙子镇、大营子镇、清凉山镇、东风林场和清凉山林场。</w:t>
                  </w:r>
                </w:p>
              </w:tc>
              <w:tc>
                <w:tcPr>
                  <w:tcW w:w="2548" w:type="pct"/>
                  <w:noWrap w:val="0"/>
                  <w:vAlign w:val="center"/>
                </w:tcPr>
                <w:p w14:paraId="101EFDC7">
                  <w:pPr>
                    <w:keepNext w:val="0"/>
                    <w:keepLines w:val="0"/>
                    <w:widowControl/>
                    <w:suppressLineNumbers w:val="0"/>
                    <w:jc w:val="left"/>
                    <w:textAlignment w:val="center"/>
                    <w:rPr>
                      <w:rFonts w:hint="default" w:ascii="Times New Roman" w:hAnsi="Times New Roman" w:eastAsia="宋体" w:cs="Times New Roman"/>
                      <w:snapToGrid w:val="0"/>
                      <w:color w:val="auto"/>
                      <w:spacing w:val="0"/>
                      <w:kern w:val="0"/>
                      <w:sz w:val="21"/>
                      <w:szCs w:val="21"/>
                      <w:highlight w:val="none"/>
                      <w:lang w:val="en-US" w:eastAsia="en-US" w:bidi="ar-SA"/>
                    </w:rPr>
                  </w:pPr>
                  <w:r>
                    <w:rPr>
                      <w:rFonts w:hint="default" w:ascii="Times New Roman" w:hAnsi="Times New Roman" w:eastAsia="宋体" w:cs="Times New Roman"/>
                      <w:i w:val="0"/>
                      <w:iCs w:val="0"/>
                      <w:color w:val="auto"/>
                      <w:kern w:val="0"/>
                      <w:sz w:val="21"/>
                      <w:szCs w:val="21"/>
                      <w:highlight w:val="none"/>
                      <w:u w:val="none"/>
                      <w:lang w:val="en-US" w:eastAsia="zh-CN" w:bidi="ar"/>
                    </w:rPr>
                    <w:t>本项目</w:t>
                  </w:r>
                  <w:r>
                    <w:rPr>
                      <w:rFonts w:hint="eastAsia" w:cs="Times New Roman"/>
                      <w:i w:val="0"/>
                      <w:iCs w:val="0"/>
                      <w:color w:val="auto"/>
                      <w:kern w:val="0"/>
                      <w:sz w:val="21"/>
                      <w:szCs w:val="21"/>
                      <w:highlight w:val="none"/>
                      <w:u w:val="none"/>
                      <w:lang w:val="en-US" w:eastAsia="zh-CN" w:bidi="ar"/>
                    </w:rPr>
                    <w:t>位于</w:t>
                  </w:r>
                  <w:r>
                    <w:rPr>
                      <w:rFonts w:hint="default" w:ascii="Times New Roman" w:hAnsi="Times New Roman" w:eastAsia="宋体" w:cs="Times New Roman"/>
                      <w:snapToGrid w:val="0"/>
                      <w:color w:val="auto"/>
                      <w:spacing w:val="0"/>
                      <w:kern w:val="0"/>
                      <w:sz w:val="21"/>
                      <w:szCs w:val="21"/>
                      <w:highlight w:val="none"/>
                      <w:lang w:val="en-US" w:eastAsia="en-US" w:bidi="ar-SA"/>
                    </w:rPr>
                    <w:t>岫岩满族自治县</w:t>
                  </w:r>
                  <w:r>
                    <w:rPr>
                      <w:rFonts w:hint="eastAsia" w:cs="Times New Roman"/>
                      <w:color w:val="auto"/>
                      <w:sz w:val="21"/>
                      <w:szCs w:val="21"/>
                      <w:highlight w:val="none"/>
                      <w:lang w:eastAsia="zh-CN"/>
                    </w:rPr>
                    <w:t>偏岭镇，不属于</w:t>
                  </w:r>
                  <w:r>
                    <w:rPr>
                      <w:rFonts w:hint="default" w:ascii="Times New Roman" w:hAnsi="Times New Roman" w:eastAsia="宋体" w:cs="Times New Roman"/>
                      <w:i w:val="0"/>
                      <w:iCs w:val="0"/>
                      <w:color w:val="auto"/>
                      <w:kern w:val="0"/>
                      <w:sz w:val="21"/>
                      <w:szCs w:val="21"/>
                      <w:highlight w:val="none"/>
                      <w:u w:val="none"/>
                      <w:lang w:val="en-US" w:eastAsia="zh-CN" w:bidi="ar"/>
                    </w:rPr>
                    <w:t>水源涵养林功能区</w:t>
                  </w:r>
                  <w:r>
                    <w:rPr>
                      <w:rFonts w:hint="eastAsia" w:cs="Times New Roman"/>
                      <w:i w:val="0"/>
                      <w:iCs w:val="0"/>
                      <w:color w:val="auto"/>
                      <w:kern w:val="0"/>
                      <w:sz w:val="21"/>
                      <w:szCs w:val="21"/>
                      <w:highlight w:val="none"/>
                      <w:u w:val="none"/>
                      <w:lang w:val="en-US" w:eastAsia="zh-CN" w:bidi="ar"/>
                    </w:rPr>
                    <w:t>范围内，项目</w:t>
                  </w:r>
                  <w:r>
                    <w:rPr>
                      <w:rFonts w:hint="default" w:ascii="Times New Roman" w:hAnsi="Times New Roman" w:eastAsia="宋体" w:cs="Times New Roman"/>
                      <w:i w:val="0"/>
                      <w:iCs w:val="0"/>
                      <w:color w:val="auto"/>
                      <w:kern w:val="0"/>
                      <w:sz w:val="21"/>
                      <w:szCs w:val="21"/>
                      <w:highlight w:val="none"/>
                      <w:u w:val="none"/>
                      <w:lang w:val="en-US" w:eastAsia="zh-CN" w:bidi="ar"/>
                    </w:rPr>
                    <w:t>租用</w:t>
                  </w:r>
                  <w:r>
                    <w:rPr>
                      <w:rFonts w:hint="eastAsia" w:cs="Times New Roman"/>
                      <w:i w:val="0"/>
                      <w:iCs w:val="0"/>
                      <w:color w:val="auto"/>
                      <w:kern w:val="0"/>
                      <w:sz w:val="21"/>
                      <w:szCs w:val="21"/>
                      <w:highlight w:val="none"/>
                      <w:u w:val="none"/>
                      <w:lang w:val="en-US" w:eastAsia="zh-CN" w:bidi="ar"/>
                    </w:rPr>
                    <w:t>辽宁佳合鹏程粉体科技有限公司现有厂房</w:t>
                  </w:r>
                  <w:r>
                    <w:rPr>
                      <w:rFonts w:hint="default" w:ascii="Times New Roman" w:hAnsi="Times New Roman" w:cs="Times New Roman"/>
                      <w:i w:val="0"/>
                      <w:iCs w:val="0"/>
                      <w:color w:val="auto"/>
                      <w:kern w:val="0"/>
                      <w:sz w:val="21"/>
                      <w:szCs w:val="21"/>
                      <w:highlight w:val="none"/>
                      <w:u w:val="none"/>
                      <w:lang w:val="en-US" w:eastAsia="zh-CN" w:bidi="ar"/>
                    </w:rPr>
                    <w:t>，不新增占地</w:t>
                  </w:r>
                  <w:r>
                    <w:rPr>
                      <w:rFonts w:hint="default" w:ascii="Times New Roman" w:hAnsi="Times New Roman" w:eastAsia="宋体" w:cs="Times New Roman"/>
                      <w:i w:val="0"/>
                      <w:iCs w:val="0"/>
                      <w:color w:val="auto"/>
                      <w:kern w:val="0"/>
                      <w:sz w:val="21"/>
                      <w:szCs w:val="21"/>
                      <w:highlight w:val="none"/>
                      <w:u w:val="none"/>
                      <w:lang w:val="en-US" w:eastAsia="zh-CN" w:bidi="ar"/>
                    </w:rPr>
                    <w:t>，不会造成水土流失等生态影响。</w:t>
                  </w:r>
                </w:p>
              </w:tc>
              <w:tc>
                <w:tcPr>
                  <w:tcW w:w="478" w:type="pct"/>
                  <w:noWrap w:val="0"/>
                  <w:vAlign w:val="center"/>
                </w:tcPr>
                <w:p w14:paraId="0346D02B">
                  <w:pPr>
                    <w:keepNext w:val="0"/>
                    <w:keepLines w:val="0"/>
                    <w:pageBreakBefore w:val="0"/>
                    <w:widowControl/>
                    <w:kinsoku w:val="0"/>
                    <w:wordWrap/>
                    <w:overflowPunct/>
                    <w:topLinePunct w:val="0"/>
                    <w:autoSpaceDE w:val="0"/>
                    <w:autoSpaceDN w:val="0"/>
                    <w:bidi w:val="0"/>
                    <w:adjustRightInd/>
                    <w:snapToGrid w:val="0"/>
                    <w:spacing w:before="0" w:line="240" w:lineRule="auto"/>
                    <w:ind w:left="0" w:right="0" w:firstLine="0"/>
                    <w:jc w:val="center"/>
                    <w:textAlignment w:val="baseline"/>
                    <w:rPr>
                      <w:rFonts w:hint="default" w:ascii="Times New Roman" w:hAnsi="Times New Roman" w:eastAsia="宋体" w:cs="Times New Roman"/>
                      <w:snapToGrid w:val="0"/>
                      <w:color w:val="auto"/>
                      <w:spacing w:val="0"/>
                      <w:kern w:val="0"/>
                      <w:sz w:val="21"/>
                      <w:szCs w:val="21"/>
                      <w:highlight w:val="none"/>
                      <w:lang w:val="en-US" w:eastAsia="en-US" w:bidi="ar-SA"/>
                    </w:rPr>
                  </w:pPr>
                  <w:r>
                    <w:rPr>
                      <w:rFonts w:hint="default" w:ascii="Times New Roman" w:hAnsi="Times New Roman" w:eastAsia="宋体" w:cs="Times New Roman"/>
                      <w:snapToGrid w:val="0"/>
                      <w:color w:val="auto"/>
                      <w:spacing w:val="0"/>
                      <w:kern w:val="0"/>
                      <w:sz w:val="21"/>
                      <w:szCs w:val="21"/>
                      <w:highlight w:val="none"/>
                      <w:lang w:val="en-US" w:eastAsia="en-US" w:bidi="ar-SA"/>
                    </w:rPr>
                    <w:t>符合</w:t>
                  </w:r>
                </w:p>
              </w:tc>
            </w:tr>
          </w:tbl>
          <w:p w14:paraId="34466DD4">
            <w:pPr>
              <w:keepNext w:val="0"/>
              <w:keepLines w:val="0"/>
              <w:suppressLineNumbers w:val="0"/>
              <w:autoSpaceDE w:val="0"/>
              <w:autoSpaceDN w:val="0"/>
              <w:adjustRightInd w:val="0"/>
              <w:snapToGrid w:val="0"/>
              <w:spacing w:before="0" w:beforeAutospacing="0" w:after="0" w:afterAutospacing="0" w:line="360" w:lineRule="auto"/>
              <w:ind w:left="0" w:leftChars="0" w:right="0" w:firstLine="420" w:firstLineChars="200"/>
              <w:jc w:val="both"/>
              <w:rPr>
                <w:rFonts w:hint="default" w:ascii="Times New Roman" w:hAnsi="Times New Roman" w:cs="Times New Roman"/>
                <w:color w:val="auto"/>
                <w:kern w:val="0"/>
                <w:szCs w:val="21"/>
                <w:highlight w:val="none"/>
              </w:rPr>
            </w:pPr>
            <w:r>
              <w:rPr>
                <w:rFonts w:hint="default" w:ascii="Times New Roman" w:hAnsi="Times New Roman" w:eastAsia="宋体" w:cs="Times New Roman"/>
                <w:color w:val="auto"/>
                <w:spacing w:val="0"/>
                <w:kern w:val="0"/>
                <w:sz w:val="21"/>
                <w:szCs w:val="21"/>
                <w:highlight w:val="none"/>
                <w:lang w:val="en-US" w:eastAsia="en-US"/>
              </w:rPr>
              <w:t>综上所述，本项目符合《岫岩满族自治县国土空间总体规划》 （2021-2035年）中要求。</w:t>
            </w:r>
          </w:p>
        </w:tc>
      </w:tr>
    </w:tbl>
    <w:p w14:paraId="4EB4362C">
      <w:pPr>
        <w:spacing w:line="360" w:lineRule="auto"/>
        <w:rPr>
          <w:rFonts w:ascii="Times New Roman" w:hAnsi="Times New Roman" w:eastAsia="黑体"/>
          <w:color w:val="auto"/>
          <w:sz w:val="30"/>
          <w:highlight w:val="none"/>
          <w:shd w:val="clear" w:color="auto" w:fill="auto"/>
          <w:lang w:bidi="ar"/>
        </w:rPr>
      </w:pPr>
    </w:p>
    <w:p w14:paraId="5CF96D75">
      <w:pPr>
        <w:spacing w:line="360" w:lineRule="auto"/>
        <w:rPr>
          <w:rFonts w:ascii="Times New Roman" w:hAnsi="Times New Roman" w:eastAsia="黑体"/>
          <w:color w:val="auto"/>
          <w:sz w:val="30"/>
          <w:highlight w:val="none"/>
          <w:shd w:val="clear" w:color="auto" w:fill="auto"/>
          <w:lang w:bidi="ar"/>
        </w:rPr>
        <w:sectPr>
          <w:footerReference r:id="rId3" w:type="default"/>
          <w:pgSz w:w="11906" w:h="16838"/>
          <w:pgMar w:top="1702" w:right="1531" w:bottom="1702" w:left="1531" w:header="851" w:footer="1077" w:gutter="0"/>
          <w:pgNumType w:fmt="decimal" w:start="1"/>
          <w:cols w:space="720" w:num="1"/>
          <w:docGrid w:type="lines" w:linePitch="312" w:charSpace="0"/>
        </w:sectPr>
      </w:pP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4"/>
        <w:gridCol w:w="8636"/>
      </w:tblGrid>
      <w:tr w14:paraId="1E26C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9" w:hRule="atLeast"/>
        </w:trPr>
        <w:tc>
          <w:tcPr>
            <w:tcW w:w="421" w:type="dxa"/>
            <w:noWrap w:val="0"/>
            <w:vAlign w:val="top"/>
          </w:tcPr>
          <w:p w14:paraId="18FEE184">
            <w:pPr>
              <w:keepNext w:val="0"/>
              <w:keepLines w:val="0"/>
              <w:suppressLineNumbers w:val="0"/>
              <w:spacing w:before="0" w:beforeAutospacing="0" w:after="0" w:afterAutospacing="0" w:line="360" w:lineRule="auto"/>
              <w:ind w:left="0" w:right="0"/>
              <w:rPr>
                <w:rFonts w:ascii="Times New Roman" w:hAnsi="Times New Roman" w:eastAsia="黑体" w:cs="Times New Roman"/>
                <w:color w:val="auto"/>
                <w:sz w:val="30"/>
                <w:highlight w:val="none"/>
                <w:shd w:val="clear" w:color="auto" w:fill="auto"/>
                <w:lang w:bidi="ar"/>
              </w:rPr>
            </w:pPr>
            <w:r>
              <w:rPr>
                <w:rFonts w:hint="eastAsia" w:ascii="宋体" w:hAnsi="宋体" w:eastAsia="宋体" w:cs="宋体"/>
                <w:color w:val="auto"/>
                <w:kern w:val="0"/>
                <w:szCs w:val="21"/>
                <w:highlight w:val="none"/>
                <w:shd w:val="clear" w:color="auto" w:fill="auto"/>
                <w:lang w:bidi="ar"/>
              </w:rPr>
              <w:t>其他符合性分析</w:t>
            </w:r>
          </w:p>
        </w:tc>
        <w:tc>
          <w:tcPr>
            <w:tcW w:w="8639" w:type="dxa"/>
            <w:noWrap w:val="0"/>
            <w:vAlign w:val="top"/>
          </w:tcPr>
          <w:p w14:paraId="504D0576">
            <w:pPr>
              <w:pStyle w:val="16"/>
              <w:keepNext w:val="0"/>
              <w:keepLines w:val="0"/>
              <w:suppressLineNumbers w:val="0"/>
              <w:spacing w:before="0" w:beforeAutospacing="0" w:after="0" w:afterAutospacing="0"/>
              <w:ind w:left="0" w:right="0" w:firstLine="480"/>
              <w:rPr>
                <w:rFonts w:hint="eastAsia" w:ascii="Calibri" w:hAnsi="Calibri" w:eastAsia="宋体" w:cs="Times New Roman"/>
                <w:color w:val="auto"/>
                <w:highlight w:val="none"/>
              </w:rPr>
            </w:pPr>
            <w:r>
              <w:rPr>
                <w:rFonts w:hint="eastAsia" w:ascii="Calibri" w:hAnsi="Calibri" w:eastAsia="宋体" w:cs="Times New Roman"/>
                <w:color w:val="auto"/>
                <w:highlight w:val="none"/>
              </w:rPr>
              <w:t>1、“三线一单”相符性分析</w:t>
            </w:r>
          </w:p>
          <w:p w14:paraId="5D9EB71D">
            <w:pPr>
              <w:keepNext w:val="0"/>
              <w:keepLines w:val="0"/>
              <w:suppressLineNumbers w:val="0"/>
              <w:autoSpaceDE w:val="0"/>
              <w:autoSpaceDN w:val="0"/>
              <w:adjustRightInd w:val="0"/>
              <w:spacing w:before="0" w:beforeAutospacing="0" w:after="0" w:afterAutospacing="0" w:line="360" w:lineRule="auto"/>
              <w:ind w:left="0" w:right="0" w:firstLine="422" w:firstLineChars="200"/>
              <w:jc w:val="center"/>
              <w:rPr>
                <w:rFonts w:hint="eastAsia" w:ascii="Calibri" w:hAnsi="Calibri" w:eastAsia="宋体" w:cs="Times New Roman"/>
                <w:color w:val="auto"/>
                <w:highlight w:val="none"/>
              </w:rPr>
            </w:pPr>
            <w:r>
              <w:rPr>
                <w:rFonts w:hint="eastAsia" w:ascii="Calibri" w:hAnsi="Calibri" w:eastAsia="宋体" w:cs="Times New Roman"/>
                <w:b/>
                <w:bCs/>
                <w:color w:val="auto"/>
                <w:highlight w:val="none"/>
              </w:rPr>
              <w:t>表1</w:t>
            </w:r>
            <w:r>
              <w:rPr>
                <w:rFonts w:hint="eastAsia" w:ascii="Calibri" w:hAnsi="Calibri" w:cs="Times New Roman"/>
                <w:b/>
                <w:bCs/>
                <w:color w:val="auto"/>
                <w:highlight w:val="none"/>
                <w:lang w:val="en-US" w:eastAsia="zh-CN"/>
              </w:rPr>
              <w:t>-1</w:t>
            </w:r>
            <w:r>
              <w:rPr>
                <w:rFonts w:hint="eastAsia" w:ascii="Calibri" w:hAnsi="Calibri" w:eastAsia="宋体" w:cs="Times New Roman"/>
                <w:b/>
                <w:bCs/>
                <w:color w:val="auto"/>
                <w:highlight w:val="none"/>
              </w:rPr>
              <w:t>“三线一单”符合性分析</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5"/>
              <w:gridCol w:w="426"/>
              <w:gridCol w:w="3513"/>
              <w:gridCol w:w="3100"/>
              <w:gridCol w:w="821"/>
            </w:tblGrid>
            <w:tr w14:paraId="04768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1" w:type="dxa"/>
                  <w:gridSpan w:val="2"/>
                  <w:noWrap w:val="0"/>
                  <w:vAlign w:val="center"/>
                </w:tcPr>
                <w:p w14:paraId="7B694308">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内容</w:t>
                  </w:r>
                </w:p>
              </w:tc>
              <w:tc>
                <w:tcPr>
                  <w:tcW w:w="3513" w:type="dxa"/>
                  <w:noWrap w:val="0"/>
                  <w:vAlign w:val="center"/>
                </w:tcPr>
                <w:p w14:paraId="16526D03">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具体要求</w:t>
                  </w:r>
                </w:p>
              </w:tc>
              <w:tc>
                <w:tcPr>
                  <w:tcW w:w="3100" w:type="dxa"/>
                  <w:noWrap w:val="0"/>
                  <w:vAlign w:val="center"/>
                </w:tcPr>
                <w:p w14:paraId="45043960">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lang w:eastAsia="zh-CN"/>
                    </w:rPr>
                  </w:pPr>
                  <w:r>
                    <w:rPr>
                      <w:rFonts w:hint="eastAsia" w:ascii="Calibri" w:hAnsi="Calibri" w:eastAsia="宋体" w:cs="Times New Roman"/>
                      <w:color w:val="auto"/>
                      <w:highlight w:val="none"/>
                      <w:lang w:eastAsia="zh-CN"/>
                    </w:rPr>
                    <w:t>项目情况</w:t>
                  </w:r>
                </w:p>
              </w:tc>
              <w:tc>
                <w:tcPr>
                  <w:tcW w:w="821" w:type="dxa"/>
                  <w:noWrap w:val="0"/>
                  <w:vAlign w:val="center"/>
                </w:tcPr>
                <w:p w14:paraId="1A216CC2">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lang w:eastAsia="zh-CN"/>
                    </w:rPr>
                  </w:pPr>
                  <w:r>
                    <w:rPr>
                      <w:rFonts w:hint="eastAsia" w:ascii="Calibri" w:hAnsi="Calibri" w:eastAsia="宋体" w:cs="Times New Roman"/>
                      <w:color w:val="auto"/>
                      <w:highlight w:val="none"/>
                      <w:lang w:eastAsia="zh-CN"/>
                    </w:rPr>
                    <w:t>是否符合</w:t>
                  </w:r>
                </w:p>
              </w:tc>
            </w:tr>
            <w:tr w14:paraId="1C5CC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1" w:type="dxa"/>
                  <w:gridSpan w:val="2"/>
                  <w:noWrap w:val="0"/>
                  <w:vAlign w:val="center"/>
                </w:tcPr>
                <w:p w14:paraId="0665F261">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生态保</w:t>
                  </w:r>
                </w:p>
                <w:p w14:paraId="7B972E04">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护红线</w:t>
                  </w:r>
                </w:p>
              </w:tc>
              <w:tc>
                <w:tcPr>
                  <w:tcW w:w="3513" w:type="dxa"/>
                  <w:noWrap w:val="0"/>
                  <w:vAlign w:val="center"/>
                </w:tcPr>
                <w:p w14:paraId="22B1C96F">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将生态系统服务功能评价后初步提取红线与生态敏感性评价提取红线进行综合叠加，获得鞍山市生态保护红线理论分析图。综合计算鞍山市红线理论面积为350974平方千米，占国土面积比例为37.92%。</w:t>
                  </w:r>
                </w:p>
              </w:tc>
              <w:tc>
                <w:tcPr>
                  <w:tcW w:w="3100" w:type="dxa"/>
                  <w:noWrap w:val="0"/>
                  <w:vAlign w:val="center"/>
                </w:tcPr>
                <w:p w14:paraId="54E031A9">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r>
                    <w:rPr>
                      <w:rFonts w:ascii="Calibri" w:hAnsi="Calibri" w:eastAsia="宋体" w:cs="Times New Roman"/>
                      <w:color w:val="auto"/>
                      <w:szCs w:val="21"/>
                      <w:highlight w:val="none"/>
                    </w:rPr>
                    <w:t>本项目位于辽宁省鞍山市岫岩满族自治县</w:t>
                  </w:r>
                  <w:r>
                    <w:rPr>
                      <w:rFonts w:hint="eastAsia" w:ascii="Calibri" w:hAnsi="Calibri" w:cs="Times New Roman"/>
                      <w:color w:val="auto"/>
                      <w:szCs w:val="21"/>
                      <w:highlight w:val="none"/>
                      <w:lang w:eastAsia="zh-CN"/>
                    </w:rPr>
                    <w:t>偏岭镇王家堡村</w:t>
                  </w:r>
                  <w:r>
                    <w:rPr>
                      <w:rFonts w:ascii="Calibri" w:hAnsi="Calibri" w:eastAsia="宋体" w:cs="Times New Roman"/>
                      <w:color w:val="auto"/>
                      <w:szCs w:val="21"/>
                      <w:highlight w:val="none"/>
                    </w:rPr>
                    <w:t>，</w:t>
                  </w:r>
                  <w:r>
                    <w:rPr>
                      <w:rFonts w:hint="eastAsia" w:ascii="Calibri" w:hAnsi="Calibri" w:cs="Times New Roman"/>
                      <w:color w:val="auto"/>
                      <w:szCs w:val="21"/>
                      <w:highlight w:val="none"/>
                      <w:lang w:eastAsia="zh-CN"/>
                    </w:rPr>
                    <w:t>租用辽宁佳合鹏程粉体科技有限公司现有厂房，不新增占地，用地性质为工业用地，</w:t>
                  </w:r>
                  <w:r>
                    <w:rPr>
                      <w:rFonts w:ascii="Calibri" w:hAnsi="Calibri" w:eastAsia="宋体" w:cs="Times New Roman"/>
                      <w:color w:val="auto"/>
                      <w:szCs w:val="21"/>
                      <w:highlight w:val="none"/>
                    </w:rPr>
                    <w:t>不在岫岩满族自治县生态保护红线范围内</w:t>
                  </w:r>
                  <w:r>
                    <w:rPr>
                      <w:rFonts w:hint="eastAsia" w:ascii="Calibri" w:hAnsi="Calibri" w:eastAsia="宋体" w:cs="Times New Roman"/>
                      <w:color w:val="auto"/>
                      <w:sz w:val="21"/>
                      <w:szCs w:val="21"/>
                      <w:highlight w:val="none"/>
                    </w:rPr>
                    <w:t>。</w:t>
                  </w:r>
                  <w:r>
                    <w:rPr>
                      <w:rFonts w:ascii="Calibri" w:hAnsi="Calibri" w:eastAsia="宋体" w:cs="Times New Roman"/>
                      <w:color w:val="auto"/>
                      <w:szCs w:val="21"/>
                      <w:highlight w:val="none"/>
                    </w:rPr>
                    <w:t>项目</w:t>
                  </w:r>
                  <w:r>
                    <w:rPr>
                      <w:rFonts w:hint="eastAsia" w:ascii="Calibri" w:hAnsi="Calibri" w:eastAsia="宋体" w:cs="Times New Roman"/>
                      <w:color w:val="auto"/>
                      <w:highlight w:val="none"/>
                      <w:lang w:eastAsia="zh-CN"/>
                    </w:rPr>
                    <w:t>具体位置见附图</w:t>
                  </w:r>
                  <w:r>
                    <w:rPr>
                      <w:rFonts w:hint="eastAsia" w:ascii="Calibri" w:hAnsi="Calibri" w:eastAsia="宋体" w:cs="Times New Roman"/>
                      <w:color w:val="auto"/>
                      <w:highlight w:val="none"/>
                      <w:lang w:val="en-US" w:eastAsia="zh-CN"/>
                    </w:rPr>
                    <w:t>1。</w:t>
                  </w:r>
                </w:p>
              </w:tc>
              <w:tc>
                <w:tcPr>
                  <w:tcW w:w="821" w:type="dxa"/>
                  <w:noWrap w:val="0"/>
                  <w:vAlign w:val="center"/>
                </w:tcPr>
                <w:p w14:paraId="41EBF047">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lang w:eastAsia="zh-CN"/>
                    </w:rPr>
                  </w:pPr>
                  <w:r>
                    <w:rPr>
                      <w:rFonts w:hint="eastAsia" w:ascii="Calibri" w:hAnsi="Calibri" w:eastAsia="宋体" w:cs="Times New Roman"/>
                      <w:color w:val="auto"/>
                      <w:highlight w:val="none"/>
                      <w:lang w:eastAsia="zh-CN"/>
                    </w:rPr>
                    <w:t>是</w:t>
                  </w:r>
                </w:p>
              </w:tc>
            </w:tr>
            <w:tr w14:paraId="24D6A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5" w:type="dxa"/>
                  <w:vMerge w:val="restart"/>
                  <w:noWrap w:val="0"/>
                  <w:vAlign w:val="center"/>
                </w:tcPr>
                <w:p w14:paraId="22FBBD80">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环</w:t>
                  </w:r>
                </w:p>
                <w:p w14:paraId="5E995732">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境</w:t>
                  </w:r>
                </w:p>
                <w:p w14:paraId="1617C447">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质</w:t>
                  </w:r>
                </w:p>
                <w:p w14:paraId="5C841DFE">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量</w:t>
                  </w:r>
                </w:p>
                <w:p w14:paraId="2C044767">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底</w:t>
                  </w:r>
                </w:p>
                <w:p w14:paraId="3C54E443">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线</w:t>
                  </w:r>
                </w:p>
              </w:tc>
              <w:tc>
                <w:tcPr>
                  <w:tcW w:w="426" w:type="dxa"/>
                  <w:noWrap w:val="0"/>
                  <w:vAlign w:val="center"/>
                </w:tcPr>
                <w:p w14:paraId="287ACAB0">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总</w:t>
                  </w:r>
                </w:p>
                <w:p w14:paraId="24FB6557">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体</w:t>
                  </w:r>
                </w:p>
                <w:p w14:paraId="2243CEA6">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要</w:t>
                  </w:r>
                </w:p>
                <w:p w14:paraId="73C919DC">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求</w:t>
                  </w:r>
                </w:p>
              </w:tc>
              <w:tc>
                <w:tcPr>
                  <w:tcW w:w="3513" w:type="dxa"/>
                  <w:noWrap w:val="0"/>
                  <w:vAlign w:val="center"/>
                </w:tcPr>
                <w:p w14:paraId="7E3C8975">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对于环境质量不达标区，环境质量只能改善不能恶化；对于环境质量达标区，环境质量应维持基本稳定，且不得低于环境质量标准</w:t>
                  </w:r>
                </w:p>
              </w:tc>
              <w:tc>
                <w:tcPr>
                  <w:tcW w:w="3100" w:type="dxa"/>
                  <w:noWrap w:val="0"/>
                  <w:vAlign w:val="center"/>
                </w:tcPr>
                <w:p w14:paraId="2927C3A2">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根据现状</w:t>
                  </w:r>
                  <w:r>
                    <w:rPr>
                      <w:rFonts w:hint="eastAsia" w:ascii="Calibri" w:hAnsi="Calibri" w:eastAsia="宋体" w:cs="Times New Roman"/>
                      <w:color w:val="auto"/>
                      <w:highlight w:val="none"/>
                      <w:lang w:eastAsia="zh-CN"/>
                    </w:rPr>
                    <w:t>调查</w:t>
                  </w:r>
                  <w:r>
                    <w:rPr>
                      <w:rFonts w:hint="eastAsia" w:ascii="Calibri" w:hAnsi="Calibri" w:eastAsia="宋体" w:cs="Times New Roman"/>
                      <w:color w:val="auto"/>
                      <w:highlight w:val="none"/>
                    </w:rPr>
                    <w:t>，项目</w:t>
                  </w:r>
                  <w:r>
                    <w:rPr>
                      <w:rFonts w:hint="eastAsia" w:ascii="Calibri" w:hAnsi="Calibri" w:eastAsia="宋体" w:cs="Times New Roman"/>
                      <w:color w:val="auto"/>
                      <w:highlight w:val="none"/>
                      <w:lang w:eastAsia="zh-CN"/>
                    </w:rPr>
                    <w:t>位于环境质量</w:t>
                  </w:r>
                  <w:r>
                    <w:rPr>
                      <w:rFonts w:hint="default" w:ascii="Calibri" w:hAnsi="Calibri" w:eastAsia="宋体" w:cs="Times New Roman"/>
                      <w:color w:val="auto"/>
                      <w:highlight w:val="none"/>
                      <w:lang w:eastAsia="zh-CN"/>
                    </w:rPr>
                    <w:t>达标区。</w:t>
                  </w:r>
                  <w:r>
                    <w:rPr>
                      <w:rFonts w:hint="eastAsia" w:ascii="Calibri" w:hAnsi="Calibri" w:eastAsia="宋体" w:cs="宋体"/>
                      <w:color w:val="auto"/>
                      <w:sz w:val="21"/>
                      <w:szCs w:val="21"/>
                      <w:highlight w:val="none"/>
                      <w:lang w:eastAsia="zh-CN" w:bidi="ar"/>
                    </w:rPr>
                    <w:t>生产过程废气排放满足《镁质耐火材料工业大气污染物排放标准》（DB21/3011-2018）要求</w:t>
                  </w:r>
                  <w:r>
                    <w:rPr>
                      <w:rFonts w:hint="default" w:ascii="Calibri" w:hAnsi="Calibri" w:eastAsia="宋体" w:cs="Times New Roman"/>
                      <w:color w:val="auto"/>
                      <w:highlight w:val="none"/>
                      <w:lang w:eastAsia="zh-CN"/>
                    </w:rPr>
                    <w:t>。</w:t>
                  </w:r>
                </w:p>
              </w:tc>
              <w:tc>
                <w:tcPr>
                  <w:tcW w:w="821" w:type="dxa"/>
                  <w:noWrap w:val="0"/>
                  <w:vAlign w:val="center"/>
                </w:tcPr>
                <w:p w14:paraId="6A72BF3F">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lang w:eastAsia="zh-CN"/>
                    </w:rPr>
                    <w:t>是</w:t>
                  </w:r>
                </w:p>
              </w:tc>
            </w:tr>
            <w:tr w14:paraId="261E9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5" w:type="dxa"/>
                  <w:vMerge w:val="continue"/>
                  <w:noWrap w:val="0"/>
                  <w:vAlign w:val="center"/>
                </w:tcPr>
                <w:p w14:paraId="63384C59">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p>
              </w:tc>
              <w:tc>
                <w:tcPr>
                  <w:tcW w:w="426" w:type="dxa"/>
                  <w:noWrap w:val="0"/>
                  <w:vAlign w:val="center"/>
                </w:tcPr>
                <w:p w14:paraId="40C5FF1E">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水环境</w:t>
                  </w:r>
                </w:p>
              </w:tc>
              <w:tc>
                <w:tcPr>
                  <w:tcW w:w="3513" w:type="dxa"/>
                  <w:noWrap w:val="0"/>
                  <w:vAlign w:val="center"/>
                </w:tcPr>
                <w:p w14:paraId="39F7B095">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水环境管控分区的划分是以省里下发的鞍山市水环境管控分区为基准，共划分84个管控分区，其中水环境优先保护区16个，水环境重点管控区46个，水环境一般管控区22个。水环境优先保护区需对优质水体进行严格保护，强化水生态建设，避免水环境质量的下降，保护饮用水安全；水环境重点管控区包括工业污染重点管控区、城镇生活污染重点管控区和农业污染重点管控区，根据各分区特点，规划区域管理对策；水环境一般管控区原则上执行水环境管理的</w:t>
                  </w:r>
                  <w:r>
                    <w:rPr>
                      <w:rFonts w:hint="eastAsia" w:ascii="Calibri" w:hAnsi="Calibri" w:eastAsia="宋体" w:cs="Times New Roman"/>
                      <w:color w:val="auto"/>
                      <w:highlight w:val="none"/>
                      <w:lang w:eastAsia="zh-CN"/>
                    </w:rPr>
                    <w:t>一</w:t>
                  </w:r>
                  <w:r>
                    <w:rPr>
                      <w:rFonts w:hint="eastAsia" w:ascii="Calibri" w:hAnsi="Calibri" w:eastAsia="宋体" w:cs="Times New Roman"/>
                      <w:color w:val="auto"/>
                      <w:highlight w:val="none"/>
                    </w:rPr>
                    <w:t>般性要求，在满足产业准入、总量控制、排放标准等管理制度要求的前提下可集约发展</w:t>
                  </w:r>
                </w:p>
              </w:tc>
              <w:tc>
                <w:tcPr>
                  <w:tcW w:w="3100" w:type="dxa"/>
                  <w:noWrap w:val="0"/>
                  <w:vAlign w:val="center"/>
                </w:tcPr>
                <w:p w14:paraId="7DD8D1D2">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r>
                    <w:rPr>
                      <w:rFonts w:hint="eastAsia" w:ascii="Times New Roman" w:hAnsi="Times New Roman" w:eastAsia="宋体" w:cs="宋体"/>
                      <w:color w:val="auto"/>
                      <w:sz w:val="21"/>
                      <w:szCs w:val="21"/>
                      <w:highlight w:val="none"/>
                    </w:rPr>
                    <w:t>本项目</w:t>
                  </w:r>
                  <w:r>
                    <w:rPr>
                      <w:rFonts w:hint="eastAsia" w:ascii="Times New Roman" w:hAnsi="Times New Roman" w:eastAsia="宋体" w:cs="宋体"/>
                      <w:color w:val="auto"/>
                      <w:sz w:val="21"/>
                      <w:szCs w:val="21"/>
                      <w:highlight w:val="none"/>
                      <w:lang w:eastAsia="zh-CN"/>
                    </w:rPr>
                    <w:t>位于水环境一般管控区</w:t>
                  </w:r>
                  <w:r>
                    <w:rPr>
                      <w:rFonts w:hint="eastAsia" w:ascii="Times New Roman" w:hAnsi="Times New Roman" w:eastAsia="宋体" w:cs="宋体"/>
                      <w:color w:val="auto"/>
                      <w:sz w:val="21"/>
                      <w:szCs w:val="21"/>
                      <w:highlight w:val="none"/>
                    </w:rPr>
                    <w:t>，项目</w:t>
                  </w:r>
                  <w:r>
                    <w:rPr>
                      <w:rFonts w:hint="eastAsia" w:ascii="Times New Roman" w:hAnsi="Times New Roman" w:eastAsia="宋体" w:cs="宋体"/>
                      <w:color w:val="auto"/>
                      <w:sz w:val="21"/>
                      <w:szCs w:val="21"/>
                      <w:highlight w:val="none"/>
                      <w:lang w:eastAsia="zh-CN"/>
                    </w:rPr>
                    <w:t>无生产废水</w:t>
                  </w:r>
                  <w:r>
                    <w:rPr>
                      <w:rFonts w:hint="eastAsia" w:cs="宋体"/>
                      <w:color w:val="auto"/>
                      <w:sz w:val="21"/>
                      <w:szCs w:val="21"/>
                      <w:highlight w:val="none"/>
                      <w:lang w:eastAsia="zh-CN"/>
                    </w:rPr>
                    <w:t>外排</w:t>
                  </w:r>
                  <w:r>
                    <w:rPr>
                      <w:rFonts w:hint="eastAsia" w:ascii="Times New Roman" w:hAnsi="Times New Roman" w:eastAsia="宋体" w:cs="宋体"/>
                      <w:color w:val="auto"/>
                      <w:sz w:val="21"/>
                      <w:szCs w:val="21"/>
                      <w:highlight w:val="none"/>
                      <w:lang w:eastAsia="zh-CN"/>
                    </w:rPr>
                    <w:t>，生活污水排入</w:t>
                  </w:r>
                  <w:r>
                    <w:rPr>
                      <w:rFonts w:hint="eastAsia" w:cs="宋体"/>
                      <w:color w:val="auto"/>
                      <w:sz w:val="21"/>
                      <w:szCs w:val="21"/>
                      <w:highlight w:val="none"/>
                      <w:lang w:eastAsia="zh-CN"/>
                    </w:rPr>
                    <w:t>化粪池</w:t>
                  </w:r>
                  <w:r>
                    <w:rPr>
                      <w:rFonts w:hint="eastAsia" w:ascii="Times New Roman" w:hAnsi="Times New Roman" w:eastAsia="宋体" w:cs="宋体"/>
                      <w:color w:val="auto"/>
                      <w:sz w:val="21"/>
                      <w:szCs w:val="21"/>
                      <w:highlight w:val="none"/>
                      <w:lang w:eastAsia="zh-CN"/>
                    </w:rPr>
                    <w:t>，定期清掏</w:t>
                  </w:r>
                  <w:r>
                    <w:rPr>
                      <w:rFonts w:hint="eastAsia" w:cs="宋体"/>
                      <w:color w:val="auto"/>
                      <w:sz w:val="21"/>
                      <w:szCs w:val="21"/>
                      <w:highlight w:val="none"/>
                      <w:lang w:eastAsia="zh-CN"/>
                    </w:rPr>
                    <w:t>用于农田施肥</w:t>
                  </w:r>
                  <w:r>
                    <w:rPr>
                      <w:rFonts w:hint="eastAsia" w:ascii="Times New Roman" w:hAnsi="Times New Roman" w:eastAsia="宋体" w:cs="宋体"/>
                      <w:color w:val="auto"/>
                      <w:sz w:val="21"/>
                      <w:szCs w:val="21"/>
                      <w:highlight w:val="none"/>
                      <w:lang w:eastAsia="zh-CN"/>
                    </w:rPr>
                    <w:t>。</w:t>
                  </w:r>
                  <w:r>
                    <w:rPr>
                      <w:rFonts w:hint="eastAsia" w:ascii="Times New Roman" w:hAnsi="Times New Roman" w:eastAsia="宋体" w:cs="宋体"/>
                      <w:color w:val="auto"/>
                      <w:sz w:val="21"/>
                      <w:szCs w:val="21"/>
                      <w:highlight w:val="none"/>
                    </w:rPr>
                    <w:t>本项目</w:t>
                  </w:r>
                  <w:r>
                    <w:rPr>
                      <w:rFonts w:hint="eastAsia" w:ascii="Times New Roman" w:hAnsi="Times New Roman" w:eastAsia="宋体" w:cs="宋体"/>
                      <w:color w:val="auto"/>
                      <w:sz w:val="21"/>
                      <w:szCs w:val="21"/>
                      <w:highlight w:val="none"/>
                      <w:lang w:eastAsia="zh-CN"/>
                    </w:rPr>
                    <w:t>建设符合水环境一般管控区要求。</w:t>
                  </w:r>
                </w:p>
              </w:tc>
              <w:tc>
                <w:tcPr>
                  <w:tcW w:w="821" w:type="dxa"/>
                  <w:noWrap w:val="0"/>
                  <w:vAlign w:val="center"/>
                </w:tcPr>
                <w:p w14:paraId="53EFC214">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lang w:eastAsia="zh-CN"/>
                    </w:rPr>
                    <w:t>是</w:t>
                  </w:r>
                </w:p>
              </w:tc>
            </w:tr>
            <w:tr w14:paraId="068E2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5" w:type="dxa"/>
                  <w:vMerge w:val="continue"/>
                  <w:noWrap w:val="0"/>
                  <w:vAlign w:val="center"/>
                </w:tcPr>
                <w:p w14:paraId="2A05B81C">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p>
              </w:tc>
              <w:tc>
                <w:tcPr>
                  <w:tcW w:w="426" w:type="dxa"/>
                  <w:noWrap w:val="0"/>
                  <w:vAlign w:val="center"/>
                </w:tcPr>
                <w:p w14:paraId="3A68E2A0">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大</w:t>
                  </w:r>
                </w:p>
                <w:p w14:paraId="142C5479">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气环境</w:t>
                  </w:r>
                </w:p>
              </w:tc>
              <w:tc>
                <w:tcPr>
                  <w:tcW w:w="3513" w:type="dxa"/>
                  <w:noWrap w:val="0"/>
                  <w:vAlign w:val="center"/>
                </w:tcPr>
                <w:p w14:paraId="51642597">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目前大气环境管控分区矢量数据为省级技术组下发文件。共分为优先保护区、高排放区、受体敏感区、布局敏感区、一般管控区。</w:t>
                  </w:r>
                </w:p>
                <w:p w14:paraId="7E0F9FF1">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优先保护区：当前只纳入市级以上自然保护区、风景名胜区、森林公园及其他一类区。</w:t>
                  </w:r>
                </w:p>
                <w:p w14:paraId="694E8E3B">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高排放区：1)工业园区。2)基于污染源普查数据，筛选出空间位置在市级以上工业园区外的高排放企业，以1公里为缓冲区初步划定其范围，作为高排放区的补充区域。</w:t>
                  </w:r>
                </w:p>
                <w:p w14:paraId="20052902">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弱扩散区：经综合考虑，鞍山市在全省的扩散条件相对较好，弱扩散区纳入一般管控区。</w:t>
                  </w:r>
                </w:p>
                <w:p w14:paraId="63225C11">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受体敏感区：省里统一采用城市建成区边界，已涵盖各市主城区及远郊县市区的建成区边界。</w:t>
                  </w:r>
                </w:p>
                <w:p w14:paraId="1F655C17">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布局敏感区：当前省里布局敏感区部分边界已经拟合到市/区县/乡镇行政边界，为模型提取结果。</w:t>
                  </w:r>
                </w:p>
              </w:tc>
              <w:tc>
                <w:tcPr>
                  <w:tcW w:w="3100" w:type="dxa"/>
                  <w:noWrap w:val="0"/>
                  <w:vAlign w:val="center"/>
                </w:tcPr>
                <w:p w14:paraId="36BA4A87">
                  <w:pPr>
                    <w:keepNext w:val="0"/>
                    <w:keepLines w:val="0"/>
                    <w:widowControl/>
                    <w:suppressLineNumbers w:val="0"/>
                    <w:spacing w:before="0" w:beforeAutospacing="0" w:after="0" w:afterAutospacing="0"/>
                    <w:ind w:left="0" w:right="0"/>
                    <w:jc w:val="center"/>
                    <w:rPr>
                      <w:rFonts w:hint="eastAsia" w:ascii="Calibri" w:hAnsi="Calibri" w:eastAsia="宋体" w:cs="Times New Roman"/>
                      <w:color w:val="auto"/>
                      <w:highlight w:val="none"/>
                      <w:lang w:val="en-US" w:eastAsia="zh-CN"/>
                    </w:rPr>
                  </w:pPr>
                  <w:r>
                    <w:rPr>
                      <w:rFonts w:hint="eastAsia" w:ascii="Calibri" w:hAnsi="Calibri" w:eastAsia="宋体" w:cs="Times New Roman"/>
                      <w:bCs/>
                      <w:color w:val="auto"/>
                      <w:sz w:val="21"/>
                      <w:szCs w:val="21"/>
                      <w:highlight w:val="none"/>
                    </w:rPr>
                    <w:t>本项目</w:t>
                  </w:r>
                  <w:r>
                    <w:rPr>
                      <w:rFonts w:hint="eastAsia" w:ascii="Calibri" w:hAnsi="Calibri" w:eastAsia="宋体" w:cs="Times New Roman"/>
                      <w:bCs/>
                      <w:color w:val="auto"/>
                      <w:sz w:val="21"/>
                      <w:szCs w:val="21"/>
                      <w:highlight w:val="none"/>
                      <w:lang w:eastAsia="zh-CN"/>
                    </w:rPr>
                    <w:t>位于大气环境</w:t>
                  </w:r>
                  <w:r>
                    <w:rPr>
                      <w:rFonts w:hint="eastAsia" w:ascii="Calibri" w:hAnsi="Calibri" w:eastAsia="宋体" w:cs="Times New Roman"/>
                      <w:bCs/>
                      <w:color w:val="auto"/>
                      <w:sz w:val="21"/>
                      <w:szCs w:val="21"/>
                      <w:highlight w:val="none"/>
                    </w:rPr>
                    <w:t>一般</w:t>
                  </w:r>
                  <w:r>
                    <w:rPr>
                      <w:rFonts w:hint="eastAsia" w:ascii="Calibri" w:hAnsi="Calibri" w:eastAsia="宋体" w:cs="宋体"/>
                      <w:color w:val="auto"/>
                      <w:sz w:val="21"/>
                      <w:szCs w:val="21"/>
                      <w:highlight w:val="none"/>
                      <w:lang w:bidi="ar"/>
                    </w:rPr>
                    <w:t>管控区。</w:t>
                  </w:r>
                  <w:r>
                    <w:rPr>
                      <w:rFonts w:hint="eastAsia" w:ascii="Calibri" w:hAnsi="Calibri" w:eastAsia="宋体" w:cs="宋体"/>
                      <w:color w:val="auto"/>
                      <w:sz w:val="21"/>
                      <w:szCs w:val="21"/>
                      <w:highlight w:val="none"/>
                      <w:lang w:eastAsia="zh-CN" w:bidi="ar"/>
                    </w:rPr>
                    <w:t>生产过程废气排放满足《镁质耐火材料工业大气污染物排放标准》（DB21/3011-2018）要求，</w:t>
                  </w:r>
                  <w:r>
                    <w:rPr>
                      <w:rFonts w:hint="eastAsia" w:ascii="Calibri" w:hAnsi="Calibri" w:eastAsia="宋体" w:cs="Times New Roman"/>
                      <w:color w:val="auto"/>
                      <w:sz w:val="21"/>
                      <w:szCs w:val="21"/>
                      <w:highlight w:val="none"/>
                    </w:rPr>
                    <w:t>本项目建设符合国家产业政策</w:t>
                  </w:r>
                  <w:r>
                    <w:rPr>
                      <w:rFonts w:hint="eastAsia" w:ascii="Calibri" w:hAnsi="Calibri" w:eastAsia="宋体" w:cs="Times New Roman"/>
                      <w:color w:val="auto"/>
                      <w:kern w:val="0"/>
                      <w:sz w:val="21"/>
                      <w:szCs w:val="21"/>
                      <w:highlight w:val="none"/>
                      <w:lang w:eastAsia="zh-CN"/>
                    </w:rPr>
                    <w:t>，符合</w:t>
                  </w:r>
                  <w:r>
                    <w:rPr>
                      <w:rFonts w:hint="eastAsia" w:ascii="Calibri" w:hAnsi="Calibri" w:eastAsia="宋体" w:cs="Times New Roman"/>
                      <w:bCs/>
                      <w:color w:val="auto"/>
                      <w:sz w:val="21"/>
                      <w:szCs w:val="21"/>
                      <w:highlight w:val="none"/>
                      <w:lang w:eastAsia="zh-CN"/>
                    </w:rPr>
                    <w:t>大气环境</w:t>
                  </w:r>
                  <w:r>
                    <w:rPr>
                      <w:rFonts w:hint="eastAsia" w:ascii="Calibri" w:hAnsi="Calibri" w:eastAsia="宋体" w:cs="Times New Roman"/>
                      <w:bCs/>
                      <w:color w:val="auto"/>
                      <w:sz w:val="21"/>
                      <w:szCs w:val="21"/>
                      <w:highlight w:val="none"/>
                    </w:rPr>
                    <w:t>一般</w:t>
                  </w:r>
                  <w:r>
                    <w:rPr>
                      <w:rFonts w:hint="eastAsia" w:ascii="Calibri" w:hAnsi="Calibri" w:eastAsia="宋体" w:cs="宋体"/>
                      <w:color w:val="auto"/>
                      <w:sz w:val="21"/>
                      <w:szCs w:val="21"/>
                      <w:highlight w:val="none"/>
                      <w:lang w:bidi="ar"/>
                    </w:rPr>
                    <w:t>管控区</w:t>
                  </w:r>
                  <w:r>
                    <w:rPr>
                      <w:rFonts w:hint="eastAsia" w:ascii="Calibri" w:hAnsi="Calibri" w:eastAsia="宋体" w:cs="宋体"/>
                      <w:color w:val="auto"/>
                      <w:sz w:val="21"/>
                      <w:szCs w:val="21"/>
                      <w:highlight w:val="none"/>
                      <w:lang w:eastAsia="zh-CN" w:bidi="ar"/>
                    </w:rPr>
                    <w:t>要求。</w:t>
                  </w:r>
                </w:p>
              </w:tc>
              <w:tc>
                <w:tcPr>
                  <w:tcW w:w="821" w:type="dxa"/>
                  <w:noWrap w:val="0"/>
                  <w:vAlign w:val="center"/>
                </w:tcPr>
                <w:p w14:paraId="568FBF37">
                  <w:pPr>
                    <w:keepNext w:val="0"/>
                    <w:keepLines w:val="0"/>
                    <w:widowControl/>
                    <w:suppressLineNumbers w:val="0"/>
                    <w:spacing w:before="0" w:beforeAutospacing="0" w:after="0" w:afterAutospacing="0"/>
                    <w:ind w:left="0" w:right="0"/>
                    <w:jc w:val="center"/>
                    <w:rPr>
                      <w:rFonts w:hint="eastAsia" w:ascii="Calibri" w:hAnsi="Calibri" w:eastAsia="宋体" w:cs="Times New Roman"/>
                      <w:color w:val="auto"/>
                      <w:highlight w:val="none"/>
                    </w:rPr>
                  </w:pPr>
                  <w:r>
                    <w:rPr>
                      <w:rFonts w:hint="eastAsia" w:ascii="Calibri" w:hAnsi="Calibri" w:eastAsia="宋体" w:cs="Times New Roman"/>
                      <w:color w:val="auto"/>
                      <w:highlight w:val="none"/>
                      <w:lang w:eastAsia="zh-CN"/>
                    </w:rPr>
                    <w:t>是</w:t>
                  </w:r>
                </w:p>
              </w:tc>
            </w:tr>
            <w:tr w14:paraId="5DAE5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5" w:type="dxa"/>
                  <w:vMerge w:val="continue"/>
                  <w:noWrap w:val="0"/>
                  <w:vAlign w:val="center"/>
                </w:tcPr>
                <w:p w14:paraId="720CE57B">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p>
              </w:tc>
              <w:tc>
                <w:tcPr>
                  <w:tcW w:w="426" w:type="dxa"/>
                  <w:noWrap w:val="0"/>
                  <w:vAlign w:val="center"/>
                </w:tcPr>
                <w:p w14:paraId="0A199490">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土</w:t>
                  </w:r>
                </w:p>
                <w:p w14:paraId="7E76281F">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壤</w:t>
                  </w:r>
                </w:p>
                <w:p w14:paraId="4C14A379">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环</w:t>
                  </w:r>
                </w:p>
                <w:p w14:paraId="46D136D8">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境</w:t>
                  </w:r>
                </w:p>
              </w:tc>
              <w:tc>
                <w:tcPr>
                  <w:tcW w:w="3513" w:type="dxa"/>
                  <w:noWrap w:val="0"/>
                  <w:vAlign w:val="center"/>
                </w:tcPr>
                <w:p w14:paraId="134471A1">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根据鞍山市地类分类文件，根据《土地利用现状分类》划分标准，分别提取农用地、建设用地和未利用土地。对重金属镉、铬、砷、汞和铅进行空间插值，农用地根据《土壤环境质量农用地土壤污染风险管控标准》进行管控分区划分，分别为农用地优先保护区和农用地污染风险重点管控区。通过鞍山市工业企业污染排放重点企业表，建立建设用地污染风险重点管控区。其余区域划为一般管控区。土壤</w:t>
                  </w:r>
                  <w:r>
                    <w:rPr>
                      <w:rFonts w:hint="eastAsia" w:ascii="Calibri" w:hAnsi="Calibri" w:cs="Times New Roman"/>
                      <w:color w:val="auto"/>
                      <w:highlight w:val="none"/>
                      <w:lang w:eastAsia="zh-CN"/>
                    </w:rPr>
                    <w:t>环境</w:t>
                  </w:r>
                  <w:r>
                    <w:rPr>
                      <w:rFonts w:hint="eastAsia" w:ascii="Calibri" w:hAnsi="Calibri" w:eastAsia="宋体" w:cs="Times New Roman"/>
                      <w:color w:val="auto"/>
                      <w:highlight w:val="none"/>
                    </w:rPr>
                    <w:t>管控分区的划分以省里下发的文件为基础，进行管控分区。</w:t>
                  </w:r>
                </w:p>
                <w:p w14:paraId="5B4D04D0">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鞍山市土壤总面积9256.58km</w:t>
                  </w:r>
                  <w:r>
                    <w:rPr>
                      <w:rFonts w:hint="eastAsia" w:ascii="Calibri" w:hAnsi="Calibri" w:eastAsia="宋体" w:cs="Times New Roman"/>
                      <w:color w:val="auto"/>
                      <w:highlight w:val="none"/>
                      <w:vertAlign w:val="superscript"/>
                    </w:rPr>
                    <w:t>2</w:t>
                  </w:r>
                  <w:r>
                    <w:rPr>
                      <w:rFonts w:hint="eastAsia" w:ascii="Calibri" w:hAnsi="Calibri" w:eastAsia="宋体" w:cs="Times New Roman"/>
                      <w:color w:val="auto"/>
                      <w:highlight w:val="none"/>
                    </w:rPr>
                    <w:t>，其中农用地面积7766.26km</w:t>
                  </w:r>
                  <w:r>
                    <w:rPr>
                      <w:rFonts w:hint="eastAsia" w:ascii="Calibri" w:hAnsi="Calibri" w:eastAsia="宋体" w:cs="Times New Roman"/>
                      <w:color w:val="auto"/>
                      <w:highlight w:val="none"/>
                      <w:vertAlign w:val="superscript"/>
                    </w:rPr>
                    <w:t>2</w:t>
                  </w:r>
                  <w:r>
                    <w:rPr>
                      <w:rFonts w:hint="eastAsia" w:ascii="Calibri" w:hAnsi="Calibri" w:eastAsia="宋体" w:cs="Times New Roman"/>
                      <w:color w:val="auto"/>
                      <w:highlight w:val="none"/>
                    </w:rPr>
                    <w:t>，建设用地面积1293.94km</w:t>
                  </w:r>
                  <w:r>
                    <w:rPr>
                      <w:rFonts w:hint="eastAsia" w:ascii="Calibri" w:hAnsi="Calibri" w:eastAsia="宋体" w:cs="Times New Roman"/>
                      <w:color w:val="auto"/>
                      <w:highlight w:val="none"/>
                      <w:vertAlign w:val="superscript"/>
                    </w:rPr>
                    <w:t>2</w:t>
                  </w:r>
                  <w:r>
                    <w:rPr>
                      <w:rFonts w:hint="eastAsia" w:ascii="Calibri" w:hAnsi="Calibri" w:eastAsia="宋体" w:cs="Times New Roman"/>
                      <w:color w:val="auto"/>
                      <w:highlight w:val="none"/>
                    </w:rPr>
                    <w:t>，未利用土地面</w:t>
                  </w:r>
                  <w:r>
                    <w:rPr>
                      <w:rFonts w:hint="eastAsia" w:ascii="Calibri" w:hAnsi="Calibri" w:eastAsia="宋体" w:cs="Times New Roman"/>
                      <w:color w:val="auto"/>
                      <w:highlight w:val="none"/>
                      <w:lang w:eastAsia="zh-CN"/>
                    </w:rPr>
                    <w:t>积</w:t>
                  </w:r>
                  <w:r>
                    <w:rPr>
                      <w:rFonts w:hint="eastAsia" w:ascii="Calibri" w:hAnsi="Calibri" w:eastAsia="宋体" w:cs="Times New Roman"/>
                      <w:color w:val="auto"/>
                      <w:highlight w:val="none"/>
                    </w:rPr>
                    <w:t>196.38km</w:t>
                  </w:r>
                  <w:r>
                    <w:rPr>
                      <w:rFonts w:hint="eastAsia" w:ascii="Calibri" w:hAnsi="Calibri" w:eastAsia="宋体" w:cs="Times New Roman"/>
                      <w:color w:val="auto"/>
                      <w:highlight w:val="none"/>
                      <w:vertAlign w:val="superscript"/>
                    </w:rPr>
                    <w:t>2</w:t>
                  </w:r>
                  <w:r>
                    <w:rPr>
                      <w:rFonts w:hint="eastAsia" w:ascii="Calibri" w:hAnsi="Calibri" w:eastAsia="宋体" w:cs="Times New Roman"/>
                      <w:color w:val="auto"/>
                      <w:highlight w:val="none"/>
                    </w:rPr>
                    <w:t>。</w:t>
                  </w:r>
                </w:p>
                <w:p w14:paraId="27063742">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农用地优先保护区：无污染农用地面积为7635.29km</w:t>
                  </w:r>
                  <w:r>
                    <w:rPr>
                      <w:rFonts w:hint="eastAsia" w:ascii="Calibri" w:hAnsi="Calibri" w:eastAsia="宋体" w:cs="Times New Roman"/>
                      <w:color w:val="auto"/>
                      <w:highlight w:val="none"/>
                      <w:vertAlign w:val="superscript"/>
                    </w:rPr>
                    <w:t>2</w:t>
                  </w:r>
                  <w:r>
                    <w:rPr>
                      <w:rFonts w:hint="eastAsia" w:ascii="Calibri" w:hAnsi="Calibri" w:eastAsia="宋体" w:cs="Times New Roman"/>
                      <w:color w:val="auto"/>
                      <w:highlight w:val="none"/>
                    </w:rPr>
                    <w:t>，为优先保护区域。</w:t>
                  </w:r>
                </w:p>
                <w:p w14:paraId="6AAF5629">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污染风险重点管控区：分为农用地污染风险重点管控区和建设用地风险管控区。农用地污染风险重点管控区面积130.97km</w:t>
                  </w:r>
                  <w:r>
                    <w:rPr>
                      <w:rFonts w:hint="eastAsia" w:ascii="Calibri" w:hAnsi="Calibri" w:eastAsia="宋体" w:cs="Times New Roman"/>
                      <w:color w:val="auto"/>
                      <w:highlight w:val="none"/>
                      <w:vertAlign w:val="superscript"/>
                    </w:rPr>
                    <w:t>2</w:t>
                  </w:r>
                  <w:r>
                    <w:rPr>
                      <w:rFonts w:hint="eastAsia" w:ascii="Calibri" w:hAnsi="Calibri" w:eastAsia="宋体" w:cs="Times New Roman"/>
                      <w:color w:val="auto"/>
                      <w:highlight w:val="none"/>
                    </w:rPr>
                    <w:t>；建设用地污染风险重点管控区面积9.96km</w:t>
                  </w:r>
                  <w:r>
                    <w:rPr>
                      <w:rFonts w:hint="eastAsia" w:ascii="Calibri" w:hAnsi="Calibri" w:eastAsia="宋体" w:cs="Times New Roman"/>
                      <w:color w:val="auto"/>
                      <w:highlight w:val="none"/>
                      <w:vertAlign w:val="superscript"/>
                    </w:rPr>
                    <w:t>2</w:t>
                  </w:r>
                  <w:r>
                    <w:rPr>
                      <w:rFonts w:hint="eastAsia" w:ascii="Calibri" w:hAnsi="Calibri" w:eastAsia="宋体" w:cs="Times New Roman"/>
                      <w:color w:val="auto"/>
                      <w:highlight w:val="none"/>
                    </w:rPr>
                    <w:t>。总面积为140.93km</w:t>
                  </w:r>
                  <w:r>
                    <w:rPr>
                      <w:rFonts w:hint="eastAsia" w:ascii="Calibri" w:hAnsi="Calibri" w:eastAsia="宋体" w:cs="Times New Roman"/>
                      <w:color w:val="auto"/>
                      <w:highlight w:val="none"/>
                      <w:vertAlign w:val="superscript"/>
                    </w:rPr>
                    <w:t>2</w:t>
                  </w:r>
                  <w:r>
                    <w:rPr>
                      <w:rFonts w:hint="eastAsia" w:ascii="Calibri" w:hAnsi="Calibri" w:eastAsia="宋体" w:cs="Times New Roman"/>
                      <w:color w:val="auto"/>
                      <w:highlight w:val="none"/>
                    </w:rPr>
                    <w:t>。</w:t>
                  </w:r>
                </w:p>
                <w:p w14:paraId="564854B5">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一般管控区：除农用地优先保护区和污染风险重点管控区外的区域，面积为1480.36km</w:t>
                  </w:r>
                  <w:r>
                    <w:rPr>
                      <w:rFonts w:hint="eastAsia" w:ascii="Calibri" w:hAnsi="Calibri" w:eastAsia="宋体" w:cs="Times New Roman"/>
                      <w:color w:val="auto"/>
                      <w:highlight w:val="none"/>
                      <w:vertAlign w:val="superscript"/>
                    </w:rPr>
                    <w:t>2</w:t>
                  </w:r>
                  <w:r>
                    <w:rPr>
                      <w:rFonts w:hint="eastAsia" w:ascii="Calibri" w:hAnsi="Calibri" w:eastAsia="宋体" w:cs="Times New Roman"/>
                      <w:color w:val="auto"/>
                      <w:highlight w:val="none"/>
                    </w:rPr>
                    <w:t>。</w:t>
                  </w:r>
                </w:p>
              </w:tc>
              <w:tc>
                <w:tcPr>
                  <w:tcW w:w="3100" w:type="dxa"/>
                  <w:noWrap w:val="0"/>
                  <w:vAlign w:val="center"/>
                </w:tcPr>
                <w:p w14:paraId="167C5B99">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本项目</w:t>
                  </w:r>
                  <w:r>
                    <w:rPr>
                      <w:rFonts w:hint="eastAsia" w:ascii="Calibri" w:hAnsi="Calibri" w:eastAsia="宋体" w:cs="Times New Roman"/>
                      <w:color w:val="auto"/>
                      <w:highlight w:val="none"/>
                      <w:lang w:val="en-US" w:eastAsia="zh-CN"/>
                    </w:rPr>
                    <w:t>租用</w:t>
                  </w:r>
                  <w:r>
                    <w:rPr>
                      <w:rFonts w:hint="eastAsia" w:ascii="Calibri" w:hAnsi="Calibri" w:cs="Times New Roman"/>
                      <w:color w:val="auto"/>
                      <w:highlight w:val="none"/>
                      <w:lang w:val="en-US" w:eastAsia="zh-CN"/>
                    </w:rPr>
                    <w:t>辽宁佳合鹏程粉体科技有限公司现有厂房</w:t>
                  </w:r>
                  <w:r>
                    <w:rPr>
                      <w:rFonts w:hint="eastAsia" w:ascii="Calibri" w:hAnsi="Calibri" w:eastAsia="宋体" w:cs="Times New Roman"/>
                      <w:color w:val="auto"/>
                      <w:highlight w:val="none"/>
                    </w:rPr>
                    <w:t>，位于土壤一般管控区范围内，且本项目属于非金属矿物制品业，</w:t>
                  </w:r>
                  <w:r>
                    <w:rPr>
                      <w:rFonts w:hint="eastAsia"/>
                      <w:color w:val="auto"/>
                      <w:highlight w:val="none"/>
                      <w:lang w:eastAsia="zh-CN"/>
                    </w:rPr>
                    <w:t>不新增占地</w:t>
                  </w:r>
                  <w:r>
                    <w:rPr>
                      <w:rFonts w:hint="eastAsia" w:ascii="Calibri" w:hAnsi="Calibri" w:eastAsia="宋体" w:cs="Times New Roman"/>
                      <w:color w:val="auto"/>
                      <w:highlight w:val="none"/>
                      <w:lang w:eastAsia="zh-CN"/>
                    </w:rPr>
                    <w:t>，</w:t>
                  </w:r>
                  <w:r>
                    <w:rPr>
                      <w:rFonts w:hint="eastAsia" w:ascii="Calibri" w:hAnsi="Calibri" w:eastAsia="宋体" w:cs="Times New Roman"/>
                      <w:color w:val="auto"/>
                      <w:highlight w:val="none"/>
                    </w:rPr>
                    <w:t>对土壤环境影响较小。本项目建设符合土壤一般管控区要求</w:t>
                  </w:r>
                </w:p>
              </w:tc>
              <w:tc>
                <w:tcPr>
                  <w:tcW w:w="821" w:type="dxa"/>
                  <w:noWrap w:val="0"/>
                  <w:vAlign w:val="center"/>
                </w:tcPr>
                <w:p w14:paraId="0D175C57">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ascii="Calibri" w:hAnsi="Calibri" w:eastAsia="宋体" w:cs="Times New Roman"/>
                      <w:color w:val="auto"/>
                      <w:highlight w:val="none"/>
                    </w:rPr>
                  </w:pPr>
                  <w:r>
                    <w:rPr>
                      <w:rFonts w:hint="eastAsia" w:ascii="Calibri" w:hAnsi="Calibri" w:eastAsia="宋体" w:cs="Times New Roman"/>
                      <w:color w:val="auto"/>
                      <w:highlight w:val="none"/>
                      <w:lang w:eastAsia="zh-CN"/>
                    </w:rPr>
                    <w:t>是</w:t>
                  </w:r>
                </w:p>
              </w:tc>
            </w:tr>
            <w:tr w14:paraId="1FC30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5" w:type="dxa"/>
                  <w:vMerge w:val="restart"/>
                  <w:noWrap w:val="0"/>
                  <w:vAlign w:val="center"/>
                </w:tcPr>
                <w:p w14:paraId="2568F071">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资源利用上线</w:t>
                  </w:r>
                </w:p>
              </w:tc>
              <w:tc>
                <w:tcPr>
                  <w:tcW w:w="426" w:type="dxa"/>
                  <w:noWrap w:val="0"/>
                  <w:vAlign w:val="center"/>
                </w:tcPr>
                <w:p w14:paraId="1C41BDFE">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水</w:t>
                  </w:r>
                </w:p>
                <w:p w14:paraId="29A622D9">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资源</w:t>
                  </w:r>
                </w:p>
              </w:tc>
              <w:tc>
                <w:tcPr>
                  <w:tcW w:w="3513" w:type="dxa"/>
                  <w:noWrap w:val="0"/>
                  <w:vAlign w:val="center"/>
                </w:tcPr>
                <w:p w14:paraId="1518277B">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根据鞍山市各县市用水现状，岫岩满族自治县2035年水资源利用上线目标为用水量14500万m</w:t>
                  </w:r>
                  <w:r>
                    <w:rPr>
                      <w:rFonts w:hint="eastAsia" w:ascii="Calibri" w:hAnsi="Calibri" w:eastAsia="宋体" w:cs="Times New Roman"/>
                      <w:color w:val="auto"/>
                      <w:highlight w:val="none"/>
                      <w:vertAlign w:val="superscript"/>
                    </w:rPr>
                    <w:t>3</w:t>
                  </w:r>
                  <w:r>
                    <w:rPr>
                      <w:rFonts w:hint="eastAsia" w:ascii="Calibri" w:hAnsi="Calibri" w:eastAsia="宋体" w:cs="Times New Roman"/>
                      <w:color w:val="auto"/>
                      <w:highlight w:val="none"/>
                    </w:rPr>
                    <w:t>。</w:t>
                  </w:r>
                </w:p>
                <w:p w14:paraId="572E7B73">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根据地下水超采、地下水漏斗等状况，衔接了各部门地下水开采相关空间管控要求，将地下水严重超采区、已发生严重地面沉降等地质环境问题的区域，以及泉水涵养区等需要特殊保护的区域划为地下水开采重点管控区。</w:t>
                  </w:r>
                </w:p>
              </w:tc>
              <w:tc>
                <w:tcPr>
                  <w:tcW w:w="3100" w:type="dxa"/>
                  <w:noWrap w:val="0"/>
                  <w:vAlign w:val="center"/>
                </w:tcPr>
                <w:p w14:paraId="676F887F">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lang w:eastAsia="zh-CN"/>
                    </w:rPr>
                  </w:pPr>
                  <w:r>
                    <w:rPr>
                      <w:rFonts w:hint="eastAsia" w:ascii="Calibri" w:hAnsi="Calibri" w:eastAsia="宋体" w:cs="Times New Roman"/>
                      <w:color w:val="auto"/>
                      <w:highlight w:val="none"/>
                    </w:rPr>
                    <w:t>本项目</w:t>
                  </w:r>
                  <w:r>
                    <w:rPr>
                      <w:rFonts w:hint="eastAsia" w:ascii="Calibri" w:hAnsi="Calibri" w:eastAsia="宋体" w:cs="Times New Roman"/>
                      <w:color w:val="auto"/>
                      <w:highlight w:val="none"/>
                      <w:lang w:eastAsia="zh-CN"/>
                    </w:rPr>
                    <w:t>不在</w:t>
                  </w:r>
                  <w:r>
                    <w:rPr>
                      <w:rFonts w:hint="eastAsia" w:ascii="Calibri" w:hAnsi="Calibri" w:eastAsia="宋体" w:cs="Times New Roman"/>
                      <w:color w:val="auto"/>
                      <w:highlight w:val="none"/>
                    </w:rPr>
                    <w:t>地下水开采重点管控区内。本项目</w:t>
                  </w:r>
                  <w:r>
                    <w:rPr>
                      <w:rFonts w:hint="eastAsia" w:ascii="Calibri" w:hAnsi="Calibri" w:cs="Times New Roman"/>
                      <w:color w:val="auto"/>
                      <w:highlight w:val="none"/>
                      <w:lang w:eastAsia="zh-CN"/>
                    </w:rPr>
                    <w:t>用水依托佳合鹏程地下水井</w:t>
                  </w:r>
                  <w:r>
                    <w:rPr>
                      <w:rFonts w:hint="eastAsia" w:ascii="Calibri" w:hAnsi="Calibri" w:eastAsia="宋体" w:cs="Times New Roman"/>
                      <w:color w:val="auto"/>
                      <w:highlight w:val="none"/>
                      <w:lang w:eastAsia="zh-CN"/>
                    </w:rPr>
                    <w:t>，</w:t>
                  </w:r>
                  <w:r>
                    <w:rPr>
                      <w:rFonts w:hint="eastAsia" w:ascii="Calibri" w:hAnsi="Calibri" w:cs="Times New Roman"/>
                      <w:color w:val="auto"/>
                      <w:highlight w:val="none"/>
                      <w:lang w:eastAsia="zh-CN"/>
                    </w:rPr>
                    <w:t>不私自开采地下水。</w:t>
                  </w:r>
                  <w:r>
                    <w:rPr>
                      <w:rFonts w:hint="eastAsia" w:ascii="Calibri" w:hAnsi="Calibri" w:eastAsia="宋体" w:cs="Times New Roman"/>
                      <w:color w:val="auto"/>
                      <w:highlight w:val="none"/>
                    </w:rPr>
                    <w:t>本项目建设符合水资源利用上线。</w:t>
                  </w:r>
                </w:p>
              </w:tc>
              <w:tc>
                <w:tcPr>
                  <w:tcW w:w="821" w:type="dxa"/>
                  <w:noWrap w:val="0"/>
                  <w:vAlign w:val="center"/>
                </w:tcPr>
                <w:p w14:paraId="4B550A18">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ascii="Calibri" w:hAnsi="Calibri" w:eastAsia="宋体" w:cs="Times New Roman"/>
                      <w:color w:val="auto"/>
                      <w:highlight w:val="none"/>
                    </w:rPr>
                  </w:pPr>
                  <w:r>
                    <w:rPr>
                      <w:rFonts w:hint="eastAsia" w:ascii="Calibri" w:hAnsi="Calibri" w:eastAsia="宋体" w:cs="Times New Roman"/>
                      <w:color w:val="auto"/>
                      <w:highlight w:val="none"/>
                      <w:lang w:eastAsia="zh-CN"/>
                    </w:rPr>
                    <w:t>是</w:t>
                  </w:r>
                </w:p>
              </w:tc>
            </w:tr>
            <w:tr w14:paraId="47A72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5" w:type="dxa"/>
                  <w:vMerge w:val="continue"/>
                  <w:noWrap w:val="0"/>
                  <w:vAlign w:val="center"/>
                </w:tcPr>
                <w:p w14:paraId="0B7C4F9D">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p>
              </w:tc>
              <w:tc>
                <w:tcPr>
                  <w:tcW w:w="426" w:type="dxa"/>
                  <w:noWrap w:val="0"/>
                  <w:vAlign w:val="center"/>
                </w:tcPr>
                <w:p w14:paraId="6A3A224E">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土地资源</w:t>
                  </w:r>
                </w:p>
              </w:tc>
              <w:tc>
                <w:tcPr>
                  <w:tcW w:w="3513" w:type="dxa"/>
                  <w:noWrap w:val="0"/>
                  <w:vAlign w:val="center"/>
                </w:tcPr>
                <w:p w14:paraId="4F65F5AD">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将土壤环境管控分区中的重度污染农用地、建设用地与生态空间重点区中的生态红线相结合，划定土地资源重点管控区。</w:t>
                  </w:r>
                </w:p>
                <w:p w14:paraId="2EF52720">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鞍山市共有七个县市区，分别为铁东区、铁西区、立山区、千山区、台安县、海城市和岫岩满族自治县。总面积9256.74km</w:t>
                  </w:r>
                  <w:r>
                    <w:rPr>
                      <w:rFonts w:hint="eastAsia" w:ascii="Calibri" w:hAnsi="Calibri" w:eastAsia="宋体" w:cs="Times New Roman"/>
                      <w:color w:val="auto"/>
                      <w:highlight w:val="none"/>
                      <w:vertAlign w:val="superscript"/>
                    </w:rPr>
                    <w:t>2</w:t>
                  </w:r>
                  <w:r>
                    <w:rPr>
                      <w:rFonts w:hint="eastAsia" w:ascii="Calibri" w:hAnsi="Calibri" w:eastAsia="宋体" w:cs="Times New Roman"/>
                      <w:color w:val="auto"/>
                      <w:highlight w:val="none"/>
                    </w:rPr>
                    <w:t>。</w:t>
                  </w:r>
                </w:p>
                <w:p w14:paraId="5CC72ECF">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农用地优先保护区：无污染农用地面积为3410.07km</w:t>
                  </w:r>
                  <w:r>
                    <w:rPr>
                      <w:rFonts w:hint="eastAsia" w:ascii="Calibri" w:hAnsi="Calibri" w:eastAsia="宋体" w:cs="Times New Roman"/>
                      <w:color w:val="auto"/>
                      <w:highlight w:val="none"/>
                      <w:vertAlign w:val="superscript"/>
                    </w:rPr>
                    <w:t>2</w:t>
                  </w:r>
                  <w:r>
                    <w:rPr>
                      <w:rFonts w:hint="eastAsia" w:ascii="Calibri" w:hAnsi="Calibri" w:eastAsia="宋体" w:cs="Times New Roman"/>
                      <w:color w:val="auto"/>
                      <w:highlight w:val="none"/>
                    </w:rPr>
                    <w:t>，为优先保护区域。</w:t>
                  </w:r>
                </w:p>
                <w:p w14:paraId="0263EFFC">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污染风险重点管控区：分为农用地污染风险重点管控区和建设用地风险管控区。农用地污染风险重点管控区面积130.97km</w:t>
                  </w:r>
                  <w:r>
                    <w:rPr>
                      <w:rFonts w:hint="eastAsia" w:ascii="Calibri" w:hAnsi="Calibri" w:eastAsia="宋体" w:cs="Times New Roman"/>
                      <w:color w:val="auto"/>
                      <w:highlight w:val="none"/>
                      <w:vertAlign w:val="superscript"/>
                    </w:rPr>
                    <w:t>2</w:t>
                  </w:r>
                  <w:r>
                    <w:rPr>
                      <w:rFonts w:hint="eastAsia" w:ascii="Calibri" w:hAnsi="Calibri" w:eastAsia="宋体" w:cs="Times New Roman"/>
                      <w:color w:val="auto"/>
                      <w:highlight w:val="none"/>
                    </w:rPr>
                    <w:t>；建设用地污染风险重点管控区面积9.96km</w:t>
                  </w:r>
                  <w:r>
                    <w:rPr>
                      <w:rFonts w:hint="eastAsia" w:ascii="Calibri" w:hAnsi="Calibri" w:eastAsia="宋体" w:cs="Times New Roman"/>
                      <w:color w:val="auto"/>
                      <w:highlight w:val="none"/>
                      <w:vertAlign w:val="superscript"/>
                    </w:rPr>
                    <w:t>2</w:t>
                  </w:r>
                  <w:r>
                    <w:rPr>
                      <w:rFonts w:hint="eastAsia" w:ascii="Calibri" w:hAnsi="Calibri" w:eastAsia="宋体" w:cs="Times New Roman"/>
                      <w:color w:val="auto"/>
                      <w:highlight w:val="none"/>
                    </w:rPr>
                    <w:t>。总面积为140.93km</w:t>
                  </w:r>
                  <w:r>
                    <w:rPr>
                      <w:rFonts w:hint="eastAsia" w:ascii="Calibri" w:hAnsi="Calibri" w:eastAsia="宋体" w:cs="Times New Roman"/>
                      <w:color w:val="auto"/>
                      <w:highlight w:val="none"/>
                      <w:vertAlign w:val="superscript"/>
                    </w:rPr>
                    <w:t>2</w:t>
                  </w:r>
                  <w:r>
                    <w:rPr>
                      <w:rFonts w:hint="eastAsia" w:ascii="Calibri" w:hAnsi="Calibri" w:eastAsia="宋体" w:cs="Times New Roman"/>
                      <w:color w:val="auto"/>
                      <w:highlight w:val="none"/>
                    </w:rPr>
                    <w:t>。</w:t>
                  </w:r>
                </w:p>
                <w:p w14:paraId="2AEA3D02">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考虑生态环境安全，将生态保护红线集中、重度污染农用地或污染地块集中的区域确定为土地资源重点管控区。鞍山市土地资源重点管控区占地面积1460.0km</w:t>
                  </w:r>
                  <w:r>
                    <w:rPr>
                      <w:rFonts w:hint="eastAsia" w:ascii="Calibri" w:hAnsi="Calibri" w:eastAsia="宋体" w:cs="Times New Roman"/>
                      <w:color w:val="auto"/>
                      <w:highlight w:val="none"/>
                      <w:vertAlign w:val="superscript"/>
                    </w:rPr>
                    <w:t>2</w:t>
                  </w:r>
                  <w:r>
                    <w:rPr>
                      <w:rFonts w:hint="eastAsia" w:ascii="Calibri" w:hAnsi="Calibri" w:eastAsia="宋体" w:cs="Times New Roman"/>
                      <w:color w:val="auto"/>
                      <w:highlight w:val="none"/>
                    </w:rPr>
                    <w:t>，占市域面积的15.8%，广泛分布于7个区县。</w:t>
                  </w:r>
                </w:p>
              </w:tc>
              <w:tc>
                <w:tcPr>
                  <w:tcW w:w="3100" w:type="dxa"/>
                  <w:noWrap w:val="0"/>
                  <w:vAlign w:val="center"/>
                </w:tcPr>
                <w:p w14:paraId="32A3B94E">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lang w:eastAsia="zh-CN"/>
                    </w:rPr>
                  </w:pPr>
                  <w:r>
                    <w:rPr>
                      <w:rFonts w:hint="eastAsia" w:ascii="Calibri" w:hAnsi="Calibri" w:eastAsia="宋体" w:cs="Times New Roman"/>
                      <w:bCs/>
                      <w:color w:val="auto"/>
                      <w:sz w:val="21"/>
                      <w:szCs w:val="21"/>
                      <w:highlight w:val="none"/>
                    </w:rPr>
                    <w:t>本项目</w:t>
                  </w:r>
                  <w:r>
                    <w:rPr>
                      <w:rFonts w:hint="eastAsia" w:ascii="Calibri" w:hAnsi="Calibri" w:cs="Times New Roman"/>
                      <w:bCs/>
                      <w:color w:val="auto"/>
                      <w:sz w:val="21"/>
                      <w:szCs w:val="21"/>
                      <w:highlight w:val="none"/>
                      <w:lang w:eastAsia="zh-CN"/>
                    </w:rPr>
                    <w:t>租用佳合鹏程现有厂房，用地性质为工业用地，不新增占地，</w:t>
                  </w:r>
                  <w:r>
                    <w:rPr>
                      <w:rFonts w:hint="eastAsia" w:ascii="Calibri" w:hAnsi="Calibri" w:eastAsia="宋体" w:cs="Times New Roman"/>
                      <w:bCs/>
                      <w:color w:val="auto"/>
                      <w:sz w:val="21"/>
                      <w:szCs w:val="21"/>
                      <w:highlight w:val="none"/>
                    </w:rPr>
                    <w:t>不在</w:t>
                  </w:r>
                  <w:r>
                    <w:rPr>
                      <w:rFonts w:hint="eastAsia" w:ascii="Calibri" w:hAnsi="Calibri" w:eastAsia="宋体" w:cs="Times New Roman"/>
                      <w:bCs/>
                      <w:color w:val="auto"/>
                      <w:sz w:val="21"/>
                      <w:szCs w:val="21"/>
                      <w:highlight w:val="none"/>
                      <w:lang w:eastAsia="zh-CN"/>
                    </w:rPr>
                    <w:t>土地资源重点管控区及建设用地风险管控区范围内。</w:t>
                  </w:r>
                </w:p>
              </w:tc>
              <w:tc>
                <w:tcPr>
                  <w:tcW w:w="821" w:type="dxa"/>
                  <w:noWrap w:val="0"/>
                  <w:vAlign w:val="center"/>
                </w:tcPr>
                <w:p w14:paraId="356F51E6">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ascii="Calibri" w:hAnsi="Calibri" w:eastAsia="宋体" w:cs="Times New Roman"/>
                      <w:color w:val="auto"/>
                      <w:highlight w:val="none"/>
                    </w:rPr>
                  </w:pPr>
                  <w:r>
                    <w:rPr>
                      <w:rFonts w:hint="eastAsia" w:ascii="Calibri" w:hAnsi="Calibri" w:eastAsia="宋体" w:cs="Times New Roman"/>
                      <w:color w:val="auto"/>
                      <w:highlight w:val="none"/>
                      <w:lang w:eastAsia="zh-CN"/>
                    </w:rPr>
                    <w:t>是</w:t>
                  </w:r>
                </w:p>
              </w:tc>
            </w:tr>
            <w:tr w14:paraId="3C663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5" w:type="dxa"/>
                  <w:vMerge w:val="continue"/>
                  <w:noWrap w:val="0"/>
                  <w:vAlign w:val="center"/>
                </w:tcPr>
                <w:p w14:paraId="2C56CF58">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p>
              </w:tc>
              <w:tc>
                <w:tcPr>
                  <w:tcW w:w="426" w:type="dxa"/>
                  <w:noWrap w:val="0"/>
                  <w:vAlign w:val="center"/>
                </w:tcPr>
                <w:p w14:paraId="73B911D3">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能源</w:t>
                  </w:r>
                </w:p>
              </w:tc>
              <w:tc>
                <w:tcPr>
                  <w:tcW w:w="3513" w:type="dxa"/>
                  <w:noWrap w:val="0"/>
                  <w:vAlign w:val="center"/>
                </w:tcPr>
                <w:p w14:paraId="0E4610E4">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考虑大气环境质量改善要求</w:t>
                  </w:r>
                  <w:r>
                    <w:rPr>
                      <w:rFonts w:hint="eastAsia" w:ascii="Calibri" w:hAnsi="Calibri" w:eastAsia="宋体" w:cs="Times New Roman"/>
                      <w:color w:val="auto"/>
                      <w:highlight w:val="none"/>
                      <w:lang w:eastAsia="zh-CN"/>
                    </w:rPr>
                    <w:t>，</w:t>
                  </w:r>
                  <w:r>
                    <w:rPr>
                      <w:rFonts w:hint="eastAsia" w:ascii="Calibri" w:hAnsi="Calibri" w:eastAsia="宋体" w:cs="Times New Roman"/>
                      <w:color w:val="auto"/>
                      <w:highlight w:val="none"/>
                    </w:rPr>
                    <w:t>在人口密集、污染排放强度高的区域优先划定高污染燃料禁燃区</w:t>
                  </w:r>
                  <w:r>
                    <w:rPr>
                      <w:rFonts w:hint="eastAsia" w:ascii="Calibri" w:hAnsi="Calibri" w:eastAsia="宋体" w:cs="Times New Roman"/>
                      <w:color w:val="auto"/>
                      <w:highlight w:val="none"/>
                      <w:lang w:eastAsia="zh-CN"/>
                    </w:rPr>
                    <w:t>，</w:t>
                  </w:r>
                  <w:r>
                    <w:rPr>
                      <w:rFonts w:hint="eastAsia" w:ascii="Calibri" w:hAnsi="Calibri" w:eastAsia="宋体" w:cs="Times New Roman"/>
                      <w:color w:val="auto"/>
                      <w:highlight w:val="none"/>
                    </w:rPr>
                    <w:t>作为重点管控区。具体工作路径如下</w:t>
                  </w:r>
                  <w:r>
                    <w:rPr>
                      <w:rFonts w:hint="eastAsia" w:ascii="Calibri" w:hAnsi="Calibri" w:eastAsia="宋体" w:cs="Times New Roman"/>
                      <w:color w:val="auto"/>
                      <w:highlight w:val="none"/>
                      <w:lang w:eastAsia="zh-CN"/>
                    </w:rPr>
                    <w:t>，</w:t>
                  </w:r>
                  <w:r>
                    <w:rPr>
                      <w:rFonts w:hint="eastAsia" w:ascii="Calibri" w:hAnsi="Calibri" w:eastAsia="宋体" w:cs="Times New Roman"/>
                      <w:color w:val="auto"/>
                      <w:highlight w:val="none"/>
                    </w:rPr>
                    <w:t>根据鞍山市人口密度分布图、鞍山市PM</w:t>
                  </w:r>
                  <w:r>
                    <w:rPr>
                      <w:rFonts w:hint="eastAsia" w:ascii="Calibri" w:hAnsi="Calibri" w:eastAsia="宋体" w:cs="Times New Roman"/>
                      <w:color w:val="auto"/>
                      <w:highlight w:val="none"/>
                      <w:vertAlign w:val="subscript"/>
                    </w:rPr>
                    <w:t>2.5</w:t>
                  </w:r>
                  <w:r>
                    <w:rPr>
                      <w:rFonts w:hint="eastAsia" w:ascii="Calibri" w:hAnsi="Calibri" w:eastAsia="宋体" w:cs="Times New Roman"/>
                      <w:color w:val="auto"/>
                      <w:highlight w:val="none"/>
                    </w:rPr>
                    <w:t>空气污染现状分布图</w:t>
                  </w:r>
                  <w:r>
                    <w:rPr>
                      <w:rFonts w:hint="eastAsia" w:ascii="Calibri" w:hAnsi="Calibri" w:eastAsia="宋体" w:cs="Times New Roman"/>
                      <w:color w:val="auto"/>
                      <w:highlight w:val="none"/>
                      <w:lang w:eastAsia="zh-CN"/>
                    </w:rPr>
                    <w:t>，</w:t>
                  </w:r>
                  <w:r>
                    <w:rPr>
                      <w:rFonts w:hint="eastAsia" w:ascii="Calibri" w:hAnsi="Calibri" w:eastAsia="宋体" w:cs="Times New Roman"/>
                      <w:color w:val="auto"/>
                      <w:highlight w:val="none"/>
                    </w:rPr>
                    <w:t>分别将其分为4个等级分区</w:t>
                  </w:r>
                  <w:r>
                    <w:rPr>
                      <w:rFonts w:hint="eastAsia" w:ascii="Calibri" w:hAnsi="Calibri" w:eastAsia="宋体" w:cs="Times New Roman"/>
                      <w:color w:val="auto"/>
                      <w:highlight w:val="none"/>
                      <w:lang w:eastAsia="zh-CN"/>
                    </w:rPr>
                    <w:t>；</w:t>
                  </w:r>
                  <w:r>
                    <w:rPr>
                      <w:rFonts w:hint="eastAsia" w:ascii="Calibri" w:hAnsi="Calibri" w:eastAsia="宋体" w:cs="Times New Roman"/>
                      <w:color w:val="auto"/>
                      <w:highlight w:val="none"/>
                    </w:rPr>
                    <w:t>选取人口密度较大两分区确定为鞍山市人口密集区</w:t>
                  </w:r>
                  <w:r>
                    <w:rPr>
                      <w:rFonts w:hint="eastAsia" w:ascii="Calibri" w:hAnsi="Calibri" w:eastAsia="宋体" w:cs="Times New Roman"/>
                      <w:color w:val="auto"/>
                      <w:highlight w:val="none"/>
                      <w:lang w:eastAsia="zh-CN"/>
                    </w:rPr>
                    <w:t>；</w:t>
                  </w:r>
                  <w:r>
                    <w:rPr>
                      <w:rFonts w:hint="eastAsia" w:ascii="Calibri" w:hAnsi="Calibri" w:eastAsia="宋体" w:cs="Times New Roman"/>
                      <w:color w:val="auto"/>
                      <w:highlight w:val="none"/>
                    </w:rPr>
                    <w:t>PM2.5污染指数较大两分区确定为鞍山市空气污染重点监控区</w:t>
                  </w:r>
                  <w:r>
                    <w:rPr>
                      <w:rFonts w:hint="eastAsia" w:ascii="Calibri" w:hAnsi="Calibri" w:eastAsia="宋体" w:cs="Times New Roman"/>
                      <w:color w:val="auto"/>
                      <w:highlight w:val="none"/>
                      <w:lang w:eastAsia="zh-CN"/>
                    </w:rPr>
                    <w:t>；</w:t>
                  </w:r>
                  <w:r>
                    <w:rPr>
                      <w:rFonts w:hint="eastAsia" w:ascii="Calibri" w:hAnsi="Calibri" w:eastAsia="宋体" w:cs="Times New Roman"/>
                      <w:color w:val="auto"/>
                      <w:highlight w:val="none"/>
                    </w:rPr>
                    <w:t>将空气污染重点</w:t>
                  </w:r>
                  <w:r>
                    <w:rPr>
                      <w:rFonts w:hint="eastAsia" w:ascii="Calibri" w:hAnsi="Calibri" w:eastAsia="宋体" w:cs="Times New Roman"/>
                      <w:color w:val="auto"/>
                      <w:highlight w:val="none"/>
                      <w:lang w:eastAsia="zh-CN"/>
                    </w:rPr>
                    <w:t>污染监控区与鞍山市人口密集区合并划定为高污染燃料禁燃区，重点管控。</w:t>
                  </w:r>
                </w:p>
              </w:tc>
              <w:tc>
                <w:tcPr>
                  <w:tcW w:w="3100" w:type="dxa"/>
                  <w:noWrap w:val="0"/>
                  <w:vAlign w:val="center"/>
                </w:tcPr>
                <w:p w14:paraId="5A83F897">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lang w:eastAsia="zh-CN"/>
                    </w:rPr>
                  </w:pPr>
                  <w:r>
                    <w:rPr>
                      <w:rFonts w:hint="eastAsia" w:ascii="Times New Roman" w:hAnsi="Times New Roman" w:eastAsia="宋体" w:cs="宋体"/>
                      <w:color w:val="auto"/>
                      <w:sz w:val="21"/>
                      <w:szCs w:val="21"/>
                      <w:highlight w:val="none"/>
                      <w:lang w:eastAsia="zh-CN"/>
                    </w:rPr>
                    <w:t>本项目</w:t>
                  </w:r>
                  <w:r>
                    <w:rPr>
                      <w:rFonts w:hint="eastAsia" w:cs="宋体"/>
                      <w:color w:val="auto"/>
                      <w:sz w:val="21"/>
                      <w:szCs w:val="21"/>
                      <w:highlight w:val="none"/>
                      <w:lang w:eastAsia="zh-CN"/>
                    </w:rPr>
                    <w:t>能源为电，</w:t>
                  </w:r>
                  <w:r>
                    <w:rPr>
                      <w:rFonts w:hint="eastAsia" w:ascii="Times New Roman" w:hAnsi="Times New Roman" w:eastAsia="宋体" w:cs="宋体"/>
                      <w:color w:val="auto"/>
                      <w:sz w:val="21"/>
                      <w:szCs w:val="21"/>
                      <w:highlight w:val="none"/>
                      <w:lang w:eastAsia="zh-CN"/>
                    </w:rPr>
                    <w:t>不</w:t>
                  </w:r>
                  <w:r>
                    <w:rPr>
                      <w:rFonts w:hint="eastAsia" w:ascii="Times New Roman" w:hAnsi="Times New Roman" w:eastAsia="宋体" w:cs="宋体"/>
                      <w:color w:val="auto"/>
                      <w:sz w:val="21"/>
                      <w:szCs w:val="21"/>
                      <w:highlight w:val="none"/>
                    </w:rPr>
                    <w:t>使用高污染燃料。</w:t>
                  </w:r>
                </w:p>
              </w:tc>
              <w:tc>
                <w:tcPr>
                  <w:tcW w:w="821" w:type="dxa"/>
                  <w:noWrap w:val="0"/>
                  <w:vAlign w:val="center"/>
                </w:tcPr>
                <w:p w14:paraId="2A7C1283">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ascii="Calibri" w:hAnsi="Calibri" w:eastAsia="宋体" w:cs="Times New Roman"/>
                      <w:color w:val="auto"/>
                      <w:highlight w:val="none"/>
                    </w:rPr>
                  </w:pPr>
                  <w:r>
                    <w:rPr>
                      <w:rFonts w:hint="eastAsia" w:ascii="Calibri" w:hAnsi="Calibri" w:eastAsia="宋体" w:cs="Times New Roman"/>
                      <w:color w:val="auto"/>
                      <w:highlight w:val="none"/>
                      <w:lang w:eastAsia="zh-CN"/>
                    </w:rPr>
                    <w:t>是</w:t>
                  </w:r>
                </w:p>
              </w:tc>
            </w:tr>
            <w:tr w14:paraId="7B96F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5" w:type="dxa"/>
                  <w:vMerge w:val="continue"/>
                  <w:noWrap w:val="0"/>
                  <w:vAlign w:val="center"/>
                </w:tcPr>
                <w:p w14:paraId="58D20421">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p>
              </w:tc>
              <w:tc>
                <w:tcPr>
                  <w:tcW w:w="426" w:type="dxa"/>
                  <w:noWrap w:val="0"/>
                  <w:vAlign w:val="center"/>
                </w:tcPr>
                <w:p w14:paraId="6565729A">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自然资源</w:t>
                  </w:r>
                </w:p>
              </w:tc>
              <w:tc>
                <w:tcPr>
                  <w:tcW w:w="3513" w:type="dxa"/>
                  <w:noWrap w:val="0"/>
                  <w:vAlign w:val="center"/>
                </w:tcPr>
                <w:p w14:paraId="5FD2C66C">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left"/>
                    <w:textAlignment w:val="auto"/>
                    <w:rPr>
                      <w:rFonts w:hint="eastAsia" w:ascii="Calibri" w:hAnsi="Calibri" w:eastAsia="宋体" w:cs="Times New Roman"/>
                      <w:color w:val="auto"/>
                      <w:highlight w:val="none"/>
                    </w:rPr>
                  </w:pPr>
                  <w:r>
                    <w:rPr>
                      <w:rFonts w:hint="eastAsia" w:ascii="Calibri" w:hAnsi="Calibri" w:eastAsia="宋体" w:cs="Times New Roman"/>
                      <w:color w:val="auto"/>
                      <w:highlight w:val="none"/>
                    </w:rPr>
                    <w:t>根据各区县耕地、草地、森林、水库、湖泊等自然资源核算结果，加强对数量减少、质量下降的自然资源开发管控，将自然资源数量减少、质量下降的区域作为自然资源重点管控区</w:t>
                  </w:r>
                </w:p>
              </w:tc>
              <w:tc>
                <w:tcPr>
                  <w:tcW w:w="3100" w:type="dxa"/>
                  <w:noWrap w:val="0"/>
                  <w:vAlign w:val="center"/>
                </w:tcPr>
                <w:p w14:paraId="6B292A61">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Calibri" w:hAnsi="Calibri" w:eastAsia="宋体" w:cs="Times New Roman"/>
                      <w:color w:val="auto"/>
                      <w:highlight w:val="none"/>
                      <w:lang w:eastAsia="zh-CN"/>
                    </w:rPr>
                  </w:pPr>
                  <w:r>
                    <w:rPr>
                      <w:rFonts w:ascii="Calibri" w:hAnsi="Calibri" w:eastAsia="宋体" w:cs="Times New Roman"/>
                      <w:bCs/>
                      <w:color w:val="auto"/>
                      <w:sz w:val="21"/>
                      <w:szCs w:val="21"/>
                      <w:highlight w:val="none"/>
                    </w:rPr>
                    <w:t>本项目</w:t>
                  </w:r>
                  <w:r>
                    <w:rPr>
                      <w:rFonts w:hint="eastAsia" w:ascii="Calibri" w:hAnsi="Calibri" w:eastAsia="宋体" w:cs="Times New Roman"/>
                      <w:bCs/>
                      <w:color w:val="auto"/>
                      <w:sz w:val="21"/>
                      <w:szCs w:val="21"/>
                      <w:highlight w:val="none"/>
                    </w:rPr>
                    <w:t>不在自然资源重点管控区内</w:t>
                  </w:r>
                </w:p>
              </w:tc>
              <w:tc>
                <w:tcPr>
                  <w:tcW w:w="821" w:type="dxa"/>
                  <w:noWrap w:val="0"/>
                  <w:vAlign w:val="center"/>
                </w:tcPr>
                <w:p w14:paraId="018954D5">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ascii="Calibri" w:hAnsi="Calibri" w:eastAsia="宋体" w:cs="Times New Roman"/>
                      <w:color w:val="auto"/>
                      <w:highlight w:val="none"/>
                    </w:rPr>
                  </w:pPr>
                  <w:r>
                    <w:rPr>
                      <w:rFonts w:hint="eastAsia" w:ascii="Calibri" w:hAnsi="Calibri" w:eastAsia="宋体" w:cs="Times New Roman"/>
                      <w:color w:val="auto"/>
                      <w:highlight w:val="none"/>
                      <w:lang w:eastAsia="zh-CN"/>
                    </w:rPr>
                    <w:t>是</w:t>
                  </w:r>
                </w:p>
              </w:tc>
            </w:tr>
          </w:tbl>
          <w:p w14:paraId="38451233">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szCs w:val="24"/>
                <w:highlight w:val="none"/>
              </w:rPr>
            </w:pPr>
            <w:r>
              <w:rPr>
                <w:rFonts w:hint="eastAsia"/>
                <w:color w:val="auto"/>
                <w:sz w:val="24"/>
                <w:highlight w:val="none"/>
                <w:lang w:val="en-US" w:eastAsia="zh-CN"/>
              </w:rPr>
              <w:t>根据辽宁省生态环境厅-辽宁省三线一单数据应用系统-三线一单公共查询，本项目位于鞍山市岫岩满族自治县一般管控区（单元编码ZH21032330001）详见附件4，</w:t>
            </w:r>
            <w:r>
              <w:rPr>
                <w:rFonts w:hint="eastAsia" w:ascii="宋体" w:hAnsi="宋体" w:eastAsia="宋体" w:cs="宋体"/>
                <w:color w:val="auto"/>
                <w:sz w:val="24"/>
                <w:szCs w:val="24"/>
                <w:highlight w:val="none"/>
              </w:rPr>
              <w:t>根据</w:t>
            </w:r>
            <w:r>
              <w:rPr>
                <w:rFonts w:hint="eastAsia" w:ascii="宋体" w:hAnsi="宋体" w:eastAsia="宋体" w:cs="宋体"/>
                <w:color w:val="auto"/>
                <w:sz w:val="24"/>
                <w:szCs w:val="24"/>
                <w:highlight w:val="none"/>
                <w:lang w:val="en-US" w:eastAsia="zh-CN"/>
              </w:rPr>
              <w:t>鞍山市生态文明建设和生态环境保护委员会关于印发《鞍山市加强生态环境分区管控实施方案》的通知（鞍生态委办〔2025〕25号）</w:t>
            </w:r>
            <w:r>
              <w:rPr>
                <w:rFonts w:hint="eastAsia"/>
                <w:color w:val="auto"/>
                <w:highlight w:val="none"/>
                <w:lang w:eastAsia="zh-CN"/>
              </w:rPr>
              <w:t>、</w:t>
            </w:r>
            <w:r>
              <w:rPr>
                <w:rFonts w:hint="eastAsia" w:ascii="宋体" w:hAnsi="宋体" w:eastAsia="宋体" w:cs="宋体"/>
                <w:color w:val="auto"/>
                <w:sz w:val="24"/>
                <w:szCs w:val="24"/>
                <w:highlight w:val="none"/>
              </w:rPr>
              <w:t>《鞍山市生态环境准入清单（202</w:t>
            </w: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rPr>
              <w:t>年版）》，该清单是基于“三线一单”编制成果，以生态保护红线、环境质量底线、资源利用上线为约束，严格落实法律法规及国家地方标准，从空间布局约束、污染物排放管控、环境风险防控、资源利用效率</w:t>
            </w:r>
            <w:r>
              <w:rPr>
                <w:rFonts w:ascii="宋体" w:hAnsi="宋体" w:eastAsia="宋体" w:cs="宋体"/>
                <w:color w:val="auto"/>
                <w:sz w:val="24"/>
                <w:szCs w:val="24"/>
                <w:highlight w:val="none"/>
              </w:rPr>
              <w:t>四个维度，建立全市“1+69”两级生态环境准入清单管控体系(“1”为全市总体生态环境准入清单，“69”为各生态环境管控单元准入清单)，因地制宜实行“一单元一策略”精细化管理。</w:t>
            </w:r>
          </w:p>
          <w:p w14:paraId="4AB3AD77">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default" w:eastAsia="宋体"/>
                <w:color w:val="auto"/>
                <w:sz w:val="24"/>
                <w:highlight w:val="none"/>
                <w:lang w:val="en-US" w:eastAsia="zh-CN"/>
              </w:rPr>
            </w:pPr>
            <w:r>
              <w:rPr>
                <w:rFonts w:hint="eastAsia" w:ascii="宋体" w:hAnsi="宋体" w:eastAsia="宋体" w:cs="宋体"/>
                <w:color w:val="auto"/>
                <w:sz w:val="24"/>
                <w:szCs w:val="24"/>
                <w:highlight w:val="none"/>
              </w:rPr>
              <w:t>本项目</w:t>
            </w:r>
            <w:r>
              <w:rPr>
                <w:rFonts w:hint="eastAsia"/>
                <w:color w:val="auto"/>
                <w:sz w:val="24"/>
                <w:highlight w:val="none"/>
                <w:lang w:val="en-US" w:eastAsia="zh-CN"/>
              </w:rPr>
              <w:t>位于鞍山市岫岩满族自治县一般管控区（单元编码ZH21032330001），</w:t>
            </w:r>
            <w:r>
              <w:rPr>
                <w:rFonts w:hint="eastAsia" w:ascii="宋体" w:hAnsi="宋体" w:eastAsia="宋体" w:cs="宋体"/>
                <w:color w:val="auto"/>
                <w:sz w:val="24"/>
                <w:szCs w:val="24"/>
                <w:highlight w:val="none"/>
              </w:rPr>
              <w:t>与《鞍山市生态环境准入清单（202</w:t>
            </w: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rPr>
              <w:t>年版）》相符性分析见表</w:t>
            </w:r>
            <w:r>
              <w:rPr>
                <w:rFonts w:hint="eastAsia" w:ascii="宋体" w:hAnsi="宋体" w:eastAsia="宋体" w:cs="宋体"/>
                <w:color w:val="auto"/>
                <w:sz w:val="24"/>
                <w:szCs w:val="24"/>
                <w:highlight w:val="none"/>
                <w:lang w:val="en-US" w:eastAsia="zh-CN"/>
              </w:rPr>
              <w:t>1-2</w:t>
            </w:r>
          </w:p>
          <w:p w14:paraId="7A604886">
            <w:pPr>
              <w:keepNext w:val="0"/>
              <w:keepLines w:val="0"/>
              <w:suppressLineNumbers w:val="0"/>
              <w:autoSpaceDE w:val="0"/>
              <w:autoSpaceDN w:val="0"/>
              <w:adjustRightInd w:val="0"/>
              <w:spacing w:before="0" w:beforeAutospacing="0" w:after="0" w:afterAutospacing="0" w:line="360" w:lineRule="auto"/>
              <w:ind w:left="0" w:right="0" w:firstLine="480" w:firstLineChars="200"/>
              <w:jc w:val="center"/>
              <w:rPr>
                <w:rFonts w:hint="eastAsia"/>
                <w:color w:val="auto"/>
                <w:sz w:val="24"/>
                <w:highlight w:val="none"/>
              </w:rPr>
            </w:pPr>
            <w:r>
              <w:rPr>
                <w:rFonts w:hint="eastAsia"/>
                <w:color w:val="auto"/>
                <w:sz w:val="24"/>
                <w:highlight w:val="none"/>
              </w:rPr>
              <w:t>表</w:t>
            </w:r>
            <w:r>
              <w:rPr>
                <w:rFonts w:hint="eastAsia"/>
                <w:color w:val="auto"/>
                <w:sz w:val="24"/>
                <w:highlight w:val="none"/>
                <w:lang w:val="en-US" w:eastAsia="zh-CN"/>
              </w:rPr>
              <w:t xml:space="preserve"> 1-</w:t>
            </w:r>
            <w:r>
              <w:rPr>
                <w:rFonts w:hint="eastAsia"/>
                <w:color w:val="auto"/>
                <w:sz w:val="24"/>
                <w:highlight w:val="none"/>
              </w:rPr>
              <w:t>2  本项目与《鞍山市生态环境准入清单（202</w:t>
            </w:r>
            <w:r>
              <w:rPr>
                <w:rFonts w:hint="eastAsia"/>
                <w:color w:val="auto"/>
                <w:sz w:val="24"/>
                <w:highlight w:val="none"/>
                <w:lang w:val="en-US" w:eastAsia="zh-CN"/>
              </w:rPr>
              <w:t>3</w:t>
            </w:r>
            <w:r>
              <w:rPr>
                <w:rFonts w:hint="eastAsia"/>
                <w:color w:val="auto"/>
                <w:sz w:val="24"/>
                <w:highlight w:val="none"/>
              </w:rPr>
              <w:t>年版）》相符性分析</w:t>
            </w:r>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6"/>
              <w:gridCol w:w="3137"/>
              <w:gridCol w:w="4202"/>
            </w:tblGrid>
            <w:tr w14:paraId="6F59E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4203" w:type="dxa"/>
                  <w:gridSpan w:val="2"/>
                  <w:noWrap w:val="0"/>
                  <w:vAlign w:val="center"/>
                </w:tcPr>
                <w:p w14:paraId="24F714AA">
                  <w:pPr>
                    <w:keepNext w:val="0"/>
                    <w:keepLines w:val="0"/>
                    <w:suppressLineNumbers w:val="0"/>
                    <w:autoSpaceDE w:val="0"/>
                    <w:autoSpaceDN w:val="0"/>
                    <w:adjustRightInd w:val="0"/>
                    <w:spacing w:before="0" w:beforeAutospacing="0" w:after="0" w:afterAutospacing="0"/>
                    <w:ind w:left="0" w:right="0"/>
                    <w:jc w:val="center"/>
                    <w:rPr>
                      <w:rFonts w:hint="eastAsia" w:cs="宋体"/>
                      <w:color w:val="auto"/>
                      <w:szCs w:val="21"/>
                      <w:highlight w:val="none"/>
                    </w:rPr>
                  </w:pPr>
                  <w:r>
                    <w:rPr>
                      <w:rFonts w:hint="eastAsia"/>
                      <w:color w:val="auto"/>
                      <w:szCs w:val="21"/>
                      <w:highlight w:val="none"/>
                    </w:rPr>
                    <w:t>环境管控单元编码</w:t>
                  </w:r>
                </w:p>
              </w:tc>
              <w:tc>
                <w:tcPr>
                  <w:tcW w:w="4202" w:type="dxa"/>
                  <w:noWrap w:val="0"/>
                  <w:vAlign w:val="center"/>
                </w:tcPr>
                <w:p w14:paraId="01140172">
                  <w:pPr>
                    <w:keepNext w:val="0"/>
                    <w:keepLines w:val="0"/>
                    <w:suppressLineNumbers w:val="0"/>
                    <w:autoSpaceDE w:val="0"/>
                    <w:autoSpaceDN w:val="0"/>
                    <w:adjustRightInd w:val="0"/>
                    <w:spacing w:before="0" w:beforeAutospacing="0" w:after="0" w:afterAutospacing="0"/>
                    <w:ind w:left="0" w:right="0"/>
                    <w:jc w:val="center"/>
                    <w:rPr>
                      <w:rFonts w:cs="宋体"/>
                      <w:color w:val="auto"/>
                      <w:szCs w:val="21"/>
                      <w:highlight w:val="none"/>
                    </w:rPr>
                  </w:pPr>
                  <w:r>
                    <w:rPr>
                      <w:rFonts w:hint="eastAsia"/>
                      <w:color w:val="auto"/>
                      <w:szCs w:val="21"/>
                      <w:highlight w:val="none"/>
                    </w:rPr>
                    <w:t>ZH21032330001</w:t>
                  </w:r>
                </w:p>
              </w:tc>
            </w:tr>
            <w:tr w14:paraId="45BD5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4203" w:type="dxa"/>
                  <w:gridSpan w:val="2"/>
                  <w:noWrap w:val="0"/>
                  <w:vAlign w:val="center"/>
                </w:tcPr>
                <w:p w14:paraId="5333AFA8">
                  <w:pPr>
                    <w:keepNext w:val="0"/>
                    <w:keepLines w:val="0"/>
                    <w:suppressLineNumbers w:val="0"/>
                    <w:autoSpaceDE w:val="0"/>
                    <w:autoSpaceDN w:val="0"/>
                    <w:adjustRightInd w:val="0"/>
                    <w:spacing w:before="0" w:beforeAutospacing="0" w:after="0" w:afterAutospacing="0"/>
                    <w:ind w:left="0" w:right="0"/>
                    <w:jc w:val="center"/>
                    <w:rPr>
                      <w:rFonts w:hint="eastAsia" w:cs="宋体"/>
                      <w:color w:val="auto"/>
                      <w:szCs w:val="21"/>
                      <w:highlight w:val="none"/>
                    </w:rPr>
                  </w:pPr>
                  <w:r>
                    <w:rPr>
                      <w:rFonts w:hint="eastAsia"/>
                      <w:color w:val="auto"/>
                      <w:szCs w:val="21"/>
                      <w:highlight w:val="none"/>
                    </w:rPr>
                    <w:t>环境管控单元名称</w:t>
                  </w:r>
                </w:p>
              </w:tc>
              <w:tc>
                <w:tcPr>
                  <w:tcW w:w="4202" w:type="dxa"/>
                  <w:noWrap w:val="0"/>
                  <w:vAlign w:val="center"/>
                </w:tcPr>
                <w:p w14:paraId="11B147C5">
                  <w:pPr>
                    <w:keepNext w:val="0"/>
                    <w:keepLines w:val="0"/>
                    <w:suppressLineNumbers w:val="0"/>
                    <w:autoSpaceDE w:val="0"/>
                    <w:autoSpaceDN w:val="0"/>
                    <w:adjustRightInd w:val="0"/>
                    <w:spacing w:before="0" w:beforeAutospacing="0" w:after="0" w:afterAutospacing="0"/>
                    <w:ind w:left="0" w:right="0"/>
                    <w:jc w:val="center"/>
                    <w:rPr>
                      <w:rFonts w:hint="eastAsia" w:cs="宋体"/>
                      <w:color w:val="auto"/>
                      <w:szCs w:val="21"/>
                      <w:highlight w:val="none"/>
                    </w:rPr>
                  </w:pPr>
                  <w:r>
                    <w:rPr>
                      <w:rFonts w:hint="eastAsia" w:cs="宋体"/>
                      <w:color w:val="auto"/>
                      <w:szCs w:val="21"/>
                      <w:highlight w:val="none"/>
                      <w:lang w:val="en-US" w:eastAsia="zh-CN"/>
                    </w:rPr>
                    <w:t>鞍山市岫岩满族自治县一般管控区</w:t>
                  </w:r>
                </w:p>
              </w:tc>
            </w:tr>
            <w:tr w14:paraId="49DEB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4203" w:type="dxa"/>
                  <w:gridSpan w:val="2"/>
                  <w:noWrap w:val="0"/>
                  <w:vAlign w:val="center"/>
                </w:tcPr>
                <w:p w14:paraId="3401CFB8">
                  <w:pPr>
                    <w:keepNext w:val="0"/>
                    <w:keepLines w:val="0"/>
                    <w:suppressLineNumbers w:val="0"/>
                    <w:autoSpaceDE w:val="0"/>
                    <w:autoSpaceDN w:val="0"/>
                    <w:adjustRightInd w:val="0"/>
                    <w:spacing w:before="0" w:beforeAutospacing="0" w:after="0" w:afterAutospacing="0"/>
                    <w:ind w:left="0" w:right="0"/>
                    <w:jc w:val="center"/>
                    <w:rPr>
                      <w:rFonts w:hint="eastAsia" w:cs="宋体"/>
                      <w:color w:val="auto"/>
                      <w:szCs w:val="21"/>
                      <w:highlight w:val="none"/>
                    </w:rPr>
                  </w:pPr>
                  <w:r>
                    <w:rPr>
                      <w:rFonts w:hint="eastAsia"/>
                      <w:color w:val="auto"/>
                      <w:szCs w:val="21"/>
                      <w:highlight w:val="none"/>
                    </w:rPr>
                    <w:t>管控单元分类</w:t>
                  </w:r>
                </w:p>
              </w:tc>
              <w:tc>
                <w:tcPr>
                  <w:tcW w:w="4202" w:type="dxa"/>
                  <w:noWrap w:val="0"/>
                  <w:vAlign w:val="center"/>
                </w:tcPr>
                <w:p w14:paraId="748BF966">
                  <w:pPr>
                    <w:keepNext w:val="0"/>
                    <w:keepLines w:val="0"/>
                    <w:suppressLineNumbers w:val="0"/>
                    <w:autoSpaceDE w:val="0"/>
                    <w:autoSpaceDN w:val="0"/>
                    <w:adjustRightInd w:val="0"/>
                    <w:spacing w:before="0" w:beforeAutospacing="0" w:after="0" w:afterAutospacing="0"/>
                    <w:ind w:left="0" w:right="0"/>
                    <w:jc w:val="center"/>
                    <w:rPr>
                      <w:rFonts w:cs="宋体"/>
                      <w:color w:val="auto"/>
                      <w:szCs w:val="21"/>
                      <w:highlight w:val="none"/>
                    </w:rPr>
                  </w:pPr>
                  <w:r>
                    <w:rPr>
                      <w:rFonts w:cs="宋体"/>
                      <w:color w:val="auto"/>
                      <w:szCs w:val="21"/>
                      <w:highlight w:val="none"/>
                    </w:rPr>
                    <w:t>一般管控区</w:t>
                  </w:r>
                </w:p>
              </w:tc>
            </w:tr>
            <w:tr w14:paraId="268B6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4203" w:type="dxa"/>
                  <w:gridSpan w:val="2"/>
                  <w:noWrap w:val="0"/>
                  <w:vAlign w:val="center"/>
                </w:tcPr>
                <w:p w14:paraId="596911F2">
                  <w:pPr>
                    <w:keepNext w:val="0"/>
                    <w:keepLines w:val="0"/>
                    <w:suppressLineNumbers w:val="0"/>
                    <w:autoSpaceDE w:val="0"/>
                    <w:autoSpaceDN w:val="0"/>
                    <w:adjustRightInd w:val="0"/>
                    <w:spacing w:before="0" w:beforeAutospacing="0" w:after="0" w:afterAutospacing="0"/>
                    <w:ind w:left="0" w:right="0"/>
                    <w:jc w:val="center"/>
                    <w:rPr>
                      <w:rFonts w:hint="eastAsia"/>
                      <w:color w:val="auto"/>
                      <w:szCs w:val="21"/>
                      <w:highlight w:val="none"/>
                    </w:rPr>
                  </w:pPr>
                  <w:r>
                    <w:rPr>
                      <w:rFonts w:hint="eastAsia"/>
                      <w:color w:val="auto"/>
                      <w:szCs w:val="21"/>
                      <w:highlight w:val="none"/>
                    </w:rPr>
                    <w:t>所涉乡镇</w:t>
                  </w:r>
                </w:p>
              </w:tc>
              <w:tc>
                <w:tcPr>
                  <w:tcW w:w="4202" w:type="dxa"/>
                  <w:noWrap w:val="0"/>
                  <w:vAlign w:val="center"/>
                </w:tcPr>
                <w:p w14:paraId="49492FAF">
                  <w:pPr>
                    <w:keepNext w:val="0"/>
                    <w:keepLines w:val="0"/>
                    <w:suppressLineNumbers w:val="0"/>
                    <w:spacing w:before="0" w:beforeAutospacing="0" w:after="0" w:afterAutospacing="0"/>
                    <w:ind w:left="0" w:right="0"/>
                    <w:jc w:val="center"/>
                    <w:rPr>
                      <w:rFonts w:hint="eastAsia" w:eastAsia="宋体" w:cs="宋体"/>
                      <w:color w:val="auto"/>
                      <w:szCs w:val="21"/>
                      <w:highlight w:val="none"/>
                      <w:lang w:eastAsia="zh-CN"/>
                    </w:rPr>
                  </w:pPr>
                  <w:r>
                    <w:rPr>
                      <w:rFonts w:hint="eastAsia"/>
                      <w:color w:val="auto"/>
                      <w:szCs w:val="21"/>
                      <w:highlight w:val="none"/>
                    </w:rPr>
                    <w:t>岫岩满族自治县</w:t>
                  </w:r>
                  <w:r>
                    <w:rPr>
                      <w:rFonts w:hint="eastAsia"/>
                      <w:color w:val="auto"/>
                      <w:szCs w:val="21"/>
                      <w:highlight w:val="none"/>
                      <w:lang w:eastAsia="zh-CN"/>
                    </w:rPr>
                    <w:t>偏岭镇</w:t>
                  </w:r>
                </w:p>
              </w:tc>
            </w:tr>
            <w:tr w14:paraId="0BAE3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1066" w:type="dxa"/>
                  <w:noWrap w:val="0"/>
                  <w:vAlign w:val="center"/>
                </w:tcPr>
                <w:p w14:paraId="66F5AA5B">
                  <w:pPr>
                    <w:keepNext w:val="0"/>
                    <w:keepLines w:val="0"/>
                    <w:suppressLineNumbers w:val="0"/>
                    <w:autoSpaceDE w:val="0"/>
                    <w:autoSpaceDN w:val="0"/>
                    <w:adjustRightInd w:val="0"/>
                    <w:spacing w:before="0" w:beforeAutospacing="0" w:after="0" w:afterAutospacing="0"/>
                    <w:ind w:left="0" w:right="0"/>
                    <w:jc w:val="center"/>
                    <w:rPr>
                      <w:rFonts w:hint="eastAsia" w:cs="宋体"/>
                      <w:color w:val="auto"/>
                      <w:szCs w:val="21"/>
                      <w:highlight w:val="none"/>
                    </w:rPr>
                  </w:pPr>
                  <w:r>
                    <w:rPr>
                      <w:rFonts w:hint="eastAsia" w:cs="宋体"/>
                      <w:color w:val="auto"/>
                      <w:szCs w:val="21"/>
                      <w:highlight w:val="none"/>
                    </w:rPr>
                    <w:t>内容</w:t>
                  </w:r>
                </w:p>
              </w:tc>
              <w:tc>
                <w:tcPr>
                  <w:tcW w:w="3137" w:type="dxa"/>
                  <w:noWrap w:val="0"/>
                  <w:vAlign w:val="center"/>
                </w:tcPr>
                <w:p w14:paraId="5ECC7AE5">
                  <w:pPr>
                    <w:keepNext w:val="0"/>
                    <w:keepLines w:val="0"/>
                    <w:suppressLineNumbers w:val="0"/>
                    <w:autoSpaceDE w:val="0"/>
                    <w:autoSpaceDN w:val="0"/>
                    <w:adjustRightInd w:val="0"/>
                    <w:spacing w:before="0" w:beforeAutospacing="0" w:after="0" w:afterAutospacing="0"/>
                    <w:ind w:left="0" w:right="0"/>
                    <w:jc w:val="center"/>
                    <w:rPr>
                      <w:rFonts w:hint="eastAsia" w:cs="宋体"/>
                      <w:color w:val="auto"/>
                      <w:szCs w:val="21"/>
                      <w:highlight w:val="none"/>
                    </w:rPr>
                  </w:pPr>
                  <w:r>
                    <w:rPr>
                      <w:rFonts w:hint="eastAsia" w:cs="宋体"/>
                      <w:color w:val="auto"/>
                      <w:szCs w:val="21"/>
                      <w:highlight w:val="none"/>
                    </w:rPr>
                    <w:t>具体要求</w:t>
                  </w:r>
                </w:p>
              </w:tc>
              <w:tc>
                <w:tcPr>
                  <w:tcW w:w="4202" w:type="dxa"/>
                  <w:noWrap w:val="0"/>
                  <w:vAlign w:val="center"/>
                </w:tcPr>
                <w:p w14:paraId="02B80550">
                  <w:pPr>
                    <w:keepNext w:val="0"/>
                    <w:keepLines w:val="0"/>
                    <w:suppressLineNumbers w:val="0"/>
                    <w:autoSpaceDE w:val="0"/>
                    <w:autoSpaceDN w:val="0"/>
                    <w:adjustRightInd w:val="0"/>
                    <w:spacing w:before="0" w:beforeAutospacing="0" w:after="0" w:afterAutospacing="0"/>
                    <w:ind w:left="0" w:right="0"/>
                    <w:jc w:val="center"/>
                    <w:rPr>
                      <w:rFonts w:hint="eastAsia" w:cs="宋体"/>
                      <w:color w:val="auto"/>
                      <w:szCs w:val="21"/>
                      <w:highlight w:val="none"/>
                    </w:rPr>
                  </w:pPr>
                  <w:r>
                    <w:rPr>
                      <w:rFonts w:hint="eastAsia" w:cs="宋体"/>
                      <w:color w:val="auto"/>
                      <w:szCs w:val="21"/>
                      <w:highlight w:val="none"/>
                    </w:rPr>
                    <w:t>符合性分析</w:t>
                  </w:r>
                </w:p>
              </w:tc>
            </w:tr>
            <w:tr w14:paraId="70658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2" w:hRule="atLeast"/>
                <w:jc w:val="center"/>
              </w:trPr>
              <w:tc>
                <w:tcPr>
                  <w:tcW w:w="1066" w:type="dxa"/>
                  <w:noWrap w:val="0"/>
                  <w:vAlign w:val="center"/>
                </w:tcPr>
                <w:p w14:paraId="74BD3B7D">
                  <w:pPr>
                    <w:keepNext w:val="0"/>
                    <w:keepLines w:val="0"/>
                    <w:suppressLineNumbers w:val="0"/>
                    <w:autoSpaceDE w:val="0"/>
                    <w:autoSpaceDN w:val="0"/>
                    <w:adjustRightInd w:val="0"/>
                    <w:spacing w:before="0" w:beforeAutospacing="0" w:after="0" w:afterAutospacing="0"/>
                    <w:ind w:left="0" w:right="0"/>
                    <w:jc w:val="center"/>
                    <w:rPr>
                      <w:rFonts w:hint="eastAsia" w:cs="宋体"/>
                      <w:color w:val="auto"/>
                      <w:szCs w:val="21"/>
                      <w:highlight w:val="none"/>
                    </w:rPr>
                  </w:pPr>
                  <w:r>
                    <w:rPr>
                      <w:rFonts w:hint="default" w:ascii="Times New Roman" w:hAnsi="Times New Roman" w:cs="Times New Roman"/>
                      <w:color w:val="auto"/>
                      <w:sz w:val="21"/>
                      <w:szCs w:val="21"/>
                      <w:highlight w:val="none"/>
                      <w:lang w:eastAsia="zh-CN"/>
                    </w:rPr>
                    <w:t>空间布局约束</w:t>
                  </w:r>
                </w:p>
              </w:tc>
              <w:tc>
                <w:tcPr>
                  <w:tcW w:w="3137" w:type="dxa"/>
                  <w:noWrap w:val="0"/>
                  <w:vAlign w:val="center"/>
                </w:tcPr>
                <w:p w14:paraId="6398B926">
                  <w:pPr>
                    <w:keepNext w:val="0"/>
                    <w:keepLines w:val="0"/>
                    <w:suppressLineNumbers w:val="0"/>
                    <w:autoSpaceDE w:val="0"/>
                    <w:autoSpaceDN w:val="0"/>
                    <w:adjustRightInd w:val="0"/>
                    <w:spacing w:before="0" w:beforeAutospacing="0" w:after="0" w:afterAutospacing="0"/>
                    <w:ind w:left="0" w:right="0"/>
                    <w:jc w:val="left"/>
                    <w:rPr>
                      <w:rFonts w:hint="eastAsia" w:cs="宋体"/>
                      <w:color w:val="auto"/>
                      <w:szCs w:val="21"/>
                      <w:highlight w:val="none"/>
                    </w:rPr>
                  </w:pPr>
                  <w:r>
                    <w:rPr>
                      <w:rFonts w:hint="eastAsia"/>
                      <w:color w:val="auto"/>
                      <w:sz w:val="21"/>
                      <w:szCs w:val="21"/>
                      <w:highlight w:val="none"/>
                      <w:lang w:val="en-US" w:eastAsia="zh-CN"/>
                    </w:rPr>
                    <w:t>各类开发建设活动应符合国土空间规划、各部门相关专项规划中空间约束等相关要求，产业布局、工业项目限制、地表水污染控制要求等，以及岫岩地区地表水管控要求。</w:t>
                  </w:r>
                </w:p>
              </w:tc>
              <w:tc>
                <w:tcPr>
                  <w:tcW w:w="4202" w:type="dxa"/>
                  <w:noWrap w:val="0"/>
                  <w:vAlign w:val="center"/>
                </w:tcPr>
                <w:p w14:paraId="431F4279">
                  <w:pPr>
                    <w:keepNext w:val="0"/>
                    <w:keepLines w:val="0"/>
                    <w:suppressLineNumbers w:val="0"/>
                    <w:autoSpaceDE w:val="0"/>
                    <w:autoSpaceDN w:val="0"/>
                    <w:adjustRightInd w:val="0"/>
                    <w:spacing w:before="0" w:beforeAutospacing="0" w:after="0" w:afterAutospacing="0"/>
                    <w:ind w:left="0" w:right="0"/>
                    <w:rPr>
                      <w:rFonts w:hint="eastAsia" w:eastAsia="宋体"/>
                      <w:bCs/>
                      <w:color w:val="auto"/>
                      <w:szCs w:val="21"/>
                      <w:highlight w:val="none"/>
                      <w:lang w:eastAsia="zh-CN"/>
                    </w:rPr>
                  </w:pPr>
                  <w:r>
                    <w:rPr>
                      <w:rFonts w:hint="eastAsia"/>
                      <w:color w:val="auto"/>
                      <w:highlight w:val="none"/>
                    </w:rPr>
                    <w:t>本项目</w:t>
                  </w:r>
                  <w:r>
                    <w:rPr>
                      <w:rFonts w:hint="eastAsia"/>
                      <w:color w:val="auto"/>
                      <w:highlight w:val="none"/>
                      <w:lang w:val="en-US" w:eastAsia="zh-CN"/>
                    </w:rPr>
                    <w:t>租用辽宁佳合鹏程粉体科技有限公司现有厂房</w:t>
                  </w:r>
                  <w:r>
                    <w:rPr>
                      <w:rFonts w:hint="eastAsia"/>
                      <w:color w:val="auto"/>
                      <w:highlight w:val="none"/>
                    </w:rPr>
                    <w:t>，</w:t>
                  </w:r>
                  <w:r>
                    <w:rPr>
                      <w:rFonts w:hint="eastAsia"/>
                      <w:color w:val="auto"/>
                      <w:highlight w:val="none"/>
                      <w:lang w:eastAsia="zh-CN"/>
                    </w:rPr>
                    <w:t>不新增占地，</w:t>
                  </w:r>
                  <w:r>
                    <w:rPr>
                      <w:rFonts w:hint="eastAsia"/>
                      <w:bCs/>
                      <w:color w:val="auto"/>
                      <w:szCs w:val="21"/>
                      <w:highlight w:val="none"/>
                    </w:rPr>
                    <w:t>占地</w:t>
                  </w:r>
                  <w:r>
                    <w:rPr>
                      <w:rFonts w:hint="eastAsia"/>
                      <w:bCs/>
                      <w:color w:val="auto"/>
                      <w:szCs w:val="21"/>
                      <w:highlight w:val="none"/>
                      <w:lang w:eastAsia="zh-CN"/>
                    </w:rPr>
                    <w:t>类型</w:t>
                  </w:r>
                  <w:r>
                    <w:rPr>
                      <w:rFonts w:hint="eastAsia"/>
                      <w:bCs/>
                      <w:color w:val="auto"/>
                      <w:szCs w:val="21"/>
                      <w:highlight w:val="none"/>
                    </w:rPr>
                    <w:t>为工业用地，符合</w:t>
                  </w:r>
                  <w:r>
                    <w:rPr>
                      <w:rFonts w:hint="eastAsia" w:cs="宋体"/>
                      <w:color w:val="auto"/>
                      <w:szCs w:val="21"/>
                      <w:highlight w:val="none"/>
                    </w:rPr>
                    <w:t>《岫岩县国土空间规划》以及《鞍山市国土空间规划》要求。</w:t>
                  </w:r>
                  <w:r>
                    <w:rPr>
                      <w:rFonts w:hint="eastAsia" w:cs="宋体"/>
                      <w:color w:val="auto"/>
                      <w:szCs w:val="21"/>
                      <w:highlight w:val="none"/>
                      <w:lang w:eastAsia="zh-CN"/>
                    </w:rPr>
                    <w:t>项目生产用水、轮胎清洗水循环利用不外排，生活污水排入化粪池，定期清掏不外排，不会造成地表水环境污染。</w:t>
                  </w:r>
                </w:p>
              </w:tc>
            </w:tr>
            <w:tr w14:paraId="0D373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3" w:hRule="atLeast"/>
                <w:jc w:val="center"/>
              </w:trPr>
              <w:tc>
                <w:tcPr>
                  <w:tcW w:w="1066" w:type="dxa"/>
                  <w:noWrap w:val="0"/>
                  <w:vAlign w:val="center"/>
                </w:tcPr>
                <w:p w14:paraId="6A9B08AA">
                  <w:pPr>
                    <w:keepNext w:val="0"/>
                    <w:keepLines w:val="0"/>
                    <w:suppressLineNumbers w:val="0"/>
                    <w:autoSpaceDE w:val="0"/>
                    <w:autoSpaceDN w:val="0"/>
                    <w:adjustRightInd w:val="0"/>
                    <w:spacing w:before="0" w:beforeAutospacing="0" w:after="0" w:afterAutospacing="0"/>
                    <w:ind w:left="0" w:right="0"/>
                    <w:jc w:val="center"/>
                    <w:rPr>
                      <w:rFonts w:hint="eastAsia" w:cs="宋体"/>
                      <w:color w:val="auto"/>
                      <w:szCs w:val="21"/>
                      <w:highlight w:val="none"/>
                    </w:rPr>
                  </w:pPr>
                  <w:r>
                    <w:rPr>
                      <w:rFonts w:hint="default" w:ascii="Times New Roman" w:hAnsi="Times New Roman" w:cs="Times New Roman"/>
                      <w:color w:val="auto"/>
                      <w:sz w:val="21"/>
                      <w:szCs w:val="21"/>
                      <w:highlight w:val="none"/>
                      <w:lang w:eastAsia="zh-CN"/>
                    </w:rPr>
                    <w:t>污染物排放管控</w:t>
                  </w:r>
                </w:p>
              </w:tc>
              <w:tc>
                <w:tcPr>
                  <w:tcW w:w="3137" w:type="dxa"/>
                  <w:noWrap w:val="0"/>
                  <w:vAlign w:val="center"/>
                </w:tcPr>
                <w:p w14:paraId="48C3634F">
                  <w:pPr>
                    <w:keepNext w:val="0"/>
                    <w:keepLines w:val="0"/>
                    <w:suppressLineNumbers w:val="0"/>
                    <w:spacing w:before="0" w:beforeAutospacing="0" w:after="0" w:afterAutospacing="0"/>
                    <w:ind w:left="0" w:right="0"/>
                    <w:rPr>
                      <w:rFonts w:hint="eastAsia"/>
                      <w:color w:val="auto"/>
                      <w:highlight w:val="none"/>
                    </w:rPr>
                  </w:pPr>
                  <w:r>
                    <w:rPr>
                      <w:rFonts w:ascii="Times New Roman" w:hAnsi="Times New Roman"/>
                      <w:bCs/>
                      <w:color w:val="auto"/>
                      <w:sz w:val="21"/>
                      <w:szCs w:val="21"/>
                      <w:highlight w:val="none"/>
                    </w:rPr>
                    <w:t>严格控制向其他用地类型转变。</w:t>
                  </w:r>
                </w:p>
              </w:tc>
              <w:tc>
                <w:tcPr>
                  <w:tcW w:w="4202" w:type="dxa"/>
                  <w:noWrap w:val="0"/>
                  <w:vAlign w:val="center"/>
                </w:tcPr>
                <w:p w14:paraId="67E37998">
                  <w:pPr>
                    <w:keepNext w:val="0"/>
                    <w:keepLines w:val="0"/>
                    <w:suppressLineNumbers w:val="0"/>
                    <w:autoSpaceDE w:val="0"/>
                    <w:autoSpaceDN w:val="0"/>
                    <w:adjustRightInd w:val="0"/>
                    <w:spacing w:before="0" w:beforeAutospacing="0" w:after="0" w:afterAutospacing="0"/>
                    <w:ind w:left="0" w:right="0"/>
                    <w:rPr>
                      <w:rFonts w:hint="eastAsia"/>
                      <w:bCs/>
                      <w:color w:val="auto"/>
                      <w:szCs w:val="21"/>
                      <w:highlight w:val="none"/>
                    </w:rPr>
                  </w:pPr>
                  <w:r>
                    <w:rPr>
                      <w:rFonts w:hint="eastAsia" w:ascii="Calibri" w:hAnsi="Calibri" w:eastAsia="宋体" w:cs="Times New Roman"/>
                      <w:color w:val="auto"/>
                      <w:highlight w:val="none"/>
                      <w:lang w:val="en-US" w:eastAsia="zh-CN"/>
                    </w:rPr>
                    <w:t>本项目占地类型为工业用地，不涉及用地类型转变。</w:t>
                  </w:r>
                </w:p>
              </w:tc>
            </w:tr>
            <w:tr w14:paraId="0D287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4" w:hRule="atLeast"/>
                <w:jc w:val="center"/>
              </w:trPr>
              <w:tc>
                <w:tcPr>
                  <w:tcW w:w="1066" w:type="dxa"/>
                  <w:noWrap w:val="0"/>
                  <w:vAlign w:val="center"/>
                </w:tcPr>
                <w:p w14:paraId="5BB862D3">
                  <w:pPr>
                    <w:keepNext w:val="0"/>
                    <w:keepLines w:val="0"/>
                    <w:suppressLineNumbers w:val="0"/>
                    <w:autoSpaceDE w:val="0"/>
                    <w:autoSpaceDN w:val="0"/>
                    <w:adjustRightInd w:val="0"/>
                    <w:spacing w:before="0" w:beforeAutospacing="0" w:after="0" w:afterAutospacing="0"/>
                    <w:ind w:left="0" w:right="0"/>
                    <w:jc w:val="center"/>
                    <w:rPr>
                      <w:rFonts w:hint="eastAsia" w:cs="宋体"/>
                      <w:color w:val="auto"/>
                      <w:szCs w:val="21"/>
                      <w:highlight w:val="none"/>
                    </w:rPr>
                  </w:pPr>
                  <w:r>
                    <w:rPr>
                      <w:rFonts w:hint="default" w:ascii="Times New Roman" w:hAnsi="Times New Roman" w:cs="Times New Roman"/>
                      <w:color w:val="auto"/>
                      <w:sz w:val="21"/>
                      <w:szCs w:val="21"/>
                      <w:highlight w:val="none"/>
                      <w:lang w:eastAsia="zh-CN"/>
                    </w:rPr>
                    <w:t>环境风险管控</w:t>
                  </w:r>
                </w:p>
              </w:tc>
              <w:tc>
                <w:tcPr>
                  <w:tcW w:w="3137" w:type="dxa"/>
                  <w:noWrap w:val="0"/>
                  <w:vAlign w:val="center"/>
                </w:tcPr>
                <w:p w14:paraId="427DB27C">
                  <w:pPr>
                    <w:keepNext w:val="0"/>
                    <w:keepLines w:val="0"/>
                    <w:suppressLineNumbers w:val="0"/>
                    <w:autoSpaceDE w:val="0"/>
                    <w:autoSpaceDN w:val="0"/>
                    <w:adjustRightInd w:val="0"/>
                    <w:spacing w:before="0" w:beforeAutospacing="0" w:after="0" w:afterAutospacing="0"/>
                    <w:ind w:left="0" w:right="0"/>
                    <w:jc w:val="left"/>
                    <w:rPr>
                      <w:rFonts w:hint="eastAsia" w:cs="宋体"/>
                      <w:color w:val="auto"/>
                      <w:szCs w:val="21"/>
                      <w:highlight w:val="none"/>
                    </w:rPr>
                  </w:pPr>
                  <w:r>
                    <w:rPr>
                      <w:rFonts w:ascii="Times New Roman" w:hAnsi="Times New Roman"/>
                      <w:bCs/>
                      <w:color w:val="auto"/>
                      <w:sz w:val="21"/>
                      <w:szCs w:val="21"/>
                      <w:highlight w:val="none"/>
                    </w:rPr>
                    <w:t>防止农用地污染。</w:t>
                  </w:r>
                </w:p>
              </w:tc>
              <w:tc>
                <w:tcPr>
                  <w:tcW w:w="4202" w:type="dxa"/>
                  <w:noWrap w:val="0"/>
                  <w:vAlign w:val="top"/>
                </w:tcPr>
                <w:p w14:paraId="235418C4">
                  <w:pPr>
                    <w:keepNext w:val="0"/>
                    <w:keepLines w:val="0"/>
                    <w:suppressLineNumbers w:val="0"/>
                    <w:autoSpaceDE w:val="0"/>
                    <w:autoSpaceDN w:val="0"/>
                    <w:adjustRightInd w:val="0"/>
                    <w:spacing w:before="0" w:beforeAutospacing="0" w:after="0" w:afterAutospacing="0"/>
                    <w:ind w:left="0" w:right="0"/>
                    <w:rPr>
                      <w:rFonts w:hint="eastAsia" w:eastAsia="宋体"/>
                      <w:bCs/>
                      <w:color w:val="auto"/>
                      <w:szCs w:val="21"/>
                      <w:highlight w:val="none"/>
                      <w:lang w:eastAsia="zh-CN"/>
                    </w:rPr>
                  </w:pPr>
                  <w:r>
                    <w:rPr>
                      <w:rFonts w:hint="eastAsia" w:ascii="宋体" w:hAnsi="宋体" w:cs="宋体"/>
                      <w:color w:val="auto"/>
                      <w:szCs w:val="21"/>
                      <w:highlight w:val="none"/>
                    </w:rPr>
                    <w:t>本</w:t>
                  </w:r>
                  <w:r>
                    <w:rPr>
                      <w:rFonts w:ascii="宋体" w:hAnsi="宋体" w:cs="宋体"/>
                      <w:color w:val="auto"/>
                      <w:szCs w:val="21"/>
                      <w:highlight w:val="none"/>
                    </w:rPr>
                    <w:t>项目</w:t>
                  </w:r>
                  <w:r>
                    <w:rPr>
                      <w:rFonts w:hint="eastAsia" w:ascii="宋体" w:hAnsi="宋体" w:cs="宋体"/>
                      <w:color w:val="auto"/>
                      <w:szCs w:val="21"/>
                      <w:highlight w:val="none"/>
                      <w:lang w:eastAsia="zh-CN"/>
                    </w:rPr>
                    <w:t>严格落实分区防渗，危废贮存点、化粪池、水洗白云石沉淀池、洗车平台沉淀池重点防渗；各原料库房、各生产车间、产品库房一般防渗；其余地面硬化</w:t>
                  </w:r>
                  <w:r>
                    <w:rPr>
                      <w:rFonts w:ascii="宋体" w:hAnsi="宋体" w:cs="宋体"/>
                      <w:color w:val="auto"/>
                      <w:szCs w:val="21"/>
                      <w:highlight w:val="none"/>
                    </w:rPr>
                    <w:t>。</w:t>
                  </w:r>
                  <w:r>
                    <w:rPr>
                      <w:rFonts w:hint="eastAsia" w:ascii="宋体" w:hAnsi="宋体" w:cs="宋体"/>
                      <w:color w:val="auto"/>
                      <w:szCs w:val="21"/>
                      <w:highlight w:val="none"/>
                      <w:lang w:eastAsia="zh-CN"/>
                    </w:rPr>
                    <w:t>经分区防渗后，对环境影响不大。</w:t>
                  </w:r>
                </w:p>
              </w:tc>
            </w:tr>
            <w:tr w14:paraId="2EE9C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1066" w:type="dxa"/>
                  <w:noWrap w:val="0"/>
                  <w:vAlign w:val="center"/>
                </w:tcPr>
                <w:p w14:paraId="5DCDDECA">
                  <w:pPr>
                    <w:keepNext w:val="0"/>
                    <w:keepLines w:val="0"/>
                    <w:suppressLineNumbers w:val="0"/>
                    <w:autoSpaceDE w:val="0"/>
                    <w:autoSpaceDN w:val="0"/>
                    <w:adjustRightInd w:val="0"/>
                    <w:spacing w:before="0" w:beforeAutospacing="0" w:after="0" w:afterAutospacing="0"/>
                    <w:ind w:left="0" w:right="0"/>
                    <w:jc w:val="center"/>
                    <w:rPr>
                      <w:rFonts w:hint="eastAsia" w:cs="宋体"/>
                      <w:color w:val="auto"/>
                      <w:szCs w:val="21"/>
                      <w:highlight w:val="none"/>
                    </w:rPr>
                  </w:pPr>
                  <w:r>
                    <w:rPr>
                      <w:rFonts w:hint="default" w:ascii="Times New Roman" w:hAnsi="Times New Roman" w:cs="Times New Roman"/>
                      <w:color w:val="auto"/>
                      <w:sz w:val="21"/>
                      <w:szCs w:val="21"/>
                      <w:highlight w:val="none"/>
                      <w:lang w:eastAsia="zh-CN"/>
                    </w:rPr>
                    <w:t>资源开发效率要求</w:t>
                  </w:r>
                </w:p>
              </w:tc>
              <w:tc>
                <w:tcPr>
                  <w:tcW w:w="3137" w:type="dxa"/>
                  <w:noWrap w:val="0"/>
                  <w:vAlign w:val="center"/>
                </w:tcPr>
                <w:p w14:paraId="6CE2CBBB">
                  <w:pPr>
                    <w:keepNext w:val="0"/>
                    <w:keepLines w:val="0"/>
                    <w:suppressLineNumbers w:val="0"/>
                    <w:spacing w:before="0" w:beforeAutospacing="0" w:after="0" w:afterAutospacing="0"/>
                    <w:ind w:left="0" w:right="0"/>
                    <w:rPr>
                      <w:rFonts w:hint="eastAsia"/>
                      <w:color w:val="auto"/>
                      <w:highlight w:val="none"/>
                    </w:rPr>
                  </w:pPr>
                  <w:r>
                    <w:rPr>
                      <w:rFonts w:ascii="Times New Roman" w:hAnsi="Times New Roman"/>
                      <w:bCs/>
                      <w:color w:val="auto"/>
                      <w:sz w:val="21"/>
                      <w:szCs w:val="21"/>
                      <w:highlight w:val="none"/>
                    </w:rPr>
                    <w:t>加强生态建设，防止污染。</w:t>
                  </w:r>
                </w:p>
              </w:tc>
              <w:tc>
                <w:tcPr>
                  <w:tcW w:w="4202" w:type="dxa"/>
                  <w:noWrap w:val="0"/>
                  <w:vAlign w:val="center"/>
                </w:tcPr>
                <w:p w14:paraId="7DB28EEB">
                  <w:pPr>
                    <w:keepNext w:val="0"/>
                    <w:keepLines w:val="0"/>
                    <w:suppressLineNumbers w:val="0"/>
                    <w:autoSpaceDE w:val="0"/>
                    <w:autoSpaceDN w:val="0"/>
                    <w:adjustRightInd w:val="0"/>
                    <w:spacing w:before="0" w:beforeAutospacing="0" w:after="0" w:afterAutospacing="0"/>
                    <w:ind w:left="0" w:right="0"/>
                    <w:rPr>
                      <w:rFonts w:hint="eastAsia"/>
                      <w:bCs/>
                      <w:color w:val="auto"/>
                      <w:szCs w:val="21"/>
                      <w:highlight w:val="none"/>
                    </w:rPr>
                  </w:pPr>
                  <w:r>
                    <w:rPr>
                      <w:rFonts w:hint="eastAsia"/>
                      <w:bCs/>
                      <w:color w:val="auto"/>
                      <w:szCs w:val="21"/>
                      <w:highlight w:val="none"/>
                    </w:rPr>
                    <w:t>本项目</w:t>
                  </w:r>
                  <w:r>
                    <w:rPr>
                      <w:rFonts w:hint="eastAsia"/>
                      <w:bCs/>
                      <w:color w:val="auto"/>
                      <w:szCs w:val="21"/>
                      <w:highlight w:val="none"/>
                      <w:lang w:eastAsia="zh-CN"/>
                    </w:rPr>
                    <w:t>不使用高污染</w:t>
                  </w:r>
                  <w:r>
                    <w:rPr>
                      <w:rFonts w:hint="eastAsia"/>
                      <w:bCs/>
                      <w:color w:val="auto"/>
                      <w:szCs w:val="21"/>
                      <w:highlight w:val="none"/>
                    </w:rPr>
                    <w:t>燃料，无生产污水排放，生产过程废气排放满足《镁质耐火材料工业大气污染物排放标准》（DB21/3011-2018）排放限值要求，本项目建设对大气环境影响较小；生产设备优选低噪声设备，并采取切实有效的隔声、减振措施，厂界四周噪声满足《工业企业厂界环境噪声排放标准》（GB 12348-2008）中2类要求。项目</w:t>
                  </w:r>
                  <w:r>
                    <w:rPr>
                      <w:rFonts w:hint="eastAsia"/>
                      <w:bCs/>
                      <w:color w:val="auto"/>
                      <w:szCs w:val="21"/>
                      <w:highlight w:val="none"/>
                      <w:lang w:eastAsia="zh-CN"/>
                    </w:rPr>
                    <w:t>水洗白云石废水依托佳合鹏程沉淀池循环使用，不外排，洗车平台废水排入自建沉淀池循环使用，不外排</w:t>
                  </w:r>
                  <w:r>
                    <w:rPr>
                      <w:rFonts w:hint="eastAsia"/>
                      <w:bCs/>
                      <w:color w:val="auto"/>
                      <w:szCs w:val="21"/>
                      <w:highlight w:val="none"/>
                    </w:rPr>
                    <w:t>，</w:t>
                  </w:r>
                  <w:r>
                    <w:rPr>
                      <w:rFonts w:hint="eastAsia"/>
                      <w:bCs/>
                      <w:color w:val="auto"/>
                      <w:szCs w:val="21"/>
                      <w:highlight w:val="none"/>
                      <w:lang w:val="en-GB"/>
                    </w:rPr>
                    <w:t>生活污水排入</w:t>
                  </w:r>
                  <w:r>
                    <w:rPr>
                      <w:rFonts w:hint="eastAsia"/>
                      <w:bCs/>
                      <w:color w:val="auto"/>
                      <w:szCs w:val="21"/>
                      <w:highlight w:val="none"/>
                      <w:lang w:val="en-GB" w:eastAsia="zh-CN"/>
                    </w:rPr>
                    <w:t>化粪池</w:t>
                  </w:r>
                  <w:r>
                    <w:rPr>
                      <w:rFonts w:hint="eastAsia"/>
                      <w:bCs/>
                      <w:color w:val="auto"/>
                      <w:szCs w:val="21"/>
                      <w:highlight w:val="none"/>
                      <w:lang w:val="en-GB"/>
                    </w:rPr>
                    <w:t>定期清掏</w:t>
                  </w:r>
                  <w:r>
                    <w:rPr>
                      <w:rFonts w:hint="eastAsia"/>
                      <w:bCs/>
                      <w:color w:val="auto"/>
                      <w:szCs w:val="21"/>
                      <w:highlight w:val="none"/>
                    </w:rPr>
                    <w:t>，用于农田施肥</w:t>
                  </w:r>
                  <w:r>
                    <w:rPr>
                      <w:rFonts w:hint="eastAsia"/>
                      <w:bCs/>
                      <w:color w:val="auto"/>
                      <w:szCs w:val="21"/>
                      <w:highlight w:val="none"/>
                      <w:lang w:val="en-GB"/>
                    </w:rPr>
                    <w:t>；一般固废</w:t>
                  </w:r>
                  <w:r>
                    <w:rPr>
                      <w:rFonts w:hint="eastAsia"/>
                      <w:bCs/>
                      <w:color w:val="auto"/>
                      <w:szCs w:val="21"/>
                      <w:highlight w:val="none"/>
                      <w:lang w:val="en-GB" w:eastAsia="zh-CN"/>
                    </w:rPr>
                    <w:t>外售综合利用</w:t>
                  </w:r>
                  <w:r>
                    <w:rPr>
                      <w:rFonts w:hint="eastAsia"/>
                      <w:bCs/>
                      <w:color w:val="auto"/>
                      <w:szCs w:val="21"/>
                      <w:highlight w:val="none"/>
                      <w:lang w:val="en-GB"/>
                    </w:rPr>
                    <w:t>，危险废物暂存于危废贮存点</w:t>
                  </w:r>
                  <w:r>
                    <w:rPr>
                      <w:rFonts w:hint="eastAsia"/>
                      <w:bCs/>
                      <w:color w:val="auto"/>
                      <w:szCs w:val="21"/>
                      <w:highlight w:val="none"/>
                    </w:rPr>
                    <w:t>，定期委托有资质的单位处置，生活垃</w:t>
                  </w:r>
                  <w:r>
                    <w:rPr>
                      <w:rFonts w:hint="eastAsia"/>
                      <w:bCs/>
                      <w:color w:val="auto"/>
                      <w:szCs w:val="21"/>
                      <w:highlight w:val="none"/>
                      <w:lang w:eastAsia="zh-CN"/>
                    </w:rPr>
                    <w:t>圾由</w:t>
                  </w:r>
                  <w:r>
                    <w:rPr>
                      <w:rFonts w:hint="eastAsia"/>
                      <w:bCs/>
                      <w:color w:val="auto"/>
                      <w:szCs w:val="21"/>
                      <w:highlight w:val="none"/>
                    </w:rPr>
                    <w:t>环卫部门统一清运。本项目建设符合污染物排放管控要求。</w:t>
                  </w:r>
                </w:p>
              </w:tc>
            </w:tr>
          </w:tbl>
          <w:p w14:paraId="44E91542">
            <w:pPr>
              <w:pStyle w:val="17"/>
              <w:keepNext w:val="0"/>
              <w:keepLines w:val="0"/>
              <w:suppressLineNumbers w:val="0"/>
              <w:spacing w:before="0" w:beforeAutospacing="0" w:after="0" w:afterAutospacing="0"/>
              <w:ind w:left="0" w:right="0"/>
              <w:rPr>
                <w:color w:val="auto"/>
                <w:highlight w:val="none"/>
              </w:rPr>
            </w:pPr>
          </w:p>
          <w:p w14:paraId="7C82C725">
            <w:pPr>
              <w:keepNext w:val="0"/>
              <w:keepLines w:val="0"/>
              <w:suppressLineNumbers w:val="0"/>
              <w:spacing w:before="0" w:beforeAutospacing="0" w:after="0" w:afterAutospacing="0" w:line="360" w:lineRule="auto"/>
              <w:ind w:left="0" w:right="0" w:firstLine="480" w:firstLineChars="200"/>
              <w:rPr>
                <w:color w:val="auto"/>
                <w:sz w:val="24"/>
                <w:highlight w:val="none"/>
              </w:rPr>
            </w:pPr>
            <w:r>
              <w:rPr>
                <w:color w:val="auto"/>
                <w:sz w:val="24"/>
                <w:highlight w:val="none"/>
              </w:rPr>
              <w:t>由表</w:t>
            </w:r>
            <w:r>
              <w:rPr>
                <w:rFonts w:hint="eastAsia"/>
                <w:color w:val="auto"/>
                <w:sz w:val="24"/>
                <w:highlight w:val="none"/>
              </w:rPr>
              <w:t>1</w:t>
            </w:r>
            <w:r>
              <w:rPr>
                <w:rFonts w:hint="eastAsia"/>
                <w:color w:val="auto"/>
                <w:sz w:val="24"/>
                <w:highlight w:val="none"/>
                <w:lang w:val="en-US" w:eastAsia="zh-CN"/>
              </w:rPr>
              <w:t>-1</w:t>
            </w:r>
            <w:r>
              <w:rPr>
                <w:rFonts w:hint="eastAsia"/>
                <w:color w:val="auto"/>
                <w:sz w:val="24"/>
                <w:highlight w:val="none"/>
                <w:lang w:eastAsia="zh-CN"/>
              </w:rPr>
              <w:t>、</w:t>
            </w:r>
            <w:r>
              <w:rPr>
                <w:rFonts w:hint="eastAsia"/>
                <w:color w:val="auto"/>
                <w:sz w:val="24"/>
                <w:highlight w:val="none"/>
                <w:lang w:val="en-US" w:eastAsia="zh-CN"/>
              </w:rPr>
              <w:t>1-2</w:t>
            </w:r>
            <w:r>
              <w:rPr>
                <w:color w:val="auto"/>
                <w:sz w:val="24"/>
                <w:highlight w:val="none"/>
              </w:rPr>
              <w:t>可见，本项目建设符合生态保护红线、环境质量底线、资源利用上线和环境准入清单要求。</w:t>
            </w:r>
          </w:p>
          <w:p w14:paraId="02F29B20">
            <w:pPr>
              <w:keepNext w:val="0"/>
              <w:keepLines w:val="0"/>
              <w:suppressLineNumbers w:val="0"/>
              <w:spacing w:before="0" w:beforeAutospacing="0" w:after="0" w:afterAutospacing="0" w:line="360" w:lineRule="auto"/>
              <w:ind w:left="0" w:right="0"/>
              <w:rPr>
                <w:rFonts w:hint="eastAsia"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3</w:t>
            </w:r>
            <w:r>
              <w:rPr>
                <w:rFonts w:hint="eastAsia" w:ascii="Times New Roman" w:hAnsi="Times New Roman" w:eastAsia="宋体" w:cs="Times New Roman"/>
                <w:color w:val="auto"/>
                <w:sz w:val="24"/>
                <w:szCs w:val="24"/>
                <w:highlight w:val="none"/>
              </w:rPr>
              <w:t>、与《</w:t>
            </w:r>
            <w:r>
              <w:rPr>
                <w:rFonts w:hint="eastAsia" w:ascii="Times New Roman" w:hAnsi="Times New Roman" w:eastAsia="宋体" w:cs="Times New Roman"/>
                <w:color w:val="auto"/>
                <w:sz w:val="24"/>
                <w:szCs w:val="24"/>
                <w:highlight w:val="none"/>
                <w:lang w:eastAsia="zh-CN"/>
              </w:rPr>
              <w:t>鞍山市</w:t>
            </w:r>
            <w:r>
              <w:rPr>
                <w:rFonts w:hint="eastAsia" w:ascii="Times New Roman" w:hAnsi="Times New Roman" w:eastAsia="宋体" w:cs="Times New Roman"/>
                <w:color w:val="auto"/>
                <w:sz w:val="24"/>
                <w:szCs w:val="24"/>
                <w:highlight w:val="none"/>
              </w:rPr>
              <w:t>深入打好污染防治攻坚战实施方案》</w:t>
            </w:r>
            <w:r>
              <w:rPr>
                <w:rFonts w:hint="eastAsia" w:ascii="Times New Roman" w:hAnsi="Times New Roman" w:eastAsia="宋体" w:cs="Times New Roman"/>
                <w:color w:val="auto"/>
                <w:sz w:val="24"/>
                <w:szCs w:val="24"/>
                <w:highlight w:val="none"/>
                <w:lang w:eastAsia="zh-CN"/>
              </w:rPr>
              <w:t>（鞍委发</w:t>
            </w:r>
            <w:r>
              <w:rPr>
                <w:rFonts w:hint="eastAsia" w:ascii="Times New Roman" w:hAnsi="Times New Roman" w:eastAsia="宋体" w:cs="Times New Roman"/>
                <w:color w:val="auto"/>
                <w:sz w:val="24"/>
                <w:szCs w:val="24"/>
                <w:highlight w:val="none"/>
              </w:rPr>
              <w:t>〔2022〕</w:t>
            </w:r>
            <w:r>
              <w:rPr>
                <w:rFonts w:hint="eastAsia" w:ascii="Times New Roman" w:hAnsi="Times New Roman" w:eastAsia="宋体" w:cs="Times New Roman"/>
                <w:color w:val="auto"/>
                <w:sz w:val="24"/>
                <w:szCs w:val="24"/>
                <w:highlight w:val="none"/>
                <w:lang w:val="en-US" w:eastAsia="zh-CN"/>
              </w:rPr>
              <w:t>22</w:t>
            </w:r>
            <w:r>
              <w:rPr>
                <w:rFonts w:hint="eastAsia" w:ascii="Times New Roman" w:hAnsi="Times New Roman" w:eastAsia="宋体" w:cs="Times New Roman"/>
                <w:color w:val="auto"/>
                <w:sz w:val="24"/>
                <w:szCs w:val="24"/>
                <w:highlight w:val="none"/>
              </w:rPr>
              <w:t>号</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符合性分析</w:t>
            </w:r>
          </w:p>
          <w:p w14:paraId="7140A499">
            <w:pPr>
              <w:pStyle w:val="16"/>
              <w:keepNext w:val="0"/>
              <w:keepLines w:val="0"/>
              <w:suppressLineNumbers w:val="0"/>
              <w:spacing w:before="0" w:beforeAutospacing="0" w:after="0" w:afterAutospacing="0"/>
              <w:ind w:left="0" w:leftChars="0" w:right="0" w:firstLine="0" w:firstLineChars="0"/>
              <w:jc w:val="center"/>
              <w:rPr>
                <w:rFonts w:hint="eastAsia"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rPr>
              <w:t>表</w:t>
            </w:r>
            <w:r>
              <w:rPr>
                <w:rFonts w:hint="eastAsia" w:cs="Times New Roman"/>
                <w:b/>
                <w:bCs/>
                <w:color w:val="auto"/>
                <w:sz w:val="24"/>
                <w:szCs w:val="24"/>
                <w:highlight w:val="none"/>
                <w:lang w:val="en-US" w:eastAsia="zh-CN"/>
              </w:rPr>
              <w:t>1-3</w:t>
            </w:r>
            <w:r>
              <w:rPr>
                <w:rFonts w:ascii="Times New Roman" w:hAnsi="Times New Roman" w:eastAsia="宋体" w:cs="Times New Roman"/>
                <w:b/>
                <w:bCs/>
                <w:color w:val="auto"/>
                <w:sz w:val="24"/>
                <w:szCs w:val="24"/>
                <w:highlight w:val="none"/>
              </w:rPr>
              <w:t xml:space="preserve">  《</w:t>
            </w:r>
            <w:r>
              <w:rPr>
                <w:rFonts w:hint="eastAsia" w:ascii="Times New Roman" w:hAnsi="Times New Roman" w:eastAsia="宋体" w:cs="Times New Roman"/>
                <w:b/>
                <w:bCs/>
                <w:color w:val="auto"/>
                <w:sz w:val="24"/>
                <w:szCs w:val="24"/>
                <w:highlight w:val="none"/>
                <w:lang w:eastAsia="zh-CN"/>
              </w:rPr>
              <w:t>鞍山市</w:t>
            </w:r>
            <w:r>
              <w:rPr>
                <w:rFonts w:hint="eastAsia" w:ascii="Times New Roman" w:hAnsi="Times New Roman" w:eastAsia="宋体" w:cs="Times New Roman"/>
                <w:b/>
                <w:bCs/>
                <w:color w:val="auto"/>
                <w:sz w:val="24"/>
                <w:szCs w:val="24"/>
                <w:highlight w:val="none"/>
              </w:rPr>
              <w:t>深入打好污染防治攻坚战实施方案</w:t>
            </w:r>
            <w:r>
              <w:rPr>
                <w:rFonts w:ascii="Times New Roman" w:hAnsi="Times New Roman" w:eastAsia="宋体" w:cs="Times New Roman"/>
                <w:b/>
                <w:bCs/>
                <w:color w:val="auto"/>
                <w:sz w:val="24"/>
                <w:szCs w:val="24"/>
                <w:highlight w:val="none"/>
              </w:rPr>
              <w:t>》</w:t>
            </w:r>
            <w:r>
              <w:rPr>
                <w:rFonts w:hint="eastAsia" w:ascii="Times New Roman" w:hAnsi="Times New Roman" w:eastAsia="宋体" w:cs="Times New Roman"/>
                <w:b/>
                <w:bCs/>
                <w:color w:val="auto"/>
                <w:sz w:val="24"/>
                <w:szCs w:val="24"/>
                <w:highlight w:val="none"/>
                <w:lang w:eastAsia="zh-CN"/>
              </w:rPr>
              <w:t>（鞍委发</w:t>
            </w:r>
            <w:r>
              <w:rPr>
                <w:rFonts w:hint="eastAsia" w:ascii="Times New Roman" w:hAnsi="Times New Roman" w:eastAsia="宋体" w:cs="Times New Roman"/>
                <w:b/>
                <w:bCs/>
                <w:color w:val="auto"/>
                <w:sz w:val="24"/>
                <w:szCs w:val="24"/>
                <w:highlight w:val="none"/>
              </w:rPr>
              <w:t>〔2022〕</w:t>
            </w:r>
            <w:r>
              <w:rPr>
                <w:rFonts w:hint="eastAsia" w:ascii="Times New Roman" w:hAnsi="Times New Roman" w:eastAsia="宋体" w:cs="Times New Roman"/>
                <w:b/>
                <w:bCs/>
                <w:color w:val="auto"/>
                <w:sz w:val="24"/>
                <w:szCs w:val="24"/>
                <w:highlight w:val="none"/>
                <w:lang w:val="en-US" w:eastAsia="zh-CN"/>
              </w:rPr>
              <w:t>22</w:t>
            </w:r>
            <w:r>
              <w:rPr>
                <w:rFonts w:hint="eastAsia" w:ascii="Times New Roman" w:hAnsi="Times New Roman" w:eastAsia="宋体" w:cs="Times New Roman"/>
                <w:b/>
                <w:bCs/>
                <w:color w:val="auto"/>
                <w:sz w:val="24"/>
                <w:szCs w:val="24"/>
                <w:highlight w:val="none"/>
              </w:rPr>
              <w:t>号</w:t>
            </w:r>
            <w:r>
              <w:rPr>
                <w:rFonts w:hint="eastAsia" w:ascii="Times New Roman" w:hAnsi="Times New Roman" w:eastAsia="宋体" w:cs="Times New Roman"/>
                <w:b/>
                <w:bCs/>
                <w:color w:val="auto"/>
                <w:sz w:val="24"/>
                <w:szCs w:val="24"/>
                <w:highlight w:val="none"/>
                <w:lang w:eastAsia="zh-CN"/>
              </w:rPr>
              <w:t>）</w:t>
            </w:r>
            <w:r>
              <w:rPr>
                <w:rFonts w:hint="eastAsia" w:ascii="Times New Roman" w:hAnsi="Times New Roman" w:eastAsia="宋体" w:cs="Times New Roman"/>
                <w:b/>
                <w:bCs/>
                <w:color w:val="auto"/>
                <w:sz w:val="24"/>
                <w:szCs w:val="24"/>
                <w:highlight w:val="none"/>
              </w:rPr>
              <w:t>符合性分析</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8"/>
              <w:gridCol w:w="873"/>
              <w:gridCol w:w="3815"/>
              <w:gridCol w:w="2313"/>
              <w:gridCol w:w="718"/>
            </w:tblGrid>
            <w:tr w14:paraId="1D44C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8" w:type="pct"/>
                  <w:gridSpan w:val="2"/>
                  <w:noWrap w:val="0"/>
                  <w:vAlign w:val="center"/>
                </w:tcPr>
                <w:p w14:paraId="17D14C34">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项目</w:t>
                  </w:r>
                </w:p>
              </w:tc>
              <w:tc>
                <w:tcPr>
                  <w:tcW w:w="2268" w:type="pct"/>
                  <w:noWrap w:val="0"/>
                  <w:vAlign w:val="center"/>
                </w:tcPr>
                <w:p w14:paraId="3AB11449">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具体要求</w:t>
                  </w:r>
                </w:p>
              </w:tc>
              <w:tc>
                <w:tcPr>
                  <w:tcW w:w="1375" w:type="pct"/>
                  <w:noWrap w:val="0"/>
                  <w:vAlign w:val="center"/>
                </w:tcPr>
                <w:p w14:paraId="1B259F97">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本项目情况</w:t>
                  </w:r>
                </w:p>
              </w:tc>
              <w:tc>
                <w:tcPr>
                  <w:tcW w:w="427" w:type="pct"/>
                  <w:noWrap w:val="0"/>
                  <w:vAlign w:val="center"/>
                </w:tcPr>
                <w:p w14:paraId="71DC181D">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符合性</w:t>
                  </w:r>
                </w:p>
              </w:tc>
            </w:tr>
            <w:tr w14:paraId="4F16C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9" w:type="pct"/>
                  <w:vMerge w:val="restart"/>
                  <w:noWrap w:val="0"/>
                  <w:vAlign w:val="center"/>
                </w:tcPr>
                <w:p w14:paraId="1AFD1DE7">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加快推动绿色低碳发展</w:t>
                  </w:r>
                </w:p>
              </w:tc>
              <w:tc>
                <w:tcPr>
                  <w:tcW w:w="519" w:type="pct"/>
                  <w:noWrap w:val="0"/>
                  <w:vAlign w:val="center"/>
                </w:tcPr>
                <w:p w14:paraId="564A60D3">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深入推进碳达峰行动</w:t>
                  </w:r>
                </w:p>
              </w:tc>
              <w:tc>
                <w:tcPr>
                  <w:tcW w:w="2268" w:type="pct"/>
                  <w:noWrap w:val="0"/>
                  <w:vAlign w:val="center"/>
                </w:tcPr>
                <w:p w14:paraId="5D24141A">
                  <w:pPr>
                    <w:keepNext w:val="0"/>
                    <w:keepLines w:val="0"/>
                    <w:suppressLineNumbers w:val="0"/>
                    <w:spacing w:before="0" w:beforeAutospacing="0" w:after="0" w:afterAutospacing="0"/>
                    <w:ind w:left="0" w:right="0"/>
                    <w:jc w:val="left"/>
                    <w:rPr>
                      <w:rFonts w:hint="eastAsia" w:ascii="Times New Roman" w:hAnsi="Times New Roman" w:eastAsia="宋体" w:cs="Times New Roman"/>
                      <w:color w:val="auto"/>
                      <w:highlight w:val="none"/>
                      <w:lang w:eastAsia="zh-CN"/>
                    </w:rPr>
                  </w:pPr>
                  <w:r>
                    <w:rPr>
                      <w:rFonts w:ascii="Times New Roman" w:hAnsi="Times New Roman" w:eastAsia="宋体" w:cs="Times New Roman"/>
                      <w:color w:val="auto"/>
                      <w:highlight w:val="none"/>
                    </w:rPr>
                    <w:t>以能源、工业、城乡建设、交通运输等领域和钢铁、有色金属、建材、石化化工等行业为重点，推进健全碳达峰碳中和“1+N”政策制度。支持有条件的地区和重点行业、重点企业率先达峰。</w:t>
                  </w:r>
                  <w:r>
                    <w:rPr>
                      <w:rFonts w:hint="eastAsia" w:ascii="Times New Roman" w:hAnsi="Times New Roman" w:eastAsia="宋体" w:cs="Times New Roman"/>
                      <w:color w:val="auto"/>
                      <w:highlight w:val="none"/>
                      <w:lang w:eastAsia="zh-CN"/>
                    </w:rPr>
                    <w:t>全力</w:t>
                  </w:r>
                  <w:r>
                    <w:rPr>
                      <w:rFonts w:ascii="Times New Roman" w:hAnsi="Times New Roman" w:eastAsia="宋体" w:cs="Times New Roman"/>
                      <w:color w:val="auto"/>
                      <w:highlight w:val="none"/>
                    </w:rPr>
                    <w:t>做好结构调整“三篇大文章”，推进工业领域数字化智能化绿色化融合发展，加强重点行业和领域</w:t>
                  </w:r>
                  <w:r>
                    <w:rPr>
                      <w:rFonts w:hint="eastAsia" w:cs="Times New Roman"/>
                      <w:color w:val="auto"/>
                      <w:highlight w:val="none"/>
                      <w:lang w:eastAsia="zh-CN"/>
                    </w:rPr>
                    <w:t>改造</w:t>
                  </w:r>
                  <w:r>
                    <w:rPr>
                      <w:rFonts w:ascii="Times New Roman" w:hAnsi="Times New Roman" w:eastAsia="宋体" w:cs="Times New Roman"/>
                      <w:color w:val="auto"/>
                      <w:highlight w:val="none"/>
                    </w:rPr>
                    <w:t>，推动绿色低碳转型和高质量发展。到2025年，全</w:t>
                  </w:r>
                  <w:r>
                    <w:rPr>
                      <w:rFonts w:hint="eastAsia" w:ascii="Times New Roman" w:hAnsi="Times New Roman" w:eastAsia="宋体" w:cs="Times New Roman"/>
                      <w:color w:val="auto"/>
                      <w:highlight w:val="none"/>
                      <w:lang w:eastAsia="zh-CN"/>
                    </w:rPr>
                    <w:t>市</w:t>
                  </w:r>
                  <w:r>
                    <w:rPr>
                      <w:rFonts w:ascii="Times New Roman" w:hAnsi="Times New Roman" w:eastAsia="宋体" w:cs="Times New Roman"/>
                      <w:color w:val="auto"/>
                      <w:highlight w:val="none"/>
                    </w:rPr>
                    <w:t>重点行业能效达到标杆水平的产能</w:t>
                  </w:r>
                  <w:r>
                    <w:rPr>
                      <w:rFonts w:hint="eastAsia" w:ascii="Times New Roman" w:hAnsi="Times New Roman" w:eastAsia="宋体" w:cs="Times New Roman"/>
                      <w:color w:val="auto"/>
                      <w:highlight w:val="none"/>
                      <w:lang w:eastAsia="zh-CN"/>
                    </w:rPr>
                    <w:t>比例符合省要求</w:t>
                  </w:r>
                  <w:r>
                    <w:rPr>
                      <w:rFonts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eastAsia="zh-CN"/>
                    </w:rPr>
                    <w:t>加快鞍钢集团工程技术产业和节能环保产业技术推广与应用，提升重点行业节能水平；加快除尘、脱硫脱硝系统升级改造，挥发性有机物（</w:t>
                  </w:r>
                  <w:r>
                    <w:rPr>
                      <w:rFonts w:hint="eastAsia" w:ascii="Times New Roman" w:hAnsi="Times New Roman" w:eastAsia="宋体" w:cs="Times New Roman"/>
                      <w:color w:val="auto"/>
                      <w:highlight w:val="none"/>
                      <w:lang w:val="en-US" w:eastAsia="zh-CN"/>
                    </w:rPr>
                    <w:t>VOCs</w:t>
                  </w:r>
                  <w:r>
                    <w:rPr>
                      <w:rFonts w:hint="eastAsia" w:ascii="Times New Roman" w:hAnsi="Times New Roman" w:eastAsia="宋体" w:cs="Times New Roman"/>
                      <w:color w:val="auto"/>
                      <w:highlight w:val="none"/>
                      <w:lang w:eastAsia="zh-CN"/>
                    </w:rPr>
                    <w:t>）治理</w:t>
                  </w:r>
                  <w:r>
                    <w:rPr>
                      <w:rFonts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eastAsia="zh-CN"/>
                    </w:rPr>
                    <w:t>按照国家、省部署，落实二氧化碳排放总量控制制度，组织重点排放单位编制温室气体排放报告，推动碳排放权交易。加强甲烷等非二氧化碳温室气体排放管控，建立工业非二氧化碳温室气体监测体系。将温室气体管控纳入环境影响评价管理范围，推动应对气候变化工作与统计调查、评价管理、监测体系、监管执法与督查考核等工作统筹融合。</w:t>
                  </w:r>
                </w:p>
              </w:tc>
              <w:tc>
                <w:tcPr>
                  <w:tcW w:w="1375" w:type="pct"/>
                  <w:noWrap w:val="0"/>
                  <w:vAlign w:val="center"/>
                </w:tcPr>
                <w:p w14:paraId="2D9144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Times New Roman" w:hAnsi="Times New Roman" w:eastAsia="宋体" w:cs="Times New Roman"/>
                      <w:color w:val="auto"/>
                      <w:highlight w:val="none"/>
                    </w:rPr>
                  </w:pPr>
                  <w:r>
                    <w:rPr>
                      <w:rFonts w:hint="eastAsia" w:ascii="Calibri" w:hAnsi="Calibri" w:eastAsia="宋体" w:cs="Times New Roman"/>
                      <w:color w:val="auto"/>
                      <w:sz w:val="21"/>
                      <w:szCs w:val="21"/>
                      <w:highlight w:val="none"/>
                      <w:vertAlign w:val="baseline"/>
                      <w:lang w:val="en-US" w:eastAsia="zh-CN"/>
                    </w:rPr>
                    <w:t>本项目为</w:t>
                  </w:r>
                  <w:r>
                    <w:rPr>
                      <w:rFonts w:hint="eastAsia" w:ascii="宋体" w:hAnsi="宋体" w:eastAsia="宋体" w:cs="宋体"/>
                      <w:color w:val="auto"/>
                      <w:szCs w:val="21"/>
                      <w:highlight w:val="none"/>
                      <w:lang w:val="en-US" w:eastAsia="zh-CN"/>
                    </w:rPr>
                    <w:t>石墨及</w:t>
                  </w:r>
                  <w:r>
                    <w:rPr>
                      <w:rFonts w:hint="eastAsia" w:ascii="宋体" w:hAnsi="宋体" w:eastAsia="宋体" w:cs="宋体"/>
                      <w:color w:val="auto"/>
                      <w:sz w:val="21"/>
                      <w:szCs w:val="21"/>
                      <w:highlight w:val="none"/>
                      <w:lang w:eastAsia="zh-CN"/>
                    </w:rPr>
                    <w:t>其他非金属矿物制品制造业，</w:t>
                  </w:r>
                  <w:r>
                    <w:rPr>
                      <w:rFonts w:hint="eastAsia" w:ascii="Times New Roman" w:hAnsi="Times New Roman" w:eastAsia="宋体" w:cs="Times New Roman"/>
                      <w:color w:val="auto"/>
                      <w:highlight w:val="none"/>
                    </w:rPr>
                    <w:t>不属于</w:t>
                  </w:r>
                  <w:r>
                    <w:rPr>
                      <w:rFonts w:ascii="Times New Roman" w:hAnsi="Times New Roman" w:eastAsia="宋体" w:cs="Times New Roman"/>
                      <w:color w:val="auto"/>
                      <w:highlight w:val="none"/>
                    </w:rPr>
                    <w:t>钢铁、有色金属、建材、石化化工等重点行业</w:t>
                  </w:r>
                  <w:r>
                    <w:rPr>
                      <w:rFonts w:hint="eastAsia" w:ascii="Times New Roman" w:hAnsi="Times New Roman" w:eastAsia="宋体" w:cs="Times New Roman"/>
                      <w:color w:val="auto"/>
                      <w:highlight w:val="none"/>
                    </w:rPr>
                    <w:t>；本项目</w:t>
                  </w:r>
                  <w:r>
                    <w:rPr>
                      <w:rFonts w:hint="eastAsia" w:ascii="Times New Roman" w:hAnsi="Times New Roman" w:eastAsia="宋体" w:cs="Times New Roman"/>
                      <w:color w:val="auto"/>
                      <w:highlight w:val="none"/>
                      <w:lang w:eastAsia="zh-CN"/>
                    </w:rPr>
                    <w:t>主要能源为电，符合相关要求</w:t>
                  </w:r>
                  <w:r>
                    <w:rPr>
                      <w:rFonts w:hint="eastAsia" w:ascii="Times New Roman" w:hAnsi="Times New Roman" w:eastAsia="宋体" w:cs="Times New Roman"/>
                      <w:color w:val="auto"/>
                      <w:highlight w:val="none"/>
                    </w:rPr>
                    <w:t>。</w:t>
                  </w:r>
                </w:p>
              </w:tc>
              <w:tc>
                <w:tcPr>
                  <w:tcW w:w="427" w:type="pct"/>
                  <w:noWrap w:val="0"/>
                  <w:vAlign w:val="center"/>
                </w:tcPr>
                <w:p w14:paraId="1BA272CE">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符合</w:t>
                  </w:r>
                </w:p>
              </w:tc>
            </w:tr>
            <w:tr w14:paraId="785CF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9" w:type="pct"/>
                  <w:vMerge w:val="continue"/>
                  <w:noWrap w:val="0"/>
                  <w:vAlign w:val="center"/>
                </w:tcPr>
                <w:p w14:paraId="479840C8">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highlight w:val="none"/>
                    </w:rPr>
                  </w:pPr>
                </w:p>
              </w:tc>
              <w:tc>
                <w:tcPr>
                  <w:tcW w:w="519" w:type="pct"/>
                  <w:noWrap w:val="0"/>
                  <w:vAlign w:val="center"/>
                </w:tcPr>
                <w:p w14:paraId="7B72B6BF">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推动能源清洁低碳转型</w:t>
                  </w:r>
                </w:p>
              </w:tc>
              <w:tc>
                <w:tcPr>
                  <w:tcW w:w="2268" w:type="pct"/>
                  <w:noWrap w:val="0"/>
                  <w:vAlign w:val="center"/>
                </w:tcPr>
                <w:p w14:paraId="25ACC566">
                  <w:pPr>
                    <w:keepNext w:val="0"/>
                    <w:keepLines w:val="0"/>
                    <w:suppressLineNumbers w:val="0"/>
                    <w:spacing w:before="0" w:beforeAutospacing="0" w:after="0" w:afterAutospacing="0"/>
                    <w:ind w:left="0" w:right="0"/>
                    <w:jc w:val="left"/>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优化能源供给结构，</w:t>
                  </w:r>
                  <w:r>
                    <w:rPr>
                      <w:rFonts w:hint="eastAsia" w:ascii="Times New Roman" w:hAnsi="Times New Roman" w:eastAsia="宋体" w:cs="Times New Roman"/>
                      <w:color w:val="auto"/>
                      <w:highlight w:val="none"/>
                      <w:lang w:eastAsia="zh-CN"/>
                    </w:rPr>
                    <w:t>大力发展风电、光伏、生物质等可再生能源发电项目，</w:t>
                  </w:r>
                  <w:r>
                    <w:rPr>
                      <w:rFonts w:hint="eastAsia" w:ascii="Times New Roman" w:hAnsi="Times New Roman" w:eastAsia="宋体" w:cs="Times New Roman"/>
                      <w:color w:val="auto"/>
                      <w:highlight w:val="none"/>
                    </w:rPr>
                    <w:t>到2025年，非化石能源发电装机达到</w:t>
                  </w:r>
                  <w:r>
                    <w:rPr>
                      <w:rFonts w:hint="eastAsia" w:ascii="Times New Roman" w:hAnsi="Times New Roman" w:eastAsia="宋体" w:cs="Times New Roman"/>
                      <w:color w:val="auto"/>
                      <w:highlight w:val="none"/>
                      <w:lang w:val="en-US" w:eastAsia="zh-CN"/>
                    </w:rPr>
                    <w:t>150万</w:t>
                  </w:r>
                  <w:r>
                    <w:rPr>
                      <w:rFonts w:hint="eastAsia" w:ascii="Times New Roman" w:hAnsi="Times New Roman" w:eastAsia="宋体" w:cs="Times New Roman"/>
                      <w:color w:val="auto"/>
                      <w:highlight w:val="none"/>
                    </w:rPr>
                    <w:t>千瓦</w:t>
                  </w:r>
                  <w:r>
                    <w:rPr>
                      <w:rFonts w:hint="eastAsia" w:ascii="Times New Roman" w:hAnsi="Times New Roman" w:eastAsia="宋体" w:cs="Times New Roman"/>
                      <w:color w:val="auto"/>
                      <w:highlight w:val="none"/>
                      <w:lang w:eastAsia="zh-CN"/>
                    </w:rPr>
                    <w:t>以上</w:t>
                  </w:r>
                  <w:r>
                    <w:rPr>
                      <w:rFonts w:hint="eastAsia"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eastAsia="zh-CN"/>
                    </w:rPr>
                    <w:t>占全市在运发电总装机比例达到省要求；</w:t>
                  </w:r>
                  <w:r>
                    <w:rPr>
                      <w:rFonts w:hint="eastAsia" w:ascii="Times New Roman" w:hAnsi="Times New Roman" w:eastAsia="宋体" w:cs="Times New Roman"/>
                      <w:color w:val="auto"/>
                      <w:highlight w:val="none"/>
                    </w:rPr>
                    <w:t>原则上不再新增自备燃煤机组，支持自备燃煤机组实施清洁能源替代，鼓励自备电厂转为公用电厂。</w:t>
                  </w:r>
                  <w:r>
                    <w:rPr>
                      <w:rFonts w:hint="eastAsia" w:ascii="Times New Roman" w:hAnsi="Times New Roman" w:eastAsia="宋体" w:cs="Times New Roman"/>
                      <w:color w:val="auto"/>
                      <w:highlight w:val="none"/>
                      <w:lang w:eastAsia="zh-CN"/>
                    </w:rPr>
                    <w:t>稳妥推进天然气化工程，在具备条件的城乡结合部推进居民煤改气工程，新增天然气优先保障居民生活和清洁取暖需要。</w:t>
                  </w:r>
                  <w:r>
                    <w:rPr>
                      <w:rFonts w:hint="eastAsia" w:ascii="Times New Roman" w:hAnsi="Times New Roman" w:eastAsia="宋体" w:cs="Times New Roman"/>
                      <w:color w:val="auto"/>
                      <w:highlight w:val="none"/>
                    </w:rPr>
                    <w:t>加快调整能源消费结构，提升电能占终端能源消费比重。</w:t>
                  </w:r>
                </w:p>
              </w:tc>
              <w:tc>
                <w:tcPr>
                  <w:tcW w:w="1375" w:type="pct"/>
                  <w:noWrap w:val="0"/>
                  <w:vAlign w:val="center"/>
                </w:tcPr>
                <w:p w14:paraId="3DE066A3">
                  <w:pPr>
                    <w:pStyle w:val="9"/>
                    <w:keepNext w:val="0"/>
                    <w:keepLines w:val="0"/>
                    <w:suppressLineNumbers w:val="0"/>
                    <w:spacing w:before="0" w:beforeAutospacing="0" w:after="0" w:afterAutospacing="0"/>
                    <w:ind w:left="0" w:right="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本项目</w:t>
                  </w:r>
                  <w:r>
                    <w:rPr>
                      <w:rFonts w:hint="eastAsia" w:ascii="Times New Roman" w:hAnsi="Times New Roman" w:eastAsia="宋体" w:cs="Times New Roman"/>
                      <w:color w:val="auto"/>
                      <w:highlight w:val="none"/>
                      <w:lang w:eastAsia="zh-CN"/>
                    </w:rPr>
                    <w:t>主要能源为电</w:t>
                  </w:r>
                  <w:r>
                    <w:rPr>
                      <w:rFonts w:hint="eastAsia"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eastAsia="zh-CN"/>
                    </w:rPr>
                    <w:t>不使用</w:t>
                  </w:r>
                  <w:r>
                    <w:rPr>
                      <w:rFonts w:hint="eastAsia" w:cs="Times New Roman"/>
                      <w:color w:val="auto"/>
                      <w:highlight w:val="none"/>
                      <w:lang w:eastAsia="zh-CN"/>
                    </w:rPr>
                    <w:t>化石</w:t>
                  </w:r>
                  <w:r>
                    <w:rPr>
                      <w:rFonts w:hint="eastAsia" w:ascii="Times New Roman" w:hAnsi="Times New Roman" w:eastAsia="宋体" w:cs="Times New Roman"/>
                      <w:color w:val="auto"/>
                      <w:highlight w:val="none"/>
                      <w:lang w:eastAsia="zh-CN"/>
                    </w:rPr>
                    <w:t>能源，</w:t>
                  </w:r>
                  <w:r>
                    <w:rPr>
                      <w:rFonts w:hint="eastAsia" w:ascii="Times New Roman" w:hAnsi="Times New Roman" w:eastAsia="宋体" w:cs="Times New Roman"/>
                      <w:color w:val="auto"/>
                      <w:highlight w:val="none"/>
                    </w:rPr>
                    <w:t>符合相关要求。</w:t>
                  </w:r>
                </w:p>
              </w:tc>
              <w:tc>
                <w:tcPr>
                  <w:tcW w:w="427" w:type="pct"/>
                  <w:noWrap w:val="0"/>
                  <w:vAlign w:val="center"/>
                </w:tcPr>
                <w:p w14:paraId="7634BEC5">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符合</w:t>
                  </w:r>
                </w:p>
              </w:tc>
            </w:tr>
            <w:tr w14:paraId="1B82C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9" w:type="pct"/>
                  <w:vMerge w:val="continue"/>
                  <w:noWrap w:val="0"/>
                  <w:vAlign w:val="center"/>
                </w:tcPr>
                <w:p w14:paraId="25C9AA7C">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highlight w:val="none"/>
                    </w:rPr>
                  </w:pPr>
                </w:p>
              </w:tc>
              <w:tc>
                <w:tcPr>
                  <w:tcW w:w="519" w:type="pct"/>
                  <w:noWrap w:val="0"/>
                  <w:vAlign w:val="center"/>
                </w:tcPr>
                <w:p w14:paraId="6D9B53E7">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坚决遏制高耗能高排放项目盲目发展</w:t>
                  </w:r>
                </w:p>
              </w:tc>
              <w:tc>
                <w:tcPr>
                  <w:tcW w:w="2268" w:type="pct"/>
                  <w:noWrap w:val="0"/>
                  <w:vAlign w:val="center"/>
                </w:tcPr>
                <w:p w14:paraId="73ED8F27">
                  <w:pPr>
                    <w:keepNext w:val="0"/>
                    <w:keepLines w:val="0"/>
                    <w:suppressLineNumbers w:val="0"/>
                    <w:spacing w:before="0" w:beforeAutospacing="0" w:after="0" w:afterAutospacing="0"/>
                    <w:ind w:left="0" w:right="0"/>
                    <w:jc w:val="left"/>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rPr>
                    <w:t>对“两高”项目实行清单管理、分类处置、动态监控。严格把好新建、扩建钢铁、水泥熟料、平板玻璃、电解铝等</w:t>
                  </w:r>
                  <w:r>
                    <w:rPr>
                      <w:rFonts w:hint="eastAsia" w:ascii="Times New Roman" w:hAnsi="Times New Roman" w:eastAsia="宋体" w:cs="Times New Roman"/>
                      <w:color w:val="auto"/>
                      <w:highlight w:val="none"/>
                      <w:lang w:eastAsia="zh-CN"/>
                    </w:rPr>
                    <w:t>“两高”</w:t>
                  </w:r>
                  <w:r>
                    <w:rPr>
                      <w:rFonts w:hint="eastAsia" w:ascii="Times New Roman" w:hAnsi="Times New Roman" w:eastAsia="宋体" w:cs="Times New Roman"/>
                      <w:color w:val="auto"/>
                      <w:highlight w:val="none"/>
                    </w:rPr>
                    <w:t>项目准入关。</w:t>
                  </w:r>
                  <w:r>
                    <w:rPr>
                      <w:rFonts w:hint="eastAsia" w:ascii="Times New Roman" w:hAnsi="Times New Roman" w:eastAsia="宋体" w:cs="Times New Roman"/>
                      <w:color w:val="auto"/>
                      <w:highlight w:val="none"/>
                      <w:lang w:eastAsia="zh-CN"/>
                    </w:rPr>
                    <w:t>积极争取重大项目能耗指标单列。</w:t>
                  </w:r>
                  <w:r>
                    <w:rPr>
                      <w:rFonts w:hint="eastAsia" w:ascii="Times New Roman" w:hAnsi="Times New Roman" w:eastAsia="宋体" w:cs="Times New Roman"/>
                      <w:color w:val="auto"/>
                      <w:highlight w:val="none"/>
                    </w:rPr>
                    <w:t>支持符合规定特别是生产国内短缺重要产品、有利于碳达峰碳中和目标实现的项目发展。稳妥做好存量“两高”项目管理，合理设置政策过渡期，积极推进有节能减排潜力的项目改造升级。</w:t>
                  </w:r>
                  <w:r>
                    <w:rPr>
                      <w:rFonts w:hint="eastAsia" w:ascii="Times New Roman" w:hAnsi="Times New Roman" w:eastAsia="宋体" w:cs="Times New Roman"/>
                      <w:color w:val="auto"/>
                      <w:highlight w:val="none"/>
                      <w:lang w:eastAsia="zh-CN"/>
                    </w:rPr>
                    <w:t>坚决停批停建不符合规定的</w:t>
                  </w:r>
                  <w:r>
                    <w:rPr>
                      <w:rFonts w:hint="eastAsia" w:ascii="Times New Roman" w:hAnsi="Times New Roman" w:eastAsia="宋体" w:cs="Times New Roman"/>
                      <w:color w:val="auto"/>
                      <w:highlight w:val="none"/>
                    </w:rPr>
                    <w:t>“两高”项目。</w:t>
                  </w:r>
                  <w:r>
                    <w:rPr>
                      <w:rFonts w:hint="eastAsia" w:ascii="Times New Roman" w:hAnsi="Times New Roman" w:eastAsia="宋体" w:cs="Times New Roman"/>
                      <w:color w:val="auto"/>
                      <w:highlight w:val="none"/>
                      <w:lang w:eastAsia="zh-CN"/>
                    </w:rPr>
                    <w:t>加强高耗能高排放项目事中事后监管。</w:t>
                  </w:r>
                </w:p>
              </w:tc>
              <w:tc>
                <w:tcPr>
                  <w:tcW w:w="1375" w:type="pct"/>
                  <w:noWrap w:val="0"/>
                  <w:vAlign w:val="center"/>
                </w:tcPr>
                <w:p w14:paraId="21A5C3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本项目为</w:t>
                  </w:r>
                  <w:r>
                    <w:rPr>
                      <w:rFonts w:hint="eastAsia" w:ascii="宋体" w:hAnsi="宋体" w:eastAsia="宋体" w:cs="宋体"/>
                      <w:color w:val="auto"/>
                      <w:szCs w:val="21"/>
                      <w:highlight w:val="none"/>
                      <w:lang w:val="en-US" w:eastAsia="zh-CN"/>
                    </w:rPr>
                    <w:t>石墨及</w:t>
                  </w:r>
                  <w:r>
                    <w:rPr>
                      <w:rFonts w:hint="eastAsia" w:ascii="Times New Roman" w:hAnsi="Times New Roman" w:eastAsia="宋体" w:cs="Times New Roman"/>
                      <w:color w:val="auto"/>
                      <w:highlight w:val="none"/>
                      <w:lang w:val="en-US" w:eastAsia="zh-CN"/>
                    </w:rPr>
                    <w:t>其他非金属矿物制品制造业，不属于钢铁、水泥熟料、平板玻璃、电解铝等高耗能高排放项目，符合相关要求。</w:t>
                  </w:r>
                </w:p>
              </w:tc>
              <w:tc>
                <w:tcPr>
                  <w:tcW w:w="427" w:type="pct"/>
                  <w:noWrap w:val="0"/>
                  <w:vAlign w:val="center"/>
                </w:tcPr>
                <w:p w14:paraId="6E47709B">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符合</w:t>
                  </w:r>
                </w:p>
              </w:tc>
            </w:tr>
            <w:tr w14:paraId="035E7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9" w:type="pct"/>
                  <w:vMerge w:val="continue"/>
                  <w:noWrap w:val="0"/>
                  <w:vAlign w:val="center"/>
                </w:tcPr>
                <w:p w14:paraId="74CD74E3">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highlight w:val="none"/>
                    </w:rPr>
                  </w:pPr>
                </w:p>
              </w:tc>
              <w:tc>
                <w:tcPr>
                  <w:tcW w:w="519" w:type="pct"/>
                  <w:noWrap w:val="0"/>
                  <w:vAlign w:val="center"/>
                </w:tcPr>
                <w:p w14:paraId="51D23E4B">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推进资源节约高效利用和清洁生产</w:t>
                  </w:r>
                </w:p>
              </w:tc>
              <w:tc>
                <w:tcPr>
                  <w:tcW w:w="2268" w:type="pct"/>
                  <w:noWrap w:val="0"/>
                  <w:vAlign w:val="center"/>
                </w:tcPr>
                <w:p w14:paraId="6798EB56">
                  <w:pPr>
                    <w:keepNext w:val="0"/>
                    <w:keepLines w:val="0"/>
                    <w:suppressLineNumbers w:val="0"/>
                    <w:spacing w:before="0" w:beforeAutospacing="0" w:after="0" w:afterAutospacing="0"/>
                    <w:ind w:left="0" w:right="0"/>
                    <w:jc w:val="left"/>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坚持节约优先，推进资源总量管理、科学配置，全面促进资源节约循环高效利用，推动利用方式根本转变。实施全民节水行动，建设节水型社会。坚持最严格的节约用地制度，提高土地利用集约度。科学合理有序开发矿产资源，提高开发利用水平。继续推进园区实施循环化改造，推动大宗固体废弃物</w:t>
                  </w:r>
                  <w:r>
                    <w:rPr>
                      <w:rFonts w:hint="eastAsia" w:ascii="Times New Roman" w:hAnsi="Times New Roman" w:eastAsia="宋体" w:cs="Times New Roman"/>
                      <w:color w:val="auto"/>
                      <w:highlight w:val="none"/>
                      <w:lang w:eastAsia="zh-CN"/>
                    </w:rPr>
                    <w:t>示范基地建设</w:t>
                  </w:r>
                  <w:r>
                    <w:rPr>
                      <w:rFonts w:hint="eastAsia" w:ascii="Times New Roman" w:hAnsi="Times New Roman" w:eastAsia="宋体" w:cs="Times New Roman"/>
                      <w:color w:val="auto"/>
                      <w:highlight w:val="none"/>
                    </w:rPr>
                    <w:t>和工业资源综合利用示范基地建设，推进污水循环利用。到2025年，全</w:t>
                  </w:r>
                  <w:r>
                    <w:rPr>
                      <w:rFonts w:hint="eastAsia" w:ascii="Times New Roman" w:hAnsi="Times New Roman" w:eastAsia="宋体" w:cs="Times New Roman"/>
                      <w:color w:val="auto"/>
                      <w:highlight w:val="none"/>
                      <w:lang w:eastAsia="zh-CN"/>
                    </w:rPr>
                    <w:t>市</w:t>
                  </w:r>
                  <w:r>
                    <w:rPr>
                      <w:rFonts w:hint="eastAsia" w:ascii="Times New Roman" w:hAnsi="Times New Roman" w:eastAsia="宋体" w:cs="Times New Roman"/>
                      <w:color w:val="auto"/>
                      <w:highlight w:val="none"/>
                    </w:rPr>
                    <w:t>万元地区生产总值用水量较2020年下降</w:t>
                  </w:r>
                  <w:r>
                    <w:rPr>
                      <w:rFonts w:hint="eastAsia" w:ascii="Times New Roman" w:hAnsi="Times New Roman" w:eastAsia="宋体" w:cs="Times New Roman"/>
                      <w:color w:val="auto"/>
                      <w:highlight w:val="none"/>
                      <w:lang w:eastAsia="zh-CN"/>
                    </w:rPr>
                    <w:t>比例达到省要求，</w:t>
                  </w:r>
                  <w:r>
                    <w:rPr>
                      <w:rFonts w:hint="eastAsia" w:ascii="Times New Roman" w:hAnsi="Times New Roman" w:eastAsia="宋体" w:cs="Times New Roman"/>
                      <w:color w:val="auto"/>
                      <w:highlight w:val="none"/>
                    </w:rPr>
                    <w:t>农田灌溉水有效利用系数达到</w:t>
                  </w:r>
                  <w:r>
                    <w:rPr>
                      <w:rFonts w:hint="eastAsia" w:ascii="Times New Roman" w:hAnsi="Times New Roman" w:eastAsia="宋体" w:cs="Times New Roman"/>
                      <w:color w:val="auto"/>
                      <w:highlight w:val="none"/>
                      <w:lang w:val="en-US" w:eastAsia="zh-CN"/>
                    </w:rPr>
                    <w:t>0.588</w:t>
                  </w:r>
                  <w:r>
                    <w:rPr>
                      <w:rFonts w:hint="eastAsia" w:ascii="Times New Roman" w:hAnsi="Times New Roman" w:eastAsia="宋体" w:cs="Times New Roman"/>
                      <w:color w:val="auto"/>
                      <w:highlight w:val="none"/>
                    </w:rPr>
                    <w:t>。引导重点行业深入实施清洁化改造，对能源、钢铁等14个重点行业存在“双超、双有”和高耗能的重点单位，分年度实施强制性清洁生产审核。</w:t>
                  </w:r>
                </w:p>
              </w:tc>
              <w:tc>
                <w:tcPr>
                  <w:tcW w:w="1375" w:type="pct"/>
                  <w:noWrap w:val="0"/>
                  <w:vAlign w:val="center"/>
                </w:tcPr>
                <w:p w14:paraId="695F36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本项目无工业废水</w:t>
                  </w:r>
                  <w:r>
                    <w:rPr>
                      <w:rFonts w:hint="eastAsia" w:cs="Times New Roman"/>
                      <w:color w:val="auto"/>
                      <w:highlight w:val="none"/>
                      <w:lang w:eastAsia="zh-CN"/>
                    </w:rPr>
                    <w:t>外排</w:t>
                  </w:r>
                  <w:r>
                    <w:rPr>
                      <w:rFonts w:hint="eastAsia" w:ascii="Times New Roman" w:hAnsi="Times New Roman" w:eastAsia="宋体" w:cs="Times New Roman"/>
                      <w:color w:val="auto"/>
                      <w:highlight w:val="none"/>
                    </w:rPr>
                    <w:t>，固体废物均得到妥善处置，符合相关要求。</w:t>
                  </w:r>
                </w:p>
              </w:tc>
              <w:tc>
                <w:tcPr>
                  <w:tcW w:w="427" w:type="pct"/>
                  <w:noWrap w:val="0"/>
                  <w:vAlign w:val="center"/>
                </w:tcPr>
                <w:p w14:paraId="0AE23664">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符合</w:t>
                  </w:r>
                </w:p>
              </w:tc>
            </w:tr>
            <w:tr w14:paraId="07A62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9" w:type="pct"/>
                  <w:vMerge w:val="restart"/>
                  <w:noWrap w:val="0"/>
                  <w:vAlign w:val="center"/>
                </w:tcPr>
                <w:p w14:paraId="5341F8A5">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深入打好蓝天保卫战</w:t>
                  </w:r>
                </w:p>
              </w:tc>
              <w:tc>
                <w:tcPr>
                  <w:tcW w:w="519" w:type="pct"/>
                  <w:noWrap w:val="0"/>
                  <w:vAlign w:val="center"/>
                </w:tcPr>
                <w:p w14:paraId="0C8BC01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实施大气减污降碳协同增效行动</w:t>
                  </w:r>
                </w:p>
              </w:tc>
              <w:tc>
                <w:tcPr>
                  <w:tcW w:w="2268" w:type="pct"/>
                  <w:noWrap w:val="0"/>
                  <w:vAlign w:val="center"/>
                </w:tcPr>
                <w:p w14:paraId="2EB7F65D">
                  <w:pPr>
                    <w:keepNext w:val="0"/>
                    <w:keepLines w:val="0"/>
                    <w:suppressLineNumbers w:val="0"/>
                    <w:spacing w:before="0" w:beforeAutospacing="0" w:after="0" w:afterAutospacing="0"/>
                    <w:ind w:left="0" w:right="0"/>
                    <w:jc w:val="left"/>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推动重点行业落后产能退出，推进钢铁、焦化、有色金属行业技术升级。加快供热区域热网互联互通建设，淘汰管网覆盖范围内的燃煤锅炉和散煤。推进工业炉窑清洁能源替代，以菱镁、陶瓷等行业为重点，开展涉气产业集群排查及分类治理。</w:t>
                  </w:r>
                </w:p>
              </w:tc>
              <w:tc>
                <w:tcPr>
                  <w:tcW w:w="1375" w:type="pct"/>
                  <w:noWrap w:val="0"/>
                  <w:vAlign w:val="center"/>
                </w:tcPr>
                <w:p w14:paraId="06459F65">
                  <w:pPr>
                    <w:pStyle w:val="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本项目为</w:t>
                  </w:r>
                  <w:r>
                    <w:rPr>
                      <w:rFonts w:hint="eastAsia" w:ascii="宋体" w:hAnsi="宋体" w:eastAsia="宋体" w:cs="宋体"/>
                      <w:color w:val="auto"/>
                      <w:szCs w:val="21"/>
                      <w:highlight w:val="none"/>
                      <w:lang w:val="en-US" w:eastAsia="zh-CN"/>
                    </w:rPr>
                    <w:t>石墨及</w:t>
                  </w:r>
                  <w:r>
                    <w:rPr>
                      <w:rFonts w:hint="eastAsia" w:ascii="Times New Roman" w:hAnsi="Times New Roman" w:eastAsia="宋体" w:cs="Times New Roman"/>
                      <w:color w:val="auto"/>
                      <w:highlight w:val="none"/>
                      <w:lang w:val="en-US" w:eastAsia="zh-CN"/>
                    </w:rPr>
                    <w:t>其他非金属矿物制品制造业，</w:t>
                  </w:r>
                  <w:r>
                    <w:rPr>
                      <w:rFonts w:hint="eastAsia" w:cs="Times New Roman"/>
                      <w:color w:val="auto"/>
                      <w:highlight w:val="none"/>
                      <w:lang w:val="en-US" w:eastAsia="zh-CN"/>
                    </w:rPr>
                    <w:t>不涉及工业炉窑，</w:t>
                  </w:r>
                  <w:r>
                    <w:rPr>
                      <w:rFonts w:hint="eastAsia" w:ascii="Times New Roman" w:hAnsi="Times New Roman" w:eastAsia="宋体" w:cs="Times New Roman"/>
                      <w:color w:val="auto"/>
                      <w:highlight w:val="none"/>
                      <w:lang w:val="en-US" w:eastAsia="zh-CN"/>
                    </w:rPr>
                    <w:t>不使用煤，符合相关要求。</w:t>
                  </w:r>
                </w:p>
              </w:tc>
              <w:tc>
                <w:tcPr>
                  <w:tcW w:w="427" w:type="pct"/>
                  <w:noWrap w:val="0"/>
                  <w:vAlign w:val="center"/>
                </w:tcPr>
                <w:p w14:paraId="6A78F1FE">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符合</w:t>
                  </w:r>
                </w:p>
              </w:tc>
            </w:tr>
            <w:tr w14:paraId="14547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9" w:type="pct"/>
                  <w:vMerge w:val="continue"/>
                  <w:noWrap w:val="0"/>
                  <w:vAlign w:val="center"/>
                </w:tcPr>
                <w:p w14:paraId="7F7F448C">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highlight w:val="none"/>
                    </w:rPr>
                  </w:pPr>
                </w:p>
              </w:tc>
              <w:tc>
                <w:tcPr>
                  <w:tcW w:w="519" w:type="pct"/>
                  <w:noWrap w:val="0"/>
                  <w:vAlign w:val="center"/>
                </w:tcPr>
                <w:p w14:paraId="21E2CA1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实施清洁取暖攻坚行动</w:t>
                  </w:r>
                </w:p>
              </w:tc>
              <w:tc>
                <w:tcPr>
                  <w:tcW w:w="2268" w:type="pct"/>
                  <w:noWrap w:val="0"/>
                  <w:vAlign w:val="center"/>
                </w:tcPr>
                <w:p w14:paraId="57CDFAC8">
                  <w:pPr>
                    <w:keepNext w:val="0"/>
                    <w:keepLines w:val="0"/>
                    <w:suppressLineNumbers w:val="0"/>
                    <w:spacing w:before="0" w:beforeAutospacing="0" w:after="0" w:afterAutospacing="0"/>
                    <w:ind w:left="0" w:right="0"/>
                    <w:jc w:val="left"/>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充分发挥热电机组和大型热源厂能力，推进燃煤锅炉关停整合。在空气质量未达标的城市城中村、城乡结合部，因地制宜推进供暖清洁化，有序开展农村地区散煤替代工作。</w:t>
                  </w:r>
                  <w:r>
                    <w:rPr>
                      <w:rFonts w:hint="eastAsia" w:ascii="Times New Roman" w:hAnsi="Times New Roman" w:eastAsia="宋体" w:cs="Times New Roman"/>
                      <w:color w:val="auto"/>
                      <w:highlight w:val="none"/>
                      <w:lang w:eastAsia="zh-CN"/>
                    </w:rPr>
                    <w:t>积极争取中央、省生态环境保护资金支持，推进治理项目落地实施。</w:t>
                  </w:r>
                  <w:r>
                    <w:rPr>
                      <w:rFonts w:hint="eastAsia" w:ascii="Times New Roman" w:hAnsi="Times New Roman" w:eastAsia="宋体" w:cs="Times New Roman"/>
                      <w:color w:val="auto"/>
                      <w:highlight w:val="none"/>
                    </w:rPr>
                    <w:t>到2025年，城市建成区基本淘汰35蒸吨/小时及以下燃煤锅炉。</w:t>
                  </w:r>
                </w:p>
              </w:tc>
              <w:tc>
                <w:tcPr>
                  <w:tcW w:w="1375" w:type="pct"/>
                  <w:noWrap w:val="0"/>
                  <w:vAlign w:val="center"/>
                </w:tcPr>
                <w:p w14:paraId="517924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Times New Roman" w:hAnsi="Times New Roman" w:eastAsia="宋体" w:cs="Times New Roman"/>
                      <w:color w:val="auto"/>
                      <w:highlight w:val="none"/>
                      <w:lang w:val="en-US" w:eastAsia="zh-CN"/>
                    </w:rPr>
                  </w:pPr>
                  <w:r>
                    <w:rPr>
                      <w:rFonts w:ascii="Calibri" w:hAnsi="Calibri" w:eastAsia="宋体" w:cs="Times New Roman"/>
                      <w:color w:val="auto"/>
                      <w:sz w:val="21"/>
                      <w:szCs w:val="21"/>
                      <w:highlight w:val="none"/>
                    </w:rPr>
                    <w:t>本项目生产车间不供暖。</w:t>
                  </w:r>
                  <w:r>
                    <w:rPr>
                      <w:rFonts w:hint="eastAsia" w:ascii="Calibri" w:hAnsi="Calibri" w:eastAsia="宋体" w:cs="Times New Roman"/>
                      <w:color w:val="auto"/>
                      <w:sz w:val="21"/>
                      <w:szCs w:val="21"/>
                      <w:highlight w:val="none"/>
                    </w:rPr>
                    <w:t>办公室采用电供暖</w:t>
                  </w:r>
                  <w:r>
                    <w:rPr>
                      <w:rFonts w:hint="eastAsia" w:ascii="Times New Roman" w:hAnsi="Times New Roman" w:eastAsia="宋体" w:cs="Times New Roman"/>
                      <w:color w:val="auto"/>
                      <w:highlight w:val="none"/>
                      <w:lang w:val="en-US" w:eastAsia="zh-CN"/>
                    </w:rPr>
                    <w:t>，符合相关要求。</w:t>
                  </w:r>
                </w:p>
              </w:tc>
              <w:tc>
                <w:tcPr>
                  <w:tcW w:w="427" w:type="pct"/>
                  <w:noWrap w:val="0"/>
                  <w:vAlign w:val="center"/>
                </w:tcPr>
                <w:p w14:paraId="68A7AE02">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符合</w:t>
                  </w:r>
                </w:p>
              </w:tc>
            </w:tr>
            <w:tr w14:paraId="162BC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9" w:type="pct"/>
                  <w:noWrap w:val="0"/>
                  <w:vAlign w:val="center"/>
                </w:tcPr>
                <w:p w14:paraId="46D2E16A">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深入打好碧水保卫战</w:t>
                  </w:r>
                </w:p>
              </w:tc>
              <w:tc>
                <w:tcPr>
                  <w:tcW w:w="519" w:type="pct"/>
                  <w:noWrap w:val="0"/>
                  <w:vAlign w:val="center"/>
                </w:tcPr>
                <w:p w14:paraId="4D1C5A22">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持续打好辽河流域综合治理攻坚战</w:t>
                  </w:r>
                </w:p>
              </w:tc>
              <w:tc>
                <w:tcPr>
                  <w:tcW w:w="2268" w:type="pct"/>
                  <w:noWrap w:val="0"/>
                  <w:vAlign w:val="center"/>
                </w:tcPr>
                <w:p w14:paraId="095EEF20">
                  <w:pPr>
                    <w:keepNext w:val="0"/>
                    <w:keepLines w:val="0"/>
                    <w:suppressLineNumbers w:val="0"/>
                    <w:spacing w:before="0" w:beforeAutospacing="0" w:after="0" w:afterAutospacing="0"/>
                    <w:ind w:left="0" w:right="0"/>
                    <w:jc w:val="left"/>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以水生态环境持续改善为核心，统筹水资源利用、水生态保护和水环境治理，污染减排与生态扩容两手发力，推动河流水系连通，合理调配水资源，逐步恢复水体生态基流，实施入河排污口整治等“四大行动”。到2025年，辽河流域优良水体比例在达到国家考核标准基础上有所提升。</w:t>
                  </w:r>
                </w:p>
              </w:tc>
              <w:tc>
                <w:tcPr>
                  <w:tcW w:w="1375" w:type="pct"/>
                  <w:noWrap w:val="0"/>
                  <w:vAlign w:val="center"/>
                </w:tcPr>
                <w:p w14:paraId="68DA4D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Times New Roman" w:hAnsi="Times New Roman" w:eastAsia="宋体" w:cs="Times New Roman"/>
                      <w:color w:val="auto"/>
                      <w:highlight w:val="none"/>
                      <w:lang w:val="en-US" w:eastAsia="zh-CN"/>
                    </w:rPr>
                  </w:pPr>
                  <w:r>
                    <w:rPr>
                      <w:rFonts w:hint="eastAsia" w:ascii="Calibri" w:hAnsi="Calibri" w:eastAsia="宋体" w:cs="Times New Roman"/>
                      <w:color w:val="auto"/>
                      <w:sz w:val="21"/>
                      <w:szCs w:val="21"/>
                      <w:highlight w:val="none"/>
                      <w:vertAlign w:val="baseline"/>
                      <w:lang w:val="en-US" w:eastAsia="zh-CN"/>
                    </w:rPr>
                    <w:t>本项目生产</w:t>
                  </w:r>
                  <w:r>
                    <w:rPr>
                      <w:rFonts w:hint="eastAsia" w:ascii="Calibri" w:hAnsi="Calibri" w:cs="Times New Roman"/>
                      <w:color w:val="auto"/>
                      <w:sz w:val="21"/>
                      <w:szCs w:val="21"/>
                      <w:highlight w:val="none"/>
                      <w:vertAlign w:val="baseline"/>
                      <w:lang w:val="en-US" w:eastAsia="zh-CN"/>
                    </w:rPr>
                    <w:t>工艺</w:t>
                  </w:r>
                  <w:r>
                    <w:rPr>
                      <w:rFonts w:hint="eastAsia" w:ascii="Calibri" w:hAnsi="Calibri" w:eastAsia="宋体" w:cs="Times New Roman"/>
                      <w:color w:val="auto"/>
                      <w:sz w:val="21"/>
                      <w:szCs w:val="21"/>
                      <w:highlight w:val="none"/>
                      <w:vertAlign w:val="baseline"/>
                      <w:lang w:val="en-US" w:eastAsia="zh-CN"/>
                    </w:rPr>
                    <w:t>水</w:t>
                  </w:r>
                  <w:r>
                    <w:rPr>
                      <w:rFonts w:hint="eastAsia" w:ascii="Calibri" w:hAnsi="Calibri" w:cs="Times New Roman"/>
                      <w:color w:val="auto"/>
                      <w:sz w:val="21"/>
                      <w:szCs w:val="21"/>
                      <w:highlight w:val="none"/>
                      <w:vertAlign w:val="baseline"/>
                      <w:lang w:val="en-US" w:eastAsia="zh-CN"/>
                    </w:rPr>
                    <w:t>循环利用不外排</w:t>
                  </w:r>
                  <w:r>
                    <w:rPr>
                      <w:rFonts w:hint="eastAsia" w:ascii="Calibri" w:hAnsi="Calibri" w:eastAsia="宋体" w:cs="Times New Roman"/>
                      <w:color w:val="auto"/>
                      <w:sz w:val="21"/>
                      <w:szCs w:val="21"/>
                      <w:highlight w:val="none"/>
                      <w:vertAlign w:val="baseline"/>
                      <w:lang w:val="en-US" w:eastAsia="zh-CN"/>
                    </w:rPr>
                    <w:t>，</w:t>
                  </w:r>
                  <w:r>
                    <w:rPr>
                      <w:rFonts w:hint="eastAsia" w:ascii="Calibri" w:hAnsi="Calibri" w:cs="Times New Roman"/>
                      <w:color w:val="auto"/>
                      <w:sz w:val="21"/>
                      <w:szCs w:val="21"/>
                      <w:highlight w:val="none"/>
                      <w:vertAlign w:val="baseline"/>
                      <w:lang w:val="en-US" w:eastAsia="zh-CN"/>
                    </w:rPr>
                    <w:t>轮胎清洗水排入沉淀池内，循环使用，定期补充蒸发损耗；洒水抑尘水全部蒸发不外排；</w:t>
                  </w:r>
                  <w:r>
                    <w:rPr>
                      <w:rFonts w:hint="eastAsia" w:ascii="Calibri" w:hAnsi="Calibri" w:eastAsia="宋体" w:cs="Times New Roman"/>
                      <w:color w:val="auto"/>
                      <w:sz w:val="21"/>
                      <w:szCs w:val="21"/>
                      <w:highlight w:val="none"/>
                      <w:vertAlign w:val="baseline"/>
                      <w:lang w:val="en-US" w:eastAsia="zh-CN"/>
                    </w:rPr>
                    <w:t>生活污水排入</w:t>
                  </w:r>
                  <w:r>
                    <w:rPr>
                      <w:rFonts w:hint="eastAsia" w:ascii="Calibri" w:hAnsi="Calibri" w:cs="Times New Roman"/>
                      <w:color w:val="auto"/>
                      <w:sz w:val="21"/>
                      <w:szCs w:val="21"/>
                      <w:highlight w:val="none"/>
                      <w:vertAlign w:val="baseline"/>
                      <w:lang w:val="en-US" w:eastAsia="zh-CN"/>
                    </w:rPr>
                    <w:t>化粪池</w:t>
                  </w:r>
                  <w:r>
                    <w:rPr>
                      <w:rFonts w:hint="eastAsia" w:ascii="Calibri" w:hAnsi="Calibri" w:eastAsia="宋体" w:cs="Times New Roman"/>
                      <w:color w:val="auto"/>
                      <w:sz w:val="21"/>
                      <w:szCs w:val="21"/>
                      <w:highlight w:val="none"/>
                      <w:vertAlign w:val="baseline"/>
                      <w:lang w:val="en-US" w:eastAsia="zh-CN"/>
                    </w:rPr>
                    <w:t>，定期清掏</w:t>
                  </w:r>
                  <w:r>
                    <w:rPr>
                      <w:rFonts w:hint="eastAsia" w:ascii="Calibri" w:hAnsi="Calibri" w:cs="Times New Roman"/>
                      <w:color w:val="auto"/>
                      <w:sz w:val="21"/>
                      <w:szCs w:val="21"/>
                      <w:highlight w:val="none"/>
                      <w:vertAlign w:val="baseline"/>
                      <w:lang w:val="en-US" w:eastAsia="zh-CN"/>
                    </w:rPr>
                    <w:t>，用于农田施肥</w:t>
                  </w:r>
                  <w:r>
                    <w:rPr>
                      <w:rFonts w:hint="eastAsia" w:ascii="Calibri" w:hAnsi="Calibri" w:eastAsia="宋体" w:cs="Times New Roman"/>
                      <w:color w:val="auto"/>
                      <w:sz w:val="21"/>
                      <w:szCs w:val="21"/>
                      <w:highlight w:val="none"/>
                      <w:vertAlign w:val="baseline"/>
                      <w:lang w:val="en-US" w:eastAsia="zh-CN"/>
                    </w:rPr>
                    <w:t>。</w:t>
                  </w:r>
                  <w:r>
                    <w:rPr>
                      <w:rFonts w:hint="eastAsia" w:ascii="Times New Roman" w:hAnsi="Times New Roman" w:eastAsia="宋体" w:cs="Times New Roman"/>
                      <w:color w:val="auto"/>
                      <w:highlight w:val="none"/>
                      <w:lang w:val="en-US" w:eastAsia="zh-CN"/>
                    </w:rPr>
                    <w:t xml:space="preserve"> </w:t>
                  </w:r>
                </w:p>
              </w:tc>
              <w:tc>
                <w:tcPr>
                  <w:tcW w:w="427" w:type="pct"/>
                  <w:noWrap w:val="0"/>
                  <w:vAlign w:val="center"/>
                </w:tcPr>
                <w:p w14:paraId="6E2F2578">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符合</w:t>
                  </w:r>
                </w:p>
              </w:tc>
            </w:tr>
            <w:tr w14:paraId="66201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9" w:type="pct"/>
                  <w:noWrap w:val="0"/>
                  <w:vAlign w:val="center"/>
                </w:tcPr>
                <w:p w14:paraId="5F687BCC">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深入打好净土保卫战</w:t>
                  </w:r>
                </w:p>
              </w:tc>
              <w:tc>
                <w:tcPr>
                  <w:tcW w:w="519" w:type="pct"/>
                  <w:noWrap w:val="0"/>
                  <w:vAlign w:val="center"/>
                </w:tcPr>
                <w:p w14:paraId="375110ED">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强化地下水污染协同防治</w:t>
                  </w:r>
                </w:p>
              </w:tc>
              <w:tc>
                <w:tcPr>
                  <w:tcW w:w="2268" w:type="pct"/>
                  <w:noWrap w:val="0"/>
                  <w:vAlign w:val="center"/>
                </w:tcPr>
                <w:p w14:paraId="49C971DF">
                  <w:pPr>
                    <w:keepNext w:val="0"/>
                    <w:keepLines w:val="0"/>
                    <w:suppressLineNumbers w:val="0"/>
                    <w:spacing w:before="0" w:beforeAutospacing="0" w:after="0" w:afterAutospacing="0"/>
                    <w:ind w:left="0" w:right="0"/>
                    <w:jc w:val="left"/>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加强地表水与地下水污染、土壤与地下水污染、区域与场地地下水污染协同防治。以省级化工园区、垃圾填埋场、危险废物处置场为重点，持续开展地下水环境状况调查评估。划定地下水污染防治重点区，强化污染风险管控。按照</w:t>
                  </w:r>
                  <w:r>
                    <w:rPr>
                      <w:rFonts w:hint="eastAsia" w:ascii="Times New Roman" w:hAnsi="Times New Roman" w:eastAsia="宋体" w:cs="Times New Roman"/>
                      <w:color w:val="auto"/>
                      <w:highlight w:val="none"/>
                      <w:lang w:eastAsia="zh-CN"/>
                    </w:rPr>
                    <w:t>省工作安排</w:t>
                  </w:r>
                  <w:r>
                    <w:rPr>
                      <w:rFonts w:hint="eastAsia"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eastAsia="zh-CN"/>
                    </w:rPr>
                    <w:t>划定</w:t>
                  </w:r>
                  <w:r>
                    <w:rPr>
                      <w:rFonts w:hint="eastAsia" w:ascii="Times New Roman" w:hAnsi="Times New Roman" w:eastAsia="宋体" w:cs="Times New Roman"/>
                      <w:color w:val="auto"/>
                      <w:highlight w:val="none"/>
                    </w:rPr>
                    <w:t>地下水</w:t>
                  </w:r>
                  <w:r>
                    <w:rPr>
                      <w:rFonts w:hint="eastAsia" w:ascii="Times New Roman" w:hAnsi="Times New Roman" w:eastAsia="宋体" w:cs="Times New Roman"/>
                      <w:color w:val="auto"/>
                      <w:highlight w:val="none"/>
                      <w:lang w:eastAsia="zh-CN"/>
                    </w:rPr>
                    <w:t>型饮用水水源补给区，分类制定保护方案；分级分类开展地下水环境监测评价，在地表水和地下水交互密切的典型地区开展污染综合防治试点</w:t>
                  </w:r>
                  <w:r>
                    <w:rPr>
                      <w:rFonts w:hint="eastAsia" w:ascii="Times New Roman" w:hAnsi="Times New Roman" w:eastAsia="宋体" w:cs="Times New Roman"/>
                      <w:color w:val="auto"/>
                      <w:highlight w:val="none"/>
                    </w:rPr>
                    <w:t>。</w:t>
                  </w:r>
                </w:p>
              </w:tc>
              <w:tc>
                <w:tcPr>
                  <w:tcW w:w="1375" w:type="pct"/>
                  <w:noWrap w:val="0"/>
                  <w:vAlign w:val="center"/>
                </w:tcPr>
                <w:p w14:paraId="6F594B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本项目危险废物贮存点</w:t>
                  </w:r>
                  <w:r>
                    <w:rPr>
                      <w:rFonts w:hint="eastAsia" w:cs="Times New Roman"/>
                      <w:color w:val="auto"/>
                      <w:highlight w:val="none"/>
                      <w:lang w:val="en-US" w:eastAsia="zh-CN"/>
                    </w:rPr>
                    <w:t>、化粪池、水洗白云石沉淀池、洗车平台沉淀池</w:t>
                  </w:r>
                  <w:r>
                    <w:rPr>
                      <w:rFonts w:hint="eastAsia" w:ascii="Times New Roman" w:hAnsi="Times New Roman" w:eastAsia="宋体" w:cs="Times New Roman"/>
                      <w:color w:val="auto"/>
                      <w:highlight w:val="none"/>
                      <w:lang w:val="en-US" w:eastAsia="zh-CN"/>
                    </w:rPr>
                    <w:t>为重点防渗区</w:t>
                  </w:r>
                  <w:r>
                    <w:rPr>
                      <w:rFonts w:hint="eastAsia" w:cs="Times New Roman"/>
                      <w:color w:val="auto"/>
                      <w:highlight w:val="none"/>
                      <w:lang w:val="en-US" w:eastAsia="zh-CN"/>
                    </w:rPr>
                    <w:t>；各生产</w:t>
                  </w:r>
                  <w:r>
                    <w:rPr>
                      <w:rFonts w:hint="eastAsia" w:ascii="Times New Roman" w:hAnsi="Times New Roman" w:eastAsia="宋体" w:cs="Times New Roman"/>
                      <w:color w:val="auto"/>
                      <w:highlight w:val="none"/>
                      <w:lang w:val="en-US" w:eastAsia="zh-CN"/>
                    </w:rPr>
                    <w:t>车间</w:t>
                  </w:r>
                  <w:r>
                    <w:rPr>
                      <w:rFonts w:hint="eastAsia" w:cs="Times New Roman"/>
                      <w:color w:val="auto"/>
                      <w:highlight w:val="none"/>
                      <w:lang w:val="en-US" w:eastAsia="zh-CN"/>
                    </w:rPr>
                    <w:t>、原料库房、产品库房</w:t>
                  </w:r>
                  <w:r>
                    <w:rPr>
                      <w:rFonts w:hint="eastAsia" w:ascii="Times New Roman" w:hAnsi="Times New Roman" w:eastAsia="宋体" w:cs="Times New Roman"/>
                      <w:color w:val="auto"/>
                      <w:highlight w:val="none"/>
                      <w:lang w:val="en-US" w:eastAsia="zh-CN"/>
                    </w:rPr>
                    <w:t>为一般防渗区</w:t>
                  </w:r>
                  <w:r>
                    <w:rPr>
                      <w:rFonts w:hint="eastAsia" w:cs="Times New Roman"/>
                      <w:color w:val="auto"/>
                      <w:highlight w:val="none"/>
                      <w:lang w:val="en-US" w:eastAsia="zh-CN"/>
                    </w:rPr>
                    <w:t>；其余地面硬化。</w:t>
                  </w:r>
                  <w:r>
                    <w:rPr>
                      <w:rFonts w:hint="eastAsia" w:ascii="Times New Roman" w:hAnsi="Times New Roman" w:eastAsia="宋体" w:cs="Times New Roman"/>
                      <w:color w:val="auto"/>
                      <w:highlight w:val="none"/>
                      <w:lang w:val="en-US" w:eastAsia="zh-CN"/>
                    </w:rPr>
                    <w:t>对地下水、土壤和地表水造成污染的可能性</w:t>
                  </w:r>
                  <w:r>
                    <w:rPr>
                      <w:rFonts w:hint="eastAsia" w:cs="Times New Roman"/>
                      <w:color w:val="auto"/>
                      <w:highlight w:val="none"/>
                      <w:lang w:val="en-US" w:eastAsia="zh-CN"/>
                    </w:rPr>
                    <w:t>较小</w:t>
                  </w:r>
                  <w:r>
                    <w:rPr>
                      <w:rFonts w:hint="eastAsia" w:ascii="Times New Roman" w:hAnsi="Times New Roman" w:eastAsia="宋体" w:cs="Times New Roman"/>
                      <w:color w:val="auto"/>
                      <w:highlight w:val="none"/>
                      <w:lang w:val="en-US" w:eastAsia="zh-CN"/>
                    </w:rPr>
                    <w:t>，符合相关要求。</w:t>
                  </w:r>
                </w:p>
              </w:tc>
              <w:tc>
                <w:tcPr>
                  <w:tcW w:w="427" w:type="pct"/>
                  <w:noWrap w:val="0"/>
                  <w:vAlign w:val="center"/>
                </w:tcPr>
                <w:p w14:paraId="0074FFE1">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符合</w:t>
                  </w:r>
                </w:p>
              </w:tc>
            </w:tr>
          </w:tbl>
          <w:p w14:paraId="6C884AA9">
            <w:pPr>
              <w:keepNext w:val="0"/>
              <w:keepLines w:val="0"/>
              <w:numPr>
                <w:ilvl w:val="0"/>
                <w:numId w:val="0"/>
              </w:numPr>
              <w:suppressLineNumbers w:val="0"/>
              <w:spacing w:before="0" w:beforeAutospacing="0" w:after="0" w:afterAutospacing="0" w:line="360" w:lineRule="auto"/>
              <w:ind w:left="0" w:right="0"/>
              <w:rPr>
                <w:rFonts w:hint="default" w:ascii="Times New Roman" w:hAnsi="Times New Roman" w:eastAsia="宋体" w:cs="Times New Roman"/>
                <w:b/>
                <w:bCs/>
                <w:color w:val="auto"/>
                <w:sz w:val="24"/>
                <w:highlight w:val="none"/>
              </w:rPr>
            </w:pPr>
            <w:r>
              <w:rPr>
                <w:rFonts w:hint="eastAsia" w:cs="Times New Roman"/>
                <w:color w:val="auto"/>
                <w:kern w:val="2"/>
                <w:sz w:val="24"/>
                <w:szCs w:val="24"/>
                <w:highlight w:val="none"/>
                <w:lang w:val="en-US" w:eastAsia="zh-CN" w:bidi="ar-SA"/>
              </w:rPr>
              <w:t>4</w:t>
            </w:r>
            <w:r>
              <w:rPr>
                <w:rFonts w:hint="eastAsia" w:ascii="Times New Roman" w:hAnsi="Times New Roman" w:eastAsia="宋体" w:cs="Times New Roman"/>
                <w:color w:val="auto"/>
                <w:kern w:val="2"/>
                <w:sz w:val="24"/>
                <w:szCs w:val="24"/>
                <w:highlight w:val="none"/>
                <w:lang w:val="en-US" w:eastAsia="zh-CN" w:bidi="ar-SA"/>
              </w:rPr>
              <w:t>、与《辽宁省人民政府办公厅关于印发辽宁省“十四五”生态环境保护规划的通知》（辽政办发</w:t>
            </w:r>
            <w:r>
              <w:rPr>
                <w:rFonts w:hint="eastAsia" w:ascii="宋体" w:hAnsi="宋体" w:eastAsia="宋体" w:cs="宋体"/>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2022</w:t>
            </w:r>
            <w:r>
              <w:rPr>
                <w:rFonts w:hint="eastAsia" w:ascii="宋体" w:hAnsi="宋体" w:eastAsia="宋体" w:cs="宋体"/>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16号）相符性分析</w:t>
            </w:r>
          </w:p>
          <w:p w14:paraId="5BE9FB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w:t>
            </w:r>
            <w:r>
              <w:rPr>
                <w:rFonts w:hint="eastAsia" w:cs="Times New Roman"/>
                <w:b/>
                <w:bCs/>
                <w:color w:val="auto"/>
                <w:sz w:val="24"/>
                <w:highlight w:val="none"/>
                <w:lang w:val="en-US" w:eastAsia="zh-CN"/>
              </w:rPr>
              <w:t>1-4</w:t>
            </w:r>
            <w:r>
              <w:rPr>
                <w:rFonts w:hint="eastAsia" w:ascii="Times New Roman" w:hAnsi="Times New Roman" w:eastAsia="宋体" w:cs="Times New Roman"/>
                <w:b/>
                <w:bCs/>
                <w:color w:val="auto"/>
                <w:sz w:val="24"/>
                <w:highlight w:val="none"/>
                <w:lang w:val="en-US" w:eastAsia="zh-CN"/>
              </w:rPr>
              <w:t xml:space="preserve"> </w:t>
            </w:r>
            <w:r>
              <w:rPr>
                <w:rFonts w:hint="default" w:ascii="Times New Roman" w:hAnsi="Times New Roman" w:eastAsia="宋体" w:cs="Times New Roman"/>
                <w:b/>
                <w:bCs/>
                <w:color w:val="auto"/>
                <w:sz w:val="24"/>
                <w:highlight w:val="none"/>
              </w:rPr>
              <w:t>项目与《辽宁省人民政府办公厅关于印发辽宁省“十四五”生态环境保护规划的通知》（辽政办发</w:t>
            </w:r>
            <w:r>
              <w:rPr>
                <w:rFonts w:hint="eastAsia" w:ascii="宋体" w:hAnsi="宋体" w:eastAsia="宋体" w:cs="宋体"/>
                <w:b/>
                <w:bCs/>
                <w:color w:val="auto"/>
                <w:kern w:val="2"/>
                <w:sz w:val="24"/>
                <w:szCs w:val="24"/>
                <w:highlight w:val="none"/>
                <w:lang w:val="en-US" w:eastAsia="zh-CN" w:bidi="ar-SA"/>
              </w:rPr>
              <w:t>〔</w:t>
            </w:r>
            <w:r>
              <w:rPr>
                <w:rFonts w:hint="eastAsia" w:ascii="Times New Roman" w:hAnsi="Times New Roman" w:eastAsia="宋体" w:cs="Times New Roman"/>
                <w:b/>
                <w:bCs/>
                <w:color w:val="auto"/>
                <w:kern w:val="2"/>
                <w:sz w:val="24"/>
                <w:szCs w:val="24"/>
                <w:highlight w:val="none"/>
                <w:lang w:val="en-US" w:eastAsia="zh-CN" w:bidi="ar-SA"/>
              </w:rPr>
              <w:t>2022</w:t>
            </w:r>
            <w:r>
              <w:rPr>
                <w:rFonts w:hint="eastAsia" w:ascii="宋体" w:hAnsi="宋体" w:eastAsia="宋体" w:cs="宋体"/>
                <w:b/>
                <w:bCs/>
                <w:color w:val="auto"/>
                <w:kern w:val="2"/>
                <w:sz w:val="24"/>
                <w:szCs w:val="24"/>
                <w:highlight w:val="none"/>
                <w:lang w:val="en-US" w:eastAsia="zh-CN" w:bidi="ar-SA"/>
              </w:rPr>
              <w:t>〕</w:t>
            </w:r>
            <w:r>
              <w:rPr>
                <w:rFonts w:hint="default" w:ascii="Times New Roman" w:hAnsi="Times New Roman" w:eastAsia="宋体" w:cs="Times New Roman"/>
                <w:b/>
                <w:bCs/>
                <w:color w:val="auto"/>
                <w:sz w:val="24"/>
                <w:highlight w:val="none"/>
              </w:rPr>
              <w:t>16号）相符性分析</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47"/>
              <w:gridCol w:w="2516"/>
              <w:gridCol w:w="846"/>
            </w:tblGrid>
            <w:tr w14:paraId="5BF57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47" w:type="dxa"/>
                  <w:tcBorders>
                    <w:tl2br w:val="nil"/>
                    <w:tr2bl w:val="nil"/>
                  </w:tcBorders>
                  <w:noWrap w:val="0"/>
                  <w:vAlign w:val="center"/>
                </w:tcPr>
                <w:p w14:paraId="30A14998">
                  <w:pPr>
                    <w:pStyle w:val="69"/>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条文明细</w:t>
                  </w:r>
                </w:p>
              </w:tc>
              <w:tc>
                <w:tcPr>
                  <w:tcW w:w="2516" w:type="dxa"/>
                  <w:tcBorders>
                    <w:tl2br w:val="nil"/>
                    <w:tr2bl w:val="nil"/>
                  </w:tcBorders>
                  <w:noWrap w:val="0"/>
                  <w:vAlign w:val="center"/>
                </w:tcPr>
                <w:p w14:paraId="132BE3F2">
                  <w:pPr>
                    <w:pStyle w:val="69"/>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本项目情况</w:t>
                  </w:r>
                </w:p>
              </w:tc>
              <w:tc>
                <w:tcPr>
                  <w:tcW w:w="846" w:type="dxa"/>
                  <w:tcBorders>
                    <w:tl2br w:val="nil"/>
                    <w:tr2bl w:val="nil"/>
                  </w:tcBorders>
                  <w:noWrap w:val="0"/>
                  <w:vAlign w:val="center"/>
                </w:tcPr>
                <w:p w14:paraId="219A961A">
                  <w:pPr>
                    <w:pStyle w:val="69"/>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相符性</w:t>
                  </w:r>
                </w:p>
              </w:tc>
            </w:tr>
            <w:tr w14:paraId="2627B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47" w:type="dxa"/>
                  <w:tcBorders>
                    <w:tl2br w:val="nil"/>
                    <w:tr2bl w:val="nil"/>
                  </w:tcBorders>
                  <w:noWrap w:val="0"/>
                  <w:vAlign w:val="center"/>
                </w:tcPr>
                <w:p w14:paraId="3A3702D8">
                  <w:pPr>
                    <w:pStyle w:val="6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lef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建立生态环境分区管控：强化“三线一单”生态环境分区管控的约束和政策引领，应用于相关专 项规划编制、产业政策制定、建设项目选址等</w:t>
                  </w:r>
                  <w:r>
                    <w:rPr>
                      <w:rFonts w:hint="eastAsia" w:cs="Times New Roman"/>
                      <w:color w:val="auto"/>
                      <w:highlight w:val="none"/>
                      <w:lang w:val="en-US" w:eastAsia="zh-CN"/>
                    </w:rPr>
                    <w:t>方面</w:t>
                  </w:r>
                  <w:r>
                    <w:rPr>
                      <w:rFonts w:hint="default" w:ascii="Times New Roman" w:hAnsi="Times New Roman" w:eastAsia="宋体" w:cs="Times New Roman"/>
                      <w:color w:val="auto"/>
                      <w:highlight w:val="none"/>
                      <w:lang w:val="en-US" w:eastAsia="zh-CN"/>
                    </w:rPr>
                    <w:t>，健全完善“三线一单”分区管控、规划环评审查和建设项目环评审批联动机制。</w:t>
                  </w:r>
                </w:p>
              </w:tc>
              <w:tc>
                <w:tcPr>
                  <w:tcW w:w="2516" w:type="dxa"/>
                  <w:tcBorders>
                    <w:tl2br w:val="nil"/>
                    <w:tr2bl w:val="nil"/>
                  </w:tcBorders>
                  <w:noWrap w:val="0"/>
                  <w:vAlign w:val="center"/>
                </w:tcPr>
                <w:p w14:paraId="30F8CCC6">
                  <w:pPr>
                    <w:pStyle w:val="69"/>
                    <w:keepNext w:val="0"/>
                    <w:keepLines w:val="0"/>
                    <w:suppressLineNumbers w:val="0"/>
                    <w:spacing w:before="0" w:beforeAutospacing="0" w:after="0" w:afterAutospacing="0"/>
                    <w:ind w:left="0" w:right="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项目所在区域属于</w:t>
                  </w:r>
                  <w:r>
                    <w:rPr>
                      <w:rFonts w:hint="eastAsia" w:ascii="Calibri" w:hAnsi="Calibri" w:eastAsia="宋体" w:cs="Times New Roman"/>
                      <w:color w:val="auto"/>
                      <w:highlight w:val="none"/>
                      <w:lang w:eastAsia="zh-CN"/>
                    </w:rPr>
                    <w:t>一般管控</w:t>
                  </w:r>
                  <w:r>
                    <w:rPr>
                      <w:rFonts w:cs="宋体"/>
                      <w:color w:val="auto"/>
                      <w:szCs w:val="21"/>
                      <w:highlight w:val="none"/>
                    </w:rPr>
                    <w:t>区</w:t>
                  </w:r>
                  <w:r>
                    <w:rPr>
                      <w:rFonts w:hint="eastAsia" w:ascii="Calibri" w:hAnsi="Calibri" w:eastAsia="宋体" w:cs="Times New Roman"/>
                      <w:color w:val="auto"/>
                      <w:highlight w:val="none"/>
                      <w:lang w:eastAsia="zh-CN"/>
                    </w:rPr>
                    <w:t>（</w:t>
                  </w:r>
                  <w:r>
                    <w:rPr>
                      <w:rFonts w:hint="eastAsia" w:ascii="Calibri" w:hAnsi="Calibri" w:eastAsia="宋体" w:cs="宋体"/>
                      <w:color w:val="auto"/>
                      <w:szCs w:val="21"/>
                      <w:highlight w:val="none"/>
                      <w:lang w:val="en-US" w:eastAsia="zh-CN"/>
                    </w:rPr>
                    <w:t>ZH21032330001</w:t>
                  </w:r>
                  <w:r>
                    <w:rPr>
                      <w:rFonts w:hint="eastAsia" w:ascii="Calibri" w:hAnsi="Calibri" w:eastAsia="宋体" w:cs="Times New Roman"/>
                      <w:color w:val="auto"/>
                      <w:highlight w:val="none"/>
                      <w:lang w:val="en-US" w:eastAsia="zh-CN"/>
                    </w:rPr>
                    <w:t>），符合三线一单管控要求</w:t>
                  </w:r>
                </w:p>
              </w:tc>
              <w:tc>
                <w:tcPr>
                  <w:tcW w:w="846" w:type="dxa"/>
                  <w:tcBorders>
                    <w:tl2br w:val="nil"/>
                    <w:tr2bl w:val="nil"/>
                  </w:tcBorders>
                  <w:noWrap w:val="0"/>
                  <w:vAlign w:val="center"/>
                </w:tcPr>
                <w:p w14:paraId="1F1DA78A">
                  <w:pPr>
                    <w:pStyle w:val="69"/>
                    <w:keepNext w:val="0"/>
                    <w:keepLines w:val="0"/>
                    <w:suppressLineNumbers w:val="0"/>
                    <w:spacing w:before="0" w:beforeAutospacing="0" w:after="0" w:afterAutospacing="0"/>
                    <w:ind w:left="0" w:right="0"/>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color w:val="auto"/>
                      <w:highlight w:val="none"/>
                    </w:rPr>
                    <w:t>符合</w:t>
                  </w:r>
                </w:p>
              </w:tc>
            </w:tr>
            <w:tr w14:paraId="57FE15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47" w:type="dxa"/>
                  <w:tcBorders>
                    <w:tl2br w:val="nil"/>
                    <w:tr2bl w:val="nil"/>
                  </w:tcBorders>
                  <w:noWrap w:val="0"/>
                  <w:vAlign w:val="center"/>
                </w:tcPr>
                <w:p w14:paraId="5ADD9753">
                  <w:pPr>
                    <w:pStyle w:val="6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lef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健全完善宏观环境政策：出台高耗能、高排放建设项目环境管理制度，严格控制“两高”项目盲 目发展</w:t>
                  </w:r>
                </w:p>
              </w:tc>
              <w:tc>
                <w:tcPr>
                  <w:tcW w:w="2516" w:type="dxa"/>
                  <w:tcBorders>
                    <w:tl2br w:val="nil"/>
                    <w:tr2bl w:val="nil"/>
                  </w:tcBorders>
                  <w:noWrap w:val="0"/>
                  <w:vAlign w:val="center"/>
                </w:tcPr>
                <w:p w14:paraId="007EDF2C">
                  <w:pPr>
                    <w:pStyle w:val="69"/>
                    <w:keepNext w:val="0"/>
                    <w:keepLines w:val="0"/>
                    <w:suppressLineNumbers w:val="0"/>
                    <w:spacing w:before="0" w:beforeAutospacing="0" w:after="0" w:afterAutospacing="0"/>
                    <w:ind w:left="0" w:right="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本项目不属于两高项目</w:t>
                  </w:r>
                </w:p>
              </w:tc>
              <w:tc>
                <w:tcPr>
                  <w:tcW w:w="846" w:type="dxa"/>
                  <w:tcBorders>
                    <w:tl2br w:val="nil"/>
                    <w:tr2bl w:val="nil"/>
                  </w:tcBorders>
                  <w:noWrap w:val="0"/>
                  <w:vAlign w:val="center"/>
                </w:tcPr>
                <w:p w14:paraId="00C3EAEA">
                  <w:pPr>
                    <w:pStyle w:val="69"/>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0B2D1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47" w:type="dxa"/>
                  <w:tcBorders>
                    <w:tl2br w:val="nil"/>
                    <w:tr2bl w:val="nil"/>
                  </w:tcBorders>
                  <w:noWrap w:val="0"/>
                  <w:vAlign w:val="center"/>
                </w:tcPr>
                <w:p w14:paraId="23F973E3">
                  <w:pPr>
                    <w:pStyle w:val="6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lef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辽宁沿海经济带持续推进行业深度治理。推进石化、化工、印染等产业技术升级，严控石化 产业挥发性有机物（VOCS）污染，防范沿海石 化行业环境风险</w:t>
                  </w:r>
                </w:p>
              </w:tc>
              <w:tc>
                <w:tcPr>
                  <w:tcW w:w="2516" w:type="dxa"/>
                  <w:tcBorders>
                    <w:tl2br w:val="nil"/>
                    <w:tr2bl w:val="nil"/>
                  </w:tcBorders>
                  <w:noWrap w:val="0"/>
                  <w:vAlign w:val="center"/>
                </w:tcPr>
                <w:p w14:paraId="68709A10">
                  <w:pPr>
                    <w:pStyle w:val="69"/>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eastAsia="zh-CN"/>
                    </w:rPr>
                    <w:t>本项目不涉及</w:t>
                  </w:r>
                  <w:r>
                    <w:rPr>
                      <w:rFonts w:hint="eastAsia" w:ascii="Times New Roman" w:hAnsi="Times New Roman" w:eastAsia="宋体" w:cs="Times New Roman"/>
                      <w:color w:val="auto"/>
                      <w:highlight w:val="none"/>
                      <w:lang w:val="en-US" w:eastAsia="zh-CN"/>
                    </w:rPr>
                    <w:t>VOCs</w:t>
                  </w:r>
                </w:p>
              </w:tc>
              <w:tc>
                <w:tcPr>
                  <w:tcW w:w="846" w:type="dxa"/>
                  <w:tcBorders>
                    <w:tl2br w:val="nil"/>
                    <w:tr2bl w:val="nil"/>
                  </w:tcBorders>
                  <w:noWrap w:val="0"/>
                  <w:vAlign w:val="center"/>
                </w:tcPr>
                <w:p w14:paraId="65CB0B56">
                  <w:pPr>
                    <w:pStyle w:val="69"/>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73B19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47" w:type="dxa"/>
                  <w:tcBorders>
                    <w:tl2br w:val="nil"/>
                    <w:tr2bl w:val="nil"/>
                  </w:tcBorders>
                  <w:noWrap w:val="0"/>
                  <w:vAlign w:val="center"/>
                </w:tcPr>
                <w:p w14:paraId="6550AB8E">
                  <w:pPr>
                    <w:pStyle w:val="6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lef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深入优化调整产业结构：持续压减淘汰落后和 过剩产能，严格落实钢铁、水泥熟料、烧结砖 瓦、电解铝、炼化等行业产能置换要求</w:t>
                  </w:r>
                </w:p>
              </w:tc>
              <w:tc>
                <w:tcPr>
                  <w:tcW w:w="2516" w:type="dxa"/>
                  <w:tcBorders>
                    <w:tl2br w:val="nil"/>
                    <w:tr2bl w:val="nil"/>
                  </w:tcBorders>
                  <w:noWrap w:val="0"/>
                  <w:vAlign w:val="center"/>
                </w:tcPr>
                <w:p w14:paraId="7E8BCC7F">
                  <w:pPr>
                    <w:pStyle w:val="69"/>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rPr>
                  </w:pPr>
                  <w:r>
                    <w:rPr>
                      <w:rFonts w:hint="eastAsia" w:ascii="Calibri" w:hAnsi="Calibri" w:eastAsia="宋体" w:cs="Times New Roman"/>
                      <w:color w:val="auto"/>
                      <w:highlight w:val="none"/>
                      <w:lang w:val="en-US" w:eastAsia="zh-CN"/>
                    </w:rPr>
                    <w:t>本项目为</w:t>
                  </w:r>
                  <w:r>
                    <w:rPr>
                      <w:rFonts w:hint="eastAsia" w:ascii="宋体" w:hAnsi="宋体" w:eastAsia="宋体" w:cs="宋体"/>
                      <w:color w:val="auto"/>
                      <w:szCs w:val="21"/>
                      <w:highlight w:val="none"/>
                      <w:lang w:val="en-US" w:eastAsia="zh-CN"/>
                    </w:rPr>
                    <w:t>石墨及其他非金属矿物制品制造</w:t>
                  </w:r>
                  <w:r>
                    <w:rPr>
                      <w:rFonts w:hint="eastAsia" w:ascii="Calibri" w:hAnsi="Calibri" w:eastAsia="宋体" w:cs="Times New Roman"/>
                      <w:color w:val="auto"/>
                      <w:highlight w:val="none"/>
                      <w:lang w:eastAsia="zh-CN"/>
                    </w:rPr>
                    <w:t>业，不属于</w:t>
                  </w:r>
                  <w:r>
                    <w:rPr>
                      <w:rFonts w:hint="default" w:ascii="Times New Roman" w:hAnsi="Times New Roman" w:eastAsia="宋体" w:cs="Times New Roman"/>
                      <w:color w:val="auto"/>
                      <w:highlight w:val="none"/>
                      <w:lang w:val="en-US" w:eastAsia="zh-CN"/>
                    </w:rPr>
                    <w:t>钢铁、水泥熟料、烧结砖瓦、电解铝、炼化等行业</w:t>
                  </w:r>
                </w:p>
              </w:tc>
              <w:tc>
                <w:tcPr>
                  <w:tcW w:w="846" w:type="dxa"/>
                  <w:tcBorders>
                    <w:tl2br w:val="nil"/>
                    <w:tr2bl w:val="nil"/>
                  </w:tcBorders>
                  <w:noWrap w:val="0"/>
                  <w:vAlign w:val="center"/>
                </w:tcPr>
                <w:p w14:paraId="02F648E1">
                  <w:pPr>
                    <w:pStyle w:val="69"/>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4BE24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47" w:type="dxa"/>
                  <w:tcBorders>
                    <w:tl2br w:val="nil"/>
                    <w:tr2bl w:val="nil"/>
                  </w:tcBorders>
                  <w:noWrap w:val="0"/>
                  <w:vAlign w:val="center"/>
                </w:tcPr>
                <w:p w14:paraId="45EC2C90">
                  <w:pPr>
                    <w:pStyle w:val="6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lef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加快优化调整能源结构，推行清洁能源替代，对以煤、石油焦、渣油、重油等为燃料的锅炉和工业炉窑，加快使用清洁低碳能源以及工厂余热、电力热力等进行替代，持续推进清洁取暖</w:t>
                  </w:r>
                </w:p>
              </w:tc>
              <w:tc>
                <w:tcPr>
                  <w:tcW w:w="2516" w:type="dxa"/>
                  <w:tcBorders>
                    <w:tl2br w:val="nil"/>
                    <w:tr2bl w:val="nil"/>
                  </w:tcBorders>
                  <w:noWrap w:val="0"/>
                  <w:vAlign w:val="center"/>
                </w:tcPr>
                <w:p w14:paraId="02370E3D">
                  <w:pPr>
                    <w:pStyle w:val="69"/>
                    <w:keepNext w:val="0"/>
                    <w:keepLines w:val="0"/>
                    <w:suppressLineNumbers w:val="0"/>
                    <w:spacing w:before="0" w:beforeAutospacing="0" w:after="0" w:afterAutospacing="0"/>
                    <w:ind w:left="0" w:right="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本项目不涉及燃煤锅炉</w:t>
                  </w:r>
                </w:p>
              </w:tc>
              <w:tc>
                <w:tcPr>
                  <w:tcW w:w="846" w:type="dxa"/>
                  <w:tcBorders>
                    <w:tl2br w:val="nil"/>
                    <w:tr2bl w:val="nil"/>
                  </w:tcBorders>
                  <w:noWrap w:val="0"/>
                  <w:vAlign w:val="center"/>
                </w:tcPr>
                <w:p w14:paraId="41D9E43D">
                  <w:pPr>
                    <w:pStyle w:val="69"/>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4EEFC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47" w:type="dxa"/>
                  <w:tcBorders>
                    <w:tl2br w:val="nil"/>
                    <w:tr2bl w:val="nil"/>
                  </w:tcBorders>
                  <w:noWrap w:val="0"/>
                  <w:vAlign w:val="center"/>
                </w:tcPr>
                <w:p w14:paraId="7CDAB940">
                  <w:pPr>
                    <w:pStyle w:val="69"/>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ind w:left="0" w:right="0"/>
                    <w:jc w:val="lef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控制重点领域二氧化碳排放，以钢铁、水泥、 电解铝、石化、化工、煤化工等行业为重点推进绿色制造</w:t>
                  </w:r>
                </w:p>
              </w:tc>
              <w:tc>
                <w:tcPr>
                  <w:tcW w:w="2516" w:type="dxa"/>
                  <w:tcBorders>
                    <w:tl2br w:val="nil"/>
                    <w:tr2bl w:val="nil"/>
                  </w:tcBorders>
                  <w:noWrap w:val="0"/>
                  <w:vAlign w:val="center"/>
                </w:tcPr>
                <w:p w14:paraId="332EDDB2">
                  <w:pPr>
                    <w:pStyle w:val="69"/>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rPr>
                  </w:pPr>
                  <w:r>
                    <w:rPr>
                      <w:rFonts w:hint="eastAsia" w:ascii="Calibri" w:hAnsi="Calibri" w:eastAsia="宋体" w:cs="Times New Roman"/>
                      <w:color w:val="auto"/>
                      <w:highlight w:val="none"/>
                      <w:lang w:val="en-US" w:eastAsia="zh-CN"/>
                    </w:rPr>
                    <w:t>本项目为</w:t>
                  </w:r>
                  <w:r>
                    <w:rPr>
                      <w:rFonts w:hint="eastAsia" w:ascii="宋体" w:hAnsi="宋体" w:eastAsia="宋体" w:cs="宋体"/>
                      <w:color w:val="auto"/>
                      <w:szCs w:val="21"/>
                      <w:highlight w:val="none"/>
                      <w:shd w:val="clear" w:color="auto" w:fill="auto"/>
                      <w:lang w:eastAsia="zh-CN"/>
                    </w:rPr>
                    <w:t>石墨及其他非金属矿物</w:t>
                  </w:r>
                  <w:r>
                    <w:rPr>
                      <w:rFonts w:hint="eastAsia" w:ascii="宋体" w:hAnsi="宋体" w:eastAsia="宋体" w:cs="宋体"/>
                      <w:color w:val="auto"/>
                      <w:szCs w:val="21"/>
                      <w:highlight w:val="none"/>
                      <w:shd w:val="clear" w:color="auto" w:fill="auto"/>
                    </w:rPr>
                    <w:t>制品制造</w:t>
                  </w:r>
                  <w:r>
                    <w:rPr>
                      <w:rFonts w:hint="eastAsia" w:ascii="Calibri" w:hAnsi="Calibri" w:eastAsia="宋体" w:cs="Times New Roman"/>
                      <w:color w:val="auto"/>
                      <w:highlight w:val="none"/>
                      <w:lang w:eastAsia="zh-CN"/>
                    </w:rPr>
                    <w:t>业，不属于</w:t>
                  </w:r>
                  <w:r>
                    <w:rPr>
                      <w:rFonts w:hint="default" w:ascii="Times New Roman" w:hAnsi="Times New Roman" w:eastAsia="宋体" w:cs="Times New Roman"/>
                      <w:color w:val="auto"/>
                      <w:highlight w:val="none"/>
                      <w:lang w:val="en-US" w:eastAsia="zh-CN"/>
                    </w:rPr>
                    <w:t>钢铁、水泥、电解铝、石化、化工、煤化工等行业</w:t>
                  </w:r>
                </w:p>
              </w:tc>
              <w:tc>
                <w:tcPr>
                  <w:tcW w:w="846" w:type="dxa"/>
                  <w:tcBorders>
                    <w:tl2br w:val="nil"/>
                    <w:tr2bl w:val="nil"/>
                  </w:tcBorders>
                  <w:noWrap w:val="0"/>
                  <w:vAlign w:val="center"/>
                </w:tcPr>
                <w:p w14:paraId="2FF72214">
                  <w:pPr>
                    <w:pStyle w:val="69"/>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08BB6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47" w:type="dxa"/>
                  <w:tcBorders>
                    <w:tl2br w:val="nil"/>
                    <w:tr2bl w:val="nil"/>
                  </w:tcBorders>
                  <w:noWrap w:val="0"/>
                  <w:vAlign w:val="center"/>
                </w:tcPr>
                <w:p w14:paraId="3F060677">
                  <w:pPr>
                    <w:pStyle w:val="69"/>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加强细颗粒物和臭氧协同控制</w:t>
                  </w:r>
                  <w:r>
                    <w:rPr>
                      <w:rFonts w:hint="eastAsia" w:ascii="Calibri" w:hAnsi="Calibri"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推进城市大气环境质量达标及持续改善。落实城市政府大气污染防治主体责任，推进城市大气环境管理的精细化和科学化。大连、本溪、丹东、盘锦、朝阳市持续提升环境空气质量，沈阳、鞍山、抚顺、锦州、营口、阜新、辽阳、铁岭、葫芦岛市明确达标路线图及污染防治重点任务。2024年底前，建立城市大气污染来源解析和污染源清单等工作的业务化机制。开展空气质量预测、预报，落实污染控制对策，完善城市大气环境闭环管理流程。</w:t>
                  </w:r>
                </w:p>
                <w:p w14:paraId="330E167F">
                  <w:pPr>
                    <w:pStyle w:val="69"/>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区域协同开展PM</w:t>
                  </w:r>
                  <w:r>
                    <w:rPr>
                      <w:rFonts w:hint="eastAsia" w:ascii="Times New Roman" w:hAnsi="Times New Roman" w:eastAsia="宋体" w:cs="Times New Roman"/>
                      <w:color w:val="auto"/>
                      <w:highlight w:val="none"/>
                      <w:vertAlign w:val="subscript"/>
                      <w:lang w:val="en-US" w:eastAsia="zh-CN"/>
                    </w:rPr>
                    <w:t>2.5</w:t>
                  </w:r>
                  <w:r>
                    <w:rPr>
                      <w:rFonts w:hint="default" w:ascii="Times New Roman" w:hAnsi="Times New Roman" w:eastAsia="宋体" w:cs="Times New Roman"/>
                      <w:color w:val="auto"/>
                      <w:highlight w:val="none"/>
                      <w:lang w:val="en-US" w:eastAsia="zh-CN"/>
                    </w:rPr>
                    <w:t>和</w:t>
                  </w:r>
                  <w:r>
                    <w:rPr>
                      <w:rFonts w:hint="eastAsia" w:ascii="Times New Roman" w:hAnsi="Times New Roman" w:eastAsia="宋体" w:cs="Times New Roman"/>
                      <w:color w:val="auto"/>
                      <w:highlight w:val="none"/>
                      <w:lang w:val="en-US" w:eastAsia="zh-CN"/>
                    </w:rPr>
                    <w:t>O</w:t>
                  </w:r>
                  <w:r>
                    <w:rPr>
                      <w:rFonts w:hint="eastAsia"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lang w:val="en-US" w:eastAsia="zh-CN"/>
                    </w:rPr>
                    <w:t>污染防治。推动城市PM</w:t>
                  </w:r>
                  <w:r>
                    <w:rPr>
                      <w:rFonts w:hint="eastAsia" w:ascii="Times New Roman" w:hAnsi="Times New Roman" w:eastAsia="宋体" w:cs="Times New Roman"/>
                      <w:color w:val="auto"/>
                      <w:highlight w:val="none"/>
                      <w:vertAlign w:val="subscript"/>
                      <w:lang w:val="en-US" w:eastAsia="zh-CN"/>
                    </w:rPr>
                    <w:t>2.5</w:t>
                  </w:r>
                  <w:r>
                    <w:rPr>
                      <w:rFonts w:hint="default" w:ascii="Times New Roman" w:hAnsi="Times New Roman" w:eastAsia="宋体" w:cs="Times New Roman"/>
                      <w:color w:val="auto"/>
                      <w:highlight w:val="none"/>
                      <w:lang w:val="en-US" w:eastAsia="zh-CN"/>
                    </w:rPr>
                    <w:t>浓度持续下降，有效遏制</w:t>
                  </w:r>
                  <w:r>
                    <w:rPr>
                      <w:rFonts w:hint="eastAsia" w:ascii="Times New Roman" w:hAnsi="Times New Roman" w:eastAsia="宋体" w:cs="Times New Roman"/>
                      <w:color w:val="auto"/>
                      <w:highlight w:val="none"/>
                      <w:lang w:val="en-US" w:eastAsia="zh-CN"/>
                    </w:rPr>
                    <w:t>O</w:t>
                  </w:r>
                  <w:r>
                    <w:rPr>
                      <w:rFonts w:hint="eastAsia"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lang w:val="en-US" w:eastAsia="zh-CN"/>
                    </w:rPr>
                    <w:t>浓度增长趋势。统筹考虑PM</w:t>
                  </w:r>
                  <w:r>
                    <w:rPr>
                      <w:rFonts w:hint="eastAsia" w:ascii="Times New Roman" w:hAnsi="Times New Roman" w:eastAsia="宋体" w:cs="Times New Roman"/>
                      <w:color w:val="auto"/>
                      <w:highlight w:val="none"/>
                      <w:vertAlign w:val="subscript"/>
                      <w:lang w:val="en-US" w:eastAsia="zh-CN"/>
                    </w:rPr>
                    <w:t>2.5</w:t>
                  </w:r>
                  <w:r>
                    <w:rPr>
                      <w:rFonts w:hint="default" w:ascii="Times New Roman" w:hAnsi="Times New Roman" w:eastAsia="宋体" w:cs="Times New Roman"/>
                      <w:color w:val="auto"/>
                      <w:highlight w:val="none"/>
                      <w:lang w:val="en-US" w:eastAsia="zh-CN"/>
                    </w:rPr>
                    <w:t>和</w:t>
                  </w:r>
                  <w:r>
                    <w:rPr>
                      <w:rFonts w:hint="eastAsia" w:ascii="Times New Roman" w:hAnsi="Times New Roman" w:eastAsia="宋体" w:cs="Times New Roman"/>
                      <w:color w:val="auto"/>
                      <w:highlight w:val="none"/>
                      <w:lang w:val="en-US" w:eastAsia="zh-CN"/>
                    </w:rPr>
                    <w:t>O</w:t>
                  </w:r>
                  <w:r>
                    <w:rPr>
                      <w:rFonts w:hint="eastAsia"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lang w:val="en-US" w:eastAsia="zh-CN"/>
                    </w:rPr>
                    <w:t>污染区域传输规律和季节性特征，加强重点区域、重点时段、重点领域、重点行业治理，强化分区分时分类差异化精细化协同管控。在夏季以石化、化工、工业涂装、包装印刷等行业为主，加强NOx、VOCs等PM</w:t>
                  </w:r>
                  <w:r>
                    <w:rPr>
                      <w:rFonts w:hint="eastAsia" w:ascii="Times New Roman" w:hAnsi="Times New Roman" w:eastAsia="宋体" w:cs="Times New Roman"/>
                      <w:color w:val="auto"/>
                      <w:highlight w:val="none"/>
                      <w:vertAlign w:val="subscript"/>
                      <w:lang w:val="en-US" w:eastAsia="zh-CN"/>
                    </w:rPr>
                    <w:t>2.5</w:t>
                  </w:r>
                  <w:r>
                    <w:rPr>
                      <w:rFonts w:hint="default" w:ascii="Times New Roman" w:hAnsi="Times New Roman" w:eastAsia="宋体" w:cs="Times New Roman"/>
                      <w:color w:val="auto"/>
                      <w:highlight w:val="none"/>
                      <w:lang w:val="en-US" w:eastAsia="zh-CN"/>
                    </w:rPr>
                    <w:t>和</w:t>
                  </w:r>
                  <w:r>
                    <w:rPr>
                      <w:rFonts w:hint="eastAsia" w:ascii="Times New Roman" w:hAnsi="Times New Roman" w:eastAsia="宋体" w:cs="Times New Roman"/>
                      <w:color w:val="auto"/>
                      <w:highlight w:val="none"/>
                      <w:lang w:val="en-US" w:eastAsia="zh-CN"/>
                    </w:rPr>
                    <w:t>O</w:t>
                  </w:r>
                  <w:r>
                    <w:rPr>
                      <w:rFonts w:hint="eastAsia"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lang w:val="en-US" w:eastAsia="zh-CN"/>
                    </w:rPr>
                    <w:t>前体物排放监管</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在秋冬季以移动源、燃煤源污染管控为主，强化不利扩散条件下颗粒物、氮氧化物、二氧化硫、氨排放监管。</w:t>
                  </w:r>
                </w:p>
              </w:tc>
              <w:tc>
                <w:tcPr>
                  <w:tcW w:w="2516" w:type="dxa"/>
                  <w:tcBorders>
                    <w:tl2br w:val="nil"/>
                    <w:tr2bl w:val="nil"/>
                  </w:tcBorders>
                  <w:noWrap w:val="0"/>
                  <w:vAlign w:val="center"/>
                </w:tcPr>
                <w:p w14:paraId="3083544C">
                  <w:pPr>
                    <w:pStyle w:val="69"/>
                    <w:keepNext w:val="0"/>
                    <w:keepLines w:val="0"/>
                    <w:suppressLineNumbers w:val="0"/>
                    <w:spacing w:before="0" w:beforeAutospacing="0" w:after="0" w:afterAutospacing="0"/>
                    <w:ind w:left="0" w:right="0"/>
                    <w:jc w:val="left"/>
                    <w:rPr>
                      <w:rFonts w:hint="eastAsia"/>
                      <w:color w:val="auto"/>
                      <w:highlight w:val="none"/>
                      <w:lang w:val="en-US" w:eastAsia="zh-CN"/>
                    </w:rPr>
                  </w:pPr>
                  <w:r>
                    <w:rPr>
                      <w:rFonts w:hint="default" w:ascii="Times New Roman" w:hAnsi="Times New Roman" w:eastAsia="宋体" w:cs="Times New Roman"/>
                      <w:color w:val="auto"/>
                      <w:highlight w:val="none"/>
                    </w:rPr>
                    <w:t>本项目运营期</w:t>
                  </w:r>
                  <w:r>
                    <w:rPr>
                      <w:rFonts w:hint="eastAsia" w:cs="Times New Roman"/>
                      <w:color w:val="auto"/>
                      <w:highlight w:val="none"/>
                      <w:lang w:eastAsia="zh-CN"/>
                    </w:rPr>
                    <w:t>各</w:t>
                  </w:r>
                  <w:r>
                    <w:rPr>
                      <w:rFonts w:hint="eastAsia"/>
                      <w:color w:val="auto"/>
                      <w:highlight w:val="none"/>
                      <w:lang w:eastAsia="zh-CN"/>
                    </w:rPr>
                    <w:t>生产线位于封闭生产车间内，各产尘点设集气罩，收集后的废气由各自生产线布袋除尘器处理，达标后经各自排气筒高空排放；雷蒙、环辊磨产生的废气经各自自带布袋除尘器处理，处理后的废气通过各自生产线排气筒</w:t>
                  </w:r>
                  <w:r>
                    <w:rPr>
                      <w:rFonts w:hint="eastAsia"/>
                      <w:color w:val="auto"/>
                      <w:highlight w:val="none"/>
                      <w:lang w:val="en-US" w:eastAsia="zh-CN"/>
                    </w:rPr>
                    <w:t>高空排放。</w:t>
                  </w:r>
                </w:p>
                <w:p w14:paraId="5B449B30">
                  <w:pPr>
                    <w:pStyle w:val="69"/>
                    <w:keepNext w:val="0"/>
                    <w:keepLines w:val="0"/>
                    <w:suppressLineNumbers w:val="0"/>
                    <w:spacing w:before="0" w:beforeAutospacing="0" w:after="0" w:afterAutospacing="0"/>
                    <w:ind w:left="0" w:right="0"/>
                    <w:jc w:val="left"/>
                    <w:rPr>
                      <w:rFonts w:hint="default"/>
                      <w:color w:val="auto"/>
                      <w:highlight w:val="none"/>
                      <w:lang w:val="en-US" w:eastAsia="zh-CN"/>
                    </w:rPr>
                  </w:pPr>
                  <w:r>
                    <w:rPr>
                      <w:rFonts w:hint="eastAsia"/>
                      <w:color w:val="auto"/>
                      <w:highlight w:val="none"/>
                      <w:lang w:val="en-US" w:eastAsia="zh-CN"/>
                    </w:rPr>
                    <w:t>各原料库房、产品库房封闭。</w:t>
                  </w:r>
                  <w:r>
                    <w:rPr>
                      <w:rFonts w:hint="eastAsia" w:ascii="Calibri" w:hAnsi="Calibri" w:eastAsia="宋体" w:cs="宋体"/>
                      <w:color w:val="auto"/>
                      <w:sz w:val="21"/>
                      <w:szCs w:val="21"/>
                      <w:highlight w:val="none"/>
                      <w:lang w:eastAsia="zh-CN" w:bidi="ar"/>
                    </w:rPr>
                    <w:t>废气排放满足《镁质耐火材料工业大气污染物排放标准》（DB21/3011-2018）要求</w:t>
                  </w:r>
                  <w:r>
                    <w:rPr>
                      <w:rFonts w:hint="eastAsia" w:ascii="Calibri" w:hAnsi="Calibri" w:cs="宋体"/>
                      <w:color w:val="auto"/>
                      <w:sz w:val="21"/>
                      <w:szCs w:val="21"/>
                      <w:highlight w:val="none"/>
                      <w:lang w:eastAsia="zh-CN" w:bidi="ar"/>
                    </w:rPr>
                    <w:t>。</w:t>
                  </w:r>
                </w:p>
              </w:tc>
              <w:tc>
                <w:tcPr>
                  <w:tcW w:w="846" w:type="dxa"/>
                  <w:tcBorders>
                    <w:tl2br w:val="nil"/>
                    <w:tr2bl w:val="nil"/>
                  </w:tcBorders>
                  <w:noWrap w:val="0"/>
                  <w:vAlign w:val="center"/>
                </w:tcPr>
                <w:p w14:paraId="5681E31B">
                  <w:pPr>
                    <w:pStyle w:val="69"/>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符合</w:t>
                  </w:r>
                </w:p>
              </w:tc>
            </w:tr>
            <w:tr w14:paraId="71718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47" w:type="dxa"/>
                  <w:tcBorders>
                    <w:tl2br w:val="nil"/>
                    <w:tr2bl w:val="nil"/>
                  </w:tcBorders>
                  <w:noWrap w:val="0"/>
                  <w:vAlign w:val="center"/>
                </w:tcPr>
                <w:p w14:paraId="358CF0EF">
                  <w:pPr>
                    <w:pStyle w:val="69"/>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持续推进重点污染源治理</w:t>
                  </w:r>
                  <w:r>
                    <w:rPr>
                      <w:rFonts w:hint="eastAsia" w:ascii="Calibri" w:hAnsi="Calibri"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强化燃煤锅炉整治和散煤污染治理。按照国家统一部署，推进热电联产企业供暖覆盖范围内的燃煤锅炉和小热电关停整合，实施</w:t>
                  </w:r>
                  <w:r>
                    <w:rPr>
                      <w:rFonts w:hint="eastAsia" w:ascii="Times New Roman" w:hAnsi="Times New Roman" w:eastAsia="宋体" w:cs="Times New Roman"/>
                      <w:color w:val="auto"/>
                      <w:highlight w:val="none"/>
                      <w:lang w:val="en-US" w:eastAsia="zh-CN"/>
                    </w:rPr>
                    <w:t>燃煤</w:t>
                  </w:r>
                  <w:r>
                    <w:rPr>
                      <w:rFonts w:hint="default" w:ascii="Times New Roman" w:hAnsi="Times New Roman" w:eastAsia="宋体" w:cs="Times New Roman"/>
                      <w:color w:val="auto"/>
                      <w:highlight w:val="none"/>
                      <w:lang w:val="en-US" w:eastAsia="zh-CN"/>
                    </w:rPr>
                    <w:t>锅炉超低排放改造，全面推进清洁能源采暖。各市和沈抚示范区结合具体情况分别实施电能替代、天然气替代、集中供热替代、新能源替代及型煤替代、棚户区改造。加强供热热源和配套管网建设，加快天然气产供销体系和储气设施建设，基本实现新增“煤改气”工程具备气源保障能力。阜新市开展清洁取暖城市试点建设。加快全省散煤治理，以城中村、城市周边等低矮面源和重污染地区为重点，通过加快拆迁改造、清洁供暖等方式推进散煤整治。2024年底前，完成大气重污染区域散煤治理任务。2025年底前，城镇清洁取暖率达到80%以上。</w:t>
                  </w:r>
                </w:p>
              </w:tc>
              <w:tc>
                <w:tcPr>
                  <w:tcW w:w="2516" w:type="dxa"/>
                  <w:tcBorders>
                    <w:tl2br w:val="nil"/>
                    <w:tr2bl w:val="nil"/>
                  </w:tcBorders>
                  <w:noWrap w:val="0"/>
                  <w:vAlign w:val="center"/>
                </w:tcPr>
                <w:p w14:paraId="5BC4ED43">
                  <w:pPr>
                    <w:pStyle w:val="69"/>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rPr>
                  </w:pPr>
                  <w:r>
                    <w:rPr>
                      <w:rFonts w:hint="eastAsia" w:ascii="Calibri" w:hAnsi="Calibri" w:eastAsia="宋体" w:cs="Times New Roman"/>
                      <w:color w:val="auto"/>
                      <w:highlight w:val="none"/>
                      <w:lang w:eastAsia="zh-CN"/>
                    </w:rPr>
                    <w:t>本项目不涉及燃煤</w:t>
                  </w:r>
                </w:p>
              </w:tc>
              <w:tc>
                <w:tcPr>
                  <w:tcW w:w="846" w:type="dxa"/>
                  <w:tcBorders>
                    <w:tl2br w:val="nil"/>
                    <w:tr2bl w:val="nil"/>
                  </w:tcBorders>
                  <w:noWrap w:val="0"/>
                  <w:vAlign w:val="center"/>
                </w:tcPr>
                <w:p w14:paraId="1013C58C">
                  <w:pPr>
                    <w:pStyle w:val="69"/>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符合</w:t>
                  </w:r>
                </w:p>
              </w:tc>
            </w:tr>
            <w:tr w14:paraId="17818C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47" w:type="dxa"/>
                  <w:tcBorders>
                    <w:tl2br w:val="nil"/>
                    <w:tr2bl w:val="nil"/>
                  </w:tcBorders>
                  <w:noWrap w:val="0"/>
                  <w:vAlign w:val="center"/>
                </w:tcPr>
                <w:p w14:paraId="79BF4F97">
                  <w:pPr>
                    <w:pStyle w:val="69"/>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强化噪声污染整治。全面排查工业生产、建筑施工、交通运输和社会生活等领域的重点噪声排放源，依法严厉查处噪声排放超标扰民行为。鼓励创建安静小区，噪声敏感建筑物集中区域逐步配套建设隔声屏障，严格实施禁鸣、限行、限速等措施。实施城市建筑施工环保公告制度，对建筑施工进行实时监督。畅通噪声污染投诉渠道，探索建立多部门噪</w:t>
                  </w:r>
                  <w:r>
                    <w:rPr>
                      <w:rFonts w:hint="eastAsia" w:ascii="Times New Roman" w:hAnsi="Times New Roman" w:eastAsia="宋体" w:cs="Times New Roman"/>
                      <w:color w:val="auto"/>
                      <w:highlight w:val="none"/>
                      <w:lang w:val="en-US" w:eastAsia="zh-CN"/>
                    </w:rPr>
                    <w:t>声污染投诉信息共享机制。</w:t>
                  </w:r>
                </w:p>
              </w:tc>
              <w:tc>
                <w:tcPr>
                  <w:tcW w:w="2516" w:type="dxa"/>
                  <w:tcBorders>
                    <w:tl2br w:val="nil"/>
                    <w:tr2bl w:val="nil"/>
                  </w:tcBorders>
                  <w:noWrap w:val="0"/>
                  <w:vAlign w:val="center"/>
                </w:tcPr>
                <w:p w14:paraId="61DE1CA6">
                  <w:pPr>
                    <w:pStyle w:val="69"/>
                    <w:keepNext w:val="0"/>
                    <w:keepLines w:val="0"/>
                    <w:suppressLineNumbers w:val="0"/>
                    <w:spacing w:before="0" w:beforeAutospacing="0" w:after="0" w:afterAutospacing="0"/>
                    <w:ind w:left="0" w:right="0"/>
                    <w:rPr>
                      <w:rFonts w:hint="eastAsia" w:ascii="Times New Roman" w:hAnsi="Times New Roman" w:eastAsia="宋体" w:cs="Times New Roman"/>
                      <w:color w:val="auto"/>
                      <w:highlight w:val="none"/>
                      <w:lang w:eastAsia="zh-CN"/>
                    </w:rPr>
                  </w:pPr>
                  <w:r>
                    <w:rPr>
                      <w:rFonts w:hint="eastAsia" w:ascii="Calibri" w:hAnsi="Calibri" w:eastAsia="宋体" w:cs="Times New Roman"/>
                      <w:color w:val="auto"/>
                      <w:highlight w:val="none"/>
                      <w:lang w:eastAsia="zh-CN"/>
                    </w:rPr>
                    <w:t>施工期</w:t>
                  </w:r>
                  <w:r>
                    <w:rPr>
                      <w:rFonts w:hint="eastAsia" w:ascii="Calibri" w:hAnsi="Calibri" w:cs="Times New Roman"/>
                      <w:color w:val="auto"/>
                      <w:highlight w:val="none"/>
                      <w:lang w:eastAsia="zh-CN"/>
                    </w:rPr>
                    <w:t>优</w:t>
                  </w:r>
                  <w:r>
                    <w:rPr>
                      <w:rFonts w:hint="default" w:ascii="Times New Roman" w:hAnsi="Times New Roman" w:eastAsia="宋体" w:cs="Times New Roman"/>
                      <w:color w:val="auto"/>
                      <w:highlight w:val="none"/>
                    </w:rPr>
                    <w:t>先选用低噪声设备，对不同噪声源分别采取基础减振、加装减</w:t>
                  </w:r>
                  <w:r>
                    <w:rPr>
                      <w:rFonts w:hint="default" w:ascii="Times New Roman" w:hAnsi="Times New Roman" w:eastAsia="宋体" w:cs="Times New Roman"/>
                      <w:color w:val="auto"/>
                      <w:highlight w:val="none"/>
                      <w:lang w:val="en-US" w:eastAsia="zh-CN"/>
                    </w:rPr>
                    <w:t>振</w:t>
                  </w:r>
                  <w:r>
                    <w:rPr>
                      <w:rFonts w:hint="default" w:ascii="Times New Roman" w:hAnsi="Times New Roman" w:eastAsia="宋体" w:cs="Times New Roman"/>
                      <w:color w:val="auto"/>
                      <w:highlight w:val="none"/>
                    </w:rPr>
                    <w:t>垫、厂房隔声等降噪措施</w:t>
                  </w:r>
                  <w:r>
                    <w:rPr>
                      <w:rFonts w:hint="eastAsia" w:ascii="Calibri" w:hAnsi="Calibri" w:eastAsia="宋体" w:cs="Times New Roman"/>
                      <w:color w:val="auto"/>
                      <w:highlight w:val="none"/>
                      <w:lang w:eastAsia="zh-CN"/>
                    </w:rPr>
                    <w:t>，施工场地产生施工期噪声满足《建筑施工场界环境噪声排放标准》（GB12523-2011）标准</w:t>
                  </w:r>
                  <w:r>
                    <w:rPr>
                      <w:rFonts w:hint="eastAsia" w:ascii="Calibri" w:hAnsi="Calibri" w:cs="Times New Roman"/>
                      <w:color w:val="auto"/>
                      <w:highlight w:val="none"/>
                      <w:lang w:eastAsia="zh-CN"/>
                    </w:rPr>
                    <w:t>；道路运输车辆</w:t>
                  </w:r>
                  <w:r>
                    <w:rPr>
                      <w:rFonts w:hint="eastAsia"/>
                      <w:color w:val="auto"/>
                      <w:highlight w:val="none"/>
                      <w:lang w:eastAsia="zh-CN"/>
                    </w:rPr>
                    <w:t>在居民区减速行驶，禁止鸣笛，减少夜间运输，对居民影响不大。</w:t>
                  </w:r>
                </w:p>
              </w:tc>
              <w:tc>
                <w:tcPr>
                  <w:tcW w:w="846" w:type="dxa"/>
                  <w:tcBorders>
                    <w:tl2br w:val="nil"/>
                    <w:tr2bl w:val="nil"/>
                  </w:tcBorders>
                  <w:noWrap w:val="0"/>
                  <w:vAlign w:val="center"/>
                </w:tcPr>
                <w:p w14:paraId="1D6DB260">
                  <w:pPr>
                    <w:pStyle w:val="69"/>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符合</w:t>
                  </w:r>
                </w:p>
              </w:tc>
            </w:tr>
            <w:tr w14:paraId="3C09A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47" w:type="dxa"/>
                  <w:tcBorders>
                    <w:tl2br w:val="nil"/>
                    <w:tr2bl w:val="nil"/>
                  </w:tcBorders>
                  <w:noWrap w:val="0"/>
                  <w:vAlign w:val="center"/>
                </w:tcPr>
                <w:p w14:paraId="127871FB">
                  <w:pPr>
                    <w:pStyle w:val="69"/>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强化危险废物监管及利用处置</w:t>
                  </w:r>
                  <w:r>
                    <w:rPr>
                      <w:rFonts w:hint="eastAsia" w:ascii="Calibri" w:hAnsi="Calibri"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优化危险废物收集利用处置能力。按照“总体匹配、适度富裕”的原则，统筹推动危险废物利用处置能力建设。审慎发展危险废物焚烧处置设施，依法依规严格管控填埋处置设施建设，最大限度减少焚烧减量的危险废物直接填埋。以完善特殊类别、特定区域处置能力为导向，适度发展水泥窑协同处置设施。积极推进危险废物资源化利用，鼓励废铅蓄电池、</w:t>
                  </w:r>
                  <w:r>
                    <w:rPr>
                      <w:rFonts w:hint="eastAsia" w:ascii="Times New Roman" w:hAnsi="Times New Roman" w:eastAsia="宋体" w:cs="Times New Roman"/>
                      <w:color w:val="auto"/>
                      <w:highlight w:val="none"/>
                      <w:lang w:val="en-US" w:eastAsia="zh-CN"/>
                    </w:rPr>
                    <w:t>脱硝</w:t>
                  </w:r>
                  <w:r>
                    <w:rPr>
                      <w:rFonts w:hint="default" w:ascii="Times New Roman" w:hAnsi="Times New Roman" w:eastAsia="宋体" w:cs="Times New Roman"/>
                      <w:color w:val="auto"/>
                      <w:highlight w:val="none"/>
                      <w:lang w:val="en-US" w:eastAsia="zh-CN"/>
                    </w:rPr>
                    <w:t>催化剂、</w:t>
                  </w:r>
                  <w:r>
                    <w:rPr>
                      <w:rFonts w:hint="eastAsia" w:ascii="Times New Roman" w:hAnsi="Times New Roman" w:eastAsia="宋体" w:cs="Times New Roman"/>
                      <w:color w:val="auto"/>
                      <w:highlight w:val="none"/>
                      <w:lang w:val="en-US" w:eastAsia="zh-CN"/>
                    </w:rPr>
                    <w:t>含盐废物</w:t>
                  </w:r>
                  <w:r>
                    <w:rPr>
                      <w:rFonts w:hint="default" w:ascii="Times New Roman" w:hAnsi="Times New Roman" w:eastAsia="宋体" w:cs="Times New Roman"/>
                      <w:color w:val="auto"/>
                      <w:highlight w:val="none"/>
                      <w:lang w:val="en-US" w:eastAsia="zh-CN"/>
                    </w:rPr>
                    <w:t>、生活垃圾焚烧</w:t>
                  </w:r>
                  <w:r>
                    <w:rPr>
                      <w:rFonts w:hint="eastAsia" w:ascii="Times New Roman" w:hAnsi="Times New Roman" w:eastAsia="宋体" w:cs="Times New Roman"/>
                      <w:color w:val="auto"/>
                      <w:highlight w:val="none"/>
                      <w:lang w:val="en-US" w:eastAsia="zh-CN"/>
                    </w:rPr>
                    <w:t>飞灰</w:t>
                  </w:r>
                  <w:r>
                    <w:rPr>
                      <w:rFonts w:hint="default" w:ascii="Times New Roman" w:hAnsi="Times New Roman" w:eastAsia="宋体" w:cs="Times New Roman"/>
                      <w:color w:val="auto"/>
                      <w:highlight w:val="none"/>
                      <w:lang w:val="en-US" w:eastAsia="zh-CN"/>
                    </w:rPr>
                    <w:t>等综合利用项目建设。提升危险废物环境监管能力。建立健全“源头严防、过程严管、后果严惩”的危险废物环境监管体系。完善危险废物产生、收集、贮存、转运、处置信息化监管平台，推行视频监控、智能称重、电子标签等集成智能物联网设备。强化危险废物生态环境执法监管，严厉打击危险废物环境违法犯罪行为。</w:t>
                  </w:r>
                </w:p>
              </w:tc>
              <w:tc>
                <w:tcPr>
                  <w:tcW w:w="2516" w:type="dxa"/>
                  <w:tcBorders>
                    <w:tl2br w:val="nil"/>
                    <w:tr2bl w:val="nil"/>
                  </w:tcBorders>
                  <w:noWrap w:val="0"/>
                  <w:vAlign w:val="center"/>
                </w:tcPr>
                <w:p w14:paraId="41ABB772">
                  <w:pPr>
                    <w:pStyle w:val="69"/>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危险废物</w:t>
                  </w:r>
                  <w:r>
                    <w:rPr>
                      <w:rFonts w:hint="eastAsia" w:ascii="Times New Roman" w:hAnsi="Times New Roman" w:eastAsia="宋体" w:cs="Times New Roman"/>
                      <w:color w:val="auto"/>
                      <w:highlight w:val="none"/>
                      <w:lang w:eastAsia="zh-CN"/>
                    </w:rPr>
                    <w:t>暂存于危险废物贮存点</w:t>
                  </w:r>
                  <w:r>
                    <w:rPr>
                      <w:rStyle w:val="30"/>
                      <w:rFonts w:hint="default" w:ascii="Times New Roman" w:hAnsi="Times New Roman" w:eastAsia="宋体" w:cs="Times New Roman"/>
                      <w:bCs w:val="0"/>
                      <w:color w:val="auto"/>
                      <w:kern w:val="0"/>
                      <w:szCs w:val="20"/>
                      <w:highlight w:val="none"/>
                      <w:lang w:val="en-US" w:eastAsia="zh-CN"/>
                    </w:rPr>
                    <w:t>，</w:t>
                  </w:r>
                  <w:r>
                    <w:rPr>
                      <w:rStyle w:val="30"/>
                      <w:rFonts w:hint="eastAsia" w:cs="Times New Roman"/>
                      <w:bCs w:val="0"/>
                      <w:color w:val="auto"/>
                      <w:kern w:val="0"/>
                      <w:szCs w:val="20"/>
                      <w:highlight w:val="none"/>
                      <w:lang w:val="en-US" w:eastAsia="zh-CN"/>
                    </w:rPr>
                    <w:t>定期</w:t>
                  </w:r>
                  <w:r>
                    <w:rPr>
                      <w:rStyle w:val="30"/>
                      <w:rFonts w:hint="default" w:ascii="Times New Roman" w:hAnsi="Times New Roman" w:eastAsia="宋体" w:cs="Times New Roman"/>
                      <w:bCs w:val="0"/>
                      <w:color w:val="auto"/>
                      <w:kern w:val="0"/>
                      <w:szCs w:val="20"/>
                      <w:highlight w:val="none"/>
                      <w:lang w:val="en-US" w:eastAsia="zh-CN"/>
                    </w:rPr>
                    <w:t>委托有资质单位</w:t>
                  </w:r>
                  <w:r>
                    <w:rPr>
                      <w:rStyle w:val="30"/>
                      <w:rFonts w:hint="eastAsia" w:cs="Times New Roman"/>
                      <w:bCs w:val="0"/>
                      <w:color w:val="auto"/>
                      <w:kern w:val="0"/>
                      <w:szCs w:val="20"/>
                      <w:highlight w:val="none"/>
                      <w:lang w:val="en-US" w:eastAsia="zh-CN"/>
                    </w:rPr>
                    <w:t>处置</w:t>
                  </w:r>
                  <w:r>
                    <w:rPr>
                      <w:rFonts w:hint="default"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eastAsia="zh-CN"/>
                    </w:rPr>
                    <w:t>对环境影响较小</w:t>
                  </w:r>
                </w:p>
              </w:tc>
              <w:tc>
                <w:tcPr>
                  <w:tcW w:w="846" w:type="dxa"/>
                  <w:tcBorders>
                    <w:tl2br w:val="nil"/>
                    <w:tr2bl w:val="nil"/>
                  </w:tcBorders>
                  <w:noWrap w:val="0"/>
                  <w:vAlign w:val="center"/>
                </w:tcPr>
                <w:p w14:paraId="07A9E2BE">
                  <w:pPr>
                    <w:pStyle w:val="69"/>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符合</w:t>
                  </w:r>
                </w:p>
              </w:tc>
            </w:tr>
            <w:tr w14:paraId="017D3D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47" w:type="dxa"/>
                  <w:tcBorders>
                    <w:tl2br w:val="nil"/>
                    <w:tr2bl w:val="nil"/>
                  </w:tcBorders>
                  <w:noWrap w:val="0"/>
                  <w:vAlign w:val="center"/>
                </w:tcPr>
                <w:p w14:paraId="779E7BAE">
                  <w:pPr>
                    <w:pStyle w:val="69"/>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推动工业固体废物综合利用</w:t>
                  </w:r>
                  <w:r>
                    <w:rPr>
                      <w:rFonts w:hint="eastAsia" w:ascii="Calibri" w:hAnsi="Calibri"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提高一般工业固体废物综合利用水平。加强资源综合利用技术装备推广应用，推动工业资源综合利用产业规模化、集聚化发展。推进尾矿、</w:t>
                  </w:r>
                  <w:r>
                    <w:rPr>
                      <w:rFonts w:hint="eastAsia" w:ascii="Times New Roman" w:hAnsi="Times New Roman" w:eastAsia="宋体" w:cs="Times New Roman"/>
                      <w:color w:val="auto"/>
                      <w:highlight w:val="none"/>
                      <w:lang w:val="en-US" w:eastAsia="zh-CN"/>
                    </w:rPr>
                    <w:t>煤矸石</w:t>
                  </w:r>
                  <w:r>
                    <w:rPr>
                      <w:rFonts w:hint="default" w:ascii="Times New Roman" w:hAnsi="Times New Roman" w:eastAsia="宋体" w:cs="Times New Roman"/>
                      <w:color w:val="auto"/>
                      <w:highlight w:val="none"/>
                      <w:lang w:val="en-US" w:eastAsia="zh-CN"/>
                    </w:rPr>
                    <w:t>、粉煤灰、冶炼废渣、工业副产石膏等固体废物综合利用。鼓励工业固体废物在提取有价组分、建材、筑路、生态修复、土壤治理等领域的规模化应用。2025年底前，一般工业固体废物综合利用率达到50%。</w:t>
                  </w:r>
                </w:p>
              </w:tc>
              <w:tc>
                <w:tcPr>
                  <w:tcW w:w="2516" w:type="dxa"/>
                  <w:tcBorders>
                    <w:tl2br w:val="nil"/>
                    <w:tr2bl w:val="nil"/>
                  </w:tcBorders>
                  <w:noWrap w:val="0"/>
                  <w:vAlign w:val="center"/>
                </w:tcPr>
                <w:p w14:paraId="3869E4A1">
                  <w:pPr>
                    <w:pStyle w:val="69"/>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本项目</w:t>
                  </w:r>
                  <w:r>
                    <w:rPr>
                      <w:rFonts w:hint="default" w:ascii="Times New Roman" w:hAnsi="Times New Roman" w:eastAsia="宋体" w:cs="Times New Roman"/>
                      <w:color w:val="auto"/>
                      <w:highlight w:val="none"/>
                      <w:lang w:eastAsia="zh-CN"/>
                    </w:rPr>
                    <w:t>一般固废</w:t>
                  </w:r>
                  <w:r>
                    <w:rPr>
                      <w:rStyle w:val="30"/>
                      <w:rFonts w:hint="default" w:ascii="Times New Roman" w:hAnsi="Times New Roman" w:eastAsia="宋体" w:cs="Times New Roman"/>
                      <w:bCs w:val="0"/>
                      <w:color w:val="auto"/>
                      <w:kern w:val="0"/>
                      <w:szCs w:val="20"/>
                      <w:highlight w:val="none"/>
                      <w:lang w:val="en-US" w:eastAsia="zh-CN"/>
                    </w:rPr>
                    <w:t>外售综合利用</w:t>
                  </w:r>
                  <w:r>
                    <w:rPr>
                      <w:rFonts w:hint="default"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eastAsia="zh-CN"/>
                    </w:rPr>
                    <w:t>对环境影响较小</w:t>
                  </w:r>
                </w:p>
              </w:tc>
              <w:tc>
                <w:tcPr>
                  <w:tcW w:w="846" w:type="dxa"/>
                  <w:tcBorders>
                    <w:tl2br w:val="nil"/>
                    <w:tr2bl w:val="nil"/>
                  </w:tcBorders>
                  <w:noWrap w:val="0"/>
                  <w:vAlign w:val="center"/>
                </w:tcPr>
                <w:p w14:paraId="272C6A96">
                  <w:pPr>
                    <w:pStyle w:val="69"/>
                    <w:keepNext w:val="0"/>
                    <w:keepLines w:val="0"/>
                    <w:suppressLineNumbers w:val="0"/>
                    <w:spacing w:before="0" w:beforeAutospacing="0" w:after="0" w:afterAutospacing="0"/>
                    <w:ind w:left="0" w:right="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符合</w:t>
                  </w:r>
                </w:p>
              </w:tc>
            </w:tr>
          </w:tbl>
          <w:p w14:paraId="4AF72DF7">
            <w:pPr>
              <w:pStyle w:val="55"/>
              <w:keepNext w:val="0"/>
              <w:suppressLineNumbers w:val="0"/>
              <w:spacing w:before="156" w:beforeAutospacing="0" w:after="156" w:afterAutospacing="0"/>
              <w:ind w:right="0"/>
              <w:jc w:val="left"/>
              <w:rPr>
                <w:rFonts w:ascii="Times New Roman" w:hAnsi="Times New Roman"/>
                <w:b/>
                <w:color w:val="auto"/>
                <w:sz w:val="24"/>
                <w:highlight w:val="none"/>
              </w:rPr>
            </w:pPr>
            <w:r>
              <w:rPr>
                <w:rFonts w:hint="eastAsia" w:ascii="Times New Roman" w:hAnsi="Times New Roman" w:eastAsia="宋体"/>
                <w:b/>
                <w:color w:val="auto"/>
                <w:sz w:val="24"/>
                <w:highlight w:val="none"/>
                <w:lang w:val="en-US" w:eastAsia="zh-CN"/>
              </w:rPr>
              <w:t>5</w:t>
            </w:r>
            <w:r>
              <w:rPr>
                <w:rFonts w:hint="eastAsia" w:ascii="宋体" w:hAnsi="宋体" w:eastAsia="宋体" w:cs="宋体"/>
                <w:b/>
                <w:color w:val="auto"/>
                <w:sz w:val="24"/>
                <w:highlight w:val="none"/>
              </w:rPr>
              <w:t>、与《鞍山市生态保护</w:t>
            </w:r>
            <w:r>
              <w:rPr>
                <w:rFonts w:ascii="宋体" w:hAnsi="宋体" w:eastAsia="宋体" w:cs="宋体"/>
                <w:b/>
                <w:color w:val="auto"/>
                <w:sz w:val="24"/>
                <w:highlight w:val="none"/>
              </w:rPr>
              <w:t>“</w:t>
            </w:r>
            <w:r>
              <w:rPr>
                <w:rFonts w:hint="eastAsia" w:ascii="宋体" w:hAnsi="宋体" w:eastAsia="宋体" w:cs="宋体"/>
                <w:b/>
                <w:color w:val="auto"/>
                <w:sz w:val="24"/>
                <w:highlight w:val="none"/>
              </w:rPr>
              <w:t>十四五</w:t>
            </w:r>
            <w:r>
              <w:rPr>
                <w:rFonts w:ascii="宋体" w:hAnsi="宋体" w:eastAsia="宋体" w:cs="宋体"/>
                <w:b/>
                <w:color w:val="auto"/>
                <w:sz w:val="24"/>
                <w:highlight w:val="none"/>
              </w:rPr>
              <w:t>”</w:t>
            </w:r>
            <w:r>
              <w:rPr>
                <w:rFonts w:hint="eastAsia" w:ascii="宋体" w:hAnsi="宋体" w:eastAsia="宋体" w:cs="宋体"/>
                <w:b/>
                <w:color w:val="auto"/>
                <w:sz w:val="24"/>
                <w:highlight w:val="none"/>
              </w:rPr>
              <w:t>规划》相符性分析</w:t>
            </w:r>
          </w:p>
          <w:p w14:paraId="6AC03CE8">
            <w:pPr>
              <w:pStyle w:val="10"/>
              <w:keepNext w:val="0"/>
              <w:keepLines w:val="0"/>
              <w:suppressLineNumbers w:val="0"/>
              <w:spacing w:before="0" w:beforeAutospacing="0" w:after="0" w:afterAutospacing="0"/>
              <w:ind w:left="0" w:right="0"/>
              <w:jc w:val="center"/>
              <w:rPr>
                <w:rFonts w:hint="eastAsia" w:ascii="Calibri" w:hAnsi="Calibri" w:eastAsia="宋体" w:cs="Times New Roman"/>
                <w:color w:val="auto"/>
                <w:sz w:val="24"/>
                <w:highlight w:val="none"/>
              </w:rPr>
            </w:pPr>
            <w:r>
              <w:rPr>
                <w:rFonts w:ascii="Calibri" w:hAnsi="Calibri" w:eastAsia="宋体" w:cs="Times New Roman"/>
                <w:color w:val="auto"/>
                <w:sz w:val="24"/>
                <w:highlight w:val="none"/>
              </w:rPr>
              <w:t>表</w:t>
            </w:r>
            <w:r>
              <w:rPr>
                <w:rFonts w:hint="eastAsia" w:ascii="Calibri" w:hAnsi="Calibri" w:cs="Times New Roman"/>
                <w:color w:val="auto"/>
                <w:sz w:val="24"/>
                <w:highlight w:val="none"/>
                <w:lang w:val="en-US" w:eastAsia="zh-CN"/>
              </w:rPr>
              <w:t>1-5</w:t>
            </w:r>
            <w:r>
              <w:rPr>
                <w:rFonts w:hint="eastAsia" w:ascii="Calibri" w:hAnsi="Calibri" w:eastAsia="宋体" w:cs="Times New Roman"/>
                <w:color w:val="auto"/>
                <w:sz w:val="24"/>
                <w:highlight w:val="none"/>
              </w:rPr>
              <w:t xml:space="preserve">       </w:t>
            </w:r>
            <w:r>
              <w:rPr>
                <w:rFonts w:ascii="Calibri" w:hAnsi="Calibri" w:eastAsia="宋体" w:cs="Times New Roman"/>
                <w:color w:val="auto"/>
                <w:sz w:val="24"/>
                <w:highlight w:val="none"/>
              </w:rPr>
              <w:t>项目与</w:t>
            </w:r>
            <w:r>
              <w:rPr>
                <w:rFonts w:hint="eastAsia" w:ascii="Calibri" w:hAnsi="Calibri" w:eastAsia="宋体" w:cs="Times New Roman"/>
                <w:color w:val="auto"/>
                <w:sz w:val="24"/>
                <w:highlight w:val="none"/>
              </w:rPr>
              <w:t>鞍山市生态保护</w:t>
            </w:r>
            <w:r>
              <w:rPr>
                <w:rFonts w:ascii="Calibri" w:hAnsi="Calibri" w:eastAsia="宋体" w:cs="Times New Roman"/>
                <w:color w:val="auto"/>
                <w:sz w:val="24"/>
                <w:highlight w:val="none"/>
              </w:rPr>
              <w:t>“</w:t>
            </w:r>
            <w:r>
              <w:rPr>
                <w:rFonts w:hint="eastAsia" w:ascii="Calibri" w:hAnsi="Calibri" w:eastAsia="宋体" w:cs="Times New Roman"/>
                <w:color w:val="auto"/>
                <w:sz w:val="24"/>
                <w:highlight w:val="none"/>
              </w:rPr>
              <w:t>十四五</w:t>
            </w:r>
            <w:r>
              <w:rPr>
                <w:rFonts w:ascii="Calibri" w:hAnsi="Calibri" w:eastAsia="宋体" w:cs="Times New Roman"/>
                <w:color w:val="auto"/>
                <w:sz w:val="24"/>
                <w:highlight w:val="none"/>
              </w:rPr>
              <w:t>”</w:t>
            </w:r>
            <w:r>
              <w:rPr>
                <w:rFonts w:hint="eastAsia" w:ascii="Calibri" w:hAnsi="Calibri" w:eastAsia="宋体" w:cs="Times New Roman"/>
                <w:color w:val="auto"/>
                <w:sz w:val="24"/>
                <w:highlight w:val="none"/>
              </w:rPr>
              <w:t>规划</w:t>
            </w:r>
            <w:r>
              <w:rPr>
                <w:rFonts w:ascii="Calibri" w:hAnsi="Calibri" w:eastAsia="宋体" w:cs="Times New Roman"/>
                <w:color w:val="auto"/>
                <w:sz w:val="24"/>
                <w:highlight w:val="none"/>
              </w:rPr>
              <w:t>相符性分析</w:t>
            </w:r>
          </w:p>
          <w:tbl>
            <w:tblPr>
              <w:tblStyle w:val="25"/>
              <w:tblW w:w="832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64"/>
              <w:gridCol w:w="2521"/>
              <w:gridCol w:w="1036"/>
            </w:tblGrid>
            <w:tr w14:paraId="34656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764" w:type="dxa"/>
                  <w:noWrap w:val="0"/>
                  <w:vAlign w:val="center"/>
                </w:tcPr>
                <w:p w14:paraId="5A68A252">
                  <w:pPr>
                    <w:pStyle w:val="69"/>
                    <w:keepNext w:val="0"/>
                    <w:keepLines w:val="0"/>
                    <w:suppressLineNumbers w:val="0"/>
                    <w:spacing w:before="31" w:beforeAutospacing="0" w:after="31" w:afterAutospacing="0"/>
                    <w:ind w:left="0" w:right="0"/>
                    <w:rPr>
                      <w:rFonts w:ascii="Times New Roman" w:hAnsi="Times New Roman" w:eastAsia="宋体" w:cs="Times New Roman"/>
                      <w:b w:val="0"/>
                      <w:bCs/>
                      <w:color w:val="auto"/>
                      <w:highlight w:val="none"/>
                    </w:rPr>
                  </w:pPr>
                  <w:r>
                    <w:rPr>
                      <w:rFonts w:ascii="Times New Roman" w:hAnsi="Times New Roman" w:eastAsia="宋体" w:cs="Times New Roman"/>
                      <w:b w:val="0"/>
                      <w:bCs/>
                      <w:color w:val="auto"/>
                      <w:highlight w:val="none"/>
                    </w:rPr>
                    <w:t>条文明细</w:t>
                  </w:r>
                </w:p>
              </w:tc>
              <w:tc>
                <w:tcPr>
                  <w:tcW w:w="2521" w:type="dxa"/>
                  <w:noWrap w:val="0"/>
                  <w:vAlign w:val="center"/>
                </w:tcPr>
                <w:p w14:paraId="5F98801A">
                  <w:pPr>
                    <w:pStyle w:val="69"/>
                    <w:keepNext w:val="0"/>
                    <w:keepLines w:val="0"/>
                    <w:suppressLineNumbers w:val="0"/>
                    <w:spacing w:before="31" w:beforeAutospacing="0" w:after="31" w:afterAutospacing="0"/>
                    <w:ind w:left="0" w:right="0"/>
                    <w:rPr>
                      <w:rFonts w:ascii="Times New Roman" w:hAnsi="Times New Roman" w:eastAsia="宋体" w:cs="Times New Roman"/>
                      <w:b w:val="0"/>
                      <w:bCs/>
                      <w:color w:val="auto"/>
                      <w:highlight w:val="none"/>
                    </w:rPr>
                  </w:pPr>
                  <w:r>
                    <w:rPr>
                      <w:rFonts w:ascii="Times New Roman" w:hAnsi="Times New Roman" w:eastAsia="宋体" w:cs="Times New Roman"/>
                      <w:b w:val="0"/>
                      <w:bCs/>
                      <w:color w:val="auto"/>
                      <w:highlight w:val="none"/>
                    </w:rPr>
                    <w:t>本项目情况</w:t>
                  </w:r>
                </w:p>
              </w:tc>
              <w:tc>
                <w:tcPr>
                  <w:tcW w:w="1036" w:type="dxa"/>
                  <w:noWrap w:val="0"/>
                  <w:vAlign w:val="center"/>
                </w:tcPr>
                <w:p w14:paraId="2F59AAB3">
                  <w:pPr>
                    <w:pStyle w:val="69"/>
                    <w:keepNext w:val="0"/>
                    <w:keepLines w:val="0"/>
                    <w:suppressLineNumbers w:val="0"/>
                    <w:spacing w:before="31" w:beforeAutospacing="0" w:after="31" w:afterAutospacing="0"/>
                    <w:ind w:left="0" w:right="0"/>
                    <w:rPr>
                      <w:rFonts w:ascii="Times New Roman" w:hAnsi="Times New Roman" w:eastAsia="宋体" w:cs="Times New Roman"/>
                      <w:b w:val="0"/>
                      <w:bCs/>
                      <w:color w:val="auto"/>
                      <w:highlight w:val="none"/>
                    </w:rPr>
                  </w:pPr>
                  <w:r>
                    <w:rPr>
                      <w:rFonts w:ascii="Times New Roman" w:hAnsi="Times New Roman" w:eastAsia="宋体" w:cs="Times New Roman"/>
                      <w:b w:val="0"/>
                      <w:bCs/>
                      <w:color w:val="auto"/>
                      <w:highlight w:val="none"/>
                    </w:rPr>
                    <w:t>相符性</w:t>
                  </w:r>
                </w:p>
              </w:tc>
            </w:tr>
            <w:tr w14:paraId="68769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4" w:type="dxa"/>
                  <w:noWrap w:val="0"/>
                  <w:vAlign w:val="center"/>
                </w:tcPr>
                <w:p w14:paraId="7D81F6EE">
                  <w:pPr>
                    <w:keepNext w:val="0"/>
                    <w:keepLines w:val="0"/>
                    <w:suppressLineNumbers w:val="0"/>
                    <w:spacing w:before="0" w:beforeAutospacing="0" w:after="0" w:afterAutospacing="0"/>
                    <w:ind w:left="0" w:right="0" w:firstLine="482"/>
                    <w:rPr>
                      <w:rFonts w:ascii="Calibri" w:hAnsi="Calibri" w:eastAsia="宋体" w:cs="Times New Roman"/>
                      <w:b w:val="0"/>
                      <w:bCs/>
                      <w:color w:val="auto"/>
                      <w:highlight w:val="none"/>
                    </w:rPr>
                  </w:pPr>
                  <w:r>
                    <w:rPr>
                      <w:rFonts w:ascii="宋体" w:hAnsi="宋体" w:eastAsia="宋体" w:cs="Times New Roman"/>
                      <w:b w:val="0"/>
                      <w:bCs/>
                      <w:color w:val="auto"/>
                      <w:highlight w:val="none"/>
                    </w:rPr>
                    <w:t>完善绿色发展体系。加快构建现代</w:t>
                  </w:r>
                  <w:r>
                    <w:rPr>
                      <w:rFonts w:ascii="Calibri" w:hAnsi="Calibri" w:eastAsia="宋体" w:cs="Times New Roman"/>
                      <w:b w:val="0"/>
                      <w:bCs/>
                      <w:color w:val="auto"/>
                      <w:highlight w:val="none"/>
                    </w:rPr>
                    <w:t>“</w:t>
                  </w:r>
                  <w:r>
                    <w:rPr>
                      <w:rFonts w:ascii="宋体" w:hAnsi="宋体" w:eastAsia="宋体" w:cs="Times New Roman"/>
                      <w:b w:val="0"/>
                      <w:bCs/>
                      <w:color w:val="auto"/>
                      <w:highlight w:val="none"/>
                    </w:rPr>
                    <w:t>两翼一体化</w:t>
                  </w:r>
                  <w:r>
                    <w:rPr>
                      <w:rFonts w:ascii="Calibri" w:hAnsi="Calibri" w:eastAsia="宋体" w:cs="Times New Roman"/>
                      <w:b w:val="0"/>
                      <w:bCs/>
                      <w:color w:val="auto"/>
                      <w:highlight w:val="none"/>
                    </w:rPr>
                    <w:t>”</w:t>
                  </w:r>
                  <w:r>
                    <w:rPr>
                      <w:rFonts w:ascii="宋体" w:hAnsi="宋体" w:eastAsia="宋体" w:cs="Times New Roman"/>
                      <w:b w:val="0"/>
                      <w:bCs/>
                      <w:color w:val="auto"/>
                      <w:highlight w:val="none"/>
                    </w:rPr>
                    <w:t>产业发展体系、生产体系、流通体系、消费体系的绿色低碳循环发展体系。强化</w:t>
                  </w:r>
                  <w:r>
                    <w:rPr>
                      <w:rFonts w:ascii="Calibri" w:hAnsi="Calibri" w:eastAsia="宋体" w:cs="Times New Roman"/>
                      <w:b w:val="0"/>
                      <w:bCs/>
                      <w:color w:val="auto"/>
                      <w:highlight w:val="none"/>
                    </w:rPr>
                    <w:t>“</w:t>
                  </w:r>
                  <w:r>
                    <w:rPr>
                      <w:rFonts w:ascii="宋体" w:hAnsi="宋体" w:eastAsia="宋体" w:cs="Times New Roman"/>
                      <w:b w:val="0"/>
                      <w:bCs/>
                      <w:color w:val="auto"/>
                      <w:highlight w:val="none"/>
                    </w:rPr>
                    <w:t>三线一单</w:t>
                  </w:r>
                  <w:r>
                    <w:rPr>
                      <w:rFonts w:ascii="Calibri" w:hAnsi="Calibri" w:eastAsia="宋体" w:cs="Times New Roman"/>
                      <w:b w:val="0"/>
                      <w:bCs/>
                      <w:color w:val="auto"/>
                      <w:highlight w:val="none"/>
                    </w:rPr>
                    <w:t>”</w:t>
                  </w:r>
                  <w:r>
                    <w:rPr>
                      <w:rFonts w:ascii="宋体" w:hAnsi="宋体" w:eastAsia="宋体" w:cs="Times New Roman"/>
                      <w:b w:val="0"/>
                      <w:bCs/>
                      <w:color w:val="auto"/>
                      <w:highlight w:val="none"/>
                    </w:rPr>
                    <w:t>引领和刚性约束作用，实施</w:t>
                  </w:r>
                  <w:r>
                    <w:rPr>
                      <w:rFonts w:ascii="Calibri" w:hAnsi="Calibri" w:eastAsia="宋体" w:cs="Times New Roman"/>
                      <w:b w:val="0"/>
                      <w:bCs/>
                      <w:color w:val="auto"/>
                      <w:highlight w:val="none"/>
                    </w:rPr>
                    <w:t>“</w:t>
                  </w:r>
                  <w:r>
                    <w:rPr>
                      <w:rFonts w:ascii="宋体" w:hAnsi="宋体" w:eastAsia="宋体" w:cs="Times New Roman"/>
                      <w:b w:val="0"/>
                      <w:bCs/>
                      <w:color w:val="auto"/>
                      <w:highlight w:val="none"/>
                    </w:rPr>
                    <w:t>三线一单</w:t>
                  </w:r>
                  <w:r>
                    <w:rPr>
                      <w:rFonts w:ascii="Calibri" w:hAnsi="Calibri" w:eastAsia="宋体" w:cs="Times New Roman"/>
                      <w:b w:val="0"/>
                      <w:bCs/>
                      <w:color w:val="auto"/>
                      <w:highlight w:val="none"/>
                    </w:rPr>
                    <w:t>”</w:t>
                  </w:r>
                  <w:r>
                    <w:rPr>
                      <w:rFonts w:ascii="宋体" w:hAnsi="宋体" w:eastAsia="宋体" w:cs="Times New Roman"/>
                      <w:b w:val="0"/>
                      <w:bCs/>
                      <w:color w:val="auto"/>
                      <w:highlight w:val="none"/>
                    </w:rPr>
                    <w:t>生态环境分区管控，推行环评审批和监督执法</w:t>
                  </w:r>
                  <w:r>
                    <w:rPr>
                      <w:rFonts w:ascii="Calibri" w:hAnsi="Calibri" w:eastAsia="宋体" w:cs="Times New Roman"/>
                      <w:b w:val="0"/>
                      <w:bCs/>
                      <w:color w:val="auto"/>
                      <w:highlight w:val="none"/>
                    </w:rPr>
                    <w:t>“</w:t>
                  </w:r>
                  <w:r>
                    <w:rPr>
                      <w:rFonts w:ascii="宋体" w:hAnsi="宋体" w:eastAsia="宋体" w:cs="Times New Roman"/>
                      <w:b w:val="0"/>
                      <w:bCs/>
                      <w:color w:val="auto"/>
                      <w:highlight w:val="none"/>
                    </w:rPr>
                    <w:t>两个正面清单</w:t>
                  </w:r>
                  <w:r>
                    <w:rPr>
                      <w:rFonts w:ascii="Calibri" w:hAnsi="Calibri" w:eastAsia="宋体" w:cs="Times New Roman"/>
                      <w:b w:val="0"/>
                      <w:bCs/>
                      <w:color w:val="auto"/>
                      <w:highlight w:val="none"/>
                    </w:rPr>
                    <w:t>”</w:t>
                  </w:r>
                  <w:r>
                    <w:rPr>
                      <w:rFonts w:ascii="宋体" w:hAnsi="宋体" w:eastAsia="宋体" w:cs="Times New Roman"/>
                      <w:b w:val="0"/>
                      <w:bCs/>
                      <w:color w:val="auto"/>
                      <w:highlight w:val="none"/>
                    </w:rPr>
                    <w:t>，实现重点产业园区规划环评全覆盖。实施煤炭消费总量和强度</w:t>
                  </w:r>
                  <w:r>
                    <w:rPr>
                      <w:rFonts w:ascii="Calibri" w:hAnsi="Calibri" w:eastAsia="宋体" w:cs="Times New Roman"/>
                      <w:b w:val="0"/>
                      <w:bCs/>
                      <w:color w:val="auto"/>
                      <w:highlight w:val="none"/>
                    </w:rPr>
                    <w:t>“</w:t>
                  </w:r>
                  <w:r>
                    <w:rPr>
                      <w:rFonts w:ascii="宋体" w:hAnsi="宋体" w:eastAsia="宋体" w:cs="Times New Roman"/>
                      <w:b w:val="0"/>
                      <w:bCs/>
                      <w:color w:val="auto"/>
                      <w:highlight w:val="none"/>
                    </w:rPr>
                    <w:t>双控</w:t>
                  </w:r>
                  <w:r>
                    <w:rPr>
                      <w:rFonts w:ascii="Calibri" w:hAnsi="Calibri" w:eastAsia="宋体" w:cs="Times New Roman"/>
                      <w:b w:val="0"/>
                      <w:bCs/>
                      <w:color w:val="auto"/>
                      <w:highlight w:val="none"/>
                    </w:rPr>
                    <w:t>”</w:t>
                  </w:r>
                  <w:r>
                    <w:rPr>
                      <w:rFonts w:ascii="宋体" w:hAnsi="宋体" w:eastAsia="宋体" w:cs="Times New Roman"/>
                      <w:b w:val="0"/>
                      <w:bCs/>
                      <w:color w:val="auto"/>
                      <w:highlight w:val="none"/>
                    </w:rPr>
                    <w:t>管理，严禁高耗煤、能效水平较低的项目建设，建成区内重污染企业全部改造或关闭。</w:t>
                  </w:r>
                </w:p>
              </w:tc>
              <w:tc>
                <w:tcPr>
                  <w:tcW w:w="2521" w:type="dxa"/>
                  <w:noWrap w:val="0"/>
                  <w:vAlign w:val="center"/>
                </w:tcPr>
                <w:p w14:paraId="11450F0B">
                  <w:pPr>
                    <w:pStyle w:val="9"/>
                    <w:keepNext w:val="0"/>
                    <w:keepLines w:val="0"/>
                    <w:suppressLineNumbers w:val="0"/>
                    <w:spacing w:before="0" w:beforeAutospacing="0" w:after="0" w:afterAutospacing="0"/>
                    <w:ind w:left="0" w:right="0"/>
                    <w:jc w:val="center"/>
                    <w:rPr>
                      <w:rFonts w:hint="eastAsia" w:ascii="Calibri" w:hAnsi="Calibri" w:eastAsia="宋体" w:cs="Times New Roman"/>
                      <w:b w:val="0"/>
                      <w:bCs/>
                      <w:color w:val="auto"/>
                      <w:highlight w:val="none"/>
                    </w:rPr>
                  </w:pPr>
                  <w:r>
                    <w:rPr>
                      <w:rFonts w:hint="eastAsia" w:ascii="Times New Roman" w:hAnsi="Times New Roman" w:eastAsia="宋体" w:cs="Times New Roman"/>
                      <w:b w:val="0"/>
                      <w:bCs/>
                      <w:color w:val="auto"/>
                      <w:highlight w:val="none"/>
                      <w:lang w:eastAsia="zh-CN"/>
                    </w:rPr>
                    <w:t>项目所在区域属</w:t>
                  </w:r>
                  <w:r>
                    <w:rPr>
                      <w:rFonts w:hint="eastAsia" w:ascii="Times New Roman" w:hAnsi="Times New Roman" w:eastAsia="宋体" w:cs="Times New Roman"/>
                      <w:color w:val="auto"/>
                      <w:highlight w:val="none"/>
                      <w:lang w:eastAsia="zh-CN"/>
                    </w:rPr>
                    <w:t>于</w:t>
                  </w:r>
                  <w:r>
                    <w:rPr>
                      <w:rFonts w:hint="eastAsia" w:ascii="Calibri" w:hAnsi="Calibri" w:eastAsia="宋体" w:cs="Times New Roman"/>
                      <w:color w:val="auto"/>
                      <w:highlight w:val="none"/>
                      <w:lang w:eastAsia="zh-CN"/>
                    </w:rPr>
                    <w:t>一般管控</w:t>
                  </w:r>
                  <w:r>
                    <w:rPr>
                      <w:rFonts w:cs="宋体"/>
                      <w:color w:val="auto"/>
                      <w:szCs w:val="21"/>
                      <w:highlight w:val="none"/>
                    </w:rPr>
                    <w:t>区</w:t>
                  </w:r>
                  <w:r>
                    <w:rPr>
                      <w:rFonts w:hint="eastAsia" w:ascii="Calibri" w:hAnsi="Calibri" w:eastAsia="宋体" w:cs="Times New Roman"/>
                      <w:color w:val="auto"/>
                      <w:highlight w:val="none"/>
                      <w:lang w:eastAsia="zh-CN"/>
                    </w:rPr>
                    <w:t>（</w:t>
                  </w:r>
                  <w:r>
                    <w:rPr>
                      <w:rFonts w:hint="eastAsia" w:ascii="Calibri" w:hAnsi="Calibri" w:eastAsia="宋体" w:cs="宋体"/>
                      <w:color w:val="auto"/>
                      <w:szCs w:val="21"/>
                      <w:highlight w:val="none"/>
                      <w:lang w:val="en-US" w:eastAsia="zh-CN"/>
                    </w:rPr>
                    <w:t>ZH21032330001</w:t>
                  </w:r>
                  <w:r>
                    <w:rPr>
                      <w:rFonts w:hint="eastAsia" w:ascii="Calibri" w:hAnsi="Calibri" w:eastAsia="宋体" w:cs="Times New Roman"/>
                      <w:color w:val="auto"/>
                      <w:highlight w:val="none"/>
                      <w:lang w:val="en-US" w:eastAsia="zh-CN"/>
                    </w:rPr>
                    <w:t>），</w:t>
                  </w:r>
                  <w:r>
                    <w:rPr>
                      <w:rFonts w:hint="eastAsia" w:ascii="Calibri" w:hAnsi="Calibri" w:eastAsia="宋体" w:cs="Times New Roman"/>
                      <w:b w:val="0"/>
                      <w:bCs/>
                      <w:color w:val="auto"/>
                      <w:highlight w:val="none"/>
                      <w:lang w:val="en-US" w:eastAsia="zh-CN"/>
                    </w:rPr>
                    <w:t>符合三线一单管控要求</w:t>
                  </w:r>
                  <w:r>
                    <w:rPr>
                      <w:rFonts w:hint="eastAsia" w:ascii="Calibri" w:hAnsi="Calibri" w:eastAsia="宋体" w:cs="Times New Roman"/>
                      <w:b w:val="0"/>
                      <w:bCs/>
                      <w:color w:val="auto"/>
                      <w:highlight w:val="none"/>
                    </w:rPr>
                    <w:t>，本项目不属于</w:t>
                  </w:r>
                  <w:r>
                    <w:rPr>
                      <w:rFonts w:ascii="Calibri" w:hAnsi="Calibri" w:eastAsia="宋体" w:cs="Times New Roman"/>
                      <w:b w:val="0"/>
                      <w:bCs/>
                      <w:color w:val="auto"/>
                      <w:highlight w:val="none"/>
                    </w:rPr>
                    <w:t>高耗煤、能效水平较低的项目</w:t>
                  </w:r>
                  <w:r>
                    <w:rPr>
                      <w:rFonts w:hint="eastAsia" w:ascii="Calibri" w:hAnsi="Calibri" w:eastAsia="宋体" w:cs="Times New Roman"/>
                      <w:b w:val="0"/>
                      <w:bCs/>
                      <w:color w:val="auto"/>
                      <w:highlight w:val="none"/>
                    </w:rPr>
                    <w:t>。</w:t>
                  </w:r>
                </w:p>
              </w:tc>
              <w:tc>
                <w:tcPr>
                  <w:tcW w:w="1036" w:type="dxa"/>
                  <w:noWrap w:val="0"/>
                  <w:vAlign w:val="center"/>
                </w:tcPr>
                <w:p w14:paraId="77BA7D82">
                  <w:pPr>
                    <w:pStyle w:val="69"/>
                    <w:keepNext w:val="0"/>
                    <w:keepLines w:val="0"/>
                    <w:suppressLineNumbers w:val="0"/>
                    <w:spacing w:before="31" w:beforeAutospacing="0" w:after="31" w:afterAutospacing="0"/>
                    <w:ind w:left="0" w:right="0"/>
                    <w:rPr>
                      <w:rFonts w:ascii="Times New Roman" w:hAnsi="Times New Roman" w:eastAsia="宋体" w:cs="Times New Roman"/>
                      <w:b w:val="0"/>
                      <w:bCs/>
                      <w:color w:val="auto"/>
                      <w:highlight w:val="none"/>
                    </w:rPr>
                  </w:pPr>
                  <w:r>
                    <w:rPr>
                      <w:rFonts w:ascii="Times New Roman" w:hAnsi="Times New Roman" w:eastAsia="宋体" w:cs="Times New Roman"/>
                      <w:b w:val="0"/>
                      <w:bCs/>
                      <w:color w:val="auto"/>
                      <w:highlight w:val="none"/>
                    </w:rPr>
                    <w:t>符合</w:t>
                  </w:r>
                </w:p>
              </w:tc>
            </w:tr>
            <w:tr w14:paraId="4FC6D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4" w:type="dxa"/>
                  <w:noWrap w:val="0"/>
                  <w:vAlign w:val="center"/>
                </w:tcPr>
                <w:p w14:paraId="5FB27DEE">
                  <w:pPr>
                    <w:keepNext w:val="0"/>
                    <w:keepLines w:val="0"/>
                    <w:suppressLineNumbers w:val="0"/>
                    <w:spacing w:before="0" w:beforeAutospacing="0" w:after="0" w:afterAutospacing="0"/>
                    <w:ind w:left="0" w:right="0" w:firstLine="482"/>
                    <w:rPr>
                      <w:rFonts w:ascii="Calibri" w:hAnsi="Calibri" w:eastAsia="宋体" w:cs="Times New Roman"/>
                      <w:b w:val="0"/>
                      <w:bCs/>
                      <w:color w:val="auto"/>
                      <w:highlight w:val="none"/>
                    </w:rPr>
                  </w:pPr>
                  <w:r>
                    <w:rPr>
                      <w:rFonts w:ascii="宋体" w:hAnsi="宋体" w:eastAsia="宋体" w:cs="Times New Roman"/>
                      <w:b w:val="0"/>
                      <w:bCs/>
                      <w:color w:val="auto"/>
                      <w:highlight w:val="none"/>
                    </w:rPr>
                    <w:t>推进大气环境质量达标及持续改善。编制大气环境质量限期达标规划，向社会公开空气质量达标路线图及污染防治重点任务，建立大气环境质量监测与污染源监测联动机制，加强秸秆焚烧视频监控系统建设，增强环境空气质量预测预警能力建设，建立大气污染源解析和污染源清单等工作常态化业务化机制，实现污染源精准管控。重点推进钢铁、菱镁、水泥、电厂热力等行业</w:t>
                  </w:r>
                  <w:r>
                    <w:rPr>
                      <w:rFonts w:ascii="Calibri" w:hAnsi="Calibri" w:eastAsia="宋体" w:cs="Times New Roman"/>
                      <w:b w:val="0"/>
                      <w:bCs/>
                      <w:color w:val="auto"/>
                      <w:highlight w:val="none"/>
                    </w:rPr>
                    <w:t>PM</w:t>
                  </w:r>
                  <w:r>
                    <w:rPr>
                      <w:rFonts w:ascii="Calibri" w:hAnsi="Calibri" w:eastAsia="宋体" w:cs="Times New Roman"/>
                      <w:b w:val="0"/>
                      <w:bCs/>
                      <w:color w:val="auto"/>
                      <w:highlight w:val="none"/>
                      <w:vertAlign w:val="subscript"/>
                    </w:rPr>
                    <w:t>2.5</w:t>
                  </w:r>
                  <w:r>
                    <w:rPr>
                      <w:rFonts w:ascii="宋体" w:hAnsi="宋体" w:eastAsia="宋体" w:cs="Times New Roman"/>
                      <w:b w:val="0"/>
                      <w:bCs/>
                      <w:color w:val="auto"/>
                      <w:highlight w:val="none"/>
                    </w:rPr>
                    <w:t>、</w:t>
                  </w:r>
                  <w:r>
                    <w:rPr>
                      <w:rFonts w:ascii="Calibri" w:hAnsi="Calibri" w:eastAsia="宋体" w:cs="Times New Roman"/>
                      <w:b w:val="0"/>
                      <w:bCs/>
                      <w:color w:val="auto"/>
                      <w:highlight w:val="none"/>
                    </w:rPr>
                    <w:t>PM</w:t>
                  </w:r>
                  <w:r>
                    <w:rPr>
                      <w:rFonts w:ascii="Calibri" w:hAnsi="Calibri" w:eastAsia="宋体" w:cs="Times New Roman"/>
                      <w:b w:val="0"/>
                      <w:bCs/>
                      <w:color w:val="auto"/>
                      <w:highlight w:val="none"/>
                      <w:vertAlign w:val="subscript"/>
                    </w:rPr>
                    <w:t>10</w:t>
                  </w:r>
                  <w:r>
                    <w:rPr>
                      <w:rFonts w:ascii="宋体" w:hAnsi="宋体" w:eastAsia="宋体" w:cs="Times New Roman"/>
                      <w:b w:val="0"/>
                      <w:bCs/>
                      <w:color w:val="auto"/>
                      <w:highlight w:val="none"/>
                    </w:rPr>
                    <w:t>总量减排，推动</w:t>
                  </w:r>
                  <w:r>
                    <w:rPr>
                      <w:rFonts w:ascii="Calibri" w:hAnsi="Calibri" w:eastAsia="宋体" w:cs="Times New Roman"/>
                      <w:b w:val="0"/>
                      <w:bCs/>
                      <w:color w:val="auto"/>
                      <w:highlight w:val="none"/>
                    </w:rPr>
                    <w:t>PM</w:t>
                  </w:r>
                  <w:r>
                    <w:rPr>
                      <w:rFonts w:ascii="Calibri" w:hAnsi="Calibri" w:eastAsia="宋体" w:cs="Times New Roman"/>
                      <w:b w:val="0"/>
                      <w:bCs/>
                      <w:color w:val="auto"/>
                      <w:highlight w:val="none"/>
                      <w:vertAlign w:val="subscript"/>
                    </w:rPr>
                    <w:t>2.5</w:t>
                  </w:r>
                  <w:r>
                    <w:rPr>
                      <w:rFonts w:ascii="宋体" w:hAnsi="宋体" w:eastAsia="宋体" w:cs="Times New Roman"/>
                      <w:b w:val="0"/>
                      <w:bCs/>
                      <w:color w:val="auto"/>
                      <w:highlight w:val="none"/>
                    </w:rPr>
                    <w:t>与</w:t>
                  </w:r>
                  <w:r>
                    <w:rPr>
                      <w:rFonts w:ascii="Calibri" w:hAnsi="Calibri" w:eastAsia="宋体" w:cs="Times New Roman"/>
                      <w:b w:val="0"/>
                      <w:bCs/>
                      <w:color w:val="auto"/>
                      <w:highlight w:val="none"/>
                    </w:rPr>
                    <w:t>O</w:t>
                  </w:r>
                  <w:r>
                    <w:rPr>
                      <w:rFonts w:ascii="Calibri" w:hAnsi="Calibri" w:eastAsia="宋体" w:cs="Times New Roman"/>
                      <w:b w:val="0"/>
                      <w:bCs/>
                      <w:color w:val="auto"/>
                      <w:highlight w:val="none"/>
                      <w:vertAlign w:val="subscript"/>
                    </w:rPr>
                    <w:t>3</w:t>
                  </w:r>
                  <w:r>
                    <w:rPr>
                      <w:rFonts w:ascii="宋体" w:hAnsi="宋体" w:eastAsia="宋体" w:cs="Times New Roman"/>
                      <w:b w:val="0"/>
                      <w:bCs/>
                      <w:color w:val="auto"/>
                      <w:highlight w:val="none"/>
                    </w:rPr>
                    <w:t>污染协同控制，到</w:t>
                  </w:r>
                  <w:r>
                    <w:rPr>
                      <w:rFonts w:ascii="Calibri" w:hAnsi="Calibri" w:eastAsia="宋体" w:cs="Times New Roman"/>
                      <w:b w:val="0"/>
                      <w:bCs/>
                      <w:color w:val="auto"/>
                      <w:highlight w:val="none"/>
                    </w:rPr>
                    <w:t>2025</w:t>
                  </w:r>
                  <w:r>
                    <w:rPr>
                      <w:rFonts w:ascii="宋体" w:hAnsi="宋体" w:eastAsia="宋体" w:cs="Times New Roman"/>
                      <w:b w:val="0"/>
                      <w:bCs/>
                      <w:color w:val="auto"/>
                      <w:highlight w:val="none"/>
                    </w:rPr>
                    <w:t>年</w:t>
                  </w:r>
                  <w:r>
                    <w:rPr>
                      <w:rFonts w:ascii="Calibri" w:hAnsi="Calibri" w:eastAsia="宋体" w:cs="Times New Roman"/>
                      <w:b w:val="0"/>
                      <w:bCs/>
                      <w:color w:val="auto"/>
                      <w:highlight w:val="none"/>
                    </w:rPr>
                    <w:t>O</w:t>
                  </w:r>
                  <w:r>
                    <w:rPr>
                      <w:rFonts w:ascii="Calibri" w:hAnsi="Calibri" w:eastAsia="宋体" w:cs="Times New Roman"/>
                      <w:b w:val="0"/>
                      <w:bCs/>
                      <w:color w:val="auto"/>
                      <w:highlight w:val="none"/>
                      <w:vertAlign w:val="subscript"/>
                    </w:rPr>
                    <w:t>3</w:t>
                  </w:r>
                  <w:r>
                    <w:rPr>
                      <w:rFonts w:ascii="宋体" w:hAnsi="宋体" w:eastAsia="宋体" w:cs="Times New Roman"/>
                      <w:b w:val="0"/>
                      <w:bCs/>
                      <w:color w:val="auto"/>
                      <w:highlight w:val="none"/>
                    </w:rPr>
                    <w:t>得到有效控制，实现大气环境质量全面达标。</w:t>
                  </w:r>
                </w:p>
              </w:tc>
              <w:tc>
                <w:tcPr>
                  <w:tcW w:w="2521" w:type="dxa"/>
                  <w:noWrap w:val="0"/>
                  <w:vAlign w:val="center"/>
                </w:tcPr>
                <w:p w14:paraId="0EECCE61">
                  <w:pPr>
                    <w:keepNext w:val="0"/>
                    <w:keepLines w:val="0"/>
                    <w:suppressLineNumbers w:val="0"/>
                    <w:spacing w:before="0" w:beforeAutospacing="0" w:after="0" w:afterAutospacing="0"/>
                    <w:ind w:left="0" w:right="0"/>
                    <w:jc w:val="center"/>
                    <w:rPr>
                      <w:rFonts w:hint="eastAsia" w:ascii="Calibri" w:hAnsi="Calibri" w:eastAsia="宋体" w:cs="Times New Roman"/>
                      <w:b w:val="0"/>
                      <w:bCs/>
                      <w:color w:val="auto"/>
                      <w:highlight w:val="none"/>
                    </w:rPr>
                  </w:pPr>
                  <w:r>
                    <w:rPr>
                      <w:rFonts w:ascii="Calibri" w:hAnsi="Calibri" w:eastAsia="宋体" w:cs="Times New Roman"/>
                      <w:b w:val="0"/>
                      <w:bCs/>
                      <w:color w:val="auto"/>
                      <w:highlight w:val="none"/>
                    </w:rPr>
                    <w:t>本项目所在区域环境空气六项污染物均满足《环境空气质量标准》（GB3095-2012）中二级标准，项目所在区域为达标区。</w:t>
                  </w:r>
                </w:p>
              </w:tc>
              <w:tc>
                <w:tcPr>
                  <w:tcW w:w="1036" w:type="dxa"/>
                  <w:noWrap w:val="0"/>
                  <w:vAlign w:val="center"/>
                </w:tcPr>
                <w:p w14:paraId="54396621">
                  <w:pPr>
                    <w:pStyle w:val="69"/>
                    <w:keepNext w:val="0"/>
                    <w:keepLines w:val="0"/>
                    <w:suppressLineNumbers w:val="0"/>
                    <w:spacing w:before="31" w:beforeAutospacing="0" w:after="31" w:afterAutospacing="0"/>
                    <w:ind w:left="0" w:right="0"/>
                    <w:rPr>
                      <w:rFonts w:ascii="Times New Roman" w:hAnsi="Times New Roman" w:eastAsia="宋体" w:cs="Times New Roman"/>
                      <w:b w:val="0"/>
                      <w:bCs/>
                      <w:color w:val="auto"/>
                      <w:highlight w:val="none"/>
                    </w:rPr>
                  </w:pPr>
                  <w:r>
                    <w:rPr>
                      <w:rFonts w:ascii="Times New Roman" w:hAnsi="Times New Roman" w:eastAsia="宋体" w:cs="Times New Roman"/>
                      <w:b w:val="0"/>
                      <w:bCs/>
                      <w:color w:val="auto"/>
                      <w:highlight w:val="none"/>
                    </w:rPr>
                    <w:t>符合</w:t>
                  </w:r>
                </w:p>
              </w:tc>
            </w:tr>
            <w:tr w14:paraId="694842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4" w:type="dxa"/>
                  <w:noWrap w:val="0"/>
                  <w:vAlign w:val="center"/>
                </w:tcPr>
                <w:p w14:paraId="1DF53C53">
                  <w:pPr>
                    <w:keepNext w:val="0"/>
                    <w:keepLines w:val="0"/>
                    <w:suppressLineNumbers w:val="0"/>
                    <w:spacing w:before="0" w:beforeAutospacing="0" w:after="0" w:afterAutospacing="0"/>
                    <w:ind w:left="0" w:right="0" w:firstLine="482"/>
                    <w:rPr>
                      <w:rFonts w:ascii="Calibri" w:hAnsi="Calibri" w:eastAsia="宋体" w:cs="Times New Roman"/>
                      <w:b w:val="0"/>
                      <w:bCs/>
                      <w:color w:val="auto"/>
                      <w:highlight w:val="none"/>
                    </w:rPr>
                  </w:pPr>
                  <w:r>
                    <w:rPr>
                      <w:rFonts w:ascii="宋体" w:hAnsi="宋体" w:eastAsia="宋体" w:cs="Times New Roman"/>
                      <w:b w:val="0"/>
                      <w:bCs/>
                      <w:color w:val="auto"/>
                      <w:highlight w:val="none"/>
                    </w:rPr>
                    <w:t>加强沿河污染管控。加强沿河及园区工业企业监管力度，严查超标排污、非法偷排等问题。加强河道管理，及时清理河道、河面及河流沿岸的各类垃圾及漂浮物。加强沿河排放口管控，确保沿河两岸无违法排污。依据《鞍山市辽、浑、太干流及其支流畜禽禁（限）养区划定方案》，结合养殖场</w:t>
                  </w:r>
                  <w:r>
                    <w:rPr>
                      <w:rFonts w:ascii="Calibri" w:hAnsi="Calibri" w:eastAsia="宋体" w:cs="Times New Roman"/>
                      <w:b w:val="0"/>
                      <w:bCs/>
                      <w:color w:val="auto"/>
                      <w:highlight w:val="none"/>
                    </w:rPr>
                    <w:t>(</w:t>
                  </w:r>
                  <w:r>
                    <w:rPr>
                      <w:rFonts w:ascii="宋体" w:hAnsi="宋体" w:eastAsia="宋体" w:cs="Times New Roman"/>
                      <w:b w:val="0"/>
                      <w:bCs/>
                      <w:color w:val="auto"/>
                      <w:highlight w:val="none"/>
                    </w:rPr>
                    <w:t>小区</w:t>
                  </w:r>
                  <w:r>
                    <w:rPr>
                      <w:rFonts w:ascii="Calibri" w:hAnsi="Calibri" w:eastAsia="宋体" w:cs="Times New Roman"/>
                      <w:b w:val="0"/>
                      <w:bCs/>
                      <w:color w:val="auto"/>
                      <w:highlight w:val="none"/>
                    </w:rPr>
                    <w:t>)</w:t>
                  </w:r>
                  <w:r>
                    <w:rPr>
                      <w:rFonts w:ascii="宋体" w:hAnsi="宋体" w:eastAsia="宋体" w:cs="Times New Roman"/>
                      <w:b w:val="0"/>
                      <w:bCs/>
                      <w:color w:val="auto"/>
                      <w:highlight w:val="none"/>
                    </w:rPr>
                    <w:t>备案、环评审批、排污许可发放等工作，落实养殖户主体责任。强化监测和执法监管，彻底排查畜禽养殖污染源，杜绝畜禽养殖废水直排以及粪污乱堆乱放，严控禁养区内畜禽养殖污染。</w:t>
                  </w:r>
                </w:p>
              </w:tc>
              <w:tc>
                <w:tcPr>
                  <w:tcW w:w="2521" w:type="dxa"/>
                  <w:noWrap w:val="0"/>
                  <w:vAlign w:val="center"/>
                </w:tcPr>
                <w:p w14:paraId="3207EC2A">
                  <w:pPr>
                    <w:keepNext w:val="0"/>
                    <w:keepLines w:val="0"/>
                    <w:suppressLineNumbers w:val="0"/>
                    <w:spacing w:before="0" w:beforeAutospacing="0" w:after="0" w:afterAutospacing="0"/>
                    <w:ind w:left="0" w:right="0"/>
                    <w:jc w:val="center"/>
                    <w:rPr>
                      <w:rFonts w:ascii="Calibri" w:hAnsi="Calibri" w:eastAsia="宋体" w:cs="Times New Roman"/>
                      <w:b w:val="0"/>
                      <w:bCs/>
                      <w:color w:val="auto"/>
                      <w:highlight w:val="none"/>
                    </w:rPr>
                  </w:pPr>
                  <w:r>
                    <w:rPr>
                      <w:rFonts w:hint="eastAsia" w:ascii="Calibri" w:hAnsi="Calibri" w:eastAsia="宋体" w:cs="Times New Roman"/>
                      <w:b w:val="0"/>
                      <w:bCs/>
                      <w:color w:val="auto"/>
                      <w:highlight w:val="none"/>
                    </w:rPr>
                    <w:t>本项目不涉及废水排放。</w:t>
                  </w:r>
                </w:p>
              </w:tc>
              <w:tc>
                <w:tcPr>
                  <w:tcW w:w="1036" w:type="dxa"/>
                  <w:noWrap w:val="0"/>
                  <w:vAlign w:val="center"/>
                </w:tcPr>
                <w:p w14:paraId="3327D3B7">
                  <w:pPr>
                    <w:pStyle w:val="69"/>
                    <w:keepNext w:val="0"/>
                    <w:keepLines w:val="0"/>
                    <w:suppressLineNumbers w:val="0"/>
                    <w:spacing w:before="31" w:beforeAutospacing="0" w:after="31" w:afterAutospacing="0"/>
                    <w:ind w:left="0" w:right="0"/>
                    <w:rPr>
                      <w:rFonts w:ascii="Times New Roman" w:hAnsi="Times New Roman" w:eastAsia="宋体" w:cs="Times New Roman"/>
                      <w:b w:val="0"/>
                      <w:bCs/>
                      <w:color w:val="auto"/>
                      <w:highlight w:val="none"/>
                    </w:rPr>
                  </w:pPr>
                  <w:r>
                    <w:rPr>
                      <w:rFonts w:ascii="Times New Roman" w:hAnsi="Times New Roman" w:eastAsia="宋体" w:cs="Times New Roman"/>
                      <w:b w:val="0"/>
                      <w:bCs/>
                      <w:color w:val="auto"/>
                      <w:highlight w:val="none"/>
                    </w:rPr>
                    <w:t>符合</w:t>
                  </w:r>
                </w:p>
              </w:tc>
            </w:tr>
            <w:tr w14:paraId="05861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4" w:type="dxa"/>
                  <w:noWrap w:val="0"/>
                  <w:vAlign w:val="center"/>
                </w:tcPr>
                <w:p w14:paraId="4E84D56A">
                  <w:pPr>
                    <w:keepNext w:val="0"/>
                    <w:keepLines w:val="0"/>
                    <w:suppressLineNumbers w:val="0"/>
                    <w:spacing w:before="0" w:beforeAutospacing="0" w:after="0" w:afterAutospacing="0"/>
                    <w:ind w:left="0" w:right="0" w:firstLine="482"/>
                    <w:rPr>
                      <w:rFonts w:ascii="Calibri" w:hAnsi="Calibri" w:eastAsia="宋体" w:cs="Times New Roman"/>
                      <w:b w:val="0"/>
                      <w:bCs/>
                      <w:color w:val="auto"/>
                      <w:highlight w:val="none"/>
                    </w:rPr>
                  </w:pPr>
                  <w:r>
                    <w:rPr>
                      <w:rFonts w:ascii="宋体" w:hAnsi="宋体" w:eastAsia="宋体" w:cs="Times New Roman"/>
                      <w:b w:val="0"/>
                      <w:bCs/>
                      <w:color w:val="auto"/>
                      <w:highlight w:val="none"/>
                    </w:rPr>
                    <w:t>加强空间布局管控</w:t>
                  </w:r>
                  <w:r>
                    <w:rPr>
                      <w:rFonts w:hint="eastAsia" w:ascii="宋体" w:hAnsi="宋体" w:eastAsia="宋体" w:cs="Times New Roman"/>
                      <w:b w:val="0"/>
                      <w:bCs/>
                      <w:color w:val="auto"/>
                      <w:highlight w:val="none"/>
                    </w:rPr>
                    <w:t>。</w:t>
                  </w:r>
                  <w:r>
                    <w:rPr>
                      <w:rFonts w:ascii="宋体" w:hAnsi="宋体" w:eastAsia="宋体" w:cs="Times New Roman"/>
                      <w:b w:val="0"/>
                      <w:bCs/>
                      <w:color w:val="auto"/>
                      <w:highlight w:val="none"/>
                    </w:rPr>
                    <w:t>根据土壤污染状况和风险合理规划土地用途</w:t>
                  </w:r>
                  <w:r>
                    <w:rPr>
                      <w:rFonts w:hint="eastAsia" w:ascii="宋体" w:hAnsi="宋体" w:eastAsia="宋体" w:cs="Times New Roman"/>
                      <w:b w:val="0"/>
                      <w:bCs/>
                      <w:color w:val="auto"/>
                      <w:highlight w:val="none"/>
                    </w:rPr>
                    <w:t>，</w:t>
                  </w:r>
                  <w:r>
                    <w:rPr>
                      <w:rFonts w:ascii="宋体" w:hAnsi="宋体" w:eastAsia="宋体" w:cs="Times New Roman"/>
                      <w:b w:val="0"/>
                      <w:bCs/>
                      <w:color w:val="auto"/>
                      <w:highlight w:val="none"/>
                    </w:rPr>
                    <w:t>永久基本农田集中区域禁止规划新建可能造成土壤污染的建设项目</w:t>
                  </w:r>
                  <w:r>
                    <w:rPr>
                      <w:rFonts w:hint="eastAsia" w:ascii="宋体" w:hAnsi="宋体" w:eastAsia="宋体" w:cs="Times New Roman"/>
                      <w:b w:val="0"/>
                      <w:bCs/>
                      <w:color w:val="auto"/>
                      <w:highlight w:val="none"/>
                    </w:rPr>
                    <w:t>，</w:t>
                  </w:r>
                  <w:r>
                    <w:rPr>
                      <w:rFonts w:ascii="宋体" w:hAnsi="宋体" w:eastAsia="宋体" w:cs="Times New Roman"/>
                      <w:b w:val="0"/>
                      <w:bCs/>
                      <w:color w:val="auto"/>
                      <w:highlight w:val="none"/>
                    </w:rPr>
                    <w:t>居住区和学校、医院、疗养院、养老院等单位周边</w:t>
                  </w:r>
                  <w:r>
                    <w:rPr>
                      <w:rFonts w:hint="eastAsia" w:ascii="宋体" w:hAnsi="宋体" w:eastAsia="宋体" w:cs="Times New Roman"/>
                      <w:b w:val="0"/>
                      <w:bCs/>
                      <w:color w:val="auto"/>
                      <w:highlight w:val="none"/>
                    </w:rPr>
                    <w:t>，</w:t>
                  </w:r>
                  <w:r>
                    <w:rPr>
                      <w:rFonts w:ascii="宋体" w:hAnsi="宋体" w:eastAsia="宋体" w:cs="Times New Roman"/>
                      <w:b w:val="0"/>
                      <w:bCs/>
                      <w:color w:val="auto"/>
                      <w:highlight w:val="none"/>
                    </w:rPr>
                    <w:t>禁止新</w:t>
                  </w:r>
                  <w:r>
                    <w:rPr>
                      <w:rFonts w:ascii="Calibri" w:hAnsi="Calibri" w:eastAsia="宋体" w:cs="Times New Roman"/>
                      <w:b w:val="0"/>
                      <w:bCs/>
                      <w:color w:val="auto"/>
                      <w:highlight w:val="none"/>
                    </w:rPr>
                    <w:t xml:space="preserve"> (</w:t>
                  </w:r>
                  <w:r>
                    <w:rPr>
                      <w:rFonts w:ascii="宋体" w:hAnsi="宋体" w:eastAsia="宋体" w:cs="Times New Roman"/>
                      <w:b w:val="0"/>
                      <w:bCs/>
                      <w:color w:val="auto"/>
                      <w:highlight w:val="none"/>
                    </w:rPr>
                    <w:t>改、扩</w:t>
                  </w:r>
                  <w:r>
                    <w:rPr>
                      <w:rFonts w:ascii="Calibri" w:hAnsi="Calibri" w:eastAsia="宋体" w:cs="Times New Roman"/>
                      <w:b w:val="0"/>
                      <w:bCs/>
                      <w:color w:val="auto"/>
                      <w:highlight w:val="none"/>
                    </w:rPr>
                    <w:t>)</w:t>
                  </w:r>
                  <w:r>
                    <w:rPr>
                      <w:rFonts w:ascii="宋体" w:hAnsi="宋体" w:eastAsia="宋体" w:cs="Times New Roman"/>
                      <w:b w:val="0"/>
                      <w:bCs/>
                      <w:color w:val="auto"/>
                      <w:highlight w:val="none"/>
                    </w:rPr>
                    <w:t>建可能造成土壤污染的建设项目</w:t>
                  </w:r>
                  <w:r>
                    <w:rPr>
                      <w:rFonts w:hint="eastAsia" w:ascii="宋体" w:hAnsi="宋体" w:eastAsia="宋体" w:cs="Times New Roman"/>
                      <w:b w:val="0"/>
                      <w:bCs/>
                      <w:color w:val="auto"/>
                      <w:highlight w:val="none"/>
                    </w:rPr>
                    <w:t>。</w:t>
                  </w:r>
                  <w:r>
                    <w:rPr>
                      <w:rFonts w:ascii="宋体" w:hAnsi="宋体" w:eastAsia="宋体" w:cs="Times New Roman"/>
                      <w:b w:val="0"/>
                      <w:bCs/>
                      <w:color w:val="auto"/>
                      <w:highlight w:val="none"/>
                    </w:rPr>
                    <w:t>新</w:t>
                  </w:r>
                  <w:r>
                    <w:rPr>
                      <w:rFonts w:ascii="Calibri" w:hAnsi="Calibri" w:eastAsia="宋体" w:cs="Times New Roman"/>
                      <w:b w:val="0"/>
                      <w:bCs/>
                      <w:color w:val="auto"/>
                      <w:highlight w:val="none"/>
                    </w:rPr>
                    <w:t xml:space="preserve"> (</w:t>
                  </w:r>
                  <w:r>
                    <w:rPr>
                      <w:rFonts w:ascii="宋体" w:hAnsi="宋体" w:eastAsia="宋体" w:cs="Times New Roman"/>
                      <w:b w:val="0"/>
                      <w:bCs/>
                      <w:color w:val="auto"/>
                      <w:highlight w:val="none"/>
                    </w:rPr>
                    <w:t>改、扩</w:t>
                  </w:r>
                  <w:r>
                    <w:rPr>
                      <w:rFonts w:ascii="Calibri" w:hAnsi="Calibri" w:eastAsia="宋体" w:cs="Times New Roman"/>
                      <w:b w:val="0"/>
                      <w:bCs/>
                      <w:color w:val="auto"/>
                      <w:highlight w:val="none"/>
                    </w:rPr>
                    <w:t>)</w:t>
                  </w:r>
                  <w:r>
                    <w:rPr>
                      <w:rFonts w:ascii="宋体" w:hAnsi="宋体" w:eastAsia="宋体" w:cs="Times New Roman"/>
                      <w:b w:val="0"/>
                      <w:bCs/>
                      <w:color w:val="auto"/>
                      <w:highlight w:val="none"/>
                    </w:rPr>
                    <w:t>建涉及有毒有害物质可能造成土壤污染的建设项目</w:t>
                  </w:r>
                  <w:r>
                    <w:rPr>
                      <w:rFonts w:hint="eastAsia" w:ascii="宋体" w:hAnsi="宋体" w:eastAsia="宋体" w:cs="Times New Roman"/>
                      <w:b w:val="0"/>
                      <w:bCs/>
                      <w:color w:val="auto"/>
                      <w:highlight w:val="none"/>
                    </w:rPr>
                    <w:t>，</w:t>
                  </w:r>
                  <w:r>
                    <w:rPr>
                      <w:rFonts w:ascii="宋体" w:hAnsi="宋体" w:eastAsia="宋体" w:cs="Times New Roman"/>
                      <w:b w:val="0"/>
                      <w:bCs/>
                      <w:color w:val="auto"/>
                      <w:highlight w:val="none"/>
                    </w:rPr>
                    <w:t>提出并落实土壤和地下水污染防治要求</w:t>
                  </w:r>
                  <w:r>
                    <w:rPr>
                      <w:rFonts w:hint="eastAsia" w:ascii="宋体" w:hAnsi="宋体" w:eastAsia="宋体" w:cs="Times New Roman"/>
                      <w:b w:val="0"/>
                      <w:bCs/>
                      <w:color w:val="auto"/>
                      <w:highlight w:val="none"/>
                    </w:rPr>
                    <w:t>。</w:t>
                  </w:r>
                </w:p>
              </w:tc>
              <w:tc>
                <w:tcPr>
                  <w:tcW w:w="2521" w:type="dxa"/>
                  <w:noWrap w:val="0"/>
                  <w:vAlign w:val="center"/>
                </w:tcPr>
                <w:p w14:paraId="03E0F63B">
                  <w:pPr>
                    <w:keepNext w:val="0"/>
                    <w:keepLines w:val="0"/>
                    <w:suppressLineNumbers w:val="0"/>
                    <w:spacing w:before="0" w:beforeAutospacing="0" w:after="0" w:afterAutospacing="0"/>
                    <w:ind w:left="0" w:right="0"/>
                    <w:jc w:val="center"/>
                    <w:rPr>
                      <w:rFonts w:ascii="Calibri" w:hAnsi="Calibri" w:eastAsia="宋体" w:cs="Times New Roman"/>
                      <w:b w:val="0"/>
                      <w:bCs/>
                      <w:color w:val="auto"/>
                      <w:highlight w:val="none"/>
                    </w:rPr>
                  </w:pPr>
                  <w:r>
                    <w:rPr>
                      <w:rFonts w:hint="eastAsia" w:ascii="Calibri" w:hAnsi="Calibri" w:eastAsia="宋体" w:cs="Times New Roman"/>
                      <w:b w:val="0"/>
                      <w:bCs/>
                      <w:color w:val="auto"/>
                      <w:highlight w:val="none"/>
                      <w:lang w:val="en-US" w:eastAsia="zh-CN"/>
                    </w:rPr>
                    <w:t>本项目为</w:t>
                  </w:r>
                  <w:r>
                    <w:rPr>
                      <w:rFonts w:hint="eastAsia" w:ascii="宋体" w:hAnsi="宋体" w:eastAsia="宋体" w:cs="宋体"/>
                      <w:b w:val="0"/>
                      <w:bCs/>
                      <w:color w:val="auto"/>
                      <w:szCs w:val="21"/>
                      <w:highlight w:val="none"/>
                      <w:shd w:val="clear" w:color="auto" w:fill="auto"/>
                      <w:lang w:eastAsia="zh-CN"/>
                    </w:rPr>
                    <w:t>石墨及其他非金属矿物</w:t>
                  </w:r>
                  <w:r>
                    <w:rPr>
                      <w:rFonts w:hint="eastAsia" w:ascii="宋体" w:hAnsi="宋体" w:eastAsia="宋体" w:cs="宋体"/>
                      <w:b w:val="0"/>
                      <w:bCs/>
                      <w:color w:val="auto"/>
                      <w:szCs w:val="21"/>
                      <w:highlight w:val="none"/>
                      <w:shd w:val="clear" w:color="auto" w:fill="auto"/>
                    </w:rPr>
                    <w:t>制品制造</w:t>
                  </w:r>
                  <w:r>
                    <w:rPr>
                      <w:rFonts w:hint="eastAsia" w:ascii="Calibri" w:hAnsi="Calibri" w:eastAsia="宋体" w:cs="Times New Roman"/>
                      <w:b w:val="0"/>
                      <w:bCs/>
                      <w:color w:val="auto"/>
                      <w:highlight w:val="none"/>
                      <w:lang w:eastAsia="zh-CN"/>
                    </w:rPr>
                    <w:t>业</w:t>
                  </w:r>
                  <w:r>
                    <w:rPr>
                      <w:rFonts w:hint="eastAsia" w:ascii="Calibri" w:hAnsi="Calibri" w:eastAsia="宋体" w:cs="Times New Roman"/>
                      <w:b w:val="0"/>
                      <w:bCs/>
                      <w:color w:val="auto"/>
                      <w:highlight w:val="none"/>
                    </w:rPr>
                    <w:t>，</w:t>
                  </w:r>
                  <w:r>
                    <w:rPr>
                      <w:rFonts w:hint="eastAsia" w:ascii="Calibri" w:hAnsi="Calibri" w:eastAsia="宋体" w:cs="Times New Roman"/>
                      <w:b w:val="0"/>
                      <w:bCs/>
                      <w:color w:val="auto"/>
                      <w:highlight w:val="none"/>
                      <w:lang w:eastAsia="zh-CN"/>
                    </w:rPr>
                    <w:t>且</w:t>
                  </w:r>
                  <w:r>
                    <w:rPr>
                      <w:rFonts w:hint="eastAsia" w:ascii="宋体" w:hAnsi="宋体" w:eastAsia="宋体" w:cs="宋体"/>
                      <w:b w:val="0"/>
                      <w:bCs/>
                      <w:color w:val="auto"/>
                      <w:szCs w:val="21"/>
                      <w:highlight w:val="none"/>
                      <w:shd w:val="clear" w:color="auto" w:fill="auto"/>
                      <w:lang w:val="en-US" w:eastAsia="zh-CN"/>
                    </w:rPr>
                    <w:t>本项目危险废物贮存点</w:t>
                  </w:r>
                  <w:r>
                    <w:rPr>
                      <w:rFonts w:hint="eastAsia" w:ascii="宋体" w:hAnsi="宋体" w:cs="宋体"/>
                      <w:b w:val="0"/>
                      <w:bCs/>
                      <w:color w:val="auto"/>
                      <w:szCs w:val="21"/>
                      <w:highlight w:val="none"/>
                      <w:shd w:val="clear" w:color="auto" w:fill="auto"/>
                      <w:lang w:val="en-US" w:eastAsia="zh-CN"/>
                    </w:rPr>
                    <w:t>、</w:t>
                  </w:r>
                  <w:r>
                    <w:rPr>
                      <w:rFonts w:hint="eastAsia" w:ascii="Calibri" w:hAnsi="Calibri" w:cs="Times New Roman"/>
                      <w:b w:val="0"/>
                      <w:bCs/>
                      <w:color w:val="auto"/>
                      <w:highlight w:val="none"/>
                      <w:lang w:eastAsia="zh-CN"/>
                    </w:rPr>
                    <w:t>化粪池</w:t>
                  </w:r>
                  <w:r>
                    <w:rPr>
                      <w:rFonts w:hint="eastAsia" w:ascii="Calibri" w:hAnsi="Calibri" w:cs="Times New Roman"/>
                      <w:b w:val="0"/>
                      <w:bCs/>
                      <w:color w:val="auto"/>
                      <w:highlight w:val="none"/>
                      <w:lang w:val="en-US" w:eastAsia="zh-CN"/>
                    </w:rPr>
                    <w:t>、</w:t>
                  </w:r>
                  <w:r>
                    <w:rPr>
                      <w:rFonts w:hint="eastAsia" w:ascii="Calibri" w:hAnsi="Calibri" w:cs="Times New Roman"/>
                      <w:b w:val="0"/>
                      <w:bCs/>
                      <w:color w:val="auto"/>
                      <w:highlight w:val="none"/>
                      <w:lang w:eastAsia="zh-CN"/>
                    </w:rPr>
                    <w:t>水洗白云石沉淀池</w:t>
                  </w:r>
                  <w:r>
                    <w:rPr>
                      <w:rFonts w:hint="eastAsia" w:ascii="宋体" w:hAnsi="宋体" w:cs="宋体"/>
                      <w:b w:val="0"/>
                      <w:bCs/>
                      <w:color w:val="auto"/>
                      <w:szCs w:val="21"/>
                      <w:highlight w:val="none"/>
                      <w:shd w:val="clear" w:color="auto" w:fill="auto"/>
                      <w:lang w:val="en-US" w:eastAsia="zh-CN"/>
                    </w:rPr>
                    <w:t>、</w:t>
                  </w:r>
                  <w:r>
                    <w:rPr>
                      <w:rFonts w:hint="eastAsia" w:ascii="Calibri" w:hAnsi="Calibri" w:cs="Times New Roman"/>
                      <w:b w:val="0"/>
                      <w:bCs/>
                      <w:color w:val="auto"/>
                      <w:highlight w:val="none"/>
                      <w:lang w:eastAsia="zh-CN"/>
                    </w:rPr>
                    <w:t>洗车平台沉淀池</w:t>
                  </w:r>
                  <w:r>
                    <w:rPr>
                      <w:rFonts w:hint="eastAsia" w:ascii="宋体" w:hAnsi="宋体" w:eastAsia="宋体" w:cs="宋体"/>
                      <w:b w:val="0"/>
                      <w:bCs/>
                      <w:color w:val="auto"/>
                      <w:szCs w:val="21"/>
                      <w:highlight w:val="none"/>
                      <w:shd w:val="clear" w:color="auto" w:fill="auto"/>
                      <w:lang w:val="en-US" w:eastAsia="zh-CN"/>
                    </w:rPr>
                    <w:t>采取重点防渗，</w:t>
                  </w:r>
                  <w:r>
                    <w:rPr>
                      <w:rFonts w:hint="eastAsia" w:ascii="宋体" w:hAnsi="宋体" w:cs="宋体"/>
                      <w:b w:val="0"/>
                      <w:bCs/>
                      <w:color w:val="auto"/>
                      <w:szCs w:val="21"/>
                      <w:highlight w:val="none"/>
                      <w:shd w:val="clear" w:color="auto" w:fill="auto"/>
                      <w:lang w:val="en-US" w:eastAsia="zh-CN"/>
                    </w:rPr>
                    <w:t>各原料库房、生产车间、产品库房</w:t>
                  </w:r>
                  <w:r>
                    <w:rPr>
                      <w:rFonts w:hint="eastAsia" w:ascii="宋体" w:hAnsi="宋体" w:eastAsia="宋体" w:cs="宋体"/>
                      <w:b w:val="0"/>
                      <w:bCs/>
                      <w:color w:val="auto"/>
                      <w:szCs w:val="21"/>
                      <w:highlight w:val="none"/>
                      <w:shd w:val="clear" w:color="auto" w:fill="auto"/>
                      <w:lang w:val="en-US" w:eastAsia="zh-CN"/>
                    </w:rPr>
                    <w:t>采取一般防渗，</w:t>
                  </w:r>
                  <w:r>
                    <w:rPr>
                      <w:rFonts w:hint="eastAsia" w:ascii="宋体" w:hAnsi="宋体" w:cs="宋体"/>
                      <w:b w:val="0"/>
                      <w:bCs/>
                      <w:color w:val="auto"/>
                      <w:szCs w:val="21"/>
                      <w:highlight w:val="none"/>
                      <w:shd w:val="clear" w:color="auto" w:fill="auto"/>
                      <w:lang w:val="en-US" w:eastAsia="zh-CN"/>
                    </w:rPr>
                    <w:t>厂区道路硬化，</w:t>
                  </w:r>
                  <w:r>
                    <w:rPr>
                      <w:rFonts w:hint="eastAsia" w:ascii="Calibri" w:hAnsi="Calibri" w:eastAsia="宋体" w:cs="Times New Roman"/>
                      <w:b w:val="0"/>
                      <w:bCs/>
                      <w:color w:val="auto"/>
                      <w:highlight w:val="none"/>
                    </w:rPr>
                    <w:t>对周围土壤和地下水影响较小</w:t>
                  </w:r>
                  <w:r>
                    <w:rPr>
                      <w:rFonts w:ascii="Calibri" w:hAnsi="Calibri" w:eastAsia="宋体" w:cs="Times New Roman"/>
                      <w:b w:val="0"/>
                      <w:bCs/>
                      <w:color w:val="auto"/>
                      <w:highlight w:val="none"/>
                    </w:rPr>
                    <w:t>。</w:t>
                  </w:r>
                </w:p>
              </w:tc>
              <w:tc>
                <w:tcPr>
                  <w:tcW w:w="1036" w:type="dxa"/>
                  <w:noWrap w:val="0"/>
                  <w:vAlign w:val="center"/>
                </w:tcPr>
                <w:p w14:paraId="3C02209D">
                  <w:pPr>
                    <w:pStyle w:val="69"/>
                    <w:keepNext w:val="0"/>
                    <w:keepLines w:val="0"/>
                    <w:suppressLineNumbers w:val="0"/>
                    <w:spacing w:before="31" w:beforeAutospacing="0" w:after="31" w:afterAutospacing="0"/>
                    <w:ind w:left="0" w:right="0"/>
                    <w:rPr>
                      <w:rFonts w:ascii="Times New Roman" w:hAnsi="Times New Roman" w:eastAsia="宋体" w:cs="Times New Roman"/>
                      <w:b w:val="0"/>
                      <w:bCs/>
                      <w:color w:val="auto"/>
                      <w:highlight w:val="none"/>
                    </w:rPr>
                  </w:pPr>
                  <w:r>
                    <w:rPr>
                      <w:rFonts w:ascii="Times New Roman" w:hAnsi="Times New Roman" w:eastAsia="宋体" w:cs="Times New Roman"/>
                      <w:b w:val="0"/>
                      <w:bCs/>
                      <w:color w:val="auto"/>
                      <w:highlight w:val="none"/>
                    </w:rPr>
                    <w:t>符合</w:t>
                  </w:r>
                </w:p>
              </w:tc>
            </w:tr>
          </w:tbl>
          <w:p w14:paraId="59610642">
            <w:pPr>
              <w:keepNext w:val="0"/>
              <w:keepLines w:val="0"/>
              <w:numPr>
                <w:ilvl w:val="0"/>
                <w:numId w:val="3"/>
              </w:numPr>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本项目与关于印发《“十四五”噪声污染防治行动计划》的通知（环大气〔2023〕1号）相符性分析</w:t>
            </w:r>
          </w:p>
          <w:p w14:paraId="21DE2F26">
            <w:pPr>
              <w:keepNext w:val="0"/>
              <w:keepLines w:val="0"/>
              <w:numPr>
                <w:ilvl w:val="0"/>
                <w:numId w:val="0"/>
              </w:numPr>
              <w:suppressLineNumbers w:val="0"/>
              <w:spacing w:before="0" w:beforeAutospacing="0" w:after="0" w:afterAutospacing="0"/>
              <w:ind w:left="0" w:right="0" w:rightChars="0"/>
              <w:jc w:val="center"/>
              <w:rPr>
                <w:rFonts w:hint="default" w:ascii="Calibri" w:hAnsi="Calibri" w:eastAsia="宋体" w:cs="Times New Roman"/>
                <w:b/>
                <w:bCs/>
                <w:color w:val="auto"/>
                <w:kern w:val="2"/>
                <w:sz w:val="24"/>
                <w:szCs w:val="24"/>
                <w:highlight w:val="none"/>
                <w:lang w:val="en-US" w:eastAsia="zh-CN" w:bidi="ar-SA"/>
              </w:rPr>
            </w:pPr>
            <w:r>
              <w:rPr>
                <w:rFonts w:hint="eastAsia" w:ascii="Calibri" w:hAnsi="Calibri" w:eastAsia="宋体" w:cs="Times New Roman"/>
                <w:b/>
                <w:bCs/>
                <w:color w:val="auto"/>
                <w:kern w:val="2"/>
                <w:sz w:val="24"/>
                <w:szCs w:val="24"/>
                <w:highlight w:val="none"/>
                <w:lang w:val="en-US" w:eastAsia="zh-CN" w:bidi="ar-SA"/>
              </w:rPr>
              <w:t>表</w:t>
            </w:r>
            <w:r>
              <w:rPr>
                <w:rFonts w:hint="eastAsia" w:ascii="Calibri" w:hAnsi="Calibri" w:cs="Times New Roman"/>
                <w:color w:val="auto"/>
                <w:sz w:val="24"/>
                <w:highlight w:val="none"/>
                <w:lang w:val="en-US" w:eastAsia="zh-CN"/>
              </w:rPr>
              <w:t>1-</w:t>
            </w:r>
            <w:r>
              <w:rPr>
                <w:rFonts w:hint="eastAsia" w:ascii="Calibri" w:hAnsi="Calibri" w:cs="Times New Roman"/>
                <w:b/>
                <w:bCs/>
                <w:color w:val="auto"/>
                <w:kern w:val="2"/>
                <w:sz w:val="24"/>
                <w:szCs w:val="24"/>
                <w:highlight w:val="none"/>
                <w:lang w:val="en-US" w:eastAsia="zh-CN" w:bidi="ar-SA"/>
              </w:rPr>
              <w:t>6  本项目与关于印发《“十四五”噪声污染防治行动计划》的通知（环大气〔2023〕1号）相符性分析</w:t>
            </w:r>
          </w:p>
          <w:tbl>
            <w:tblPr>
              <w:tblStyle w:val="25"/>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19"/>
              <w:gridCol w:w="2612"/>
              <w:gridCol w:w="777"/>
            </w:tblGrid>
            <w:tr w14:paraId="55B41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2984" w:type="pct"/>
                  <w:tcBorders>
                    <w:bottom w:val="single" w:color="auto" w:sz="4" w:space="0"/>
                    <w:right w:val="single" w:color="auto" w:sz="4" w:space="0"/>
                    <w:tl2br w:val="nil"/>
                    <w:tr2bl w:val="nil"/>
                  </w:tcBorders>
                  <w:noWrap w:val="0"/>
                  <w:vAlign w:val="center"/>
                </w:tcPr>
                <w:p w14:paraId="2883CBD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文件要求</w:t>
                  </w:r>
                </w:p>
              </w:tc>
              <w:tc>
                <w:tcPr>
                  <w:tcW w:w="1553" w:type="pct"/>
                  <w:tcBorders>
                    <w:left w:val="single" w:color="auto" w:sz="4" w:space="0"/>
                    <w:bottom w:val="single" w:color="auto" w:sz="4" w:space="0"/>
                    <w:right w:val="single" w:color="auto" w:sz="4" w:space="0"/>
                    <w:tl2br w:val="nil"/>
                    <w:tr2bl w:val="nil"/>
                  </w:tcBorders>
                  <w:noWrap w:val="0"/>
                  <w:vAlign w:val="center"/>
                </w:tcPr>
                <w:p w14:paraId="328E9CE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项目情况</w:t>
                  </w:r>
                </w:p>
              </w:tc>
              <w:tc>
                <w:tcPr>
                  <w:tcW w:w="462" w:type="pct"/>
                  <w:tcBorders>
                    <w:left w:val="single" w:color="auto" w:sz="4" w:space="0"/>
                    <w:bottom w:val="single" w:color="auto" w:sz="4" w:space="0"/>
                    <w:tl2br w:val="nil"/>
                    <w:tr2bl w:val="nil"/>
                  </w:tcBorders>
                  <w:noWrap w:val="0"/>
                  <w:vAlign w:val="center"/>
                </w:tcPr>
                <w:p w14:paraId="1CC4A60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符合情况</w:t>
                  </w:r>
                </w:p>
              </w:tc>
            </w:tr>
            <w:tr w14:paraId="70428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2984" w:type="pct"/>
                  <w:tcBorders>
                    <w:top w:val="single" w:color="auto" w:sz="4" w:space="0"/>
                    <w:bottom w:val="single" w:color="auto" w:sz="4" w:space="0"/>
                    <w:right w:val="single" w:color="auto" w:sz="4" w:space="0"/>
                    <w:tl2br w:val="nil"/>
                    <w:tr2bl w:val="nil"/>
                  </w:tcBorders>
                  <w:noWrap w:val="0"/>
                  <w:vAlign w:val="center"/>
                </w:tcPr>
                <w:p w14:paraId="7573EC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rPr>
                    <w:t>二、夯实声环境管理基础，推动持续改善</w:t>
                  </w:r>
                </w:p>
                <w:p w14:paraId="08179D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（四）科学划定声环境功能区</w:t>
                  </w:r>
                </w:p>
                <w:p w14:paraId="59AA8A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1.开展声环境功能区划定和评估</w:t>
                  </w:r>
                </w:p>
                <w:p w14:paraId="215B2A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2.推动划定噪声敏感建筑物集中区域</w:t>
                  </w:r>
                </w:p>
                <w:p w14:paraId="54A656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（五）细化声环境管理措施</w:t>
                  </w:r>
                </w:p>
                <w:p w14:paraId="2A3414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3.发布噪声污染防治信息</w:t>
                  </w:r>
                </w:p>
                <w:p w14:paraId="78F8F883">
                  <w:pPr>
                    <w:pStyle w:val="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4.推动落实地方声环境质量改善责任</w:t>
                  </w:r>
                </w:p>
              </w:tc>
              <w:tc>
                <w:tcPr>
                  <w:tcW w:w="155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4409A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本项目50米范围内不存在噪声敏感目标，厂界噪声满足《工业企业厂界环境噪声排放标准》（GB12348-2008）</w:t>
                  </w:r>
                  <w:r>
                    <w:rPr>
                      <w:rFonts w:hint="default" w:ascii="Times New Roman" w:hAnsi="Times New Roman" w:cs="Times New Roman"/>
                      <w:b w:val="0"/>
                      <w:bCs w:val="0"/>
                      <w:color w:val="auto"/>
                      <w:sz w:val="21"/>
                      <w:szCs w:val="21"/>
                      <w:highlight w:val="none"/>
                      <w:lang w:val="en-US" w:eastAsia="zh-CN"/>
                    </w:rPr>
                    <w:t>2</w:t>
                  </w:r>
                  <w:r>
                    <w:rPr>
                      <w:rFonts w:hint="default" w:ascii="Times New Roman" w:hAnsi="Times New Roman" w:eastAsia="宋体" w:cs="Times New Roman"/>
                      <w:b w:val="0"/>
                      <w:bCs w:val="0"/>
                      <w:color w:val="auto"/>
                      <w:sz w:val="21"/>
                      <w:szCs w:val="21"/>
                      <w:highlight w:val="none"/>
                      <w:lang w:val="en-US" w:eastAsia="zh-CN"/>
                    </w:rPr>
                    <w:t>类限值。</w:t>
                  </w:r>
                </w:p>
              </w:tc>
              <w:tc>
                <w:tcPr>
                  <w:tcW w:w="462" w:type="pct"/>
                  <w:tcBorders>
                    <w:top w:val="single" w:color="auto" w:sz="4" w:space="0"/>
                    <w:left w:val="single" w:color="auto" w:sz="4" w:space="0"/>
                    <w:bottom w:val="single" w:color="auto" w:sz="4" w:space="0"/>
                    <w:tl2br w:val="nil"/>
                    <w:tr2bl w:val="nil"/>
                  </w:tcBorders>
                  <w:noWrap w:val="0"/>
                  <w:vAlign w:val="center"/>
                </w:tcPr>
                <w:p w14:paraId="25AC2812">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符合</w:t>
                  </w:r>
                </w:p>
              </w:tc>
            </w:tr>
            <w:tr w14:paraId="313C1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2984" w:type="pct"/>
                  <w:tcBorders>
                    <w:top w:val="single" w:color="auto" w:sz="4" w:space="0"/>
                    <w:bottom w:val="single" w:color="auto" w:sz="4" w:space="0"/>
                    <w:right w:val="single" w:color="auto" w:sz="4" w:space="0"/>
                    <w:tl2br w:val="nil"/>
                    <w:tr2bl w:val="nil"/>
                  </w:tcBorders>
                  <w:noWrap w:val="0"/>
                  <w:vAlign w:val="center"/>
                </w:tcPr>
                <w:p w14:paraId="62EC83E4">
                  <w:pPr>
                    <w:keepNext w:val="0"/>
                    <w:keepLines w:val="0"/>
                    <w:pageBreakBefore w:val="0"/>
                    <w:widowControl w:val="0"/>
                    <w:numPr>
                      <w:ilvl w:val="0"/>
                      <w:numId w:val="4"/>
                    </w:numPr>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严格噪声源头管理，控制污染新增</w:t>
                  </w:r>
                </w:p>
                <w:p w14:paraId="46DB012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lang w:val="en-US" w:eastAsia="zh-CN"/>
                    </w:rPr>
                    <w:t>六</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加强规划引导</w:t>
                  </w:r>
                </w:p>
                <w:p w14:paraId="1F353882">
                  <w:pPr>
                    <w:pStyle w:val="17"/>
                    <w:keepNext w:val="0"/>
                    <w:keepLines w:val="0"/>
                    <w:pageBreakBefore w:val="0"/>
                    <w:widowControl w:val="0"/>
                    <w:numPr>
                      <w:ilvl w:val="0"/>
                      <w:numId w:val="5"/>
                    </w:numPr>
                    <w:suppressLineNumbers w:val="0"/>
                    <w:kinsoku/>
                    <w:wordWrap/>
                    <w:overflowPunct/>
                    <w:topLinePunct w:val="0"/>
                    <w:autoSpaceDE/>
                    <w:autoSpaceDN/>
                    <w:bidi w:val="0"/>
                    <w:adjustRightInd/>
                    <w:snapToGrid/>
                    <w:spacing w:before="0" w:beforeAutospacing="0" w:after="0" w:afterAutospacing="0"/>
                    <w:ind w:left="0" w:leftChars="0" w:right="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完善规划相关要求</w:t>
                  </w:r>
                </w:p>
                <w:p w14:paraId="23F100FA">
                  <w:pPr>
                    <w:keepNext w:val="0"/>
                    <w:keepLines w:val="0"/>
                    <w:pageBreakBefore w:val="0"/>
                    <w:widowControl w:val="0"/>
                    <w:numPr>
                      <w:ilvl w:val="0"/>
                      <w:numId w:val="5"/>
                    </w:numPr>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细化交通基础设施选线选址要求</w:t>
                  </w:r>
                </w:p>
                <w:p w14:paraId="29AE0F9E">
                  <w:pPr>
                    <w:pStyle w:val="17"/>
                    <w:keepNext w:val="0"/>
                    <w:keepLines w:val="0"/>
                    <w:pageBreakBefore w:val="0"/>
                    <w:widowControl w:val="0"/>
                    <w:numPr>
                      <w:ilvl w:val="0"/>
                      <w:numId w:val="5"/>
                    </w:numPr>
                    <w:suppressLineNumbers w:val="0"/>
                    <w:kinsoku/>
                    <w:wordWrap/>
                    <w:overflowPunct/>
                    <w:topLinePunct w:val="0"/>
                    <w:autoSpaceDE/>
                    <w:autoSpaceDN/>
                    <w:bidi w:val="0"/>
                    <w:adjustRightInd/>
                    <w:snapToGrid/>
                    <w:spacing w:before="0" w:beforeAutospacing="0" w:after="0" w:afterAutospacing="0"/>
                    <w:ind w:left="0" w:leftChars="0" w:right="0" w:firstLine="0" w:firstLineChars="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优化噪声敏感建筑物建设布局</w:t>
                  </w:r>
                </w:p>
                <w:p w14:paraId="0297D664">
                  <w:pPr>
                    <w:pStyle w:val="17"/>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lang w:val="en-US" w:eastAsia="zh-CN"/>
                    </w:rPr>
                    <w:t>七</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统筹噪声源管控</w:t>
                  </w:r>
                </w:p>
                <w:p w14:paraId="1155DED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8.</w:t>
                  </w:r>
                  <w:r>
                    <w:rPr>
                      <w:rFonts w:hint="default" w:ascii="Times New Roman" w:hAnsi="Times New Roman" w:eastAsia="宋体" w:cs="Times New Roman"/>
                      <w:b w:val="0"/>
                      <w:bCs w:val="0"/>
                      <w:color w:val="auto"/>
                      <w:sz w:val="21"/>
                      <w:szCs w:val="21"/>
                      <w:highlight w:val="none"/>
                    </w:rPr>
                    <w:t>严格落实噪声污染防治要求</w:t>
                  </w:r>
                </w:p>
                <w:p w14:paraId="39AEEA77">
                  <w:pPr>
                    <w:pStyle w:val="17"/>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rPr>
                    <w:t>9</w:t>
                  </w:r>
                  <w:r>
                    <w:rPr>
                      <w:rFonts w:hint="default"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rPr>
                    <w:t>紧抓产品质量监管</w:t>
                  </w:r>
                </w:p>
                <w:p w14:paraId="189B6E9B">
                  <w:pPr>
                    <w:pStyle w:val="17"/>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aps w:val="0"/>
                      <w:color w:val="auto"/>
                      <w:spacing w:val="0"/>
                      <w:sz w:val="21"/>
                      <w:szCs w:val="21"/>
                      <w:highlight w:val="none"/>
                      <w:shd w:val="clear" w:color="auto" w:fill="FFFFFF"/>
                      <w:lang w:val="en-US" w:eastAsia="zh-CN"/>
                    </w:rPr>
                    <w:t>10.</w:t>
                  </w:r>
                  <w:r>
                    <w:rPr>
                      <w:rFonts w:hint="default" w:ascii="Times New Roman" w:hAnsi="Times New Roman" w:eastAsia="宋体" w:cs="Times New Roman"/>
                      <w:b w:val="0"/>
                      <w:bCs w:val="0"/>
                      <w:i w:val="0"/>
                      <w:iCs w:val="0"/>
                      <w:caps w:val="0"/>
                      <w:color w:val="auto"/>
                      <w:spacing w:val="0"/>
                      <w:sz w:val="21"/>
                      <w:szCs w:val="21"/>
                      <w:highlight w:val="none"/>
                      <w:shd w:val="clear" w:color="auto" w:fill="FFFFFF"/>
                    </w:rPr>
                    <w:t>推广先进技术</w:t>
                  </w:r>
                </w:p>
              </w:tc>
              <w:tc>
                <w:tcPr>
                  <w:tcW w:w="155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8E4AB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本项目采用</w:t>
                  </w:r>
                  <w:r>
                    <w:rPr>
                      <w:rFonts w:hint="eastAsia"/>
                      <w:color w:val="auto"/>
                      <w:highlight w:val="none"/>
                      <w:lang w:eastAsia="zh-CN"/>
                    </w:rPr>
                    <w:t>优先选用低噪声设备，并采取</w:t>
                  </w:r>
                  <w:r>
                    <w:rPr>
                      <w:rFonts w:hint="default" w:ascii="Times New Roman" w:hAnsi="Times New Roman" w:eastAsia="宋体" w:cs="Times New Roman"/>
                      <w:b w:val="0"/>
                      <w:bCs w:val="0"/>
                      <w:color w:val="auto"/>
                      <w:sz w:val="21"/>
                      <w:szCs w:val="21"/>
                      <w:highlight w:val="none"/>
                      <w:lang w:val="en-US" w:eastAsia="zh-CN"/>
                    </w:rPr>
                    <w:t>设备减振</w:t>
                  </w:r>
                  <w:r>
                    <w:rPr>
                      <w:rFonts w:hint="eastAsia"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通过隔声、距离衰减等措施削减噪声。</w:t>
                  </w:r>
                </w:p>
              </w:tc>
              <w:tc>
                <w:tcPr>
                  <w:tcW w:w="462" w:type="pct"/>
                  <w:tcBorders>
                    <w:top w:val="single" w:color="auto" w:sz="4" w:space="0"/>
                    <w:left w:val="single" w:color="auto" w:sz="4" w:space="0"/>
                    <w:bottom w:val="single" w:color="auto" w:sz="4" w:space="0"/>
                    <w:tl2br w:val="nil"/>
                    <w:tr2bl w:val="nil"/>
                  </w:tcBorders>
                  <w:noWrap w:val="0"/>
                  <w:vAlign w:val="center"/>
                </w:tcPr>
                <w:p w14:paraId="26274F04">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符合</w:t>
                  </w:r>
                </w:p>
              </w:tc>
            </w:tr>
            <w:tr w14:paraId="07E3B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2984" w:type="pct"/>
                  <w:tcBorders>
                    <w:top w:val="single" w:color="auto" w:sz="4" w:space="0"/>
                    <w:bottom w:val="single" w:color="auto" w:sz="4" w:space="0"/>
                    <w:right w:val="single" w:color="auto" w:sz="4" w:space="0"/>
                    <w:tl2br w:val="nil"/>
                    <w:tr2bl w:val="nil"/>
                  </w:tcBorders>
                  <w:noWrap w:val="0"/>
                  <w:vAlign w:val="center"/>
                </w:tcPr>
                <w:p w14:paraId="59F4A013">
                  <w:pPr>
                    <w:keepNext w:val="0"/>
                    <w:keepLines w:val="0"/>
                    <w:pageBreakBefore w:val="0"/>
                    <w:widowControl w:val="0"/>
                    <w:numPr>
                      <w:ilvl w:val="0"/>
                      <w:numId w:val="4"/>
                    </w:numPr>
                    <w:suppressLineNumbers w:val="0"/>
                    <w:kinsoku/>
                    <w:wordWrap/>
                    <w:overflowPunct/>
                    <w:topLinePunct w:val="0"/>
                    <w:autoSpaceDE/>
                    <w:autoSpaceDN/>
                    <w:bidi w:val="0"/>
                    <w:adjustRightInd/>
                    <w:snapToGrid/>
                    <w:spacing w:before="0" w:beforeAutospacing="0" w:after="0" w:afterAutospacing="0"/>
                    <w:ind w:left="0" w:leftChars="0" w:right="0" w:firstLine="0" w:firstLineChars="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深化工业企业噪声污染防治，加强重点企业监管</w:t>
                  </w:r>
                </w:p>
                <w:p w14:paraId="629C988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lang w:val="en-US" w:eastAsia="zh-CN"/>
                    </w:rPr>
                    <w:t>八</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严格工业噪声管理</w:t>
                  </w:r>
                </w:p>
                <w:p w14:paraId="6E20A402">
                  <w:pPr>
                    <w:pStyle w:val="17"/>
                    <w:keepNext w:val="0"/>
                    <w:keepLines w:val="0"/>
                    <w:pageBreakBefore w:val="0"/>
                    <w:widowControl w:val="0"/>
                    <w:numPr>
                      <w:ilvl w:val="0"/>
                      <w:numId w:val="6"/>
                    </w:numPr>
                    <w:suppressLineNumbers w:val="0"/>
                    <w:kinsoku/>
                    <w:wordWrap/>
                    <w:overflowPunct/>
                    <w:topLinePunct w:val="0"/>
                    <w:autoSpaceDE/>
                    <w:autoSpaceDN/>
                    <w:bidi w:val="0"/>
                    <w:adjustRightInd/>
                    <w:snapToGrid/>
                    <w:spacing w:before="0" w:beforeAutospacing="0" w:after="0" w:afterAutospacing="0"/>
                    <w:ind w:left="0" w:leftChars="0" w:right="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树立工业噪声污染治理标杆</w:t>
                  </w:r>
                </w:p>
                <w:p w14:paraId="5127C86B">
                  <w:pPr>
                    <w:pStyle w:val="17"/>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12.</w:t>
                  </w:r>
                  <w:r>
                    <w:rPr>
                      <w:rFonts w:hint="default" w:ascii="Times New Roman" w:hAnsi="Times New Roman" w:eastAsia="宋体" w:cs="Times New Roman"/>
                      <w:b w:val="0"/>
                      <w:bCs w:val="0"/>
                      <w:color w:val="auto"/>
                      <w:sz w:val="21"/>
                      <w:szCs w:val="21"/>
                      <w:highlight w:val="none"/>
                    </w:rPr>
                    <w:t>加强工业园区管控</w:t>
                  </w:r>
                </w:p>
                <w:p w14:paraId="4553B05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lang w:val="en-US" w:eastAsia="zh-CN"/>
                    </w:rPr>
                    <w:t>九</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实施重点企业监管</w:t>
                  </w:r>
                </w:p>
                <w:p w14:paraId="375381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rPr>
                    <w:t>13．推进工业噪声实施排污许可和重点排污单位管理</w:t>
                  </w:r>
                </w:p>
              </w:tc>
              <w:tc>
                <w:tcPr>
                  <w:tcW w:w="155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2C143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根据</w:t>
                  </w:r>
                  <w:r>
                    <w:rPr>
                      <w:rFonts w:hint="eastAsia" w:ascii="Times New Roman" w:hAnsi="Times New Roman" w:eastAsia="宋体" w:cs="Times New Roman"/>
                      <w:b w:val="0"/>
                      <w:bCs w:val="0"/>
                      <w:color w:val="auto"/>
                      <w:sz w:val="21"/>
                      <w:szCs w:val="21"/>
                      <w:highlight w:val="none"/>
                      <w:lang w:val="en-US" w:eastAsia="zh-CN"/>
                    </w:rPr>
                    <w:t>项目建成后贡献值</w:t>
                  </w:r>
                  <w:r>
                    <w:rPr>
                      <w:rFonts w:hint="default" w:ascii="Times New Roman" w:hAnsi="Times New Roman" w:eastAsia="宋体" w:cs="Times New Roman"/>
                      <w:b w:val="0"/>
                      <w:bCs w:val="0"/>
                      <w:color w:val="auto"/>
                      <w:sz w:val="21"/>
                      <w:szCs w:val="21"/>
                      <w:highlight w:val="none"/>
                      <w:lang w:val="en-US" w:eastAsia="zh-CN"/>
                    </w:rPr>
                    <w:t>，</w:t>
                  </w:r>
                  <w:r>
                    <w:rPr>
                      <w:rFonts w:hint="eastAsia" w:cs="Times New Roman"/>
                      <w:b w:val="0"/>
                      <w:bCs w:val="0"/>
                      <w:color w:val="auto"/>
                      <w:sz w:val="21"/>
                      <w:szCs w:val="21"/>
                      <w:highlight w:val="none"/>
                      <w:lang w:val="en-US" w:eastAsia="zh-CN"/>
                    </w:rPr>
                    <w:t>厂界四周</w:t>
                  </w:r>
                  <w:r>
                    <w:rPr>
                      <w:rFonts w:hint="default" w:ascii="Times New Roman" w:hAnsi="Times New Roman" w:eastAsia="宋体" w:cs="Times New Roman"/>
                      <w:b w:val="0"/>
                      <w:bCs w:val="0"/>
                      <w:color w:val="auto"/>
                      <w:sz w:val="21"/>
                      <w:szCs w:val="21"/>
                      <w:highlight w:val="none"/>
                      <w:lang w:val="en-US" w:eastAsia="zh-CN"/>
                    </w:rPr>
                    <w:t>噪声满足《工业企业厂界环境噪声排放标准》（GB12348-2008）</w:t>
                  </w:r>
                  <w:r>
                    <w:rPr>
                      <w:rFonts w:hint="default" w:ascii="Times New Roman" w:hAnsi="Times New Roman" w:cs="Times New Roman"/>
                      <w:b w:val="0"/>
                      <w:bCs w:val="0"/>
                      <w:color w:val="auto"/>
                      <w:sz w:val="21"/>
                      <w:szCs w:val="21"/>
                      <w:highlight w:val="none"/>
                      <w:lang w:val="en-US" w:eastAsia="zh-CN"/>
                    </w:rPr>
                    <w:t>2</w:t>
                  </w:r>
                  <w:r>
                    <w:rPr>
                      <w:rFonts w:hint="default" w:ascii="Times New Roman" w:hAnsi="Times New Roman" w:eastAsia="宋体" w:cs="Times New Roman"/>
                      <w:b w:val="0"/>
                      <w:bCs w:val="0"/>
                      <w:color w:val="auto"/>
                      <w:sz w:val="21"/>
                      <w:szCs w:val="21"/>
                      <w:highlight w:val="none"/>
                      <w:lang w:val="en-US" w:eastAsia="zh-CN"/>
                    </w:rPr>
                    <w:t>类限值。</w:t>
                  </w:r>
                </w:p>
              </w:tc>
              <w:tc>
                <w:tcPr>
                  <w:tcW w:w="462" w:type="pct"/>
                  <w:tcBorders>
                    <w:top w:val="single" w:color="auto" w:sz="4" w:space="0"/>
                    <w:left w:val="single" w:color="auto" w:sz="4" w:space="0"/>
                    <w:bottom w:val="single" w:color="auto" w:sz="4" w:space="0"/>
                    <w:tl2br w:val="nil"/>
                    <w:tr2bl w:val="nil"/>
                  </w:tcBorders>
                  <w:noWrap w:val="0"/>
                  <w:vAlign w:val="center"/>
                </w:tcPr>
                <w:p w14:paraId="213F622B">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符合</w:t>
                  </w:r>
                </w:p>
              </w:tc>
            </w:tr>
            <w:tr w14:paraId="4A9D7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2984" w:type="pct"/>
                  <w:tcBorders>
                    <w:top w:val="single" w:color="auto" w:sz="4" w:space="0"/>
                    <w:bottom w:val="single" w:color="auto" w:sz="4" w:space="0"/>
                    <w:right w:val="single" w:color="auto" w:sz="4" w:space="0"/>
                    <w:tl2br w:val="nil"/>
                    <w:tr2bl w:val="nil"/>
                  </w:tcBorders>
                  <w:noWrap w:val="0"/>
                  <w:vAlign w:val="center"/>
                </w:tcPr>
                <w:p w14:paraId="2E57F8E2">
                  <w:pPr>
                    <w:keepNext w:val="0"/>
                    <w:keepLines w:val="0"/>
                    <w:pageBreakBefore w:val="0"/>
                    <w:widowControl w:val="0"/>
                    <w:numPr>
                      <w:ilvl w:val="0"/>
                      <w:numId w:val="4"/>
                    </w:numPr>
                    <w:suppressLineNumbers w:val="0"/>
                    <w:kinsoku/>
                    <w:wordWrap/>
                    <w:overflowPunct/>
                    <w:topLinePunct w:val="0"/>
                    <w:autoSpaceDE/>
                    <w:autoSpaceDN/>
                    <w:bidi w:val="0"/>
                    <w:adjustRightInd/>
                    <w:snapToGrid/>
                    <w:spacing w:before="0" w:beforeAutospacing="0" w:after="0" w:afterAutospacing="0"/>
                    <w:ind w:left="0" w:leftChars="0" w:right="0" w:firstLine="0" w:firstLineChars="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强化建筑施工噪声污染防治，严格夜间施工管理</w:t>
                  </w:r>
                </w:p>
                <w:p w14:paraId="464B71BB">
                  <w:pPr>
                    <w:pStyle w:val="17"/>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lang w:val="en-US" w:eastAsia="zh-CN"/>
                    </w:rPr>
                    <w:t>十</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细化施工管理措施</w:t>
                  </w:r>
                </w:p>
                <w:p w14:paraId="78D5731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14.</w:t>
                  </w:r>
                  <w:r>
                    <w:rPr>
                      <w:rFonts w:hint="default" w:ascii="Times New Roman" w:hAnsi="Times New Roman" w:eastAsia="宋体" w:cs="Times New Roman"/>
                      <w:b w:val="0"/>
                      <w:bCs w:val="0"/>
                      <w:color w:val="auto"/>
                      <w:sz w:val="21"/>
                      <w:szCs w:val="21"/>
                      <w:highlight w:val="none"/>
                    </w:rPr>
                    <w:t>推广低噪声施工设备</w:t>
                  </w:r>
                </w:p>
                <w:p w14:paraId="250C77E2">
                  <w:pPr>
                    <w:pStyle w:val="17"/>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15.</w:t>
                  </w:r>
                  <w:r>
                    <w:rPr>
                      <w:rFonts w:hint="default" w:ascii="Times New Roman" w:hAnsi="Times New Roman" w:eastAsia="宋体" w:cs="Times New Roman"/>
                      <w:b w:val="0"/>
                      <w:bCs w:val="0"/>
                      <w:color w:val="auto"/>
                      <w:sz w:val="21"/>
                      <w:szCs w:val="21"/>
                      <w:highlight w:val="none"/>
                    </w:rPr>
                    <w:t>落实管控责任</w:t>
                  </w:r>
                </w:p>
                <w:p w14:paraId="17ED5120">
                  <w:pPr>
                    <w:pStyle w:val="17"/>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聚焦建筑施工管理重点</w:t>
                  </w:r>
                </w:p>
                <w:p w14:paraId="50AF94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16.加严噪声敏感建筑物集中区域施工要求</w:t>
                  </w:r>
                </w:p>
              </w:tc>
              <w:tc>
                <w:tcPr>
                  <w:tcW w:w="155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E0C0E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本项目</w:t>
                  </w:r>
                  <w:r>
                    <w:rPr>
                      <w:rFonts w:hint="eastAsia" w:ascii="Times New Roman" w:hAnsi="Times New Roman" w:eastAsia="宋体" w:cs="Times New Roman"/>
                      <w:b w:val="0"/>
                      <w:bCs w:val="0"/>
                      <w:color w:val="auto"/>
                      <w:sz w:val="21"/>
                      <w:szCs w:val="21"/>
                      <w:highlight w:val="none"/>
                      <w:lang w:val="en-US" w:eastAsia="zh-CN"/>
                    </w:rPr>
                    <w:t>50米范围内无噪声敏感建筑物集中区域，夜间不施工，</w:t>
                  </w:r>
                  <w:r>
                    <w:rPr>
                      <w:rFonts w:hint="default" w:ascii="Times New Roman" w:hAnsi="Times New Roman" w:eastAsia="宋体" w:cs="Times New Roman"/>
                      <w:b w:val="0"/>
                      <w:bCs w:val="0"/>
                      <w:color w:val="auto"/>
                      <w:sz w:val="21"/>
                      <w:szCs w:val="21"/>
                      <w:highlight w:val="none"/>
                      <w:lang w:val="en-US" w:eastAsia="zh-CN"/>
                    </w:rPr>
                    <w:t>施工期</w:t>
                  </w:r>
                  <w:r>
                    <w:rPr>
                      <w:rFonts w:hint="eastAsia" w:ascii="Times New Roman" w:hAnsi="Times New Roman" w:eastAsia="宋体" w:cs="Times New Roman"/>
                      <w:b w:val="0"/>
                      <w:bCs w:val="0"/>
                      <w:color w:val="auto"/>
                      <w:sz w:val="21"/>
                      <w:szCs w:val="21"/>
                      <w:highlight w:val="none"/>
                      <w:lang w:val="en-US" w:eastAsia="zh-CN"/>
                    </w:rPr>
                    <w:t>细化施工管理措施、使用低噪声施工设备、落实管控责任。</w:t>
                  </w:r>
                </w:p>
              </w:tc>
              <w:tc>
                <w:tcPr>
                  <w:tcW w:w="462" w:type="pct"/>
                  <w:tcBorders>
                    <w:top w:val="single" w:color="auto" w:sz="4" w:space="0"/>
                    <w:left w:val="single" w:color="auto" w:sz="4" w:space="0"/>
                    <w:bottom w:val="single" w:color="auto" w:sz="4" w:space="0"/>
                    <w:tl2br w:val="nil"/>
                    <w:tr2bl w:val="nil"/>
                  </w:tcBorders>
                  <w:noWrap w:val="0"/>
                  <w:vAlign w:val="center"/>
                </w:tcPr>
                <w:p w14:paraId="39014C16">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符合</w:t>
                  </w:r>
                </w:p>
              </w:tc>
            </w:tr>
            <w:tr w14:paraId="1F8C5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2984" w:type="pct"/>
                  <w:tcBorders>
                    <w:top w:val="single" w:color="auto" w:sz="4" w:space="0"/>
                    <w:bottom w:val="single" w:color="auto" w:sz="4" w:space="0"/>
                    <w:right w:val="single" w:color="auto" w:sz="4" w:space="0"/>
                    <w:tl2br w:val="nil"/>
                    <w:tr2bl w:val="nil"/>
                  </w:tcBorders>
                  <w:noWrap w:val="0"/>
                  <w:vAlign w:val="center"/>
                </w:tcPr>
                <w:p w14:paraId="4DE4C3CC">
                  <w:pPr>
                    <w:pStyle w:val="17"/>
                    <w:keepNext w:val="0"/>
                    <w:keepLines w:val="0"/>
                    <w:pageBreakBefore w:val="0"/>
                    <w:widowControl w:val="0"/>
                    <w:numPr>
                      <w:ilvl w:val="0"/>
                      <w:numId w:val="4"/>
                    </w:numPr>
                    <w:suppressLineNumbers w:val="0"/>
                    <w:kinsoku/>
                    <w:wordWrap/>
                    <w:overflowPunct/>
                    <w:topLinePunct w:val="0"/>
                    <w:autoSpaceDE/>
                    <w:autoSpaceDN/>
                    <w:bidi w:val="0"/>
                    <w:adjustRightInd/>
                    <w:snapToGrid/>
                    <w:spacing w:before="0" w:beforeAutospacing="0" w:after="0" w:afterAutospacing="0"/>
                    <w:ind w:left="0" w:leftChars="0" w:right="0" w:firstLine="0" w:firstLineChars="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加大交通运输噪声污染防治，推动各领域分步治理</w:t>
                  </w:r>
                </w:p>
                <w:p w14:paraId="7F2819EF">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ind w:left="0" w:leftChars="0" w:right="0" w:firstLine="0" w:firstLineChars="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加强车船路噪声污染防治</w:t>
                  </w:r>
                </w:p>
                <w:p w14:paraId="56E6FA8C">
                  <w:pPr>
                    <w:pStyle w:val="17"/>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17.</w:t>
                  </w:r>
                  <w:r>
                    <w:rPr>
                      <w:rFonts w:hint="default" w:ascii="Times New Roman" w:hAnsi="Times New Roman" w:eastAsia="宋体" w:cs="Times New Roman"/>
                      <w:b w:val="0"/>
                      <w:bCs w:val="0"/>
                      <w:color w:val="auto"/>
                      <w:sz w:val="21"/>
                      <w:szCs w:val="21"/>
                      <w:highlight w:val="none"/>
                    </w:rPr>
                    <w:t>严格机动车监管</w:t>
                  </w:r>
                </w:p>
                <w:p w14:paraId="1ADF760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18.</w:t>
                  </w:r>
                  <w:r>
                    <w:rPr>
                      <w:rFonts w:hint="default" w:ascii="Times New Roman" w:hAnsi="Times New Roman" w:eastAsia="宋体" w:cs="Times New Roman"/>
                      <w:b w:val="0"/>
                      <w:bCs w:val="0"/>
                      <w:color w:val="auto"/>
                      <w:sz w:val="21"/>
                      <w:szCs w:val="21"/>
                      <w:highlight w:val="none"/>
                    </w:rPr>
                    <w:t>推动船舶噪声污染治理</w:t>
                  </w:r>
                </w:p>
                <w:p w14:paraId="481D5858">
                  <w:pPr>
                    <w:pStyle w:val="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19.</w:t>
                  </w:r>
                  <w:r>
                    <w:rPr>
                      <w:rFonts w:hint="default" w:ascii="Times New Roman" w:hAnsi="Times New Roman" w:eastAsia="宋体" w:cs="Times New Roman"/>
                      <w:b w:val="0"/>
                      <w:bCs w:val="0"/>
                      <w:color w:val="auto"/>
                      <w:sz w:val="21"/>
                      <w:szCs w:val="21"/>
                      <w:highlight w:val="none"/>
                    </w:rPr>
                    <w:t>加强公路和城市道路养护</w:t>
                  </w:r>
                </w:p>
                <w:p w14:paraId="0F63D8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（十三）推动轨道交通噪声污染防治</w:t>
                  </w:r>
                </w:p>
                <w:p w14:paraId="6112C8FE">
                  <w:pPr>
                    <w:pStyle w:val="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20．规范城市轨道交通噪声污染防治</w:t>
                  </w:r>
                </w:p>
                <w:p w14:paraId="3299C2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21．细化铁路噪声污染防治要求</w:t>
                  </w:r>
                </w:p>
                <w:p w14:paraId="63607F22">
                  <w:pPr>
                    <w:pStyle w:val="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（十四）深化民用机场周围噪声污染防治</w:t>
                  </w:r>
                </w:p>
                <w:p w14:paraId="4F2DF0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22.</w:t>
                  </w:r>
                  <w:r>
                    <w:rPr>
                      <w:rFonts w:hint="default" w:ascii="Times New Roman" w:hAnsi="Times New Roman" w:eastAsia="宋体" w:cs="Times New Roman"/>
                      <w:b w:val="0"/>
                      <w:bCs w:val="0"/>
                      <w:color w:val="auto"/>
                      <w:sz w:val="21"/>
                      <w:szCs w:val="21"/>
                      <w:highlight w:val="none"/>
                    </w:rPr>
                    <w:t>实施协调管控和政策引导</w:t>
                  </w:r>
                </w:p>
                <w:p w14:paraId="3484F5AB">
                  <w:pPr>
                    <w:pStyle w:val="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23．开展民用航空器噪声污染防治相关研究</w:t>
                  </w:r>
                </w:p>
              </w:tc>
              <w:tc>
                <w:tcPr>
                  <w:tcW w:w="155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AFF13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本项目车辆行驶过程中严禁鸣笛，在居民区减速行驶，定期进行车辆维护保养。</w:t>
                  </w:r>
                </w:p>
              </w:tc>
              <w:tc>
                <w:tcPr>
                  <w:tcW w:w="462" w:type="pct"/>
                  <w:tcBorders>
                    <w:top w:val="single" w:color="auto" w:sz="4" w:space="0"/>
                    <w:left w:val="single" w:color="auto" w:sz="4" w:space="0"/>
                    <w:bottom w:val="single" w:color="auto" w:sz="4" w:space="0"/>
                    <w:tl2br w:val="nil"/>
                    <w:tr2bl w:val="nil"/>
                  </w:tcBorders>
                  <w:noWrap w:val="0"/>
                  <w:vAlign w:val="center"/>
                </w:tcPr>
                <w:p w14:paraId="35884D60">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符合</w:t>
                  </w:r>
                </w:p>
              </w:tc>
            </w:tr>
          </w:tbl>
          <w:p w14:paraId="7509BE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eastAsia" w:cs="Times New Roman"/>
                <w:b w:val="0"/>
                <w:bCs w:val="0"/>
                <w:color w:val="auto"/>
                <w:sz w:val="24"/>
                <w:highlight w:val="none"/>
                <w:lang w:val="en-US" w:eastAsia="zh-CN"/>
              </w:rPr>
            </w:pPr>
            <w:r>
              <w:rPr>
                <w:rFonts w:hint="eastAsia"/>
                <w:b/>
                <w:bCs/>
                <w:color w:val="auto"/>
                <w:sz w:val="24"/>
                <w:szCs w:val="24"/>
                <w:highlight w:val="none"/>
                <w:lang w:val="en-US" w:eastAsia="zh-CN"/>
              </w:rPr>
              <w:t>7、</w:t>
            </w:r>
            <w:r>
              <w:rPr>
                <w:rFonts w:hint="eastAsia" w:cs="Times New Roman"/>
                <w:b w:val="0"/>
                <w:bCs w:val="0"/>
                <w:color w:val="auto"/>
                <w:sz w:val="24"/>
                <w:highlight w:val="none"/>
                <w:lang w:val="en-US" w:eastAsia="zh-CN"/>
              </w:rPr>
              <w:t>本项目与辽宁省人民政府关于印发《辽宁省空气质量持续改善行动实施方案》的通知辽政发〔2024〕11号</w:t>
            </w:r>
            <w:r>
              <w:rPr>
                <w:rFonts w:hint="eastAsia" w:ascii="Times New Roman" w:hAnsi="Times New Roman" w:eastAsia="宋体" w:cs="Times New Roman"/>
                <w:b w:val="0"/>
                <w:bCs w:val="0"/>
                <w:color w:val="auto"/>
                <w:sz w:val="24"/>
                <w:highlight w:val="none"/>
                <w:lang w:val="en-US" w:eastAsia="zh-CN"/>
              </w:rPr>
              <w:t>符合性分析</w:t>
            </w:r>
          </w:p>
          <w:p w14:paraId="2C7000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center"/>
              <w:textAlignment w:val="auto"/>
              <w:rPr>
                <w:rFonts w:hint="eastAsia"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表</w:t>
            </w:r>
            <w:r>
              <w:rPr>
                <w:rFonts w:hint="eastAsia" w:cs="Times New Roman"/>
                <w:b/>
                <w:bCs/>
                <w:color w:val="auto"/>
                <w:sz w:val="24"/>
                <w:highlight w:val="none"/>
                <w:lang w:val="en-US" w:eastAsia="zh-CN"/>
              </w:rPr>
              <w:t>1-</w:t>
            </w:r>
            <w:r>
              <w:rPr>
                <w:rFonts w:hint="eastAsia"/>
                <w:b/>
                <w:bCs/>
                <w:color w:val="auto"/>
                <w:sz w:val="24"/>
                <w:szCs w:val="24"/>
                <w:highlight w:val="none"/>
                <w:lang w:val="en-US" w:eastAsia="zh-CN"/>
              </w:rPr>
              <w:t xml:space="preserve">7  </w:t>
            </w:r>
            <w:r>
              <w:rPr>
                <w:rFonts w:hint="eastAsia" w:ascii="Times New Roman" w:hAnsi="Times New Roman" w:eastAsia="宋体" w:cs="Times New Roman"/>
                <w:b/>
                <w:bCs/>
                <w:color w:val="auto"/>
                <w:sz w:val="24"/>
                <w:highlight w:val="none"/>
                <w:lang w:val="en-US" w:eastAsia="zh-CN"/>
              </w:rPr>
              <w:t>符合性分析一览表</w:t>
            </w:r>
          </w:p>
          <w:tbl>
            <w:tblPr>
              <w:tblStyle w:val="25"/>
              <w:tblW w:w="8340" w:type="dxa"/>
              <w:tblInd w:w="-2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726"/>
              <w:gridCol w:w="2866"/>
              <w:gridCol w:w="748"/>
            </w:tblGrid>
            <w:tr w14:paraId="0B99EC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trPr>
              <w:tc>
                <w:tcPr>
                  <w:tcW w:w="4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EA5EA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政策要求</w:t>
                  </w:r>
                </w:p>
              </w:tc>
              <w:tc>
                <w:tcPr>
                  <w:tcW w:w="28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B8F40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项目情况</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0FB22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符合情况</w:t>
                  </w:r>
                </w:p>
              </w:tc>
            </w:tr>
            <w:tr w14:paraId="7AFDC2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05" w:hRule="atLeast"/>
              </w:trPr>
              <w:tc>
                <w:tcPr>
                  <w:tcW w:w="4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E02FD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一、主要目标</w:t>
                  </w:r>
                </w:p>
                <w:p w14:paraId="0D9D70C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　　到</w:t>
                  </w:r>
                  <w:r>
                    <w:rPr>
                      <w:rFonts w:hint="default" w:ascii="Times New Roman" w:hAnsi="Times New Roman" w:eastAsia="宋体" w:cs="Times New Roman"/>
                      <w:i w:val="0"/>
                      <w:iCs w:val="0"/>
                      <w:color w:val="auto"/>
                      <w:kern w:val="0"/>
                      <w:sz w:val="21"/>
                      <w:szCs w:val="21"/>
                      <w:highlight w:val="none"/>
                      <w:u w:val="none"/>
                      <w:lang w:val="en-US" w:eastAsia="zh-CN" w:bidi="ar"/>
                    </w:rPr>
                    <w:t>2025</w:t>
                  </w:r>
                  <w:r>
                    <w:rPr>
                      <w:rFonts w:hint="eastAsia" w:ascii="宋体" w:hAnsi="宋体" w:eastAsia="宋体" w:cs="宋体"/>
                      <w:i w:val="0"/>
                      <w:iCs w:val="0"/>
                      <w:color w:val="auto"/>
                      <w:kern w:val="0"/>
                      <w:sz w:val="21"/>
                      <w:szCs w:val="21"/>
                      <w:highlight w:val="none"/>
                      <w:u w:val="none"/>
                      <w:lang w:val="en-US" w:eastAsia="zh-CN" w:bidi="ar"/>
                    </w:rPr>
                    <w:t>年，全省</w:t>
                  </w:r>
                  <w:r>
                    <w:rPr>
                      <w:rFonts w:hint="default" w:ascii="Times New Roman" w:hAnsi="Times New Roman" w:eastAsia="宋体" w:cs="Times New Roman"/>
                      <w:i w:val="0"/>
                      <w:iCs w:val="0"/>
                      <w:color w:val="auto"/>
                      <w:kern w:val="0"/>
                      <w:sz w:val="21"/>
                      <w:szCs w:val="21"/>
                      <w:highlight w:val="none"/>
                      <w:u w:val="none"/>
                      <w:lang w:val="en-US" w:eastAsia="zh-CN" w:bidi="ar"/>
                    </w:rPr>
                    <w:t>PM2.5</w:t>
                  </w:r>
                  <w:r>
                    <w:rPr>
                      <w:rFonts w:hint="eastAsia" w:ascii="宋体" w:hAnsi="宋体" w:eastAsia="宋体" w:cs="宋体"/>
                      <w:i w:val="0"/>
                      <w:iCs w:val="0"/>
                      <w:color w:val="auto"/>
                      <w:kern w:val="0"/>
                      <w:sz w:val="21"/>
                      <w:szCs w:val="21"/>
                      <w:highlight w:val="none"/>
                      <w:u w:val="none"/>
                      <w:lang w:val="en-US" w:eastAsia="zh-CN" w:bidi="ar"/>
                    </w:rPr>
                    <w:t>平均浓度降至</w:t>
                  </w:r>
                  <w:r>
                    <w:rPr>
                      <w:rFonts w:hint="default" w:ascii="Times New Roman" w:hAnsi="Times New Roman" w:eastAsia="宋体" w:cs="Times New Roman"/>
                      <w:i w:val="0"/>
                      <w:iCs w:val="0"/>
                      <w:color w:val="auto"/>
                      <w:kern w:val="0"/>
                      <w:sz w:val="21"/>
                      <w:szCs w:val="21"/>
                      <w:highlight w:val="none"/>
                      <w:u w:val="none"/>
                      <w:lang w:val="en-US" w:eastAsia="zh-CN" w:bidi="ar"/>
                    </w:rPr>
                    <w:t>34</w:t>
                  </w:r>
                  <w:r>
                    <w:rPr>
                      <w:rFonts w:hint="eastAsia" w:ascii="宋体" w:hAnsi="宋体" w:eastAsia="宋体" w:cs="宋体"/>
                      <w:i w:val="0"/>
                      <w:iCs w:val="0"/>
                      <w:color w:val="auto"/>
                      <w:kern w:val="0"/>
                      <w:sz w:val="21"/>
                      <w:szCs w:val="21"/>
                      <w:highlight w:val="none"/>
                      <w:u w:val="none"/>
                      <w:lang w:val="en-US" w:eastAsia="zh-CN" w:bidi="ar"/>
                    </w:rPr>
                    <w:t>微克</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eastAsia" w:ascii="宋体" w:hAnsi="宋体" w:eastAsia="宋体" w:cs="宋体"/>
                      <w:i w:val="0"/>
                      <w:iCs w:val="0"/>
                      <w:color w:val="auto"/>
                      <w:kern w:val="0"/>
                      <w:sz w:val="21"/>
                      <w:szCs w:val="21"/>
                      <w:highlight w:val="none"/>
                      <w:u w:val="none"/>
                      <w:lang w:val="en-US" w:eastAsia="zh-CN" w:bidi="ar"/>
                    </w:rPr>
                    <w:t>立方米以下，优良天数比率达到</w:t>
                  </w:r>
                  <w:r>
                    <w:rPr>
                      <w:rFonts w:hint="default" w:ascii="Times New Roman" w:hAnsi="Times New Roman" w:eastAsia="宋体" w:cs="Times New Roman"/>
                      <w:i w:val="0"/>
                      <w:iCs w:val="0"/>
                      <w:color w:val="auto"/>
                      <w:kern w:val="0"/>
                      <w:sz w:val="21"/>
                      <w:szCs w:val="21"/>
                      <w:highlight w:val="none"/>
                      <w:u w:val="none"/>
                      <w:lang w:val="en-US" w:eastAsia="zh-CN" w:bidi="ar"/>
                    </w:rPr>
                    <w:t>88.3%</w:t>
                  </w:r>
                  <w:r>
                    <w:rPr>
                      <w:rFonts w:hint="eastAsia" w:ascii="宋体" w:hAnsi="宋体" w:eastAsia="宋体" w:cs="宋体"/>
                      <w:i w:val="0"/>
                      <w:iCs w:val="0"/>
                      <w:color w:val="auto"/>
                      <w:kern w:val="0"/>
                      <w:sz w:val="21"/>
                      <w:szCs w:val="21"/>
                      <w:highlight w:val="none"/>
                      <w:u w:val="none"/>
                      <w:lang w:val="en-US" w:eastAsia="zh-CN" w:bidi="ar"/>
                    </w:rPr>
                    <w:t>以上，重度及以上污染天数比率控制在</w:t>
                  </w:r>
                  <w:r>
                    <w:rPr>
                      <w:rFonts w:hint="default" w:ascii="Times New Roman" w:hAnsi="Times New Roman" w:eastAsia="宋体" w:cs="Times New Roman"/>
                      <w:i w:val="0"/>
                      <w:iCs w:val="0"/>
                      <w:color w:val="auto"/>
                      <w:kern w:val="0"/>
                      <w:sz w:val="21"/>
                      <w:szCs w:val="21"/>
                      <w:highlight w:val="none"/>
                      <w:u w:val="none"/>
                      <w:lang w:val="en-US" w:eastAsia="zh-CN" w:bidi="ar"/>
                    </w:rPr>
                    <w:t>0.7%</w:t>
                  </w:r>
                  <w:r>
                    <w:rPr>
                      <w:rFonts w:hint="eastAsia" w:ascii="宋体" w:hAnsi="宋体" w:eastAsia="宋体" w:cs="宋体"/>
                      <w:i w:val="0"/>
                      <w:iCs w:val="0"/>
                      <w:color w:val="auto"/>
                      <w:kern w:val="0"/>
                      <w:sz w:val="21"/>
                      <w:szCs w:val="21"/>
                      <w:highlight w:val="none"/>
                      <w:u w:val="none"/>
                      <w:lang w:val="en-US" w:eastAsia="zh-CN" w:bidi="ar"/>
                    </w:rPr>
                    <w:t>以内，氮氧化物和</w:t>
                  </w:r>
                  <w:r>
                    <w:rPr>
                      <w:rFonts w:hint="default" w:ascii="Times New Roman" w:hAnsi="Times New Roman" w:eastAsia="宋体" w:cs="Times New Roman"/>
                      <w:i w:val="0"/>
                      <w:iCs w:val="0"/>
                      <w:color w:val="auto"/>
                      <w:kern w:val="0"/>
                      <w:sz w:val="21"/>
                      <w:szCs w:val="21"/>
                      <w:highlight w:val="none"/>
                      <w:u w:val="none"/>
                      <w:lang w:val="en-US" w:eastAsia="zh-CN" w:bidi="ar"/>
                    </w:rPr>
                    <w:t>VOCs</w:t>
                  </w:r>
                  <w:r>
                    <w:rPr>
                      <w:rFonts w:hint="eastAsia" w:ascii="宋体" w:hAnsi="宋体" w:eastAsia="宋体" w:cs="宋体"/>
                      <w:i w:val="0"/>
                      <w:iCs w:val="0"/>
                      <w:color w:val="auto"/>
                      <w:kern w:val="0"/>
                      <w:sz w:val="21"/>
                      <w:szCs w:val="21"/>
                      <w:highlight w:val="none"/>
                      <w:u w:val="none"/>
                      <w:lang w:val="en-US" w:eastAsia="zh-CN" w:bidi="ar"/>
                    </w:rPr>
                    <w:t>排放总量比</w:t>
                  </w:r>
                  <w:r>
                    <w:rPr>
                      <w:rFonts w:hint="default" w:ascii="Times New Roman" w:hAnsi="Times New Roman" w:eastAsia="宋体" w:cs="Times New Roman"/>
                      <w:i w:val="0"/>
                      <w:iCs w:val="0"/>
                      <w:color w:val="auto"/>
                      <w:kern w:val="0"/>
                      <w:sz w:val="21"/>
                      <w:szCs w:val="21"/>
                      <w:highlight w:val="none"/>
                      <w:u w:val="none"/>
                      <w:lang w:val="en-US" w:eastAsia="zh-CN" w:bidi="ar"/>
                    </w:rPr>
                    <w:t>2020</w:t>
                  </w:r>
                  <w:r>
                    <w:rPr>
                      <w:rFonts w:hint="eastAsia" w:ascii="宋体" w:hAnsi="宋体" w:eastAsia="宋体" w:cs="宋体"/>
                      <w:i w:val="0"/>
                      <w:iCs w:val="0"/>
                      <w:color w:val="auto"/>
                      <w:kern w:val="0"/>
                      <w:sz w:val="21"/>
                      <w:szCs w:val="21"/>
                      <w:highlight w:val="none"/>
                      <w:u w:val="none"/>
                      <w:lang w:val="en-US" w:eastAsia="zh-CN" w:bidi="ar"/>
                    </w:rPr>
                    <w:t>年分别下降</w:t>
                  </w:r>
                  <w:r>
                    <w:rPr>
                      <w:rFonts w:hint="default" w:ascii="Times New Roman" w:hAnsi="Times New Roman" w:eastAsia="宋体" w:cs="Times New Roman"/>
                      <w:i w:val="0"/>
                      <w:iCs w:val="0"/>
                      <w:color w:val="auto"/>
                      <w:kern w:val="0"/>
                      <w:sz w:val="21"/>
                      <w:szCs w:val="21"/>
                      <w:highlight w:val="none"/>
                      <w:u w:val="none"/>
                      <w:lang w:val="en-US" w:eastAsia="zh-CN" w:bidi="ar"/>
                    </w:rPr>
                    <w:t>10%</w:t>
                  </w:r>
                  <w:r>
                    <w:rPr>
                      <w:rFonts w:hint="eastAsia" w:ascii="宋体" w:hAnsi="宋体" w:eastAsia="宋体" w:cs="宋体"/>
                      <w:i w:val="0"/>
                      <w:iCs w:val="0"/>
                      <w:color w:val="auto"/>
                      <w:kern w:val="0"/>
                      <w:sz w:val="21"/>
                      <w:szCs w:val="21"/>
                      <w:highlight w:val="none"/>
                      <w:u w:val="none"/>
                      <w:lang w:val="en-US" w:eastAsia="zh-CN" w:bidi="ar"/>
                    </w:rPr>
                    <w:t>以上。</w:t>
                  </w:r>
                </w:p>
              </w:tc>
              <w:tc>
                <w:tcPr>
                  <w:tcW w:w="28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8D5F2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本项目</w:t>
                  </w:r>
                  <w:r>
                    <w:rPr>
                      <w:rFonts w:hint="eastAsia" w:ascii="宋体" w:hAnsi="宋体" w:cs="宋体"/>
                      <w:i w:val="0"/>
                      <w:iCs w:val="0"/>
                      <w:color w:val="auto"/>
                      <w:kern w:val="0"/>
                      <w:sz w:val="21"/>
                      <w:szCs w:val="21"/>
                      <w:highlight w:val="none"/>
                      <w:u w:val="none"/>
                      <w:lang w:val="en-US" w:eastAsia="zh-CN" w:bidi="ar"/>
                    </w:rPr>
                    <w:t>大气污染物为颗粒物，设有封闭的原料库房，卸料</w:t>
                  </w:r>
                  <w:r>
                    <w:rPr>
                      <w:rFonts w:hint="default" w:ascii="Times New Roman" w:hAnsi="Times New Roman"/>
                      <w:color w:val="auto"/>
                      <w:sz w:val="21"/>
                      <w:szCs w:val="21"/>
                      <w:highlight w:val="none"/>
                    </w:rPr>
                    <w:t>过程在</w:t>
                  </w:r>
                  <w:r>
                    <w:rPr>
                      <w:rFonts w:hint="eastAsia" w:ascii="宋体" w:hAnsi="宋体" w:cs="宋体"/>
                      <w:i w:val="0"/>
                      <w:iCs w:val="0"/>
                      <w:color w:val="auto"/>
                      <w:kern w:val="0"/>
                      <w:sz w:val="21"/>
                      <w:szCs w:val="21"/>
                      <w:highlight w:val="none"/>
                      <w:u w:val="none"/>
                      <w:lang w:val="en-US" w:eastAsia="zh-CN" w:bidi="ar"/>
                    </w:rPr>
                    <w:t>库房内</w:t>
                  </w:r>
                  <w:r>
                    <w:rPr>
                      <w:rFonts w:hint="default" w:ascii="Times New Roman" w:hAnsi="Times New Roman"/>
                      <w:color w:val="auto"/>
                      <w:sz w:val="21"/>
                      <w:szCs w:val="21"/>
                      <w:highlight w:val="none"/>
                    </w:rPr>
                    <w:t>进行</w:t>
                  </w:r>
                  <w:r>
                    <w:rPr>
                      <w:rFonts w:hint="eastAsia" w:ascii="Times New Roman" w:hAnsi="Times New Roman"/>
                      <w:color w:val="auto"/>
                      <w:sz w:val="21"/>
                      <w:szCs w:val="21"/>
                      <w:highlight w:val="none"/>
                      <w:lang w:eastAsia="zh-CN"/>
                    </w:rPr>
                    <w:t>；产品使用吨袋包装</w:t>
                  </w:r>
                  <w:r>
                    <w:rPr>
                      <w:rFonts w:hint="eastAsia"/>
                      <w:color w:val="auto"/>
                      <w:sz w:val="21"/>
                      <w:szCs w:val="21"/>
                      <w:highlight w:val="none"/>
                      <w:lang w:eastAsia="zh-CN"/>
                    </w:rPr>
                    <w:t>放置</w:t>
                  </w:r>
                  <w:r>
                    <w:rPr>
                      <w:rFonts w:hint="eastAsia" w:ascii="Times New Roman" w:hAnsi="Times New Roman"/>
                      <w:color w:val="auto"/>
                      <w:sz w:val="21"/>
                      <w:szCs w:val="21"/>
                      <w:highlight w:val="none"/>
                      <w:lang w:eastAsia="zh-CN"/>
                    </w:rPr>
                    <w:t>于</w:t>
                  </w:r>
                  <w:r>
                    <w:rPr>
                      <w:rFonts w:hint="eastAsia"/>
                      <w:color w:val="auto"/>
                      <w:sz w:val="21"/>
                      <w:szCs w:val="21"/>
                      <w:highlight w:val="none"/>
                      <w:lang w:eastAsia="zh-CN"/>
                    </w:rPr>
                    <w:t>产品库房</w:t>
                  </w:r>
                  <w:r>
                    <w:rPr>
                      <w:rFonts w:hint="eastAsia" w:ascii="Times New Roman" w:hAnsi="Times New Roman"/>
                      <w:color w:val="auto"/>
                      <w:sz w:val="21"/>
                      <w:szCs w:val="21"/>
                      <w:highlight w:val="none"/>
                      <w:lang w:eastAsia="zh-CN"/>
                    </w:rPr>
                    <w:t>内</w:t>
                  </w:r>
                  <w:r>
                    <w:rPr>
                      <w:rFonts w:hint="eastAsia"/>
                      <w:color w:val="auto"/>
                      <w:sz w:val="21"/>
                      <w:szCs w:val="21"/>
                      <w:highlight w:val="none"/>
                      <w:lang w:eastAsia="zh-CN"/>
                    </w:rPr>
                    <w:t>，装料过程在生产车间内进行</w:t>
                  </w:r>
                  <w:r>
                    <w:rPr>
                      <w:rFonts w:hint="eastAsia" w:ascii="Times New Roman" w:hAnsi="Times New Roman"/>
                      <w:color w:val="auto"/>
                      <w:sz w:val="21"/>
                      <w:szCs w:val="21"/>
                      <w:highlight w:val="none"/>
                      <w:lang w:eastAsia="zh-CN"/>
                    </w:rPr>
                    <w:t>；所有产尘工序均位于封闭车间内；</w:t>
                  </w:r>
                  <w:r>
                    <w:rPr>
                      <w:rFonts w:hint="default" w:ascii="Times New Roman" w:hAnsi="Times New Roman" w:eastAsia="宋体" w:cs="Times New Roman"/>
                      <w:color w:val="auto"/>
                      <w:spacing w:val="0"/>
                      <w:sz w:val="21"/>
                      <w:szCs w:val="21"/>
                      <w:highlight w:val="none"/>
                    </w:rPr>
                    <w:t>项目在产污节点安装</w:t>
                  </w:r>
                  <w:r>
                    <w:rPr>
                      <w:rFonts w:hint="eastAsia" w:ascii="Times New Roman" w:hAnsi="Times New Roman" w:eastAsia="宋体" w:cs="Times New Roman"/>
                      <w:color w:val="auto"/>
                      <w:spacing w:val="0"/>
                      <w:sz w:val="21"/>
                      <w:szCs w:val="21"/>
                      <w:highlight w:val="none"/>
                      <w:lang w:eastAsia="zh-CN"/>
                    </w:rPr>
                    <w:t>集气罩</w:t>
                  </w:r>
                  <w:r>
                    <w:rPr>
                      <w:rFonts w:hint="default" w:ascii="Times New Roman" w:hAnsi="Times New Roman" w:eastAsia="宋体" w:cs="Times New Roman"/>
                      <w:color w:val="auto"/>
                      <w:spacing w:val="0"/>
                      <w:sz w:val="21"/>
                      <w:szCs w:val="21"/>
                      <w:highlight w:val="none"/>
                    </w:rPr>
                    <w:t>收集</w:t>
                  </w:r>
                  <w:r>
                    <w:rPr>
                      <w:rFonts w:hint="eastAsia" w:ascii="Times New Roman" w:hAnsi="Times New Roman"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配备高效除尘设施治理</w:t>
                  </w:r>
                  <w:r>
                    <w:rPr>
                      <w:rFonts w:hint="eastAsia" w:ascii="Times New Roman" w:hAnsi="Times New Roman" w:eastAsia="宋体"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定期</w:t>
                  </w:r>
                  <w:r>
                    <w:rPr>
                      <w:rFonts w:hint="eastAsia" w:ascii="Times New Roman" w:hAnsi="Times New Roman" w:cs="Times New Roman"/>
                      <w:color w:val="auto"/>
                      <w:spacing w:val="0"/>
                      <w:sz w:val="21"/>
                      <w:szCs w:val="21"/>
                      <w:highlight w:val="none"/>
                      <w:lang w:eastAsia="zh-CN"/>
                    </w:rPr>
                    <w:t>清扫，洒水抑尘</w:t>
                  </w:r>
                  <w:r>
                    <w:rPr>
                      <w:rFonts w:hint="eastAsia" w:cs="Times New Roman"/>
                      <w:color w:val="auto"/>
                      <w:spacing w:val="0"/>
                      <w:sz w:val="21"/>
                      <w:szCs w:val="21"/>
                      <w:highlight w:val="none"/>
                      <w:lang w:eastAsia="zh-CN"/>
                    </w:rPr>
                    <w:t>，运输车辆采用遮盖防尘，出厂区时进行轮胎清洗</w:t>
                  </w:r>
                  <w:r>
                    <w:rPr>
                      <w:rFonts w:hint="default" w:ascii="Times New Roman" w:hAnsi="Times New Roman" w:eastAsia="宋体" w:cs="Times New Roman"/>
                      <w:color w:val="auto"/>
                      <w:spacing w:val="0"/>
                      <w:sz w:val="21"/>
                      <w:szCs w:val="21"/>
                      <w:highlight w:val="none"/>
                    </w:rPr>
                    <w:t>。</w:t>
                  </w:r>
                  <w:r>
                    <w:rPr>
                      <w:rFonts w:hint="eastAsia" w:ascii="宋体" w:hAnsi="宋体" w:eastAsia="宋体" w:cs="宋体"/>
                      <w:i w:val="0"/>
                      <w:iCs w:val="0"/>
                      <w:color w:val="auto"/>
                      <w:kern w:val="0"/>
                      <w:sz w:val="21"/>
                      <w:szCs w:val="21"/>
                      <w:highlight w:val="none"/>
                      <w:u w:val="none"/>
                      <w:lang w:val="en-US" w:eastAsia="zh-CN" w:bidi="ar"/>
                    </w:rPr>
                    <w:t>可有效减少粉尘排放</w:t>
                  </w:r>
                  <w:r>
                    <w:rPr>
                      <w:rFonts w:hint="eastAsia" w:ascii="宋体" w:hAnsi="宋体" w:cs="宋体"/>
                      <w:i w:val="0"/>
                      <w:iCs w:val="0"/>
                      <w:color w:val="auto"/>
                      <w:kern w:val="0"/>
                      <w:sz w:val="21"/>
                      <w:szCs w:val="21"/>
                      <w:highlight w:val="none"/>
                      <w:u w:val="none"/>
                      <w:lang w:val="en-US" w:eastAsia="zh-CN" w:bidi="ar"/>
                    </w:rPr>
                    <w:t>。</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7E249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符合</w:t>
                  </w:r>
                </w:p>
              </w:tc>
            </w:tr>
            <w:tr w14:paraId="792DB0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0" w:hRule="atLeast"/>
              </w:trPr>
              <w:tc>
                <w:tcPr>
                  <w:tcW w:w="4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54421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二）推动产业绿色低碳发展。铸造、菱镁、陶瓷、有色金属、化工、炭素等制造业集中的城市，2025年底前制定产业集群发展规划。进一步排查不符合城市建设规划、行业发展规划、生态环境功能定位的重污染企业，严防“散乱污”企业反弹。积极创建绿色工厂、绿色工业园区。推动绿色环保产业健康发展。（省生态环境厅、省发展改革委、省工业和信息化厅按职责分工负责）</w:t>
                  </w:r>
                </w:p>
              </w:tc>
              <w:tc>
                <w:tcPr>
                  <w:tcW w:w="28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3BC38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本项目租用</w:t>
                  </w:r>
                  <w:r>
                    <w:rPr>
                      <w:rFonts w:hint="eastAsia" w:ascii="宋体" w:hAnsi="宋体" w:cs="宋体"/>
                      <w:i w:val="0"/>
                      <w:iCs w:val="0"/>
                      <w:color w:val="auto"/>
                      <w:kern w:val="0"/>
                      <w:sz w:val="21"/>
                      <w:szCs w:val="21"/>
                      <w:highlight w:val="none"/>
                      <w:u w:val="none"/>
                      <w:lang w:val="en-US" w:eastAsia="zh-CN" w:bidi="ar"/>
                    </w:rPr>
                    <w:t>辽宁佳合鹏程粉体科技有限公司现有厂房</w:t>
                  </w:r>
                  <w:r>
                    <w:rPr>
                      <w:rFonts w:hint="eastAsia" w:ascii="宋体" w:hAnsi="宋体" w:eastAsia="宋体" w:cs="宋体"/>
                      <w:i w:val="0"/>
                      <w:iCs w:val="0"/>
                      <w:color w:val="auto"/>
                      <w:kern w:val="0"/>
                      <w:sz w:val="21"/>
                      <w:szCs w:val="21"/>
                      <w:highlight w:val="none"/>
                      <w:u w:val="none"/>
                      <w:lang w:val="en-US" w:eastAsia="zh-CN" w:bidi="ar"/>
                    </w:rPr>
                    <w:t>，</w:t>
                  </w:r>
                  <w:r>
                    <w:rPr>
                      <w:rFonts w:hint="eastAsia" w:ascii="宋体" w:hAnsi="宋体" w:cs="宋体"/>
                      <w:i w:val="0"/>
                      <w:iCs w:val="0"/>
                      <w:color w:val="auto"/>
                      <w:kern w:val="0"/>
                      <w:sz w:val="21"/>
                      <w:szCs w:val="21"/>
                      <w:highlight w:val="none"/>
                      <w:u w:val="none"/>
                      <w:lang w:val="en-US" w:eastAsia="zh-CN" w:bidi="ar"/>
                    </w:rPr>
                    <w:t>不新增占地，</w:t>
                  </w:r>
                  <w:r>
                    <w:rPr>
                      <w:rFonts w:hint="eastAsia" w:ascii="宋体" w:hAnsi="宋体" w:eastAsia="宋体" w:cs="宋体"/>
                      <w:i w:val="0"/>
                      <w:iCs w:val="0"/>
                      <w:color w:val="auto"/>
                      <w:kern w:val="0"/>
                      <w:sz w:val="21"/>
                      <w:szCs w:val="21"/>
                      <w:highlight w:val="none"/>
                      <w:u w:val="none"/>
                      <w:lang w:val="en-US" w:eastAsia="zh-CN" w:bidi="ar"/>
                    </w:rPr>
                    <w:t>用地性质为工业用地，本项目符合管控要求</w:t>
                  </w:r>
                  <w:r>
                    <w:rPr>
                      <w:rFonts w:hint="eastAsia" w:ascii="宋体" w:hAnsi="宋体" w:cs="宋体"/>
                      <w:i w:val="0"/>
                      <w:iCs w:val="0"/>
                      <w:color w:val="auto"/>
                      <w:kern w:val="0"/>
                      <w:sz w:val="21"/>
                      <w:szCs w:val="21"/>
                      <w:highlight w:val="none"/>
                      <w:u w:val="none"/>
                      <w:lang w:val="en-US" w:eastAsia="zh-CN" w:bidi="ar"/>
                    </w:rPr>
                    <w:t>。</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AB357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符合</w:t>
                  </w:r>
                </w:p>
              </w:tc>
            </w:tr>
            <w:tr w14:paraId="116BC5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0" w:hRule="atLeast"/>
              </w:trPr>
              <w:tc>
                <w:tcPr>
                  <w:tcW w:w="4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8D9CA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三、优化能源结构，加速能源清洁低碳高效发展</w:t>
                  </w:r>
                </w:p>
                <w:p w14:paraId="5F192F8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　　（四）大力发展新能源和清洁能源。原则上不再新增自备燃煤机组，支持自备燃煤机组实施清洁能源替代。到2025年，非化石能源消费比重达到13.7%左右，电能占终端能源消费比重达到15%左右。实施工业炉窑清洁能源替代，有序推进以电代煤，积极稳妥推进以气代煤。（省发展改革委、省工业和信息化厅、省生态环境厅、省住房城乡建设厅、省农业农村厅按职责分工负责）</w:t>
                  </w:r>
                </w:p>
              </w:tc>
              <w:tc>
                <w:tcPr>
                  <w:tcW w:w="28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540B9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本项目不涉及燃煤机组，能源为电。</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89BF8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符合</w:t>
                  </w:r>
                </w:p>
              </w:tc>
            </w:tr>
            <w:tr w14:paraId="2BA2E2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5" w:hRule="atLeast"/>
              </w:trPr>
              <w:tc>
                <w:tcPr>
                  <w:tcW w:w="4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0DDFB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五）积极开展燃煤锅炉关停整合。县级及以上城市建成区原则上不再新建35蒸吨/小时及以下燃煤锅炉。到2025年，PM2.5未达标城市全域基本淘汰10蒸吨/小时及以下燃煤锅炉，所有城市建成区基本淘汰35蒸吨/小时及以下燃煤锅炉。（省生态环境厅、省发展改革委、省住房城乡建设厅按职责分工负责）</w:t>
                  </w:r>
                </w:p>
              </w:tc>
              <w:tc>
                <w:tcPr>
                  <w:tcW w:w="28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5055F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本项目不涉及燃煤锅炉，办公室电供暖，生产车间不供暖</w:t>
                  </w:r>
                  <w:r>
                    <w:rPr>
                      <w:rFonts w:hint="eastAsia" w:ascii="宋体" w:hAnsi="宋体" w:cs="宋体"/>
                      <w:i w:val="0"/>
                      <w:iCs w:val="0"/>
                      <w:color w:val="auto"/>
                      <w:kern w:val="0"/>
                      <w:sz w:val="21"/>
                      <w:szCs w:val="21"/>
                      <w:highlight w:val="none"/>
                      <w:u w:val="none"/>
                      <w:lang w:val="en-US" w:eastAsia="zh-CN" w:bidi="ar"/>
                    </w:rPr>
                    <w:t>。</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B8C6C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符合</w:t>
                  </w:r>
                </w:p>
              </w:tc>
            </w:tr>
            <w:tr w14:paraId="69151B8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60" w:hRule="atLeast"/>
              </w:trPr>
              <w:tc>
                <w:tcPr>
                  <w:tcW w:w="4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AAB89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六）持续推进清洁取暖。因地制宜整村、整屯推进民用、农用散煤替代。纳入中央财政支持北方地区清洁取暖范围的城市，保质保量完成改造任务。2025年底前基本完成沈阳、鞍山、抚顺、锦州、营口、辽阳、铁岭、盘锦、葫芦岛9个重点城市城区（含城中村、城乡结合部）、县城清洁取暖改造。完成散煤替代的城区、县城及村屯必须保障居民生活和清洁取暖用电、用气需求，防止散煤复烧。严厉打击劣质煤销售，依法全面取缔高污染燃料禁燃区内散煤销售网点。（省发展改革委、省财政厅、省生态环境厅、省住房城乡建设厅、省市场监管局按职责分工负责）</w:t>
                  </w:r>
                </w:p>
              </w:tc>
              <w:tc>
                <w:tcPr>
                  <w:tcW w:w="28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7C8B3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本项目冬季办公室电取暖，生产车间不供暖</w:t>
                  </w:r>
                  <w:r>
                    <w:rPr>
                      <w:rFonts w:hint="eastAsia" w:ascii="宋体" w:hAnsi="宋体" w:cs="宋体"/>
                      <w:i w:val="0"/>
                      <w:iCs w:val="0"/>
                      <w:color w:val="auto"/>
                      <w:kern w:val="0"/>
                      <w:sz w:val="21"/>
                      <w:szCs w:val="21"/>
                      <w:highlight w:val="none"/>
                      <w:u w:val="none"/>
                      <w:lang w:val="en-US" w:eastAsia="zh-CN" w:bidi="ar"/>
                    </w:rPr>
                    <w:t>。</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1FBD7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符合</w:t>
                  </w:r>
                </w:p>
              </w:tc>
            </w:tr>
            <w:tr w14:paraId="430945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60" w:hRule="atLeast"/>
              </w:trPr>
              <w:tc>
                <w:tcPr>
                  <w:tcW w:w="4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6DFCA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九）强化非道路移动源综合治理。推动铁路货场、物流园区、港口、机场、工矿企业内部非道路移动机械绿色发展。依法淘汰高耗能高排放老旧船舶，推进船舶受电设施改造和港口岸电设施建设。到2025年，沈阳桃仙机场、大连周水子机场桥电使用率达到95%以上。全面实施非道路移动柴油机械第四阶段排放标准。强化排放控制区管控，基本消除非道路移动机械、船舶“冒黑烟”现象。开展非道路移动机械编码登记，到2025年，完成城区工程机械环保编码登记三级联网。（省交通运输厅、省生态环境厅、省农业农村厅、省住房城乡建设厅、省市场监管局、沈阳铁路监管局、民航东北地区管理局、辽宁海事局、大连海关、沈阳海关、中国铁路沈阳局集团有限公司按职责分工负责）</w:t>
                  </w:r>
                </w:p>
              </w:tc>
              <w:tc>
                <w:tcPr>
                  <w:tcW w:w="28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14102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企业厂区内部物料采用</w:t>
                  </w:r>
                  <w:r>
                    <w:rPr>
                      <w:rFonts w:hint="eastAsia" w:ascii="宋体" w:hAnsi="宋体" w:cs="宋体"/>
                      <w:i w:val="0"/>
                      <w:iCs w:val="0"/>
                      <w:color w:val="auto"/>
                      <w:kern w:val="0"/>
                      <w:sz w:val="21"/>
                      <w:szCs w:val="21"/>
                      <w:highlight w:val="none"/>
                      <w:u w:val="none"/>
                      <w:lang w:val="en-US" w:eastAsia="zh-CN" w:bidi="ar"/>
                    </w:rPr>
                    <w:t>封闭皮带、铲车及叉车</w:t>
                  </w:r>
                  <w:r>
                    <w:rPr>
                      <w:rFonts w:hint="eastAsia" w:ascii="宋体" w:hAnsi="宋体" w:eastAsia="宋体" w:cs="宋体"/>
                      <w:i w:val="0"/>
                      <w:iCs w:val="0"/>
                      <w:color w:val="auto"/>
                      <w:kern w:val="0"/>
                      <w:sz w:val="21"/>
                      <w:szCs w:val="21"/>
                      <w:highlight w:val="none"/>
                      <w:u w:val="none"/>
                      <w:lang w:val="en-US" w:eastAsia="zh-CN" w:bidi="ar"/>
                    </w:rPr>
                    <w:t>运输；外部采用符合标准的</w:t>
                  </w:r>
                  <w:r>
                    <w:rPr>
                      <w:rFonts w:hint="eastAsia" w:ascii="宋体" w:hAnsi="宋体" w:cs="宋体"/>
                      <w:i w:val="0"/>
                      <w:iCs w:val="0"/>
                      <w:color w:val="auto"/>
                      <w:kern w:val="0"/>
                      <w:sz w:val="21"/>
                      <w:szCs w:val="21"/>
                      <w:highlight w:val="none"/>
                      <w:u w:val="none"/>
                      <w:lang w:val="en-US" w:eastAsia="zh-CN" w:bidi="ar"/>
                    </w:rPr>
                    <w:t>货车</w:t>
                  </w:r>
                  <w:r>
                    <w:rPr>
                      <w:rFonts w:hint="eastAsia" w:ascii="宋体" w:hAnsi="宋体" w:eastAsia="宋体" w:cs="宋体"/>
                      <w:i w:val="0"/>
                      <w:iCs w:val="0"/>
                      <w:color w:val="auto"/>
                      <w:kern w:val="0"/>
                      <w:sz w:val="21"/>
                      <w:szCs w:val="21"/>
                      <w:highlight w:val="none"/>
                      <w:u w:val="none"/>
                      <w:lang w:val="en-US" w:eastAsia="zh-CN" w:bidi="ar"/>
                    </w:rPr>
                    <w:t>运输。</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6E29F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符合</w:t>
                  </w:r>
                </w:p>
              </w:tc>
            </w:tr>
            <w:tr w14:paraId="086994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47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40F53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五、强化扬尘污染防治和精细化管理</w:t>
                  </w:r>
                </w:p>
                <w:p w14:paraId="3146BF8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　　（十一）加强工地和道路扬尘污染治理。持续强化施工场地、工业企业堆场料场和城市道路、裸地扬尘污染治理。将扬尘污染防治费用纳入工程造价。持续推进装配式建筑发展，到2025年，装配式建筑占新建建筑面积比例达到30%。地级及以上城市建成区道路机械化清扫率达到80%左右，县城达到70%左右。（省住房城乡建设厅负责）</w:t>
                  </w:r>
                </w:p>
              </w:tc>
              <w:tc>
                <w:tcPr>
                  <w:tcW w:w="28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A2ADE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本项目施工期设置围挡，水喷淋等防尘设施，有效降低扬尘污染；厂区地面硬化，减少裸露地面面积，减少扬尘。运营期原料库、产品库封闭，设置车辆轮胎清洗，</w:t>
                  </w:r>
                  <w:r>
                    <w:rPr>
                      <w:rFonts w:hint="eastAsia" w:ascii="宋体" w:hAnsi="宋体" w:cs="宋体"/>
                      <w:i w:val="0"/>
                      <w:iCs w:val="0"/>
                      <w:color w:val="auto"/>
                      <w:kern w:val="0"/>
                      <w:sz w:val="21"/>
                      <w:szCs w:val="21"/>
                      <w:highlight w:val="none"/>
                      <w:u w:val="none"/>
                      <w:lang w:val="en-US" w:eastAsia="zh-CN" w:bidi="ar"/>
                    </w:rPr>
                    <w:t>原料遮盖运输、产品</w:t>
                  </w:r>
                  <w:r>
                    <w:rPr>
                      <w:rFonts w:hint="eastAsia" w:ascii="宋体" w:hAnsi="宋体" w:eastAsia="宋体" w:cs="宋体"/>
                      <w:i w:val="0"/>
                      <w:iCs w:val="0"/>
                      <w:color w:val="auto"/>
                      <w:kern w:val="0"/>
                      <w:sz w:val="21"/>
                      <w:szCs w:val="21"/>
                      <w:highlight w:val="none"/>
                      <w:u w:val="none"/>
                      <w:lang w:val="en-US" w:eastAsia="zh-CN" w:bidi="ar"/>
                    </w:rPr>
                    <w:t>装袋运输，有效减少扬尘。</w:t>
                  </w:r>
                </w:p>
              </w:tc>
              <w:tc>
                <w:tcPr>
                  <w:tcW w:w="7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8F1F5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符合</w:t>
                  </w:r>
                </w:p>
              </w:tc>
            </w:tr>
          </w:tbl>
          <w:p w14:paraId="7D575752">
            <w:pPr>
              <w:pStyle w:val="16"/>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eastAsia" w:ascii="Times New Roman" w:hAnsi="Times New Roman" w:eastAsia="宋体" w:cs="Times New Roman"/>
                <w:b/>
                <w:bCs/>
                <w:color w:val="auto"/>
                <w:sz w:val="24"/>
                <w:highlight w:val="none"/>
                <w:lang w:val="en-US" w:eastAsia="zh-CN"/>
              </w:rPr>
            </w:pPr>
            <w:r>
              <w:rPr>
                <w:rFonts w:hint="eastAsia"/>
                <w:b w:val="0"/>
                <w:bCs w:val="0"/>
                <w:color w:val="auto"/>
                <w:sz w:val="21"/>
                <w:szCs w:val="21"/>
                <w:highlight w:val="none"/>
                <w:lang w:val="en-US" w:eastAsia="zh-CN"/>
              </w:rPr>
              <w:t>注：本项目未涉及条款未罗列在本表中。</w:t>
            </w:r>
          </w:p>
          <w:p w14:paraId="6F2685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8</w:t>
            </w:r>
            <w:r>
              <w:rPr>
                <w:rFonts w:hint="default" w:ascii="Times New Roman" w:hAnsi="Times New Roman" w:eastAsia="宋体" w:cs="Times New Roman"/>
                <w:b w:val="0"/>
                <w:bCs w:val="0"/>
                <w:color w:val="auto"/>
                <w:sz w:val="24"/>
                <w:szCs w:val="24"/>
                <w:highlight w:val="none"/>
                <w:lang w:val="en-US" w:eastAsia="zh-CN"/>
              </w:rPr>
              <w:t>、与《辽宁省关于推进菱镁行业高质量发展的实施意见》（辽政办发〔2023〕15 号）符合性分析</w:t>
            </w:r>
          </w:p>
          <w:p w14:paraId="62860111">
            <w:pPr>
              <w:pStyle w:val="10"/>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bCs/>
                <w:color w:val="auto"/>
                <w:sz w:val="24"/>
                <w:szCs w:val="24"/>
                <w:highlight w:val="none"/>
                <w:lang w:eastAsia="zh-CN"/>
              </w:rPr>
              <w:t>表</w:t>
            </w:r>
            <w:r>
              <w:rPr>
                <w:rFonts w:hint="eastAsia" w:cs="Times New Roman"/>
                <w:b/>
                <w:bCs/>
                <w:color w:val="auto"/>
                <w:sz w:val="24"/>
                <w:szCs w:val="24"/>
                <w:highlight w:val="none"/>
                <w:lang w:val="en-US" w:eastAsia="zh-CN"/>
              </w:rPr>
              <w:t>1-8</w:t>
            </w:r>
            <w:r>
              <w:rPr>
                <w:rFonts w:hint="eastAsia" w:ascii="Times New Roman" w:hAnsi="Times New Roman" w:eastAsia="宋体" w:cs="Times New Roman"/>
                <w:b/>
                <w:bCs/>
                <w:color w:val="auto"/>
                <w:sz w:val="24"/>
                <w:szCs w:val="24"/>
                <w:highlight w:val="none"/>
                <w:lang w:val="en-US" w:eastAsia="zh-CN"/>
              </w:rPr>
              <w:t xml:space="preserve">   </w:t>
            </w:r>
            <w:r>
              <w:rPr>
                <w:rFonts w:hint="default" w:ascii="Times New Roman" w:hAnsi="Times New Roman" w:eastAsia="宋体" w:cs="Times New Roman"/>
                <w:b/>
                <w:bCs/>
                <w:color w:val="auto"/>
                <w:sz w:val="24"/>
                <w:szCs w:val="24"/>
                <w:highlight w:val="none"/>
                <w:lang w:eastAsia="zh-CN"/>
              </w:rPr>
              <w:t>《辽宁省关于推进菱镁行业高质量发展的实施意见》符合性分析</w:t>
            </w:r>
          </w:p>
          <w:tbl>
            <w:tblPr>
              <w:tblStyle w:val="25"/>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00"/>
              <w:gridCol w:w="2434"/>
              <w:gridCol w:w="1069"/>
            </w:tblGrid>
            <w:tr w14:paraId="038B4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15" w:type="pct"/>
                  <w:tcBorders>
                    <w:tl2br w:val="nil"/>
                    <w:tr2bl w:val="nil"/>
                  </w:tcBorders>
                  <w:noWrap w:val="0"/>
                  <w:vAlign w:val="center"/>
                </w:tcPr>
                <w:p w14:paraId="11CF44EB">
                  <w:pPr>
                    <w:pStyle w:val="10"/>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b w:val="0"/>
                      <w:bCs w:val="0"/>
                      <w:color w:val="auto"/>
                      <w:spacing w:val="0"/>
                      <w:sz w:val="21"/>
                      <w:szCs w:val="21"/>
                      <w:highlight w:val="none"/>
                      <w:shd w:val="clear" w:color="auto" w:fill="FFFFFF"/>
                    </w:rPr>
                  </w:pPr>
                  <w:r>
                    <w:rPr>
                      <w:rFonts w:hint="default" w:ascii="Times New Roman" w:hAnsi="Times New Roman" w:eastAsia="宋体" w:cs="Times New Roman"/>
                      <w:b w:val="0"/>
                      <w:bCs w:val="0"/>
                      <w:color w:val="auto"/>
                      <w:spacing w:val="0"/>
                      <w:sz w:val="21"/>
                      <w:szCs w:val="21"/>
                      <w:highlight w:val="none"/>
                      <w:shd w:val="clear" w:color="auto" w:fill="FFFFFF"/>
                    </w:rPr>
                    <w:t>文件要求</w:t>
                  </w:r>
                </w:p>
              </w:tc>
              <w:tc>
                <w:tcPr>
                  <w:tcW w:w="1448" w:type="pct"/>
                  <w:tcBorders>
                    <w:tl2br w:val="nil"/>
                    <w:tr2bl w:val="nil"/>
                  </w:tcBorders>
                  <w:noWrap w:val="0"/>
                  <w:vAlign w:val="center"/>
                </w:tcPr>
                <w:p w14:paraId="2823C8CA">
                  <w:pPr>
                    <w:pStyle w:val="10"/>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b w:val="0"/>
                      <w:bCs w:val="0"/>
                      <w:color w:val="auto"/>
                      <w:spacing w:val="0"/>
                      <w:sz w:val="21"/>
                      <w:szCs w:val="21"/>
                      <w:highlight w:val="none"/>
                      <w:shd w:val="clear" w:color="auto" w:fill="FFFFFF"/>
                    </w:rPr>
                  </w:pPr>
                  <w:r>
                    <w:rPr>
                      <w:rFonts w:hint="default" w:ascii="Times New Roman" w:hAnsi="Times New Roman" w:eastAsia="宋体" w:cs="Times New Roman"/>
                      <w:b w:val="0"/>
                      <w:bCs w:val="0"/>
                      <w:color w:val="auto"/>
                      <w:spacing w:val="0"/>
                      <w:sz w:val="21"/>
                      <w:szCs w:val="21"/>
                      <w:highlight w:val="none"/>
                      <w:shd w:val="clear" w:color="auto" w:fill="FFFFFF"/>
                    </w:rPr>
                    <w:t>本项目情况</w:t>
                  </w:r>
                </w:p>
              </w:tc>
              <w:tc>
                <w:tcPr>
                  <w:tcW w:w="636" w:type="pct"/>
                  <w:tcBorders>
                    <w:tl2br w:val="nil"/>
                    <w:tr2bl w:val="nil"/>
                  </w:tcBorders>
                  <w:noWrap w:val="0"/>
                  <w:vAlign w:val="center"/>
                </w:tcPr>
                <w:p w14:paraId="5EE7F3AE">
                  <w:pPr>
                    <w:pStyle w:val="10"/>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center"/>
                    <w:textAlignment w:val="auto"/>
                    <w:rPr>
                      <w:rFonts w:hint="default" w:ascii="Times New Roman" w:hAnsi="Times New Roman" w:eastAsia="宋体" w:cs="Times New Roman"/>
                      <w:b w:val="0"/>
                      <w:bCs w:val="0"/>
                      <w:color w:val="auto"/>
                      <w:spacing w:val="0"/>
                      <w:sz w:val="21"/>
                      <w:szCs w:val="21"/>
                      <w:highlight w:val="none"/>
                      <w:shd w:val="clear" w:color="auto" w:fill="FFFFFF"/>
                    </w:rPr>
                  </w:pPr>
                  <w:r>
                    <w:rPr>
                      <w:rFonts w:hint="default" w:ascii="Times New Roman" w:hAnsi="Times New Roman" w:eastAsia="宋体" w:cs="Times New Roman"/>
                      <w:b w:val="0"/>
                      <w:bCs w:val="0"/>
                      <w:color w:val="auto"/>
                      <w:spacing w:val="0"/>
                      <w:sz w:val="21"/>
                      <w:szCs w:val="21"/>
                      <w:highlight w:val="none"/>
                      <w:shd w:val="clear" w:color="auto" w:fill="FFFFFF"/>
                    </w:rPr>
                    <w:t>符合情况</w:t>
                  </w:r>
                </w:p>
              </w:tc>
            </w:tr>
            <w:tr w14:paraId="60516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15" w:type="pct"/>
                  <w:tcBorders>
                    <w:tl2br w:val="nil"/>
                    <w:tr2bl w:val="nil"/>
                  </w:tcBorders>
                  <w:noWrap w:val="0"/>
                  <w:vAlign w:val="top"/>
                </w:tcPr>
                <w:p w14:paraId="49D957FF">
                  <w:pPr>
                    <w:pStyle w:val="7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b w:val="0"/>
                      <w:bCs w:val="0"/>
                      <w:color w:val="auto"/>
                      <w:spacing w:val="0"/>
                      <w:sz w:val="21"/>
                      <w:szCs w:val="21"/>
                      <w:highlight w:val="none"/>
                      <w:shd w:val="clear" w:color="auto" w:fill="FFFFFF"/>
                    </w:rPr>
                  </w:pPr>
                  <w:r>
                    <w:rPr>
                      <w:rFonts w:hint="default" w:ascii="Times New Roman" w:hAnsi="Times New Roman" w:eastAsia="宋体" w:cs="Times New Roman"/>
                      <w:color w:val="auto"/>
                      <w:spacing w:val="0"/>
                      <w:sz w:val="21"/>
                      <w:szCs w:val="21"/>
                      <w:highlight w:val="none"/>
                    </w:rPr>
                    <w:t>严格产能置换。浮选及镁砂项目备案前，须制定产能置换方案，并由省工业和信息化厅通过政府网站公告。将镁砂置换比例提高到1.4: 1，新建单窑产能20万吨及以上轻烧氧化镁、重烧镁砂窑炉的项目按 1.2: 1 比例置换。将轻烧反射窑列入淘汰类清单，2025 年底前全部淘汰退出，合规产能可参与置换。原已列入淘汰类的有效容积 40 立方米及以下重烧镁砂竖窑、1400KVA 及以下的电熔镁砂炉。经发现立即依法依规处理。</w:t>
                  </w:r>
                </w:p>
              </w:tc>
              <w:tc>
                <w:tcPr>
                  <w:tcW w:w="1448" w:type="pct"/>
                  <w:tcBorders>
                    <w:tl2br w:val="nil"/>
                    <w:tr2bl w:val="nil"/>
                  </w:tcBorders>
                  <w:noWrap w:val="0"/>
                  <w:vAlign w:val="center"/>
                </w:tcPr>
                <w:p w14:paraId="187E6B9D">
                  <w:pPr>
                    <w:pStyle w:val="7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jc w:val="both"/>
                    <w:textAlignment w:val="auto"/>
                    <w:rPr>
                      <w:rFonts w:hint="default" w:ascii="Times New Roman" w:hAnsi="Times New Roman" w:eastAsia="宋体" w:cs="Times New Roman"/>
                      <w:b w:val="0"/>
                      <w:bCs w:val="0"/>
                      <w:color w:val="auto"/>
                      <w:spacing w:val="0"/>
                      <w:sz w:val="21"/>
                      <w:szCs w:val="21"/>
                      <w:highlight w:val="none"/>
                      <w:shd w:val="clear" w:color="auto" w:fill="FFFFFF"/>
                    </w:rPr>
                  </w:pPr>
                  <w:r>
                    <w:rPr>
                      <w:rFonts w:hint="default" w:ascii="Times New Roman" w:hAnsi="Times New Roman" w:cs="Times New Roman"/>
                      <w:b w:val="0"/>
                      <w:bCs w:val="0"/>
                      <w:color w:val="auto"/>
                      <w:sz w:val="21"/>
                      <w:szCs w:val="21"/>
                      <w:highlight w:val="none"/>
                    </w:rPr>
                    <w:t>本项目为其他非金属矿物制品制造，</w:t>
                  </w:r>
                  <w:r>
                    <w:rPr>
                      <w:rFonts w:hint="default" w:ascii="Times New Roman" w:hAnsi="Times New Roman" w:eastAsia="宋体" w:cs="Times New Roman"/>
                      <w:b w:val="0"/>
                      <w:bCs w:val="0"/>
                      <w:color w:val="auto"/>
                      <w:sz w:val="21"/>
                      <w:szCs w:val="21"/>
                      <w:highlight w:val="none"/>
                      <w:lang w:eastAsia="zh-CN"/>
                    </w:rPr>
                    <w:t>项目无锅炉、</w:t>
                  </w:r>
                  <w:r>
                    <w:rPr>
                      <w:rFonts w:hint="eastAsia" w:ascii="Times New Roman" w:hAnsi="Times New Roman" w:cs="Times New Roman"/>
                      <w:b w:val="0"/>
                      <w:bCs w:val="0"/>
                      <w:color w:val="auto"/>
                      <w:sz w:val="21"/>
                      <w:szCs w:val="21"/>
                      <w:highlight w:val="none"/>
                      <w:lang w:eastAsia="zh-CN"/>
                    </w:rPr>
                    <w:t>工业</w:t>
                  </w:r>
                  <w:r>
                    <w:rPr>
                      <w:rFonts w:hint="default" w:ascii="Times New Roman" w:hAnsi="Times New Roman" w:eastAsia="宋体" w:cs="Times New Roman"/>
                      <w:b w:val="0"/>
                      <w:bCs w:val="0"/>
                      <w:color w:val="auto"/>
                      <w:sz w:val="21"/>
                      <w:szCs w:val="21"/>
                      <w:highlight w:val="none"/>
                      <w:lang w:eastAsia="zh-CN"/>
                    </w:rPr>
                    <w:t>炉窑</w:t>
                  </w:r>
                  <w:r>
                    <w:rPr>
                      <w:rFonts w:hint="eastAsia" w:ascii="Times New Roman" w:hAnsi="Times New Roman" w:eastAsia="宋体" w:cs="Times New Roman"/>
                      <w:b w:val="0"/>
                      <w:bCs w:val="0"/>
                      <w:color w:val="auto"/>
                      <w:sz w:val="21"/>
                      <w:szCs w:val="21"/>
                      <w:highlight w:val="none"/>
                      <w:lang w:eastAsia="zh-CN"/>
                    </w:rPr>
                    <w:t>。</w:t>
                  </w:r>
                </w:p>
              </w:tc>
              <w:tc>
                <w:tcPr>
                  <w:tcW w:w="636" w:type="pct"/>
                  <w:tcBorders>
                    <w:tl2br w:val="nil"/>
                    <w:tr2bl w:val="nil"/>
                  </w:tcBorders>
                  <w:noWrap w:val="0"/>
                  <w:vAlign w:val="center"/>
                </w:tcPr>
                <w:p w14:paraId="0B6347A3">
                  <w:pPr>
                    <w:pStyle w:val="7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jc w:val="center"/>
                    <w:textAlignment w:val="auto"/>
                    <w:rPr>
                      <w:rFonts w:hint="default" w:ascii="Times New Roman" w:hAnsi="Times New Roman" w:eastAsia="宋体" w:cs="Times New Roman"/>
                      <w:b w:val="0"/>
                      <w:bCs w:val="0"/>
                      <w:color w:val="auto"/>
                      <w:spacing w:val="0"/>
                      <w:sz w:val="21"/>
                      <w:szCs w:val="21"/>
                      <w:highlight w:val="none"/>
                      <w:shd w:val="clear" w:color="auto" w:fill="FFFFFF"/>
                    </w:rPr>
                  </w:pPr>
                  <w:r>
                    <w:rPr>
                      <w:rFonts w:hint="default" w:ascii="Times New Roman" w:hAnsi="Times New Roman" w:eastAsia="宋体" w:cs="Times New Roman"/>
                      <w:color w:val="auto"/>
                      <w:spacing w:val="0"/>
                      <w:sz w:val="21"/>
                      <w:szCs w:val="21"/>
                      <w:highlight w:val="none"/>
                    </w:rPr>
                    <w:t>符合</w:t>
                  </w:r>
                </w:p>
              </w:tc>
            </w:tr>
            <w:tr w14:paraId="2CDB4B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15" w:type="pct"/>
                  <w:tcBorders>
                    <w:tl2br w:val="nil"/>
                    <w:tr2bl w:val="nil"/>
                  </w:tcBorders>
                  <w:noWrap w:val="0"/>
                  <w:vAlign w:val="top"/>
                </w:tcPr>
                <w:p w14:paraId="063EF930">
                  <w:pPr>
                    <w:pStyle w:val="7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严规范项目管理。按照鼓励、限制、禁止及淘汰类清单指导行业发展、项目审批等工作，严禁新建单窑产能10万吨以下的轻烧氧化镁窑炉和单窑产能5万吨以下的烧结镁砂窑炉。新、改、扩建浮选及镁砂项目在完成省级产能严换公示公告后，由省政府投资主管部门备案。新建镁砂</w:t>
                  </w:r>
                  <w:r>
                    <w:rPr>
                      <w:rFonts w:hint="eastAsia" w:ascii="Times New Roman" w:hAnsi="Times New Roman" w:cs="Times New Roman"/>
                      <w:color w:val="auto"/>
                      <w:spacing w:val="0"/>
                      <w:sz w:val="21"/>
                      <w:szCs w:val="21"/>
                      <w:highlight w:val="none"/>
                      <w:lang w:eastAsia="zh-CN"/>
                    </w:rPr>
                    <w:t>项目</w:t>
                  </w:r>
                  <w:r>
                    <w:rPr>
                      <w:rFonts w:hint="default" w:ascii="Times New Roman" w:hAnsi="Times New Roman" w:eastAsia="宋体" w:cs="Times New Roman"/>
                      <w:color w:val="auto"/>
                      <w:spacing w:val="0"/>
                      <w:sz w:val="21"/>
                      <w:szCs w:val="21"/>
                      <w:highlight w:val="none"/>
                    </w:rPr>
                    <w:t>须严格落实碳减排目标、环境质量要求，应达到单位产品</w:t>
                  </w:r>
                  <w:r>
                    <w:rPr>
                      <w:rFonts w:hint="eastAsia" w:ascii="Times New Roman" w:hAnsi="Times New Roman" w:cs="Times New Roman"/>
                      <w:color w:val="auto"/>
                      <w:spacing w:val="0"/>
                      <w:sz w:val="21"/>
                      <w:szCs w:val="21"/>
                      <w:highlight w:val="none"/>
                      <w:lang w:eastAsia="zh-CN"/>
                    </w:rPr>
                    <w:t>能量</w:t>
                  </w:r>
                  <w:r>
                    <w:rPr>
                      <w:rFonts w:hint="default" w:ascii="Times New Roman" w:hAnsi="Times New Roman" w:eastAsia="宋体" w:cs="Times New Roman"/>
                      <w:color w:val="auto"/>
                      <w:spacing w:val="0"/>
                      <w:sz w:val="21"/>
                      <w:szCs w:val="21"/>
                      <w:highlight w:val="none"/>
                    </w:rPr>
                    <w:t>标杆值。硫酸镁等镁化工项目及捕集二氧化碳制备无机盐的综合利用项目，可不进入化工园区。</w:t>
                  </w:r>
                </w:p>
              </w:tc>
              <w:tc>
                <w:tcPr>
                  <w:tcW w:w="1448" w:type="pct"/>
                  <w:tcBorders>
                    <w:tl2br w:val="nil"/>
                    <w:tr2bl w:val="nil"/>
                  </w:tcBorders>
                  <w:noWrap w:val="0"/>
                  <w:vAlign w:val="center"/>
                </w:tcPr>
                <w:p w14:paraId="2E2E0952">
                  <w:pPr>
                    <w:pStyle w:val="7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jc w:val="both"/>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cs="Times New Roman"/>
                      <w:b w:val="0"/>
                      <w:bCs w:val="0"/>
                      <w:color w:val="auto"/>
                      <w:sz w:val="21"/>
                      <w:szCs w:val="21"/>
                      <w:highlight w:val="none"/>
                    </w:rPr>
                    <w:t>本项目为其他非金属矿物制品制造，</w:t>
                  </w:r>
                  <w:r>
                    <w:rPr>
                      <w:rFonts w:hint="default" w:ascii="Times New Roman" w:hAnsi="Times New Roman" w:eastAsia="宋体" w:cs="Times New Roman"/>
                      <w:b w:val="0"/>
                      <w:bCs w:val="0"/>
                      <w:color w:val="auto"/>
                      <w:sz w:val="21"/>
                      <w:szCs w:val="21"/>
                      <w:highlight w:val="none"/>
                      <w:lang w:eastAsia="zh-CN"/>
                    </w:rPr>
                    <w:t>项目无锅炉、炉窑</w:t>
                  </w:r>
                  <w:r>
                    <w:rPr>
                      <w:rFonts w:hint="default" w:ascii="Times New Roman" w:hAnsi="Times New Roman" w:eastAsia="宋体" w:cs="Times New Roman"/>
                      <w:color w:val="auto"/>
                      <w:spacing w:val="0"/>
                      <w:sz w:val="21"/>
                      <w:szCs w:val="21"/>
                      <w:highlight w:val="none"/>
                    </w:rPr>
                    <w:t>，无需进行产能置换。</w:t>
                  </w:r>
                </w:p>
              </w:tc>
              <w:tc>
                <w:tcPr>
                  <w:tcW w:w="636" w:type="pct"/>
                  <w:tcBorders>
                    <w:tl2br w:val="nil"/>
                    <w:tr2bl w:val="nil"/>
                  </w:tcBorders>
                  <w:noWrap w:val="0"/>
                  <w:vAlign w:val="center"/>
                </w:tcPr>
                <w:p w14:paraId="4ED37F8B">
                  <w:pPr>
                    <w:pStyle w:val="7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10920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15" w:type="pct"/>
                  <w:tcBorders>
                    <w:tl2br w:val="nil"/>
                    <w:tr2bl w:val="nil"/>
                  </w:tcBorders>
                  <w:noWrap w:val="0"/>
                  <w:vAlign w:val="top"/>
                </w:tcPr>
                <w:p w14:paraId="490C3D42">
                  <w:pPr>
                    <w:pStyle w:val="7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textAlignment w:val="auto"/>
                    <w:rPr>
                      <w:rFonts w:hint="default" w:ascii="Times New Roman" w:hAnsi="Times New Roman" w:eastAsia="宋体" w:cs="Times New Roman"/>
                      <w:b w:val="0"/>
                      <w:bCs w:val="0"/>
                      <w:color w:val="auto"/>
                      <w:spacing w:val="0"/>
                      <w:sz w:val="21"/>
                      <w:szCs w:val="21"/>
                      <w:highlight w:val="none"/>
                      <w:shd w:val="clear" w:color="auto" w:fill="FFFFFF"/>
                    </w:rPr>
                  </w:pPr>
                  <w:r>
                    <w:rPr>
                      <w:rFonts w:hint="default" w:ascii="Times New Roman" w:hAnsi="Times New Roman" w:eastAsia="宋体" w:cs="Times New Roman"/>
                      <w:color w:val="auto"/>
                      <w:spacing w:val="0"/>
                      <w:sz w:val="21"/>
                      <w:szCs w:val="21"/>
                      <w:highlight w:val="none"/>
                    </w:rPr>
                    <w:t>强化污染深度治理。实施区域环境集中治理。有效改善环境空气质量。严格执行镁制耐火材料工业大气污染物排放标准，加强无组织排放治理。不断提高污染物收集效率和精细化管理水平。加强矿山、道路、裸露地面、物料堆场等扬尘污染综合整治。落实炉窑企业污染源自动监控设施建设和联网要求。对污染物超标排放或超过重点污染物排放总量控制指标的企业，依法实施强制性清洁生产审核。</w:t>
                  </w:r>
                </w:p>
              </w:tc>
              <w:tc>
                <w:tcPr>
                  <w:tcW w:w="1448" w:type="pct"/>
                  <w:tcBorders>
                    <w:tl2br w:val="nil"/>
                    <w:tr2bl w:val="nil"/>
                  </w:tcBorders>
                  <w:noWrap w:val="0"/>
                  <w:vAlign w:val="center"/>
                </w:tcPr>
                <w:p w14:paraId="065E248A">
                  <w:pPr>
                    <w:pStyle w:val="7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jc w:val="both"/>
                    <w:textAlignment w:val="auto"/>
                    <w:rPr>
                      <w:rFonts w:hint="default" w:ascii="Times New Roman" w:hAnsi="Times New Roman" w:eastAsia="宋体" w:cs="Times New Roman"/>
                      <w:b w:val="0"/>
                      <w:bCs w:val="0"/>
                      <w:color w:val="auto"/>
                      <w:spacing w:val="0"/>
                      <w:sz w:val="21"/>
                      <w:szCs w:val="21"/>
                      <w:highlight w:val="none"/>
                      <w:shd w:val="clear" w:color="auto" w:fill="FFFFFF"/>
                      <w:lang w:eastAsia="zh-CN"/>
                    </w:rPr>
                  </w:pPr>
                  <w:r>
                    <w:rPr>
                      <w:rFonts w:hint="default" w:ascii="Times New Roman" w:hAnsi="Times New Roman" w:eastAsia="宋体" w:cs="Times New Roman"/>
                      <w:color w:val="auto"/>
                      <w:spacing w:val="0"/>
                      <w:sz w:val="21"/>
                      <w:szCs w:val="21"/>
                      <w:highlight w:val="none"/>
                    </w:rPr>
                    <w:t>本项目各生产原料均</w:t>
                  </w:r>
                  <w:r>
                    <w:rPr>
                      <w:rFonts w:hint="default" w:ascii="Times New Roman" w:hAnsi="Times New Roman" w:eastAsia="宋体" w:cs="Times New Roman"/>
                      <w:color w:val="auto"/>
                      <w:spacing w:val="0"/>
                      <w:sz w:val="21"/>
                      <w:szCs w:val="21"/>
                      <w:highlight w:val="none"/>
                      <w:lang w:eastAsia="zh-CN"/>
                    </w:rPr>
                    <w:t>在</w:t>
                  </w:r>
                  <w:r>
                    <w:rPr>
                      <w:rFonts w:hint="default" w:ascii="Times New Roman" w:hAnsi="Times New Roman" w:eastAsia="宋体" w:cs="Times New Roman"/>
                      <w:color w:val="auto"/>
                      <w:spacing w:val="0"/>
                      <w:sz w:val="21"/>
                      <w:szCs w:val="21"/>
                      <w:highlight w:val="none"/>
                    </w:rPr>
                    <w:t>封闭</w:t>
                  </w:r>
                  <w:r>
                    <w:rPr>
                      <w:rFonts w:hint="eastAsia" w:ascii="Times New Roman" w:hAnsi="Times New Roman" w:cs="Times New Roman"/>
                      <w:color w:val="auto"/>
                      <w:spacing w:val="0"/>
                      <w:sz w:val="21"/>
                      <w:szCs w:val="21"/>
                      <w:highlight w:val="none"/>
                      <w:lang w:eastAsia="zh-CN"/>
                    </w:rPr>
                    <w:t>原料库</w:t>
                  </w:r>
                  <w:r>
                    <w:rPr>
                      <w:rFonts w:hint="default" w:ascii="Times New Roman" w:hAnsi="Times New Roman" w:eastAsia="宋体" w:cs="Times New Roman"/>
                      <w:color w:val="auto"/>
                      <w:spacing w:val="0"/>
                      <w:sz w:val="21"/>
                      <w:szCs w:val="21"/>
                      <w:highlight w:val="none"/>
                      <w:lang w:eastAsia="zh-CN"/>
                    </w:rPr>
                    <w:t>内</w:t>
                  </w:r>
                  <w:r>
                    <w:rPr>
                      <w:rFonts w:hint="default" w:ascii="Times New Roman" w:hAnsi="Times New Roman" w:eastAsia="宋体" w:cs="Times New Roman"/>
                      <w:color w:val="auto"/>
                      <w:spacing w:val="0"/>
                      <w:sz w:val="21"/>
                      <w:szCs w:val="21"/>
                      <w:highlight w:val="none"/>
                    </w:rPr>
                    <w:t>并在室内装卸料。项目在产污节点安装</w:t>
                  </w:r>
                  <w:r>
                    <w:rPr>
                      <w:rFonts w:hint="eastAsia" w:ascii="Times New Roman" w:hAnsi="Times New Roman" w:eastAsia="宋体" w:cs="Times New Roman"/>
                      <w:color w:val="auto"/>
                      <w:spacing w:val="0"/>
                      <w:sz w:val="21"/>
                      <w:szCs w:val="21"/>
                      <w:highlight w:val="none"/>
                      <w:lang w:eastAsia="zh-CN"/>
                    </w:rPr>
                    <w:t>集气罩</w:t>
                  </w:r>
                  <w:r>
                    <w:rPr>
                      <w:rFonts w:hint="default" w:ascii="Times New Roman" w:hAnsi="Times New Roman" w:eastAsia="宋体" w:cs="Times New Roman"/>
                      <w:color w:val="auto"/>
                      <w:spacing w:val="0"/>
                      <w:sz w:val="21"/>
                      <w:szCs w:val="21"/>
                      <w:highlight w:val="none"/>
                    </w:rPr>
                    <w:t>收集</w:t>
                  </w:r>
                  <w:r>
                    <w:rPr>
                      <w:rFonts w:hint="eastAsia" w:ascii="Times New Roman" w:hAnsi="Times New Roman"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配备高效除尘设施，项目不涉及炉窑。项目定期</w:t>
                  </w:r>
                  <w:r>
                    <w:rPr>
                      <w:rFonts w:hint="eastAsia" w:ascii="Times New Roman" w:hAnsi="Times New Roman" w:cs="Times New Roman"/>
                      <w:color w:val="auto"/>
                      <w:spacing w:val="0"/>
                      <w:sz w:val="21"/>
                      <w:szCs w:val="21"/>
                      <w:highlight w:val="none"/>
                      <w:lang w:eastAsia="zh-CN"/>
                    </w:rPr>
                    <w:t>清扫，洒水抑尘减少粉尘排放</w:t>
                  </w:r>
                  <w:r>
                    <w:rPr>
                      <w:rFonts w:hint="default" w:ascii="Times New Roman" w:hAnsi="Times New Roman" w:eastAsia="宋体" w:cs="Times New Roman"/>
                      <w:color w:val="auto"/>
                      <w:spacing w:val="0"/>
                      <w:sz w:val="21"/>
                      <w:szCs w:val="21"/>
                      <w:highlight w:val="none"/>
                    </w:rPr>
                    <w:t>。</w:t>
                  </w:r>
                </w:p>
              </w:tc>
              <w:tc>
                <w:tcPr>
                  <w:tcW w:w="636" w:type="pct"/>
                  <w:tcBorders>
                    <w:tl2br w:val="nil"/>
                    <w:tr2bl w:val="nil"/>
                  </w:tcBorders>
                  <w:noWrap w:val="0"/>
                  <w:vAlign w:val="center"/>
                </w:tcPr>
                <w:p w14:paraId="5BD69547">
                  <w:pPr>
                    <w:pStyle w:val="7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jc w:val="center"/>
                    <w:textAlignment w:val="auto"/>
                    <w:rPr>
                      <w:rFonts w:hint="default" w:ascii="Times New Roman" w:hAnsi="Times New Roman" w:eastAsia="宋体" w:cs="Times New Roman"/>
                      <w:b w:val="0"/>
                      <w:bCs w:val="0"/>
                      <w:color w:val="auto"/>
                      <w:spacing w:val="0"/>
                      <w:sz w:val="21"/>
                      <w:szCs w:val="21"/>
                      <w:highlight w:val="none"/>
                      <w:shd w:val="clear" w:color="auto" w:fill="FFFFFF"/>
                    </w:rPr>
                  </w:pPr>
                  <w:r>
                    <w:rPr>
                      <w:rFonts w:hint="default" w:ascii="Times New Roman" w:hAnsi="Times New Roman" w:eastAsia="宋体" w:cs="Times New Roman"/>
                      <w:color w:val="auto"/>
                      <w:spacing w:val="0"/>
                      <w:sz w:val="21"/>
                      <w:szCs w:val="21"/>
                      <w:highlight w:val="none"/>
                    </w:rPr>
                    <w:t>符合</w:t>
                  </w:r>
                </w:p>
              </w:tc>
            </w:tr>
          </w:tbl>
          <w:p w14:paraId="523345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b/>
                <w:bCs/>
                <w:color w:val="auto"/>
                <w:sz w:val="24"/>
                <w:szCs w:val="24"/>
                <w:highlight w:val="none"/>
                <w:lang w:val="en-US" w:eastAsia="zh-CN"/>
              </w:rPr>
            </w:pPr>
            <w:r>
              <w:rPr>
                <w:rFonts w:hint="eastAsia"/>
                <w:b w:val="0"/>
                <w:bCs w:val="0"/>
                <w:color w:val="auto"/>
                <w:sz w:val="21"/>
                <w:szCs w:val="21"/>
                <w:highlight w:val="none"/>
                <w:lang w:val="en-US" w:eastAsia="zh-CN"/>
              </w:rPr>
              <w:t>注：本项目未涉及条款未罗列在本表中。</w:t>
            </w:r>
          </w:p>
          <w:p w14:paraId="310510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Times New Roman" w:hAnsi="Times New Roman" w:eastAsia="宋体"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9</w:t>
            </w:r>
            <w:r>
              <w:rPr>
                <w:rFonts w:hint="eastAsia" w:ascii="Times New Roman" w:hAnsi="Times New Roman" w:eastAsia="宋体" w:cs="Times New Roman"/>
                <w:b w:val="0"/>
                <w:bCs w:val="0"/>
                <w:color w:val="auto"/>
                <w:sz w:val="24"/>
                <w:szCs w:val="24"/>
                <w:highlight w:val="none"/>
                <w:lang w:val="en-US" w:eastAsia="zh-CN"/>
              </w:rPr>
              <w:t>、与《关于印发&lt;辽宁省镁质耐火材料行业规范&gt;的通知》（辽工特发</w:t>
            </w:r>
            <w:r>
              <w:rPr>
                <w:rFonts w:hint="default" w:ascii="Times New Roman" w:hAnsi="Times New Roman" w:eastAsia="宋体" w:cs="Times New Roman"/>
                <w:b w:val="0"/>
                <w:bCs w:val="0"/>
                <w:color w:val="auto"/>
                <w:sz w:val="24"/>
                <w:szCs w:val="24"/>
                <w:highlight w:val="none"/>
                <w:lang w:val="en-US" w:eastAsia="zh-CN"/>
              </w:rPr>
              <w:t>〔20</w:t>
            </w:r>
            <w:r>
              <w:rPr>
                <w:rFonts w:hint="eastAsia" w:cs="Times New Roman"/>
                <w:b w:val="0"/>
                <w:bCs w:val="0"/>
                <w:color w:val="auto"/>
                <w:sz w:val="24"/>
                <w:szCs w:val="24"/>
                <w:highlight w:val="none"/>
                <w:lang w:val="en-US" w:eastAsia="zh-CN"/>
              </w:rPr>
              <w:t>18</w:t>
            </w:r>
            <w:r>
              <w:rPr>
                <w:rFonts w:hint="default"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号）相符性分析</w:t>
            </w:r>
          </w:p>
          <w:p w14:paraId="44A6A51D">
            <w:pPr>
              <w:pStyle w:val="10"/>
              <w:keepNext w:val="0"/>
              <w:keepLines w:val="0"/>
              <w:suppressLineNumbers w:val="0"/>
              <w:spacing w:before="0" w:beforeAutospacing="0" w:after="0" w:afterAutospacing="0"/>
              <w:ind w:left="0" w:right="0"/>
              <w:jc w:val="center"/>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表</w:t>
            </w:r>
            <w:r>
              <w:rPr>
                <w:rFonts w:hint="eastAsia" w:cs="Times New Roman"/>
                <w:b/>
                <w:bCs/>
                <w:color w:val="auto"/>
                <w:sz w:val="24"/>
                <w:szCs w:val="24"/>
                <w:highlight w:val="none"/>
                <w:lang w:val="en-US" w:eastAsia="zh-CN"/>
              </w:rPr>
              <w:t>1-9</w:t>
            </w:r>
            <w:r>
              <w:rPr>
                <w:rFonts w:hint="eastAsia" w:ascii="Times New Roman" w:hAnsi="Times New Roman" w:eastAsia="宋体" w:cs="Times New Roman"/>
                <w:b/>
                <w:bCs/>
                <w:color w:val="auto"/>
                <w:sz w:val="24"/>
                <w:szCs w:val="24"/>
                <w:highlight w:val="none"/>
                <w:lang w:val="en-US" w:eastAsia="zh-CN"/>
              </w:rPr>
              <w:t xml:space="preserve">  项目与《关于印发&lt;辽宁省镁质耐火材料行业规范&gt;的通知》</w:t>
            </w:r>
          </w:p>
          <w:p w14:paraId="16ADBD1F">
            <w:pPr>
              <w:pStyle w:val="10"/>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符合性分析一览表</w:t>
            </w:r>
          </w:p>
          <w:tbl>
            <w:tblPr>
              <w:tblStyle w:val="77"/>
              <w:tblW w:w="4998" w:type="pct"/>
              <w:jc w:val="center"/>
              <w:tblBorders>
                <w:top w:val="single" w:color="auto" w:sz="4" w:space="0"/>
                <w:left w:val="single" w:color="auto" w:sz="4" w:space="0"/>
                <w:bottom w:val="single" w:color="auto" w:sz="4" w:space="0"/>
                <w:right w:val="single" w:color="auto" w:sz="4" w:space="0"/>
                <w:insideH w:val="none" w:color="000000" w:sz="0" w:space="0"/>
                <w:insideV w:val="none" w:color="000000" w:sz="0" w:space="0"/>
              </w:tblBorders>
              <w:tblLayout w:type="autofit"/>
              <w:tblCellMar>
                <w:top w:w="0" w:type="dxa"/>
                <w:left w:w="0" w:type="dxa"/>
                <w:bottom w:w="0" w:type="dxa"/>
                <w:right w:w="0" w:type="dxa"/>
              </w:tblCellMar>
            </w:tblPr>
            <w:tblGrid>
              <w:gridCol w:w="3805"/>
              <w:gridCol w:w="3880"/>
              <w:gridCol w:w="722"/>
            </w:tblGrid>
            <w:tr w14:paraId="297F64E0">
              <w:tblPrEx>
                <w:tblBorders>
                  <w:top w:val="single" w:color="auto" w:sz="4" w:space="0"/>
                  <w:left w:val="single" w:color="auto" w:sz="4" w:space="0"/>
                  <w:bottom w:val="single" w:color="auto" w:sz="4" w:space="0"/>
                  <w:right w:val="single" w:color="auto" w:sz="4" w:space="0"/>
                  <w:insideH w:val="none" w:color="000000" w:sz="0" w:space="0"/>
                  <w:insideV w:val="none" w:color="000000" w:sz="0" w:space="0"/>
                </w:tblBorders>
                <w:tblCellMar>
                  <w:top w:w="0" w:type="dxa"/>
                  <w:left w:w="0" w:type="dxa"/>
                  <w:bottom w:w="0" w:type="dxa"/>
                  <w:right w:w="0" w:type="dxa"/>
                </w:tblCellMar>
              </w:tblPrEx>
              <w:trPr>
                <w:trHeight w:val="90" w:hRule="atLeast"/>
                <w:jc w:val="center"/>
              </w:trPr>
              <w:tc>
                <w:tcPr>
                  <w:tcW w:w="2262" w:type="pct"/>
                  <w:tcBorders>
                    <w:bottom w:val="single" w:color="000000" w:sz="4" w:space="0"/>
                    <w:right w:val="single" w:color="000000" w:sz="2" w:space="0"/>
                  </w:tcBorders>
                  <w:noWrap w:val="0"/>
                  <w:vAlign w:val="center"/>
                </w:tcPr>
                <w:p w14:paraId="06914BF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文件要求</w:t>
                  </w:r>
                </w:p>
              </w:tc>
              <w:tc>
                <w:tcPr>
                  <w:tcW w:w="2307" w:type="pct"/>
                  <w:tcBorders>
                    <w:left w:val="single" w:color="000000" w:sz="2" w:space="0"/>
                    <w:bottom w:val="single" w:color="000000" w:sz="4" w:space="0"/>
                    <w:right w:val="single" w:color="000000" w:sz="2" w:space="0"/>
                  </w:tcBorders>
                  <w:noWrap w:val="0"/>
                  <w:vAlign w:val="center"/>
                </w:tcPr>
                <w:p w14:paraId="4B60221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项目情况</w:t>
                  </w:r>
                </w:p>
              </w:tc>
              <w:tc>
                <w:tcPr>
                  <w:tcW w:w="429" w:type="pct"/>
                  <w:tcBorders>
                    <w:left w:val="single" w:color="000000" w:sz="2" w:space="0"/>
                    <w:bottom w:val="single" w:color="000000" w:sz="4" w:space="0"/>
                  </w:tcBorders>
                  <w:noWrap w:val="0"/>
                  <w:vAlign w:val="center"/>
                </w:tcPr>
                <w:p w14:paraId="15B9A6A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符合情 况</w:t>
                  </w:r>
                </w:p>
              </w:tc>
            </w:tr>
            <w:tr w14:paraId="3F469253">
              <w:tblPrEx>
                <w:tblBorders>
                  <w:top w:val="single" w:color="auto" w:sz="4" w:space="0"/>
                  <w:left w:val="single" w:color="auto" w:sz="4" w:space="0"/>
                  <w:bottom w:val="single" w:color="auto" w:sz="4" w:space="0"/>
                  <w:right w:val="single" w:color="auto" w:sz="4" w:space="0"/>
                  <w:insideH w:val="none" w:color="000000" w:sz="0" w:space="0"/>
                  <w:insideV w:val="none" w:color="000000" w:sz="0" w:space="0"/>
                </w:tblBorders>
                <w:tblCellMar>
                  <w:top w:w="0" w:type="dxa"/>
                  <w:left w:w="0" w:type="dxa"/>
                  <w:bottom w:w="0" w:type="dxa"/>
                  <w:right w:w="0" w:type="dxa"/>
                </w:tblCellMar>
              </w:tblPrEx>
              <w:trPr>
                <w:trHeight w:val="1190" w:hRule="atLeast"/>
                <w:jc w:val="center"/>
              </w:trPr>
              <w:tc>
                <w:tcPr>
                  <w:tcW w:w="2262" w:type="pct"/>
                  <w:tcBorders>
                    <w:top w:val="single" w:color="000000" w:sz="4" w:space="0"/>
                    <w:bottom w:val="single" w:color="000000" w:sz="4" w:space="0"/>
                    <w:right w:val="single" w:color="000000" w:sz="2" w:space="0"/>
                  </w:tcBorders>
                  <w:noWrap w:val="0"/>
                  <w:vAlign w:val="center"/>
                </w:tcPr>
                <w:p w14:paraId="7976D0D2">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世界遗产地、风景名胜区、生态保护区、饮用水水源保护区等需要特别保护的区域和非工业建设规划区不得新建、扩建耐火材料项目。</w:t>
                  </w:r>
                </w:p>
              </w:tc>
              <w:tc>
                <w:tcPr>
                  <w:tcW w:w="2307" w:type="pct"/>
                  <w:tcBorders>
                    <w:top w:val="single" w:color="000000" w:sz="4" w:space="0"/>
                    <w:left w:val="single" w:color="000000" w:sz="2" w:space="0"/>
                    <w:bottom w:val="single" w:color="000000" w:sz="4" w:space="0"/>
                    <w:right w:val="single" w:color="000000" w:sz="2" w:space="0"/>
                  </w:tcBorders>
                  <w:noWrap w:val="0"/>
                  <w:vAlign w:val="center"/>
                </w:tcPr>
                <w:p w14:paraId="4FF1A30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snapToGrid w:val="0"/>
                      <w:color w:val="auto"/>
                      <w:spacing w:val="0"/>
                      <w:kern w:val="0"/>
                      <w:sz w:val="21"/>
                      <w:szCs w:val="21"/>
                      <w:highlight w:val="none"/>
                      <w:lang w:val="en-US" w:eastAsia="en-US" w:bidi="ar-SA"/>
                    </w:rPr>
                    <w:t>本项目</w:t>
                  </w:r>
                  <w:r>
                    <w:rPr>
                      <w:rFonts w:ascii="Calibri" w:hAnsi="Calibri" w:eastAsia="宋体" w:cs="Times New Roman"/>
                      <w:color w:val="auto"/>
                      <w:szCs w:val="21"/>
                      <w:highlight w:val="none"/>
                    </w:rPr>
                    <w:t>位于岫岩满族自治县</w:t>
                  </w:r>
                  <w:r>
                    <w:rPr>
                      <w:rFonts w:hint="eastAsia" w:ascii="Calibri" w:hAnsi="Calibri" w:cs="Times New Roman"/>
                      <w:color w:val="auto"/>
                      <w:szCs w:val="21"/>
                      <w:highlight w:val="none"/>
                      <w:lang w:eastAsia="zh-CN"/>
                    </w:rPr>
                    <w:t>偏岭镇王家堡村</w:t>
                  </w:r>
                  <w:r>
                    <w:rPr>
                      <w:rFonts w:ascii="Calibri" w:hAnsi="Calibri" w:eastAsia="宋体" w:cs="Times New Roman"/>
                      <w:color w:val="auto"/>
                      <w:szCs w:val="21"/>
                      <w:highlight w:val="none"/>
                    </w:rPr>
                    <w:t>，</w:t>
                  </w:r>
                  <w:r>
                    <w:rPr>
                      <w:rFonts w:hint="eastAsia" w:ascii="Calibri" w:hAnsi="Calibri" w:cs="Times New Roman"/>
                      <w:color w:val="auto"/>
                      <w:szCs w:val="21"/>
                      <w:highlight w:val="none"/>
                      <w:lang w:eastAsia="zh-CN"/>
                    </w:rPr>
                    <w:t>租用佳合鹏程现有厂房，不新增占地，用地性质为工业用地</w:t>
                  </w:r>
                  <w:r>
                    <w:rPr>
                      <w:rFonts w:hint="eastAsia" w:ascii="Times New Roman" w:hAnsi="Times New Roman" w:eastAsia="宋体" w:cs="Times New Roman"/>
                      <w:snapToGrid w:val="0"/>
                      <w:color w:val="auto"/>
                      <w:spacing w:val="0"/>
                      <w:kern w:val="0"/>
                      <w:sz w:val="21"/>
                      <w:szCs w:val="21"/>
                      <w:highlight w:val="none"/>
                      <w:lang w:val="en-US" w:eastAsia="zh-CN" w:bidi="ar-SA"/>
                    </w:rPr>
                    <w:t>，</w:t>
                  </w:r>
                  <w:r>
                    <w:rPr>
                      <w:rFonts w:hint="default" w:ascii="Times New Roman" w:hAnsi="Times New Roman" w:eastAsia="宋体" w:cs="Times New Roman"/>
                      <w:color w:val="auto"/>
                      <w:spacing w:val="0"/>
                      <w:sz w:val="21"/>
                      <w:szCs w:val="21"/>
                      <w:highlight w:val="none"/>
                    </w:rPr>
                    <w:t>不涉及世界遗产地、风景名胜区、生态保护区和饮用水源保护区等需要特别保护的区域。</w:t>
                  </w:r>
                </w:p>
              </w:tc>
              <w:tc>
                <w:tcPr>
                  <w:tcW w:w="429" w:type="pct"/>
                  <w:tcBorders>
                    <w:top w:val="single" w:color="000000" w:sz="4" w:space="0"/>
                    <w:left w:val="single" w:color="000000" w:sz="2" w:space="0"/>
                    <w:bottom w:val="single" w:color="000000" w:sz="4" w:space="0"/>
                  </w:tcBorders>
                  <w:noWrap w:val="0"/>
                  <w:vAlign w:val="center"/>
                </w:tcPr>
                <w:p w14:paraId="7ED5D3A9">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4AB1B680">
              <w:tblPrEx>
                <w:tblBorders>
                  <w:top w:val="single" w:color="auto" w:sz="4" w:space="0"/>
                  <w:left w:val="single" w:color="auto" w:sz="4" w:space="0"/>
                  <w:bottom w:val="single" w:color="auto" w:sz="4" w:space="0"/>
                  <w:right w:val="single" w:color="auto" w:sz="4" w:space="0"/>
                  <w:insideH w:val="none" w:color="000000" w:sz="0" w:space="0"/>
                  <w:insideV w:val="none" w:color="000000" w:sz="0" w:space="0"/>
                </w:tblBorders>
                <w:tblCellMar>
                  <w:top w:w="0" w:type="dxa"/>
                  <w:left w:w="0" w:type="dxa"/>
                  <w:bottom w:w="0" w:type="dxa"/>
                  <w:right w:w="0" w:type="dxa"/>
                </w:tblCellMar>
              </w:tblPrEx>
              <w:trPr>
                <w:trHeight w:val="1190" w:hRule="atLeast"/>
                <w:jc w:val="center"/>
              </w:trPr>
              <w:tc>
                <w:tcPr>
                  <w:tcW w:w="2262" w:type="pct"/>
                  <w:tcBorders>
                    <w:top w:val="single" w:color="000000" w:sz="4" w:space="0"/>
                    <w:bottom w:val="single" w:color="000000" w:sz="4" w:space="0"/>
                    <w:right w:val="single" w:color="000000" w:sz="2" w:space="0"/>
                  </w:tcBorders>
                  <w:noWrap w:val="0"/>
                  <w:vAlign w:val="center"/>
                </w:tcPr>
                <w:p w14:paraId="2BB48745">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不采用《部分工业行业淘汰落后生产工艺装备和产品指导目录》、《高耗能落后机电设备（产品）淘汰目录》等明令淘汰、限制的工艺和装备。</w:t>
                  </w:r>
                </w:p>
              </w:tc>
              <w:tc>
                <w:tcPr>
                  <w:tcW w:w="2307" w:type="pct"/>
                  <w:tcBorders>
                    <w:top w:val="single" w:color="000000" w:sz="4" w:space="0"/>
                    <w:left w:val="single" w:color="000000" w:sz="2" w:space="0"/>
                    <w:bottom w:val="single" w:color="000000" w:sz="4" w:space="0"/>
                    <w:right w:val="single" w:color="000000" w:sz="2" w:space="0"/>
                  </w:tcBorders>
                  <w:noWrap w:val="0"/>
                  <w:vAlign w:val="center"/>
                </w:tcPr>
                <w:p w14:paraId="437C122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本项目未采用淘汰、限制的工艺和装备。</w:t>
                  </w:r>
                </w:p>
              </w:tc>
              <w:tc>
                <w:tcPr>
                  <w:tcW w:w="429" w:type="pct"/>
                  <w:tcBorders>
                    <w:top w:val="single" w:color="000000" w:sz="4" w:space="0"/>
                    <w:left w:val="single" w:color="000000" w:sz="2" w:space="0"/>
                    <w:bottom w:val="single" w:color="000000" w:sz="4" w:space="0"/>
                  </w:tcBorders>
                  <w:noWrap w:val="0"/>
                  <w:vAlign w:val="center"/>
                </w:tcPr>
                <w:p w14:paraId="470D7721">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069CD26C">
              <w:tblPrEx>
                <w:tblBorders>
                  <w:top w:val="single" w:color="auto" w:sz="4" w:space="0"/>
                  <w:left w:val="single" w:color="auto" w:sz="4" w:space="0"/>
                  <w:bottom w:val="single" w:color="auto" w:sz="4" w:space="0"/>
                  <w:right w:val="single" w:color="auto" w:sz="4" w:space="0"/>
                  <w:insideH w:val="none" w:color="000000" w:sz="0" w:space="0"/>
                  <w:insideV w:val="none" w:color="000000" w:sz="0" w:space="0"/>
                </w:tblBorders>
                <w:tblCellMar>
                  <w:top w:w="0" w:type="dxa"/>
                  <w:left w:w="0" w:type="dxa"/>
                  <w:bottom w:w="0" w:type="dxa"/>
                  <w:right w:w="0" w:type="dxa"/>
                </w:tblCellMar>
              </w:tblPrEx>
              <w:trPr>
                <w:trHeight w:val="1190" w:hRule="atLeast"/>
                <w:jc w:val="center"/>
              </w:trPr>
              <w:tc>
                <w:tcPr>
                  <w:tcW w:w="2262" w:type="pct"/>
                  <w:tcBorders>
                    <w:top w:val="single" w:color="000000" w:sz="4" w:space="0"/>
                    <w:bottom w:val="single" w:color="000000" w:sz="4" w:space="0"/>
                    <w:right w:val="single" w:color="000000" w:sz="2" w:space="0"/>
                  </w:tcBorders>
                  <w:noWrap w:val="0"/>
                  <w:vAlign w:val="center"/>
                </w:tcPr>
                <w:p w14:paraId="4C91C679">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原料堆场配建围墙和顶盖，破（粉）碎、筛分、均化、输送、成型和成品加工等易产生粉尘的环节，配套除尘装置，防止粉尘无组织排放。含尘气体经处理达标后排放。</w:t>
                  </w:r>
                </w:p>
              </w:tc>
              <w:tc>
                <w:tcPr>
                  <w:tcW w:w="2307" w:type="pct"/>
                  <w:tcBorders>
                    <w:top w:val="single" w:color="000000" w:sz="4" w:space="0"/>
                    <w:left w:val="single" w:color="000000" w:sz="2" w:space="0"/>
                    <w:bottom w:val="single" w:color="000000" w:sz="4" w:space="0"/>
                    <w:right w:val="single" w:color="000000" w:sz="2" w:space="0"/>
                  </w:tcBorders>
                  <w:noWrap w:val="0"/>
                  <w:vAlign w:val="center"/>
                </w:tcPr>
                <w:p w14:paraId="35105F6C">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0"/>
                      <w:sz w:val="21"/>
                      <w:szCs w:val="21"/>
                      <w:highlight w:val="none"/>
                    </w:rPr>
                  </w:pPr>
                  <w:r>
                    <w:rPr>
                      <w:rFonts w:hint="eastAsia" w:cs="Times New Roman"/>
                      <w:color w:val="auto"/>
                      <w:spacing w:val="0"/>
                      <w:sz w:val="21"/>
                      <w:szCs w:val="21"/>
                      <w:highlight w:val="none"/>
                      <w:lang w:eastAsia="zh-CN"/>
                    </w:rPr>
                    <w:t>本项目设置独立封闭的原料库房、产品库房，生产车间</w:t>
                  </w:r>
                  <w:r>
                    <w:rPr>
                      <w:rFonts w:hint="default" w:ascii="Times New Roman" w:hAnsi="Times New Roman" w:eastAsia="宋体" w:cs="Times New Roman"/>
                      <w:color w:val="auto"/>
                      <w:spacing w:val="0"/>
                      <w:sz w:val="21"/>
                      <w:szCs w:val="21"/>
                      <w:highlight w:val="none"/>
                    </w:rPr>
                    <w:t>。</w:t>
                  </w:r>
                  <w:r>
                    <w:rPr>
                      <w:rFonts w:hint="eastAsia" w:cs="Times New Roman"/>
                      <w:color w:val="auto"/>
                      <w:spacing w:val="0"/>
                      <w:sz w:val="21"/>
                      <w:szCs w:val="21"/>
                      <w:highlight w:val="none"/>
                      <w:lang w:eastAsia="zh-CN"/>
                    </w:rPr>
                    <w:t>原料卸料、上料、破碎、筛分等</w:t>
                  </w:r>
                  <w:r>
                    <w:rPr>
                      <w:rFonts w:hint="default" w:ascii="Times New Roman" w:hAnsi="Times New Roman" w:eastAsia="宋体" w:cs="Times New Roman"/>
                      <w:color w:val="auto"/>
                      <w:spacing w:val="0"/>
                      <w:sz w:val="21"/>
                      <w:szCs w:val="21"/>
                      <w:highlight w:val="none"/>
                    </w:rPr>
                    <w:t>易产生粉尘的环节均</w:t>
                  </w:r>
                  <w:r>
                    <w:rPr>
                      <w:rFonts w:hint="eastAsia" w:cs="Times New Roman"/>
                      <w:color w:val="auto"/>
                      <w:spacing w:val="0"/>
                      <w:sz w:val="21"/>
                      <w:szCs w:val="21"/>
                      <w:highlight w:val="none"/>
                      <w:lang w:eastAsia="zh-CN"/>
                    </w:rPr>
                    <w:t>位于封闭车间内且各产污节点</w:t>
                  </w:r>
                  <w:r>
                    <w:rPr>
                      <w:rFonts w:hint="default" w:ascii="Times New Roman" w:hAnsi="Times New Roman" w:eastAsia="宋体" w:cs="Times New Roman"/>
                      <w:color w:val="auto"/>
                      <w:spacing w:val="0"/>
                      <w:sz w:val="21"/>
                      <w:szCs w:val="21"/>
                      <w:highlight w:val="none"/>
                    </w:rPr>
                    <w:t>设置</w:t>
                  </w:r>
                  <w:r>
                    <w:rPr>
                      <w:rFonts w:hint="eastAsia" w:eastAsia="宋体" w:cs="Times New Roman"/>
                      <w:color w:val="auto"/>
                      <w:spacing w:val="0"/>
                      <w:sz w:val="21"/>
                      <w:szCs w:val="21"/>
                      <w:highlight w:val="none"/>
                      <w:lang w:eastAsia="zh-CN"/>
                    </w:rPr>
                    <w:t>集气罩收集，</w:t>
                  </w:r>
                  <w:r>
                    <w:rPr>
                      <w:rFonts w:hint="eastAsia" w:cs="Times New Roman"/>
                      <w:color w:val="auto"/>
                      <w:spacing w:val="0"/>
                      <w:sz w:val="21"/>
                      <w:szCs w:val="21"/>
                      <w:highlight w:val="none"/>
                      <w:lang w:eastAsia="zh-CN"/>
                    </w:rPr>
                    <w:t>经</w:t>
                  </w:r>
                  <w:r>
                    <w:rPr>
                      <w:rFonts w:hint="default" w:ascii="Times New Roman" w:hAnsi="Times New Roman" w:eastAsia="宋体" w:cs="Times New Roman"/>
                      <w:color w:val="auto"/>
                      <w:spacing w:val="0"/>
                      <w:sz w:val="21"/>
                      <w:szCs w:val="21"/>
                      <w:highlight w:val="none"/>
                    </w:rPr>
                    <w:t>布袋除尘器</w:t>
                  </w:r>
                  <w:r>
                    <w:rPr>
                      <w:rFonts w:hint="eastAsia" w:eastAsia="宋体" w:cs="Times New Roman"/>
                      <w:color w:val="auto"/>
                      <w:spacing w:val="0"/>
                      <w:sz w:val="21"/>
                      <w:szCs w:val="21"/>
                      <w:highlight w:val="none"/>
                      <w:lang w:eastAsia="zh-CN"/>
                    </w:rPr>
                    <w:t>净化处理</w:t>
                  </w:r>
                  <w:r>
                    <w:rPr>
                      <w:rFonts w:hint="default" w:ascii="Times New Roman" w:hAnsi="Times New Roman" w:eastAsia="宋体" w:cs="Times New Roman"/>
                      <w:color w:val="auto"/>
                      <w:spacing w:val="0"/>
                      <w:sz w:val="21"/>
                      <w:szCs w:val="21"/>
                      <w:highlight w:val="none"/>
                    </w:rPr>
                    <w:t>，</w:t>
                  </w:r>
                  <w:r>
                    <w:rPr>
                      <w:rFonts w:hint="eastAsia" w:cs="Times New Roman"/>
                      <w:color w:val="auto"/>
                      <w:spacing w:val="0"/>
                      <w:sz w:val="21"/>
                      <w:szCs w:val="21"/>
                      <w:highlight w:val="none"/>
                      <w:lang w:eastAsia="zh-CN"/>
                    </w:rPr>
                    <w:t>雷蒙、环辊磨产生的粉尘经自带布袋除尘器净化，净化后的废气</w:t>
                  </w:r>
                  <w:r>
                    <w:rPr>
                      <w:rFonts w:hint="default" w:ascii="Times New Roman" w:hAnsi="Times New Roman" w:eastAsia="宋体" w:cs="Times New Roman"/>
                      <w:color w:val="auto"/>
                      <w:spacing w:val="0"/>
                      <w:sz w:val="21"/>
                      <w:szCs w:val="21"/>
                      <w:highlight w:val="none"/>
                    </w:rPr>
                    <w:t>经排气筒达标排放。</w:t>
                  </w:r>
                </w:p>
              </w:tc>
              <w:tc>
                <w:tcPr>
                  <w:tcW w:w="429" w:type="pct"/>
                  <w:tcBorders>
                    <w:top w:val="single" w:color="000000" w:sz="4" w:space="0"/>
                    <w:left w:val="single" w:color="000000" w:sz="2" w:space="0"/>
                    <w:bottom w:val="single" w:color="000000" w:sz="4" w:space="0"/>
                  </w:tcBorders>
                  <w:noWrap w:val="0"/>
                  <w:vAlign w:val="center"/>
                </w:tcPr>
                <w:p w14:paraId="7CD41403">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3929D85F">
              <w:tblPrEx>
                <w:tblBorders>
                  <w:top w:val="single" w:color="auto" w:sz="4" w:space="0"/>
                  <w:left w:val="single" w:color="auto" w:sz="4" w:space="0"/>
                  <w:bottom w:val="single" w:color="auto" w:sz="4" w:space="0"/>
                  <w:right w:val="single" w:color="auto" w:sz="4" w:space="0"/>
                  <w:insideH w:val="none" w:color="000000" w:sz="0" w:space="0"/>
                  <w:insideV w:val="none" w:color="000000" w:sz="0" w:space="0"/>
                </w:tblBorders>
                <w:tblCellMar>
                  <w:top w:w="0" w:type="dxa"/>
                  <w:left w:w="0" w:type="dxa"/>
                  <w:bottom w:w="0" w:type="dxa"/>
                  <w:right w:w="0" w:type="dxa"/>
                </w:tblCellMar>
              </w:tblPrEx>
              <w:trPr>
                <w:trHeight w:val="892" w:hRule="atLeast"/>
                <w:jc w:val="center"/>
              </w:trPr>
              <w:tc>
                <w:tcPr>
                  <w:tcW w:w="2262" w:type="pct"/>
                  <w:tcBorders>
                    <w:top w:val="single" w:color="000000" w:sz="4" w:space="0"/>
                    <w:bottom w:val="single" w:color="000000" w:sz="4" w:space="0"/>
                    <w:right w:val="single" w:color="000000" w:sz="2" w:space="0"/>
                  </w:tcBorders>
                  <w:noWrap w:val="0"/>
                  <w:vAlign w:val="center"/>
                </w:tcPr>
                <w:p w14:paraId="0418296E">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建立雨污分流系统。生产工艺废水回用率不低于90%，污水经治理达标后排放。</w:t>
                  </w:r>
                </w:p>
              </w:tc>
              <w:tc>
                <w:tcPr>
                  <w:tcW w:w="2307" w:type="pct"/>
                  <w:tcBorders>
                    <w:top w:val="single" w:color="000000" w:sz="4" w:space="0"/>
                    <w:left w:val="single" w:color="000000" w:sz="2" w:space="0"/>
                    <w:bottom w:val="single" w:color="000000" w:sz="4" w:space="0"/>
                    <w:right w:val="single" w:color="000000" w:sz="2" w:space="0"/>
                  </w:tcBorders>
                  <w:noWrap w:val="0"/>
                  <w:vAlign w:val="center"/>
                </w:tcPr>
                <w:p w14:paraId="34582A9D">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spacing w:val="0"/>
                      <w:sz w:val="21"/>
                      <w:szCs w:val="21"/>
                      <w:highlight w:val="none"/>
                    </w:rPr>
                  </w:pPr>
                  <w:r>
                    <w:rPr>
                      <w:rFonts w:hint="eastAsia" w:cs="Times New Roman"/>
                      <w:color w:val="auto"/>
                      <w:spacing w:val="0"/>
                      <w:sz w:val="21"/>
                      <w:szCs w:val="21"/>
                      <w:highlight w:val="none"/>
                      <w:lang w:eastAsia="zh-CN"/>
                    </w:rPr>
                    <w:t>本项目生产工艺水循环利用，定期补充蒸发损耗，不外排。</w:t>
                  </w:r>
                </w:p>
              </w:tc>
              <w:tc>
                <w:tcPr>
                  <w:tcW w:w="429" w:type="pct"/>
                  <w:tcBorders>
                    <w:top w:val="single" w:color="000000" w:sz="4" w:space="0"/>
                    <w:left w:val="single" w:color="000000" w:sz="2" w:space="0"/>
                    <w:bottom w:val="single" w:color="000000" w:sz="4" w:space="0"/>
                  </w:tcBorders>
                  <w:noWrap w:val="0"/>
                  <w:vAlign w:val="center"/>
                </w:tcPr>
                <w:p w14:paraId="2C80EC30">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599EB4E2">
              <w:tblPrEx>
                <w:tblBorders>
                  <w:top w:val="single" w:color="auto" w:sz="4" w:space="0"/>
                  <w:left w:val="single" w:color="auto" w:sz="4" w:space="0"/>
                  <w:bottom w:val="single" w:color="auto" w:sz="4" w:space="0"/>
                  <w:right w:val="single" w:color="auto" w:sz="4" w:space="0"/>
                  <w:insideH w:val="none" w:color="000000" w:sz="0" w:space="0"/>
                  <w:insideV w:val="none" w:color="000000" w:sz="0" w:space="0"/>
                </w:tblBorders>
                <w:tblCellMar>
                  <w:top w:w="0" w:type="dxa"/>
                  <w:left w:w="0" w:type="dxa"/>
                  <w:bottom w:w="0" w:type="dxa"/>
                  <w:right w:w="0" w:type="dxa"/>
                </w:tblCellMar>
              </w:tblPrEx>
              <w:trPr>
                <w:trHeight w:val="1190" w:hRule="atLeast"/>
                <w:jc w:val="center"/>
              </w:trPr>
              <w:tc>
                <w:tcPr>
                  <w:tcW w:w="2262" w:type="pct"/>
                  <w:tcBorders>
                    <w:top w:val="single" w:color="000000" w:sz="4" w:space="0"/>
                    <w:bottom w:val="single" w:color="000000" w:sz="4" w:space="0"/>
                    <w:right w:val="single" w:color="000000" w:sz="2" w:space="0"/>
                  </w:tcBorders>
                  <w:noWrap w:val="0"/>
                  <w:vAlign w:val="center"/>
                </w:tcPr>
                <w:p w14:paraId="52973C5E">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原料加工、制品成型等易产生噪声的工段，配套建设降噪设施。厂界噪声符合《工业企业厂界环境噪声排放标准》（GB12348）。</w:t>
                  </w:r>
                </w:p>
              </w:tc>
              <w:tc>
                <w:tcPr>
                  <w:tcW w:w="2307" w:type="pct"/>
                  <w:tcBorders>
                    <w:top w:val="single" w:color="000000" w:sz="4" w:space="0"/>
                    <w:left w:val="single" w:color="000000" w:sz="2" w:space="0"/>
                    <w:bottom w:val="single" w:color="000000" w:sz="4" w:space="0"/>
                    <w:right w:val="single" w:color="000000" w:sz="2" w:space="0"/>
                  </w:tcBorders>
                  <w:noWrap w:val="0"/>
                  <w:vAlign w:val="center"/>
                </w:tcPr>
                <w:p w14:paraId="4C770136">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本项目生产设备均安装在密闭库房内，</w:t>
                  </w:r>
                  <w:r>
                    <w:rPr>
                      <w:rFonts w:hint="eastAsia" w:cs="Times New Roman"/>
                      <w:b w:val="0"/>
                      <w:bCs w:val="0"/>
                      <w:color w:val="auto"/>
                      <w:sz w:val="21"/>
                      <w:szCs w:val="21"/>
                      <w:highlight w:val="none"/>
                      <w:lang w:val="en-US" w:eastAsia="zh-CN"/>
                    </w:rPr>
                    <w:t>厂界四周</w:t>
                  </w:r>
                  <w:r>
                    <w:rPr>
                      <w:rFonts w:hint="default" w:ascii="Times New Roman" w:hAnsi="Times New Roman" w:eastAsia="宋体" w:cs="Times New Roman"/>
                      <w:b w:val="0"/>
                      <w:bCs w:val="0"/>
                      <w:color w:val="auto"/>
                      <w:sz w:val="21"/>
                      <w:szCs w:val="21"/>
                      <w:highlight w:val="none"/>
                      <w:lang w:val="en-US" w:eastAsia="zh-CN"/>
                    </w:rPr>
                    <w:t>噪声满足《工业企业厂界环境噪声排放标准》（GB12348-2008）</w:t>
                  </w:r>
                  <w:r>
                    <w:rPr>
                      <w:rFonts w:hint="default" w:ascii="Times New Roman" w:hAnsi="Times New Roman" w:cs="Times New Roman"/>
                      <w:b w:val="0"/>
                      <w:bCs w:val="0"/>
                      <w:color w:val="auto"/>
                      <w:sz w:val="21"/>
                      <w:szCs w:val="21"/>
                      <w:highlight w:val="none"/>
                      <w:lang w:val="en-US" w:eastAsia="zh-CN"/>
                    </w:rPr>
                    <w:t>2</w:t>
                  </w:r>
                  <w:r>
                    <w:rPr>
                      <w:rFonts w:hint="default" w:ascii="Times New Roman" w:hAnsi="Times New Roman" w:eastAsia="宋体" w:cs="Times New Roman"/>
                      <w:b w:val="0"/>
                      <w:bCs w:val="0"/>
                      <w:color w:val="auto"/>
                      <w:sz w:val="21"/>
                      <w:szCs w:val="21"/>
                      <w:highlight w:val="none"/>
                      <w:lang w:val="en-US" w:eastAsia="zh-CN"/>
                    </w:rPr>
                    <w:t>类限值</w:t>
                  </w:r>
                  <w:r>
                    <w:rPr>
                      <w:rFonts w:hint="default" w:ascii="Times New Roman" w:hAnsi="Times New Roman" w:eastAsia="宋体" w:cs="Times New Roman"/>
                      <w:color w:val="auto"/>
                      <w:spacing w:val="0"/>
                      <w:sz w:val="21"/>
                      <w:szCs w:val="21"/>
                      <w:highlight w:val="none"/>
                    </w:rPr>
                    <w:t>。</w:t>
                  </w:r>
                </w:p>
              </w:tc>
              <w:tc>
                <w:tcPr>
                  <w:tcW w:w="429" w:type="pct"/>
                  <w:tcBorders>
                    <w:top w:val="single" w:color="000000" w:sz="4" w:space="0"/>
                    <w:left w:val="single" w:color="000000" w:sz="2" w:space="0"/>
                    <w:bottom w:val="single" w:color="000000" w:sz="4" w:space="0"/>
                  </w:tcBorders>
                  <w:noWrap w:val="0"/>
                  <w:vAlign w:val="center"/>
                </w:tcPr>
                <w:p w14:paraId="5B4E17B7">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76F225D7">
              <w:tblPrEx>
                <w:tblBorders>
                  <w:top w:val="single" w:color="auto" w:sz="4" w:space="0"/>
                  <w:left w:val="single" w:color="auto" w:sz="4" w:space="0"/>
                  <w:bottom w:val="single" w:color="auto" w:sz="4" w:space="0"/>
                  <w:right w:val="single" w:color="auto" w:sz="4" w:space="0"/>
                  <w:insideH w:val="none" w:color="000000" w:sz="0" w:space="0"/>
                  <w:insideV w:val="none" w:color="000000" w:sz="0" w:space="0"/>
                </w:tblBorders>
                <w:tblCellMar>
                  <w:top w:w="0" w:type="dxa"/>
                  <w:left w:w="0" w:type="dxa"/>
                  <w:bottom w:w="0" w:type="dxa"/>
                  <w:right w:w="0" w:type="dxa"/>
                </w:tblCellMar>
              </w:tblPrEx>
              <w:trPr>
                <w:trHeight w:val="415" w:hRule="atLeast"/>
                <w:jc w:val="center"/>
              </w:trPr>
              <w:tc>
                <w:tcPr>
                  <w:tcW w:w="2262" w:type="pct"/>
                  <w:tcBorders>
                    <w:top w:val="single" w:color="000000" w:sz="4" w:space="0"/>
                    <w:bottom w:val="single" w:color="000000" w:sz="4" w:space="0"/>
                    <w:right w:val="single" w:color="000000" w:sz="2" w:space="0"/>
                  </w:tcBorders>
                  <w:noWrap w:val="0"/>
                  <w:vAlign w:val="center"/>
                </w:tcPr>
                <w:p w14:paraId="48AA7F6F">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固体废物贮存、处置按《一般工业固体废物贮存、处置场污染控制标准》（GB18599)执行。堆存含有重金属的原料和固体废物场所配套建设防渗漏设施。</w:t>
                  </w:r>
                </w:p>
              </w:tc>
              <w:tc>
                <w:tcPr>
                  <w:tcW w:w="2307" w:type="pct"/>
                  <w:tcBorders>
                    <w:top w:val="single" w:color="000000" w:sz="4" w:space="0"/>
                    <w:left w:val="single" w:color="000000" w:sz="2" w:space="0"/>
                    <w:bottom w:val="single" w:color="000000" w:sz="4" w:space="0"/>
                    <w:right w:val="single" w:color="000000" w:sz="2" w:space="0"/>
                  </w:tcBorders>
                  <w:noWrap w:val="0"/>
                  <w:vAlign w:val="center"/>
                </w:tcPr>
                <w:p w14:paraId="43B058A8">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本项目的</w:t>
                  </w:r>
                  <w:r>
                    <w:rPr>
                      <w:rFonts w:hint="eastAsia" w:eastAsia="宋体" w:cs="Times New Roman"/>
                      <w:color w:val="auto"/>
                      <w:spacing w:val="0"/>
                      <w:sz w:val="21"/>
                      <w:szCs w:val="21"/>
                      <w:highlight w:val="none"/>
                      <w:lang w:eastAsia="zh-CN"/>
                    </w:rPr>
                    <w:t>一般</w:t>
                  </w:r>
                  <w:r>
                    <w:rPr>
                      <w:rFonts w:hint="default" w:ascii="Times New Roman" w:hAnsi="Times New Roman" w:eastAsia="宋体" w:cs="Times New Roman"/>
                      <w:color w:val="auto"/>
                      <w:spacing w:val="0"/>
                      <w:sz w:val="21"/>
                      <w:szCs w:val="21"/>
                      <w:highlight w:val="none"/>
                    </w:rPr>
                    <w:t>工业固体废物暂存于厂房内的</w:t>
                  </w:r>
                  <w:r>
                    <w:rPr>
                      <w:rFonts w:hint="eastAsia" w:eastAsia="宋体" w:cs="Times New Roman"/>
                      <w:color w:val="auto"/>
                      <w:spacing w:val="0"/>
                      <w:sz w:val="21"/>
                      <w:szCs w:val="21"/>
                      <w:highlight w:val="none"/>
                      <w:lang w:eastAsia="zh-CN"/>
                    </w:rPr>
                    <w:t>一般固体废物</w:t>
                  </w:r>
                  <w:r>
                    <w:rPr>
                      <w:rFonts w:hint="default" w:ascii="Times New Roman" w:hAnsi="Times New Roman" w:eastAsia="宋体" w:cs="Times New Roman"/>
                      <w:color w:val="auto"/>
                      <w:spacing w:val="0"/>
                      <w:sz w:val="21"/>
                      <w:szCs w:val="21"/>
                      <w:highlight w:val="none"/>
                    </w:rPr>
                    <w:t>暂存区，</w:t>
                  </w:r>
                  <w:r>
                    <w:rPr>
                      <w:rFonts w:hint="eastAsia" w:eastAsia="宋体" w:cs="Times New Roman"/>
                      <w:color w:val="auto"/>
                      <w:spacing w:val="0"/>
                      <w:sz w:val="21"/>
                      <w:szCs w:val="21"/>
                      <w:highlight w:val="none"/>
                      <w:lang w:eastAsia="zh-CN"/>
                    </w:rPr>
                    <w:t>其中</w:t>
                  </w:r>
                  <w:r>
                    <w:rPr>
                      <w:rFonts w:hint="eastAsia" w:cs="Times New Roman"/>
                      <w:color w:val="auto"/>
                      <w:spacing w:val="0"/>
                      <w:sz w:val="21"/>
                      <w:szCs w:val="21"/>
                      <w:highlight w:val="none"/>
                      <w:lang w:eastAsia="zh-CN"/>
                    </w:rPr>
                    <w:t>除尘器</w:t>
                  </w:r>
                  <w:r>
                    <w:rPr>
                      <w:rFonts w:hint="eastAsia" w:eastAsia="宋体" w:cs="Times New Roman"/>
                      <w:color w:val="auto"/>
                      <w:spacing w:val="0"/>
                      <w:sz w:val="21"/>
                      <w:szCs w:val="21"/>
                      <w:highlight w:val="none"/>
                      <w:lang w:eastAsia="zh-CN"/>
                    </w:rPr>
                    <w:t>粉尘</w:t>
                  </w:r>
                  <w:r>
                    <w:rPr>
                      <w:rFonts w:hint="eastAsia" w:cs="Times New Roman"/>
                      <w:color w:val="auto"/>
                      <w:spacing w:val="0"/>
                      <w:sz w:val="21"/>
                      <w:szCs w:val="21"/>
                      <w:highlight w:val="none"/>
                      <w:lang w:eastAsia="zh-CN"/>
                    </w:rPr>
                    <w:t>、落地粉尘外售；沉淀池污泥、沉淀渣外售；</w:t>
                  </w:r>
                  <w:r>
                    <w:rPr>
                      <w:rFonts w:hint="eastAsia" w:eastAsia="宋体" w:cs="Times New Roman"/>
                      <w:color w:val="auto"/>
                      <w:spacing w:val="0"/>
                      <w:sz w:val="21"/>
                      <w:szCs w:val="21"/>
                      <w:highlight w:val="none"/>
                      <w:lang w:eastAsia="zh-CN"/>
                    </w:rPr>
                    <w:t>废布袋厂家回收</w:t>
                  </w:r>
                  <w:r>
                    <w:rPr>
                      <w:rFonts w:hint="eastAsia"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符合《一般工业固体废物贮存和填埋污染控制标准》（GB18599-2020）要求</w:t>
                  </w:r>
                  <w:r>
                    <w:rPr>
                      <w:rFonts w:hint="eastAsia" w:eastAsia="宋体"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废润滑油、废油桶</w:t>
                  </w:r>
                  <w:r>
                    <w:rPr>
                      <w:rFonts w:hint="eastAsia" w:eastAsia="宋体"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废含油手套</w:t>
                  </w:r>
                  <w:r>
                    <w:rPr>
                      <w:rFonts w:hint="eastAsia" w:eastAsia="宋体" w:cs="Times New Roman"/>
                      <w:color w:val="auto"/>
                      <w:spacing w:val="0"/>
                      <w:sz w:val="21"/>
                      <w:szCs w:val="21"/>
                      <w:highlight w:val="none"/>
                      <w:lang w:eastAsia="zh-CN"/>
                    </w:rPr>
                    <w:t>和抹布</w:t>
                  </w:r>
                  <w:r>
                    <w:rPr>
                      <w:rFonts w:hint="default" w:ascii="Times New Roman" w:hAnsi="Times New Roman" w:eastAsia="宋体" w:cs="Times New Roman"/>
                      <w:color w:val="auto"/>
                      <w:spacing w:val="0"/>
                      <w:sz w:val="21"/>
                      <w:szCs w:val="21"/>
                      <w:highlight w:val="none"/>
                    </w:rPr>
                    <w:t>暂存</w:t>
                  </w:r>
                  <w:r>
                    <w:rPr>
                      <w:rFonts w:hint="eastAsia" w:eastAsia="宋体" w:cs="Times New Roman"/>
                      <w:color w:val="auto"/>
                      <w:spacing w:val="0"/>
                      <w:sz w:val="21"/>
                      <w:szCs w:val="21"/>
                      <w:highlight w:val="none"/>
                      <w:lang w:eastAsia="zh-CN"/>
                    </w:rPr>
                    <w:t>于危废贮存点，定期</w:t>
                  </w:r>
                  <w:r>
                    <w:rPr>
                      <w:rFonts w:hint="default" w:ascii="Times New Roman" w:hAnsi="Times New Roman" w:eastAsia="宋体" w:cs="Times New Roman"/>
                      <w:color w:val="auto"/>
                      <w:spacing w:val="0"/>
                      <w:sz w:val="21"/>
                      <w:szCs w:val="21"/>
                      <w:highlight w:val="none"/>
                    </w:rPr>
                    <w:t>委托</w:t>
                  </w:r>
                  <w:r>
                    <w:rPr>
                      <w:rFonts w:hint="eastAsia" w:cs="Times New Roman"/>
                      <w:color w:val="auto"/>
                      <w:spacing w:val="0"/>
                      <w:sz w:val="21"/>
                      <w:szCs w:val="21"/>
                      <w:highlight w:val="none"/>
                      <w:lang w:eastAsia="zh-CN"/>
                    </w:rPr>
                    <w:t>有资质单位处置</w:t>
                  </w:r>
                  <w:r>
                    <w:rPr>
                      <w:rFonts w:hint="default" w:ascii="Times New Roman" w:hAnsi="Times New Roman" w:eastAsia="宋体" w:cs="Times New Roman"/>
                      <w:color w:val="auto"/>
                      <w:spacing w:val="0"/>
                      <w:sz w:val="21"/>
                      <w:szCs w:val="21"/>
                      <w:highlight w:val="none"/>
                    </w:rPr>
                    <w:t>，</w:t>
                  </w:r>
                  <w:r>
                    <w:rPr>
                      <w:rFonts w:hint="eastAsia" w:eastAsia="宋体" w:cs="Times New Roman"/>
                      <w:color w:val="auto"/>
                      <w:spacing w:val="0"/>
                      <w:sz w:val="21"/>
                      <w:szCs w:val="21"/>
                      <w:highlight w:val="none"/>
                      <w:lang w:eastAsia="zh-CN"/>
                    </w:rPr>
                    <w:t>危废贮存点</w:t>
                  </w:r>
                  <w:r>
                    <w:rPr>
                      <w:rFonts w:hint="eastAsia" w:eastAsia="宋体" w:cs="Times New Roman"/>
                      <w:color w:val="auto"/>
                      <w:spacing w:val="0"/>
                      <w:sz w:val="21"/>
                      <w:szCs w:val="21"/>
                      <w:highlight w:val="none"/>
                      <w:lang w:val="en-US" w:eastAsia="zh-CN"/>
                    </w:rPr>
                    <w:t>按照《危险废物贮存污染控制标准》(GB18597- 2023)要求进行建设</w:t>
                  </w:r>
                  <w:r>
                    <w:rPr>
                      <w:rFonts w:hint="default" w:ascii="Times New Roman" w:hAnsi="Times New Roman" w:eastAsia="宋体" w:cs="Times New Roman"/>
                      <w:color w:val="auto"/>
                      <w:spacing w:val="0"/>
                      <w:sz w:val="21"/>
                      <w:szCs w:val="21"/>
                      <w:highlight w:val="none"/>
                    </w:rPr>
                    <w:t>。</w:t>
                  </w:r>
                </w:p>
              </w:tc>
              <w:tc>
                <w:tcPr>
                  <w:tcW w:w="429" w:type="pct"/>
                  <w:tcBorders>
                    <w:top w:val="single" w:color="000000" w:sz="4" w:space="0"/>
                    <w:left w:val="single" w:color="000000" w:sz="2" w:space="0"/>
                    <w:bottom w:val="single" w:color="000000" w:sz="4" w:space="0"/>
                  </w:tcBorders>
                  <w:noWrap w:val="0"/>
                  <w:vAlign w:val="center"/>
                </w:tcPr>
                <w:p w14:paraId="1827AD74">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3FA69248">
              <w:tblPrEx>
                <w:tblBorders>
                  <w:top w:val="single" w:color="auto" w:sz="4" w:space="0"/>
                  <w:left w:val="single" w:color="auto" w:sz="4" w:space="0"/>
                  <w:bottom w:val="single" w:color="auto" w:sz="4" w:space="0"/>
                  <w:right w:val="single" w:color="auto" w:sz="4" w:space="0"/>
                  <w:insideH w:val="none" w:color="000000" w:sz="0" w:space="0"/>
                  <w:insideV w:val="none" w:color="000000" w:sz="0" w:space="0"/>
                </w:tblBorders>
                <w:tblCellMar>
                  <w:top w:w="0" w:type="dxa"/>
                  <w:left w:w="0" w:type="dxa"/>
                  <w:bottom w:w="0" w:type="dxa"/>
                  <w:right w:w="0" w:type="dxa"/>
                </w:tblCellMar>
              </w:tblPrEx>
              <w:trPr>
                <w:trHeight w:val="1190" w:hRule="atLeast"/>
                <w:jc w:val="center"/>
              </w:trPr>
              <w:tc>
                <w:tcPr>
                  <w:tcW w:w="2262" w:type="pct"/>
                  <w:tcBorders>
                    <w:top w:val="single" w:color="000000" w:sz="4" w:space="0"/>
                    <w:right w:val="single" w:color="000000" w:sz="2" w:space="0"/>
                  </w:tcBorders>
                  <w:noWrap w:val="0"/>
                  <w:vAlign w:val="center"/>
                </w:tcPr>
                <w:p w14:paraId="2E3A56E6">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回收再利用生产过程产生的碎矿、粉矿和回收的粉尘等固体废物，鼓励回收再利用用后耐火材料。</w:t>
                  </w:r>
                </w:p>
              </w:tc>
              <w:tc>
                <w:tcPr>
                  <w:tcW w:w="2307" w:type="pct"/>
                  <w:tcBorders>
                    <w:top w:val="single" w:color="000000" w:sz="4" w:space="0"/>
                    <w:left w:val="single" w:color="000000" w:sz="2" w:space="0"/>
                    <w:right w:val="single" w:color="000000" w:sz="2" w:space="0"/>
                  </w:tcBorders>
                  <w:noWrap w:val="0"/>
                  <w:vAlign w:val="center"/>
                </w:tcPr>
                <w:p w14:paraId="50AC008D">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本项目生产过程中产生的</w:t>
                  </w:r>
                  <w:r>
                    <w:rPr>
                      <w:rFonts w:hint="eastAsia" w:cs="Times New Roman"/>
                      <w:color w:val="auto"/>
                      <w:spacing w:val="0"/>
                      <w:sz w:val="21"/>
                      <w:szCs w:val="21"/>
                      <w:highlight w:val="none"/>
                      <w:lang w:eastAsia="zh-CN"/>
                    </w:rPr>
                    <w:t>除尘灰、沉降粉尘外售综合利用</w:t>
                  </w:r>
                  <w:r>
                    <w:rPr>
                      <w:rFonts w:hint="eastAsia" w:eastAsia="宋体" w:cs="Times New Roman"/>
                      <w:color w:val="auto"/>
                      <w:spacing w:val="0"/>
                      <w:sz w:val="21"/>
                      <w:szCs w:val="21"/>
                      <w:highlight w:val="none"/>
                      <w:lang w:eastAsia="zh-CN"/>
                    </w:rPr>
                    <w:t>。</w:t>
                  </w:r>
                </w:p>
              </w:tc>
              <w:tc>
                <w:tcPr>
                  <w:tcW w:w="429" w:type="pct"/>
                  <w:tcBorders>
                    <w:top w:val="single" w:color="000000" w:sz="4" w:space="0"/>
                    <w:left w:val="single" w:color="000000" w:sz="2" w:space="0"/>
                  </w:tcBorders>
                  <w:noWrap w:val="0"/>
                  <w:vAlign w:val="center"/>
                </w:tcPr>
                <w:p w14:paraId="554A899A">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bl>
          <w:p w14:paraId="3AF78DB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kern w:val="2"/>
                <w:sz w:val="24"/>
                <w:szCs w:val="24"/>
                <w:highlight w:val="none"/>
                <w:lang w:val="en-US" w:eastAsia="zh-CN" w:bidi="ar-SA"/>
              </w:rPr>
              <w:t>1</w:t>
            </w:r>
            <w:r>
              <w:rPr>
                <w:rFonts w:hint="eastAsia" w:cs="Times New Roman"/>
                <w:b w:val="0"/>
                <w:bCs w:val="0"/>
                <w:color w:val="auto"/>
                <w:kern w:val="2"/>
                <w:sz w:val="24"/>
                <w:szCs w:val="24"/>
                <w:highlight w:val="none"/>
                <w:lang w:val="en-US" w:eastAsia="zh-CN" w:bidi="ar-SA"/>
              </w:rPr>
              <w:t>0</w:t>
            </w:r>
            <w:r>
              <w:rPr>
                <w:rFonts w:hint="eastAsia" w:ascii="Times New Roman" w:hAnsi="Times New Roman" w:eastAsia="宋体" w:cs="Times New Roman"/>
                <w:b w:val="0"/>
                <w:bCs w:val="0"/>
                <w:color w:val="auto"/>
                <w:kern w:val="2"/>
                <w:sz w:val="24"/>
                <w:szCs w:val="24"/>
                <w:highlight w:val="none"/>
                <w:lang w:val="en-US" w:eastAsia="zh-CN" w:bidi="ar-SA"/>
              </w:rPr>
              <w:t>、</w:t>
            </w:r>
            <w:r>
              <w:rPr>
                <w:rFonts w:hint="eastAsia" w:eastAsia="宋体" w:cs="Times New Roman"/>
                <w:b w:val="0"/>
                <w:bCs w:val="0"/>
                <w:color w:val="auto"/>
                <w:sz w:val="24"/>
                <w:szCs w:val="24"/>
                <w:highlight w:val="none"/>
                <w:lang w:val="en-US" w:eastAsia="zh-CN"/>
              </w:rPr>
              <w:t>与《岫岩满族自治县人民政府关于印发岫岩满族自治县关于推进非金属矿粉体加工产业高质量发展的实施意见的通知》岫政发〔2024〕9号相符性分析</w:t>
            </w:r>
          </w:p>
          <w:p w14:paraId="25E6F564">
            <w:pPr>
              <w:pStyle w:val="10"/>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表</w:t>
            </w:r>
            <w:r>
              <w:rPr>
                <w:rFonts w:hint="eastAsia" w:cs="Times New Roman"/>
                <w:b/>
                <w:bCs/>
                <w:color w:val="auto"/>
                <w:sz w:val="24"/>
                <w:szCs w:val="24"/>
                <w:highlight w:val="none"/>
                <w:lang w:val="en-US" w:eastAsia="zh-CN"/>
              </w:rPr>
              <w:t>1-</w:t>
            </w:r>
            <w:r>
              <w:rPr>
                <w:rFonts w:hint="eastAsia" w:ascii="Times New Roman" w:hAnsi="Times New Roman" w:eastAsia="宋体" w:cs="Times New Roman"/>
                <w:b/>
                <w:bCs/>
                <w:color w:val="auto"/>
                <w:sz w:val="24"/>
                <w:szCs w:val="24"/>
                <w:highlight w:val="none"/>
                <w:lang w:val="en-US" w:eastAsia="zh-CN"/>
              </w:rPr>
              <w:t>1</w:t>
            </w:r>
            <w:r>
              <w:rPr>
                <w:rFonts w:hint="eastAsia" w:cs="Times New Roman"/>
                <w:b/>
                <w:bCs/>
                <w:color w:val="auto"/>
                <w:sz w:val="24"/>
                <w:szCs w:val="24"/>
                <w:highlight w:val="none"/>
                <w:lang w:val="en-US" w:eastAsia="zh-CN"/>
              </w:rPr>
              <w:t>0</w:t>
            </w:r>
            <w:r>
              <w:rPr>
                <w:rFonts w:hint="eastAsia" w:ascii="Times New Roman" w:hAnsi="Times New Roman" w:eastAsia="宋体" w:cs="Times New Roman"/>
                <w:b/>
                <w:bCs/>
                <w:color w:val="auto"/>
                <w:sz w:val="24"/>
                <w:szCs w:val="24"/>
                <w:highlight w:val="none"/>
                <w:lang w:val="en-US" w:eastAsia="zh-CN"/>
              </w:rPr>
              <w:t xml:space="preserve"> 项目与《岫岩满族自治县人民政府关于印发岫岩满族自治县关于推进非金属矿粉体加工产业高质量发展的实施意见的通知》符合性分析一览表</w:t>
            </w:r>
          </w:p>
          <w:tbl>
            <w:tblPr>
              <w:tblStyle w:val="25"/>
              <w:tblW w:w="852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157"/>
              <w:gridCol w:w="3621"/>
              <w:gridCol w:w="742"/>
            </w:tblGrid>
            <w:tr w14:paraId="38BF49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41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491B1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文件要求</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BF844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本项目情况</w:t>
                  </w:r>
                </w:p>
              </w:tc>
              <w:tc>
                <w:tcPr>
                  <w:tcW w:w="7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DABD0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符合情况</w:t>
                  </w:r>
                </w:p>
              </w:tc>
            </w:tr>
            <w:tr w14:paraId="5D9C0D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0" w:hRule="atLeast"/>
                <w:jc w:val="center"/>
              </w:trPr>
              <w:tc>
                <w:tcPr>
                  <w:tcW w:w="41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E0EA17">
                  <w:pPr>
                    <w:keepNext w:val="0"/>
                    <w:keepLines w:val="0"/>
                    <w:widowControl/>
                    <w:suppressLineNumbers w:val="0"/>
                    <w:spacing w:before="0" w:beforeAutospacing="0" w:after="0" w:afterAutospacing="0"/>
                    <w:ind w:left="0" w:right="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新上粉体加工企业投资规模不能低于</w:t>
                  </w:r>
                  <w:r>
                    <w:rPr>
                      <w:rFonts w:hint="default" w:ascii="Times New Roman" w:hAnsi="Times New Roman" w:eastAsia="宋体" w:cs="Times New Roman"/>
                      <w:i w:val="0"/>
                      <w:iCs w:val="0"/>
                      <w:color w:val="auto"/>
                      <w:kern w:val="0"/>
                      <w:sz w:val="21"/>
                      <w:szCs w:val="21"/>
                      <w:highlight w:val="none"/>
                      <w:u w:val="none"/>
                      <w:lang w:val="en-US" w:eastAsia="zh-CN" w:bidi="ar"/>
                    </w:rPr>
                    <w:t>2000</w:t>
                  </w:r>
                  <w:r>
                    <w:rPr>
                      <w:rFonts w:hint="eastAsia" w:ascii="宋体" w:hAnsi="宋体" w:eastAsia="宋体" w:cs="宋体"/>
                      <w:i w:val="0"/>
                      <w:iCs w:val="0"/>
                      <w:color w:val="auto"/>
                      <w:kern w:val="0"/>
                      <w:sz w:val="21"/>
                      <w:szCs w:val="21"/>
                      <w:highlight w:val="none"/>
                      <w:u w:val="none"/>
                      <w:lang w:val="en-US" w:eastAsia="zh-CN" w:bidi="ar"/>
                    </w:rPr>
                    <w:t>万元，生产能力</w:t>
                  </w:r>
                  <w:r>
                    <w:rPr>
                      <w:rFonts w:hint="default" w:ascii="Times New Roman" w:hAnsi="Times New Roman" w:eastAsia="宋体" w:cs="Times New Roman"/>
                      <w:i w:val="0"/>
                      <w:iCs w:val="0"/>
                      <w:color w:val="auto"/>
                      <w:kern w:val="0"/>
                      <w:sz w:val="21"/>
                      <w:szCs w:val="21"/>
                      <w:highlight w:val="none"/>
                      <w:u w:val="none"/>
                      <w:lang w:val="en-US" w:eastAsia="zh-CN" w:bidi="ar"/>
                    </w:rPr>
                    <w:t>20</w:t>
                  </w:r>
                  <w:r>
                    <w:rPr>
                      <w:rFonts w:hint="eastAsia" w:ascii="宋体" w:hAnsi="宋体" w:eastAsia="宋体" w:cs="宋体"/>
                      <w:i w:val="0"/>
                      <w:iCs w:val="0"/>
                      <w:color w:val="auto"/>
                      <w:kern w:val="0"/>
                      <w:sz w:val="21"/>
                      <w:szCs w:val="21"/>
                      <w:highlight w:val="none"/>
                      <w:u w:val="none"/>
                      <w:lang w:val="en-US" w:eastAsia="zh-CN" w:bidi="ar"/>
                    </w:rPr>
                    <w:t>万吨</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eastAsia" w:ascii="宋体" w:hAnsi="宋体" w:eastAsia="宋体" w:cs="宋体"/>
                      <w:i w:val="0"/>
                      <w:iCs w:val="0"/>
                      <w:color w:val="auto"/>
                      <w:kern w:val="0"/>
                      <w:sz w:val="21"/>
                      <w:szCs w:val="21"/>
                      <w:highlight w:val="none"/>
                      <w:u w:val="none"/>
                      <w:lang w:val="en-US" w:eastAsia="zh-CN" w:bidi="ar"/>
                    </w:rPr>
                    <w:t>年以上，如达不到标准不予立项</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006BD8">
                  <w:pPr>
                    <w:keepNext w:val="0"/>
                    <w:keepLines w:val="0"/>
                    <w:suppressLineNumbers w:val="0"/>
                    <w:spacing w:before="0" w:beforeAutospacing="0" w:after="0" w:afterAutospacing="0"/>
                    <w:ind w:left="0" w:right="0"/>
                    <w:jc w:val="both"/>
                    <w:rPr>
                      <w:rFonts w:hint="default" w:ascii="宋体" w:hAnsi="宋体" w:eastAsia="宋体" w:cs="宋体"/>
                      <w:i w:val="0"/>
                      <w:iCs w:val="0"/>
                      <w:color w:val="auto"/>
                      <w:sz w:val="21"/>
                      <w:szCs w:val="21"/>
                      <w:highlight w:val="none"/>
                      <w:u w:val="none"/>
                      <w:lang w:val="en-US" w:eastAsia="zh-CN"/>
                    </w:rPr>
                  </w:pPr>
                  <w:r>
                    <w:rPr>
                      <w:rFonts w:hint="eastAsia" w:ascii="宋体" w:hAnsi="宋体" w:eastAsia="宋体" w:cs="宋体"/>
                      <w:i w:val="0"/>
                      <w:iCs w:val="0"/>
                      <w:color w:val="auto"/>
                      <w:sz w:val="21"/>
                      <w:szCs w:val="21"/>
                      <w:highlight w:val="none"/>
                      <w:u w:val="none"/>
                      <w:lang w:eastAsia="zh-CN"/>
                    </w:rPr>
                    <w:t>本项目总投资</w:t>
                  </w:r>
                  <w:r>
                    <w:rPr>
                      <w:rFonts w:hint="eastAsia" w:ascii="宋体" w:hAnsi="宋体" w:cs="宋体"/>
                      <w:i w:val="0"/>
                      <w:iCs w:val="0"/>
                      <w:color w:val="auto"/>
                      <w:sz w:val="21"/>
                      <w:szCs w:val="21"/>
                      <w:highlight w:val="none"/>
                      <w:u w:val="none"/>
                      <w:lang w:val="en-US" w:eastAsia="zh-CN"/>
                    </w:rPr>
                    <w:t>25</w:t>
                  </w:r>
                  <w:r>
                    <w:rPr>
                      <w:rFonts w:hint="eastAsia" w:ascii="宋体" w:hAnsi="宋体" w:eastAsia="宋体" w:cs="宋体"/>
                      <w:i w:val="0"/>
                      <w:iCs w:val="0"/>
                      <w:color w:val="auto"/>
                      <w:sz w:val="21"/>
                      <w:szCs w:val="21"/>
                      <w:highlight w:val="none"/>
                      <w:u w:val="none"/>
                      <w:lang w:val="en-US" w:eastAsia="zh-CN"/>
                    </w:rPr>
                    <w:t>00万元，建设产能</w:t>
                  </w:r>
                  <w:r>
                    <w:rPr>
                      <w:rFonts w:hint="eastAsia" w:ascii="宋体" w:hAnsi="宋体" w:cs="宋体"/>
                      <w:i w:val="0"/>
                      <w:iCs w:val="0"/>
                      <w:color w:val="auto"/>
                      <w:sz w:val="21"/>
                      <w:szCs w:val="21"/>
                      <w:highlight w:val="none"/>
                      <w:u w:val="none"/>
                      <w:lang w:val="en-US" w:eastAsia="zh-CN"/>
                    </w:rPr>
                    <w:t>20万吨水洗白云石、30万吨白云石粉、10万吨白云砂</w:t>
                  </w:r>
                  <w:r>
                    <w:rPr>
                      <w:rFonts w:hint="eastAsia" w:ascii="宋体" w:hAnsi="宋体" w:eastAsia="宋体" w:cs="宋体"/>
                      <w:i w:val="0"/>
                      <w:iCs w:val="0"/>
                      <w:color w:val="auto"/>
                      <w:sz w:val="21"/>
                      <w:szCs w:val="21"/>
                      <w:highlight w:val="none"/>
                      <w:u w:val="none"/>
                      <w:lang w:val="en-US" w:eastAsia="zh-CN"/>
                    </w:rPr>
                    <w:t>。</w:t>
                  </w:r>
                </w:p>
              </w:tc>
              <w:tc>
                <w:tcPr>
                  <w:tcW w:w="7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8D911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符合</w:t>
                  </w:r>
                </w:p>
              </w:tc>
            </w:tr>
            <w:tr w14:paraId="32ABE8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jc w:val="center"/>
              </w:trPr>
              <w:tc>
                <w:tcPr>
                  <w:tcW w:w="41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5D6E65">
                  <w:pPr>
                    <w:keepNext w:val="0"/>
                    <w:keepLines w:val="0"/>
                    <w:widowControl/>
                    <w:suppressLineNumbers w:val="0"/>
                    <w:spacing w:before="0" w:beforeAutospacing="0" w:after="0" w:afterAutospacing="0"/>
                    <w:ind w:left="0" w:right="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新上粉体加工企业应办理一般规模纳税人，根据实际销售收入</w:t>
                  </w:r>
                  <w:r>
                    <w:rPr>
                      <w:rFonts w:hint="eastAsia" w:ascii="宋体" w:hAnsi="宋体" w:cs="宋体"/>
                      <w:i w:val="0"/>
                      <w:iCs w:val="0"/>
                      <w:color w:val="auto"/>
                      <w:kern w:val="0"/>
                      <w:sz w:val="21"/>
                      <w:szCs w:val="21"/>
                      <w:highlight w:val="none"/>
                      <w:u w:val="none"/>
                      <w:lang w:val="en-US" w:eastAsia="zh-CN" w:bidi="ar"/>
                    </w:rPr>
                    <w:t>依法</w:t>
                  </w:r>
                  <w:r>
                    <w:rPr>
                      <w:rFonts w:hint="eastAsia" w:ascii="宋体" w:hAnsi="宋体" w:eastAsia="宋体" w:cs="宋体"/>
                      <w:i w:val="0"/>
                      <w:iCs w:val="0"/>
                      <w:color w:val="auto"/>
                      <w:kern w:val="0"/>
                      <w:sz w:val="21"/>
                      <w:szCs w:val="21"/>
                      <w:highlight w:val="none"/>
                      <w:u w:val="none"/>
                      <w:lang w:val="en-US" w:eastAsia="zh-CN" w:bidi="ar"/>
                    </w:rPr>
                    <w:t>纳税</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D3818A">
                  <w:pPr>
                    <w:keepNext w:val="0"/>
                    <w:keepLines w:val="0"/>
                    <w:suppressLineNumbers w:val="0"/>
                    <w:spacing w:before="0" w:beforeAutospacing="0" w:after="0" w:afterAutospacing="0"/>
                    <w:ind w:left="0" w:right="0"/>
                    <w:jc w:val="both"/>
                    <w:rPr>
                      <w:rFonts w:hint="eastAsia" w:ascii="宋体" w:hAnsi="宋体" w:eastAsia="宋体" w:cs="宋体"/>
                      <w:i w:val="0"/>
                      <w:iCs w:val="0"/>
                      <w:color w:val="auto"/>
                      <w:sz w:val="21"/>
                      <w:szCs w:val="21"/>
                      <w:highlight w:val="none"/>
                      <w:u w:val="none"/>
                      <w:lang w:eastAsia="zh-CN"/>
                    </w:rPr>
                  </w:pPr>
                  <w:r>
                    <w:rPr>
                      <w:rFonts w:hint="eastAsia" w:ascii="宋体" w:hAnsi="宋体" w:cs="宋体"/>
                      <w:i w:val="0"/>
                      <w:iCs w:val="0"/>
                      <w:color w:val="auto"/>
                      <w:sz w:val="21"/>
                      <w:szCs w:val="21"/>
                      <w:highlight w:val="none"/>
                      <w:u w:val="none"/>
                      <w:lang w:eastAsia="zh-CN"/>
                    </w:rPr>
                    <w:t>辽宁金仑矿产品有限责任公司</w:t>
                  </w:r>
                  <w:r>
                    <w:rPr>
                      <w:rFonts w:hint="eastAsia" w:ascii="宋体" w:hAnsi="宋体" w:eastAsia="宋体" w:cs="宋体"/>
                      <w:i w:val="0"/>
                      <w:iCs w:val="0"/>
                      <w:color w:val="auto"/>
                      <w:sz w:val="21"/>
                      <w:szCs w:val="21"/>
                      <w:highlight w:val="none"/>
                      <w:u w:val="none"/>
                      <w:lang w:eastAsia="zh-CN"/>
                    </w:rPr>
                    <w:t>类型为有限责任公司，属一般规模纳税人。</w:t>
                  </w:r>
                </w:p>
              </w:tc>
              <w:tc>
                <w:tcPr>
                  <w:tcW w:w="7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0EE226">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符合</w:t>
                  </w:r>
                </w:p>
              </w:tc>
            </w:tr>
            <w:tr w14:paraId="333EEC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60" w:hRule="atLeast"/>
                <w:jc w:val="center"/>
              </w:trPr>
              <w:tc>
                <w:tcPr>
                  <w:tcW w:w="41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D4532C">
                  <w:pPr>
                    <w:keepNext w:val="0"/>
                    <w:keepLines w:val="0"/>
                    <w:widowControl/>
                    <w:suppressLineNumbers w:val="0"/>
                    <w:spacing w:before="0" w:beforeAutospacing="0" w:after="0" w:afterAutospacing="0"/>
                    <w:ind w:left="0" w:right="0"/>
                    <w:jc w:val="both"/>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新上粉体加工企业应该建有独立、封闭的原材料库、生产车间和成品库房。</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加工车间应配套相应布袋除尘等除尘设施；厂区地面应该实现全面的硬覆盖，并且配置机械清扫吸尘装置、洒水设施；原料产品运输车辆应该采取封闭、苫盖措施防止物料遗撒造成扬尘污染；在厂区出入口设置车辆轮胎清洗设施，对于出厂运输车辆进行轮胎冲洗。</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加工车间之内原料、成品输运装置应实现封闭，输送设备在转运点、进出料口应该设置集气罩，配备除尘设施。安装视频监控、粉尘监测设施并与生态环境部门联网等</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209F1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本项目设独立封闭的原料库房，产品库房、生产车间，排放的主要污染物为颗粒物，针对颗粒物的有组织排放源采取布袋除尘器处理，达标后经</w:t>
                  </w:r>
                  <w:r>
                    <w:rPr>
                      <w:rFonts w:hint="default" w:ascii="Times New Roman" w:hAnsi="Times New Roman" w:eastAsia="宋体" w:cs="Times New Roman"/>
                      <w:i w:val="0"/>
                      <w:iCs w:val="0"/>
                      <w:color w:val="auto"/>
                      <w:kern w:val="0"/>
                      <w:sz w:val="21"/>
                      <w:szCs w:val="21"/>
                      <w:highlight w:val="none"/>
                      <w:u w:val="none"/>
                      <w:lang w:val="en-US" w:eastAsia="zh-CN" w:bidi="ar"/>
                    </w:rPr>
                    <w:t>15m</w:t>
                  </w:r>
                  <w:r>
                    <w:rPr>
                      <w:rFonts w:hint="eastAsia" w:ascii="宋体" w:hAnsi="宋体" w:eastAsia="宋体" w:cs="宋体"/>
                      <w:i w:val="0"/>
                      <w:iCs w:val="0"/>
                      <w:color w:val="auto"/>
                      <w:kern w:val="0"/>
                      <w:sz w:val="21"/>
                      <w:szCs w:val="21"/>
                      <w:highlight w:val="none"/>
                      <w:u w:val="none"/>
                      <w:lang w:val="en-US" w:eastAsia="zh-CN" w:bidi="ar"/>
                    </w:rPr>
                    <w:t>高排气筒排放，通过采取生产车间封闭、场地硬化等方式控制颗粒物的无组织产生量，并用吸尘车、洒水降尘等方式减轻无组织排放源的环境影响；厂区</w:t>
                  </w:r>
                  <w:r>
                    <w:rPr>
                      <w:rFonts w:hint="eastAsia" w:ascii="宋体" w:hAnsi="宋体" w:cs="宋体"/>
                      <w:i w:val="0"/>
                      <w:iCs w:val="0"/>
                      <w:color w:val="auto"/>
                      <w:kern w:val="0"/>
                      <w:sz w:val="21"/>
                      <w:szCs w:val="21"/>
                      <w:highlight w:val="none"/>
                      <w:u w:val="none"/>
                      <w:lang w:val="en-US" w:eastAsia="zh-CN" w:bidi="ar"/>
                    </w:rPr>
                    <w:t>门</w:t>
                  </w:r>
                  <w:r>
                    <w:rPr>
                      <w:rFonts w:hint="eastAsia" w:ascii="宋体" w:hAnsi="宋体" w:eastAsia="宋体" w:cs="宋体"/>
                      <w:i w:val="0"/>
                      <w:iCs w:val="0"/>
                      <w:color w:val="auto"/>
                      <w:kern w:val="0"/>
                      <w:sz w:val="21"/>
                      <w:szCs w:val="21"/>
                      <w:highlight w:val="none"/>
                      <w:u w:val="none"/>
                      <w:lang w:val="en-US" w:eastAsia="zh-CN" w:bidi="ar"/>
                    </w:rPr>
                    <w:t>口设置车辆冲洗平台，尽可能减轻项目运行对区域环境空气的影响；安装视频监控、粉尘监测设施并与生态环境部门联网。</w:t>
                  </w:r>
                </w:p>
              </w:tc>
              <w:tc>
                <w:tcPr>
                  <w:tcW w:w="7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E294E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符合</w:t>
                  </w:r>
                </w:p>
              </w:tc>
            </w:tr>
            <w:tr w14:paraId="1F85C0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jc w:val="center"/>
              </w:trPr>
              <w:tc>
                <w:tcPr>
                  <w:tcW w:w="41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8F497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新上粉体加工企业应办理国土、规划、环保、消防、安全等手续。</w:t>
                  </w:r>
                </w:p>
              </w:tc>
              <w:tc>
                <w:tcPr>
                  <w:tcW w:w="36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9B1327">
                  <w:pPr>
                    <w:keepNext w:val="0"/>
                    <w:keepLines w:val="0"/>
                    <w:suppressLineNumbers w:val="0"/>
                    <w:spacing w:before="0" w:beforeAutospacing="0" w:after="0" w:afterAutospacing="0"/>
                    <w:ind w:left="0" w:right="0"/>
                    <w:rPr>
                      <w:rFonts w:hint="eastAsia" w:ascii="宋体" w:hAnsi="宋体" w:eastAsia="宋体" w:cs="宋体"/>
                      <w:i w:val="0"/>
                      <w:iCs w:val="0"/>
                      <w:color w:val="auto"/>
                      <w:sz w:val="21"/>
                      <w:szCs w:val="21"/>
                      <w:highlight w:val="none"/>
                      <w:u w:val="none"/>
                      <w:lang w:eastAsia="zh-CN"/>
                    </w:rPr>
                  </w:pPr>
                  <w:r>
                    <w:rPr>
                      <w:rFonts w:hint="eastAsia" w:ascii="宋体" w:hAnsi="宋体" w:eastAsia="宋体" w:cs="宋体"/>
                      <w:i w:val="0"/>
                      <w:iCs w:val="0"/>
                      <w:color w:val="auto"/>
                      <w:sz w:val="21"/>
                      <w:szCs w:val="21"/>
                      <w:highlight w:val="none"/>
                      <w:u w:val="none"/>
                      <w:lang w:eastAsia="zh-CN"/>
                    </w:rPr>
                    <w:t>本项目占地类型为工业用地，符合岫岩县国土空间规划，</w:t>
                  </w:r>
                  <w:r>
                    <w:rPr>
                      <w:rFonts w:hint="eastAsia" w:ascii="宋体" w:hAnsi="宋体" w:eastAsia="宋体" w:cs="宋体"/>
                      <w:i w:val="0"/>
                      <w:iCs w:val="0"/>
                      <w:color w:val="auto"/>
                      <w:kern w:val="0"/>
                      <w:sz w:val="21"/>
                      <w:szCs w:val="21"/>
                      <w:highlight w:val="none"/>
                      <w:u w:val="none"/>
                      <w:lang w:val="en-US" w:eastAsia="zh-CN" w:bidi="ar"/>
                    </w:rPr>
                    <w:t>环保、消防、安全等手续正在办理中。</w:t>
                  </w:r>
                </w:p>
              </w:tc>
              <w:tc>
                <w:tcPr>
                  <w:tcW w:w="7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5DDD5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符合</w:t>
                  </w:r>
                </w:p>
              </w:tc>
            </w:tr>
          </w:tbl>
          <w:p w14:paraId="6FD437C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kern w:val="2"/>
                <w:sz w:val="24"/>
                <w:szCs w:val="24"/>
                <w:highlight w:val="none"/>
                <w:lang w:val="en-US" w:eastAsia="zh-CN" w:bidi="ar-SA"/>
              </w:rPr>
              <w:t>1</w:t>
            </w:r>
            <w:r>
              <w:rPr>
                <w:rFonts w:hint="eastAsia" w:cs="Times New Roman"/>
                <w:b w:val="0"/>
                <w:bCs w:val="0"/>
                <w:color w:val="auto"/>
                <w:kern w:val="2"/>
                <w:sz w:val="24"/>
                <w:szCs w:val="24"/>
                <w:highlight w:val="none"/>
                <w:lang w:val="en-US" w:eastAsia="zh-CN" w:bidi="ar-SA"/>
              </w:rPr>
              <w:t>1</w:t>
            </w:r>
            <w:r>
              <w:rPr>
                <w:rFonts w:hint="eastAsia" w:ascii="Times New Roman" w:hAnsi="Times New Roman" w:eastAsia="宋体" w:cs="Times New Roman"/>
                <w:b w:val="0"/>
                <w:bCs w:val="0"/>
                <w:color w:val="auto"/>
                <w:kern w:val="2"/>
                <w:sz w:val="24"/>
                <w:szCs w:val="24"/>
                <w:highlight w:val="none"/>
                <w:lang w:val="en-US" w:eastAsia="zh-CN" w:bidi="ar-SA"/>
              </w:rPr>
              <w:t>、</w:t>
            </w:r>
            <w:r>
              <w:rPr>
                <w:rFonts w:hint="eastAsia" w:eastAsia="宋体" w:cs="Times New Roman"/>
                <w:b w:val="0"/>
                <w:bCs w:val="0"/>
                <w:color w:val="auto"/>
                <w:sz w:val="24"/>
                <w:szCs w:val="24"/>
                <w:highlight w:val="none"/>
                <w:lang w:val="en-US" w:eastAsia="zh-CN"/>
              </w:rPr>
              <w:t>与《鞍山市菱镁行业生态环境专项监督帮扶行动方案》（鞍环办〔2024〕2号）相符性分析</w:t>
            </w:r>
          </w:p>
          <w:p w14:paraId="4C23D2D4">
            <w:pPr>
              <w:pStyle w:val="16"/>
              <w:keepNext w:val="0"/>
              <w:keepLines w:val="0"/>
              <w:suppressLineNumbers w:val="0"/>
              <w:spacing w:before="0" w:beforeAutospacing="0" w:after="0" w:afterAutospacing="0"/>
              <w:ind w:left="0" w:leftChars="0" w:right="0" w:firstLine="0" w:firstLineChars="0"/>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表</w:t>
            </w:r>
            <w:r>
              <w:rPr>
                <w:rFonts w:hint="eastAsia" w:cs="Times New Roman"/>
                <w:b/>
                <w:bCs/>
                <w:color w:val="auto"/>
                <w:sz w:val="24"/>
                <w:szCs w:val="24"/>
                <w:highlight w:val="none"/>
                <w:lang w:val="en-US" w:eastAsia="zh-CN"/>
              </w:rPr>
              <w:t>1-</w:t>
            </w:r>
            <w:r>
              <w:rPr>
                <w:rFonts w:hint="eastAsia" w:ascii="Times New Roman" w:hAnsi="Times New Roman" w:eastAsia="宋体" w:cs="Times New Roman"/>
                <w:b/>
                <w:bCs/>
                <w:color w:val="auto"/>
                <w:sz w:val="24"/>
                <w:szCs w:val="24"/>
                <w:highlight w:val="none"/>
                <w:lang w:val="en-US" w:eastAsia="zh-CN"/>
              </w:rPr>
              <w:t>1</w:t>
            </w:r>
            <w:r>
              <w:rPr>
                <w:rFonts w:hint="eastAsia" w:cs="Times New Roman"/>
                <w:b/>
                <w:bCs/>
                <w:color w:val="auto"/>
                <w:sz w:val="24"/>
                <w:szCs w:val="24"/>
                <w:highlight w:val="none"/>
                <w:lang w:val="en-US" w:eastAsia="zh-CN"/>
              </w:rPr>
              <w:t>1</w:t>
            </w:r>
            <w:r>
              <w:rPr>
                <w:rFonts w:hint="eastAsia" w:ascii="Times New Roman" w:hAnsi="Times New Roman" w:eastAsia="宋体" w:cs="Times New Roman"/>
                <w:b/>
                <w:bCs/>
                <w:color w:val="auto"/>
                <w:sz w:val="24"/>
                <w:szCs w:val="24"/>
                <w:highlight w:val="none"/>
                <w:lang w:val="en-US" w:eastAsia="zh-CN"/>
              </w:rPr>
              <w:t xml:space="preserve"> 项目与《鞍山市菱镁行业生态环境专项监督帮扶行动方案》（鞍环办〔2024〕2号）符合性分析一览表</w:t>
            </w:r>
          </w:p>
          <w:tbl>
            <w:tblPr>
              <w:tblStyle w:val="25"/>
              <w:tblW w:w="841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3797"/>
              <w:gridCol w:w="3944"/>
              <w:gridCol w:w="677"/>
            </w:tblGrid>
            <w:tr w14:paraId="20BAE8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2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0351C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文件要求</w:t>
                  </w:r>
                </w:p>
              </w:tc>
              <w:tc>
                <w:tcPr>
                  <w:tcW w:w="23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623BD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本项目情况</w:t>
                  </w: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77DE7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符合情况</w:t>
                  </w:r>
                </w:p>
              </w:tc>
            </w:tr>
            <w:tr w14:paraId="7DB9DE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5" w:hRule="atLeast"/>
                <w:jc w:val="center"/>
              </w:trPr>
              <w:tc>
                <w:tcPr>
                  <w:tcW w:w="2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DAA12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物料的储存、装卸及运输。各类物料应储存于封闭的储库或堆棚内；物料装卸应密闭操作或在封闭厂房内进行，在装卸料位置采取局部气体收集处理等控制措施；运输车辆应采取封闭措施，厂区道路应硬化，并清扫、洒水保持清洁。</w:t>
                  </w:r>
                </w:p>
              </w:tc>
              <w:tc>
                <w:tcPr>
                  <w:tcW w:w="23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46570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本项目设有封闭原料库房、产品库房。原料置于封闭的原料库房内；产品使用吨袋包装，置于封闭产品库房内；原料装卸在封闭的原料库房中进行，卸料工序产生的粉尘</w:t>
                  </w:r>
                  <w:r>
                    <w:rPr>
                      <w:rFonts w:hint="eastAsia" w:ascii="宋体" w:hAnsi="宋体" w:cs="宋体"/>
                      <w:i w:val="0"/>
                      <w:iCs w:val="0"/>
                      <w:color w:val="auto"/>
                      <w:kern w:val="0"/>
                      <w:sz w:val="21"/>
                      <w:szCs w:val="21"/>
                      <w:highlight w:val="none"/>
                      <w:u w:val="none"/>
                      <w:lang w:val="en-US" w:eastAsia="zh-CN" w:bidi="ar"/>
                    </w:rPr>
                    <w:t>由</w:t>
                  </w:r>
                  <w:r>
                    <w:rPr>
                      <w:rFonts w:hint="eastAsia" w:ascii="宋体" w:hAnsi="宋体" w:eastAsia="宋体" w:cs="宋体"/>
                      <w:i w:val="0"/>
                      <w:iCs w:val="0"/>
                      <w:color w:val="auto"/>
                      <w:kern w:val="0"/>
                      <w:sz w:val="21"/>
                      <w:szCs w:val="21"/>
                      <w:highlight w:val="none"/>
                      <w:u w:val="none"/>
                      <w:lang w:val="en-US" w:eastAsia="zh-CN" w:bidi="ar"/>
                    </w:rPr>
                    <w:t>集气罩收集经生产线布袋除尘器处理后高空排放；原料运输车辆使用苫布遮盖，减少粉尘排放，产品由吨袋包装。厂区地面硬化，定期清扫，洒水抑尘。</w:t>
                  </w: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9056F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符合</w:t>
                  </w:r>
                </w:p>
              </w:tc>
            </w:tr>
            <w:tr w14:paraId="4B6A79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50" w:hRule="atLeast"/>
                <w:jc w:val="center"/>
              </w:trPr>
              <w:tc>
                <w:tcPr>
                  <w:tcW w:w="2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5939B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输送。物料输送应采用封闭输送系统，或在封闭厂房、通廊内运行，开放式输送设备在转运点、进出料口应设置集气罩，配备除尘设施。</w:t>
                  </w:r>
                </w:p>
              </w:tc>
              <w:tc>
                <w:tcPr>
                  <w:tcW w:w="23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5F3BE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生产全过程均在封闭生产车间内进行，</w:t>
                  </w:r>
                  <w:r>
                    <w:rPr>
                      <w:rFonts w:hint="eastAsia" w:ascii="宋体" w:hAnsi="宋体" w:cs="宋体"/>
                      <w:i w:val="0"/>
                      <w:iCs w:val="0"/>
                      <w:color w:val="auto"/>
                      <w:kern w:val="0"/>
                      <w:sz w:val="21"/>
                      <w:szCs w:val="21"/>
                      <w:highlight w:val="none"/>
                      <w:u w:val="none"/>
                      <w:lang w:val="en-US" w:eastAsia="zh-CN" w:bidi="ar"/>
                    </w:rPr>
                    <w:t>生产线</w:t>
                  </w:r>
                  <w:r>
                    <w:rPr>
                      <w:rFonts w:hint="eastAsia" w:ascii="宋体" w:hAnsi="宋体" w:eastAsia="宋体" w:cs="宋体"/>
                      <w:i w:val="0"/>
                      <w:iCs w:val="0"/>
                      <w:color w:val="auto"/>
                      <w:kern w:val="0"/>
                      <w:sz w:val="21"/>
                      <w:szCs w:val="21"/>
                      <w:highlight w:val="none"/>
                      <w:u w:val="none"/>
                      <w:lang w:val="en-US" w:eastAsia="zh-CN" w:bidi="ar"/>
                    </w:rPr>
                    <w:t>物料使用封闭皮带输送；无开放式输送设备</w:t>
                  </w:r>
                  <w:r>
                    <w:rPr>
                      <w:rFonts w:hint="eastAsia" w:ascii="宋体" w:hAnsi="宋体" w:cs="宋体"/>
                      <w:i w:val="0"/>
                      <w:iCs w:val="0"/>
                      <w:color w:val="auto"/>
                      <w:kern w:val="0"/>
                      <w:sz w:val="21"/>
                      <w:szCs w:val="21"/>
                      <w:highlight w:val="none"/>
                      <w:u w:val="none"/>
                      <w:lang w:val="en-US" w:eastAsia="zh-CN" w:bidi="ar"/>
                    </w:rPr>
                    <w:t>，各产尘点设集气罩，由各生产线布袋除尘器净化后高空排放。</w:t>
                  </w: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E81A0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符合</w:t>
                  </w:r>
                </w:p>
              </w:tc>
            </w:tr>
            <w:tr w14:paraId="2B370B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jc w:val="center"/>
              </w:trPr>
              <w:tc>
                <w:tcPr>
                  <w:tcW w:w="2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7A818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烧成（煅烧）、干燥。烧成（煅烧）炉窑及干燥设施烟气应有组织收集，经污染治理设施处理后由排气筒排放。加强烧成（煅烧）炉窑及干燥设施的密封，保证生产时无烟气外逸。</w:t>
                  </w:r>
                </w:p>
              </w:tc>
              <w:tc>
                <w:tcPr>
                  <w:tcW w:w="23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0C8BA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本项目为非金属制品制造，不涉及炉窑及干燥设施。</w:t>
                  </w: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DCB4F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符合</w:t>
                  </w:r>
                </w:p>
              </w:tc>
            </w:tr>
            <w:tr w14:paraId="2C9EAB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90" w:hRule="atLeast"/>
                <w:jc w:val="center"/>
              </w:trPr>
              <w:tc>
                <w:tcPr>
                  <w:tcW w:w="2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8B1AE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其他加工与处理工序。破粉碎、筛分、配料、混合、成型、成品加工、包装等易散发粉尘的物料加工与处理工序应在封闭厂房内进行，采用密封良好的设备，进出料口均应采用密闭装置，并配备除尘设施，实施有组织排放。</w:t>
                  </w:r>
                </w:p>
              </w:tc>
              <w:tc>
                <w:tcPr>
                  <w:tcW w:w="23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20AA0E">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本项目设有封闭的生产车间，上料、破碎、筛分、包装等生产工序均在封闭车间内运行，各产尘点配备集气罩，经集气罩收集后统一由生产线布袋除尘器处理，处理后高空排放</w:t>
                  </w:r>
                  <w:r>
                    <w:rPr>
                      <w:rFonts w:hint="eastAsia" w:ascii="宋体" w:hAnsi="宋体" w:cs="宋体"/>
                      <w:i w:val="0"/>
                      <w:iCs w:val="0"/>
                      <w:color w:val="auto"/>
                      <w:kern w:val="0"/>
                      <w:sz w:val="21"/>
                      <w:szCs w:val="21"/>
                      <w:highlight w:val="none"/>
                      <w:u w:val="none"/>
                      <w:lang w:val="en-US" w:eastAsia="zh-CN" w:bidi="ar"/>
                    </w:rPr>
                    <w:t>。</w:t>
                  </w: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E4545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符合</w:t>
                  </w:r>
                </w:p>
              </w:tc>
            </w:tr>
            <w:tr w14:paraId="10D12C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jc w:val="center"/>
              </w:trPr>
              <w:tc>
                <w:tcPr>
                  <w:tcW w:w="2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9A31C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库房及车间内是否划定各操作区域。生产设施与物料堆放区是否有明确的界线，原料及产品是否按照品级、类别划定区域存放。</w:t>
                  </w:r>
                </w:p>
              </w:tc>
              <w:tc>
                <w:tcPr>
                  <w:tcW w:w="23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B0076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本项目设有独立的原料库房、生产车间、产品库房。</w:t>
                  </w: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3ADE9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符合</w:t>
                  </w:r>
                </w:p>
              </w:tc>
            </w:tr>
            <w:tr w14:paraId="0FB85F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jc w:val="center"/>
              </w:trPr>
              <w:tc>
                <w:tcPr>
                  <w:tcW w:w="2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90917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企业是否建立完整的清扫机制，明确清扫时间、方式及对应清扫区域的图表，并按照清扫机制落实。</w:t>
                  </w:r>
                </w:p>
              </w:tc>
              <w:tc>
                <w:tcPr>
                  <w:tcW w:w="23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4E2AB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项目建立完整的清扫机制，明确清扫时间、方式及对应清扫区域的图表，并按照清扫机制落实</w:t>
                  </w:r>
                  <w:r>
                    <w:rPr>
                      <w:rFonts w:hint="eastAsia" w:ascii="宋体" w:hAnsi="宋体" w:cs="宋体"/>
                      <w:i w:val="0"/>
                      <w:iCs w:val="0"/>
                      <w:color w:val="auto"/>
                      <w:kern w:val="0"/>
                      <w:sz w:val="21"/>
                      <w:szCs w:val="21"/>
                      <w:highlight w:val="none"/>
                      <w:u w:val="none"/>
                      <w:lang w:val="en-US" w:eastAsia="zh-CN" w:bidi="ar"/>
                    </w:rPr>
                    <w:t>。</w:t>
                  </w: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F9DB9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符合</w:t>
                  </w:r>
                </w:p>
              </w:tc>
            </w:tr>
            <w:tr w14:paraId="07454D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83" w:hRule="atLeast"/>
                <w:jc w:val="center"/>
              </w:trPr>
              <w:tc>
                <w:tcPr>
                  <w:tcW w:w="2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B92D9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企业是否制定重污染天气应急预案并组织开展演练，是否常态化开展污染治理设施安全风险隐患排查治理。</w:t>
                  </w:r>
                </w:p>
              </w:tc>
              <w:tc>
                <w:tcPr>
                  <w:tcW w:w="23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3A143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企业需根据《重污染天气重点行业应急减排措施制定技术指南》及管理部门要求编制重污染天气应急预案，开展常态化污染治理设施安全风险隐患排查治理。</w:t>
                  </w:r>
                </w:p>
              </w:tc>
              <w:tc>
                <w:tcPr>
                  <w:tcW w:w="40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227D5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符合</w:t>
                  </w:r>
                </w:p>
              </w:tc>
            </w:tr>
          </w:tbl>
          <w:p w14:paraId="7F569FC9">
            <w:pPr>
              <w:pStyle w:val="16"/>
              <w:keepNext w:val="0"/>
              <w:keepLines w:val="0"/>
              <w:suppressLineNumbers w:val="0"/>
              <w:spacing w:before="0" w:beforeAutospacing="0" w:after="0" w:afterAutospacing="0"/>
              <w:ind w:left="0" w:leftChars="0" w:right="0" w:firstLine="0" w:firstLineChars="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12</w:t>
            </w:r>
            <w:r>
              <w:rPr>
                <w:rFonts w:hint="eastAsia" w:ascii="Times New Roman" w:hAnsi="Times New Roman" w:eastAsia="宋体" w:cs="Times New Roman"/>
                <w:color w:val="auto"/>
                <w:highlight w:val="none"/>
                <w:lang w:val="en-US" w:eastAsia="zh-CN"/>
              </w:rPr>
              <w:t>、产业政策符合性及选址合理性分析</w:t>
            </w:r>
          </w:p>
          <w:p w14:paraId="5B0BDD5C">
            <w:pPr>
              <w:keepNext w:val="0"/>
              <w:keepLines w:val="0"/>
              <w:suppressLineNumbers w:val="0"/>
              <w:spacing w:before="0" w:beforeAutospacing="0" w:after="0" w:afterAutospacing="0" w:line="360" w:lineRule="auto"/>
              <w:ind w:left="0" w:right="0" w:firstLine="480" w:firstLineChars="200"/>
              <w:rPr>
                <w:rFonts w:hint="eastAsia" w:ascii="Calibri" w:hAnsi="Calibri" w:cs="Times New Roman"/>
                <w:color w:val="auto"/>
                <w:sz w:val="24"/>
                <w:szCs w:val="24"/>
                <w:highlight w:val="none"/>
                <w:lang w:eastAsia="zh-CN"/>
              </w:rPr>
            </w:pPr>
            <w:r>
              <w:rPr>
                <w:rFonts w:ascii="Calibri" w:hAnsi="Calibri" w:eastAsia="宋体" w:cs="Times New Roman"/>
                <w:color w:val="auto"/>
                <w:sz w:val="24"/>
                <w:szCs w:val="24"/>
                <w:highlight w:val="none"/>
              </w:rPr>
              <w:t>本项目</w:t>
            </w:r>
            <w:r>
              <w:rPr>
                <w:rFonts w:hint="eastAsia" w:cs="Times New Roman"/>
                <w:color w:val="auto"/>
                <w:sz w:val="24"/>
                <w:highlight w:val="none"/>
                <w:shd w:val="clear" w:color="auto" w:fill="auto"/>
                <w:lang w:val="en-US" w:eastAsia="zh-CN"/>
              </w:rPr>
              <w:t>建设5条生产线，建成后年产20万吨水洗白云石；30万吨白云石粉；10万吨白云砂，</w:t>
            </w:r>
            <w:r>
              <w:rPr>
                <w:rFonts w:ascii="Calibri" w:hAnsi="Calibri" w:eastAsia="宋体" w:cs="Times New Roman"/>
                <w:color w:val="auto"/>
                <w:sz w:val="24"/>
                <w:szCs w:val="24"/>
                <w:highlight w:val="none"/>
              </w:rPr>
              <w:t>属于《国民经济行业分类》（GB/T 4754-2017）中“</w:t>
            </w:r>
            <w:r>
              <w:rPr>
                <w:rFonts w:hint="eastAsia" w:ascii="Calibri" w:hAnsi="Calibri" w:eastAsia="宋体" w:cs="Times New Roman"/>
                <w:color w:val="auto"/>
                <w:sz w:val="24"/>
                <w:szCs w:val="24"/>
                <w:highlight w:val="none"/>
                <w:lang w:val="en-US" w:eastAsia="zh-CN"/>
              </w:rPr>
              <w:t>C</w:t>
            </w:r>
            <w:r>
              <w:rPr>
                <w:rFonts w:ascii="Calibri" w:hAnsi="Calibri" w:eastAsia="宋体" w:cs="Times New Roman"/>
                <w:color w:val="auto"/>
                <w:sz w:val="24"/>
                <w:szCs w:val="24"/>
                <w:highlight w:val="none"/>
              </w:rPr>
              <w:t>制造业”中的“</w:t>
            </w:r>
            <w:r>
              <w:rPr>
                <w:rFonts w:hint="eastAsia" w:ascii="Calibri" w:hAnsi="Calibri" w:eastAsia="宋体" w:cs="Times New Roman"/>
                <w:color w:val="auto"/>
                <w:sz w:val="24"/>
                <w:szCs w:val="24"/>
                <w:highlight w:val="none"/>
                <w:lang w:val="en-US" w:eastAsia="zh-CN"/>
              </w:rPr>
              <w:t>C3099</w:t>
            </w:r>
            <w:r>
              <w:rPr>
                <w:rFonts w:hint="eastAsia" w:ascii="Calibri" w:hAnsi="Calibri" w:eastAsia="宋体" w:cs="Times New Roman"/>
                <w:color w:val="auto"/>
                <w:sz w:val="24"/>
                <w:szCs w:val="24"/>
                <w:highlight w:val="none"/>
                <w:lang w:eastAsia="zh-CN"/>
              </w:rPr>
              <w:t>其他非金属矿物制品制造</w:t>
            </w:r>
            <w:r>
              <w:rPr>
                <w:rFonts w:ascii="Calibri" w:hAnsi="Calibri" w:eastAsia="宋体" w:cs="Times New Roman"/>
                <w:color w:val="auto"/>
                <w:sz w:val="24"/>
                <w:szCs w:val="24"/>
                <w:highlight w:val="none"/>
              </w:rPr>
              <w:t>”</w:t>
            </w:r>
            <w:r>
              <w:rPr>
                <w:rFonts w:hint="eastAsia" w:ascii="Calibri" w:hAnsi="Calibri" w:cs="Times New Roman"/>
                <w:color w:val="auto"/>
                <w:sz w:val="24"/>
                <w:szCs w:val="24"/>
                <w:highlight w:val="none"/>
                <w:lang w:eastAsia="zh-CN"/>
              </w:rPr>
              <w:t>。</w:t>
            </w:r>
          </w:p>
          <w:p w14:paraId="6A37C002">
            <w:pPr>
              <w:keepNext w:val="0"/>
              <w:keepLines w:val="0"/>
              <w:suppressLineNumbers w:val="0"/>
              <w:spacing w:before="0" w:beforeAutospacing="0" w:after="0" w:afterAutospacing="0" w:line="360" w:lineRule="auto"/>
              <w:ind w:left="0" w:right="0" w:firstLine="480" w:firstLineChars="200"/>
              <w:rPr>
                <w:rFonts w:ascii="Calibri" w:hAnsi="Calibri" w:eastAsia="宋体" w:cs="Times New Roman"/>
                <w:color w:val="auto"/>
                <w:sz w:val="24"/>
                <w:szCs w:val="24"/>
                <w:highlight w:val="none"/>
              </w:rPr>
            </w:pPr>
            <w:r>
              <w:rPr>
                <w:rFonts w:ascii="Calibri" w:hAnsi="Calibri" w:eastAsia="宋体" w:cs="Times New Roman"/>
                <w:color w:val="auto"/>
                <w:sz w:val="24"/>
                <w:szCs w:val="24"/>
                <w:highlight w:val="none"/>
              </w:rPr>
              <w:t>根据国家发改委《产业结构调整指导目录（</w:t>
            </w:r>
            <w:r>
              <w:rPr>
                <w:rFonts w:hint="eastAsia" w:ascii="Calibri" w:hAnsi="Calibri" w:eastAsia="宋体" w:cs="Times New Roman"/>
                <w:color w:val="auto"/>
                <w:sz w:val="24"/>
                <w:szCs w:val="24"/>
                <w:highlight w:val="none"/>
                <w:lang w:val="en-US" w:eastAsia="zh-CN"/>
              </w:rPr>
              <w:t>2024年本</w:t>
            </w:r>
            <w:r>
              <w:rPr>
                <w:rFonts w:ascii="Calibri" w:hAnsi="Calibri" w:eastAsia="宋体" w:cs="Times New Roman"/>
                <w:color w:val="auto"/>
                <w:sz w:val="24"/>
                <w:szCs w:val="24"/>
                <w:highlight w:val="none"/>
              </w:rPr>
              <w:t>）》本项目不在限制类</w:t>
            </w:r>
            <w:r>
              <w:rPr>
                <w:rFonts w:hint="eastAsia" w:ascii="Calibri" w:hAnsi="Calibri" w:eastAsia="宋体" w:cs="Times New Roman"/>
                <w:color w:val="auto"/>
                <w:sz w:val="24"/>
                <w:szCs w:val="24"/>
                <w:highlight w:val="none"/>
                <w:lang w:eastAsia="zh-CN"/>
              </w:rPr>
              <w:t>、</w:t>
            </w:r>
            <w:r>
              <w:rPr>
                <w:rFonts w:ascii="Calibri" w:hAnsi="Calibri" w:eastAsia="宋体" w:cs="Times New Roman"/>
                <w:color w:val="auto"/>
                <w:sz w:val="24"/>
                <w:szCs w:val="24"/>
                <w:highlight w:val="none"/>
              </w:rPr>
              <w:t>淘汰类</w:t>
            </w:r>
            <w:r>
              <w:rPr>
                <w:rFonts w:hint="eastAsia" w:ascii="Calibri" w:hAnsi="Calibri" w:eastAsia="宋体" w:cs="Times New Roman"/>
                <w:color w:val="auto"/>
                <w:sz w:val="24"/>
                <w:szCs w:val="24"/>
                <w:highlight w:val="none"/>
                <w:lang w:eastAsia="zh-CN"/>
              </w:rPr>
              <w:t>和鼓励类</w:t>
            </w:r>
            <w:r>
              <w:rPr>
                <w:rFonts w:ascii="Calibri" w:hAnsi="Calibri" w:eastAsia="宋体" w:cs="Times New Roman"/>
                <w:color w:val="auto"/>
                <w:sz w:val="24"/>
                <w:szCs w:val="24"/>
                <w:highlight w:val="none"/>
              </w:rPr>
              <w:t>之内，为允许</w:t>
            </w:r>
            <w:r>
              <w:rPr>
                <w:rFonts w:hint="eastAsia" w:ascii="Calibri" w:hAnsi="Calibri" w:eastAsia="宋体" w:cs="Times New Roman"/>
                <w:color w:val="auto"/>
                <w:sz w:val="24"/>
                <w:szCs w:val="24"/>
                <w:highlight w:val="none"/>
                <w:lang w:eastAsia="zh-CN"/>
              </w:rPr>
              <w:t>类</w:t>
            </w:r>
            <w:r>
              <w:rPr>
                <w:rFonts w:hint="eastAsia" w:ascii="Calibri" w:hAnsi="Calibri" w:eastAsia="宋体" w:cs="Times New Roman"/>
                <w:color w:val="auto"/>
                <w:sz w:val="24"/>
                <w:szCs w:val="24"/>
                <w:highlight w:val="none"/>
              </w:rPr>
              <w:t>建设项目</w:t>
            </w:r>
            <w:r>
              <w:rPr>
                <w:rFonts w:hint="eastAsia" w:ascii="Calibri" w:hAnsi="Calibri" w:cs="Times New Roman"/>
                <w:color w:val="auto"/>
                <w:sz w:val="24"/>
                <w:szCs w:val="24"/>
                <w:highlight w:val="none"/>
                <w:lang w:eastAsia="zh-CN"/>
              </w:rPr>
              <w:t>，本项目已在岫岩满族自治县发展和改革局备案，备案号为</w:t>
            </w:r>
            <w:r>
              <w:rPr>
                <w:rFonts w:hint="eastAsia"/>
                <w:color w:val="auto"/>
                <w:sz w:val="24"/>
                <w:szCs w:val="24"/>
                <w:highlight w:val="none"/>
                <w:lang w:eastAsia="zh-CN"/>
              </w:rPr>
              <w:t>岫发改备</w:t>
            </w:r>
            <w:r>
              <w:rPr>
                <w:rFonts w:hint="eastAsia" w:ascii="宋体" w:hAnsi="宋体" w:eastAsia="宋体" w:cs="宋体"/>
                <w:color w:val="auto"/>
                <w:sz w:val="24"/>
                <w:szCs w:val="24"/>
                <w:highlight w:val="none"/>
                <w:lang w:eastAsia="zh-CN"/>
              </w:rPr>
              <w:t>〔</w:t>
            </w:r>
            <w:r>
              <w:rPr>
                <w:rFonts w:hint="eastAsia"/>
                <w:color w:val="auto"/>
                <w:sz w:val="24"/>
                <w:szCs w:val="24"/>
                <w:highlight w:val="none"/>
                <w:lang w:val="en-US" w:eastAsia="zh-CN"/>
              </w:rPr>
              <w:t>2025</w:t>
            </w:r>
            <w:r>
              <w:rPr>
                <w:rFonts w:hint="eastAsia" w:ascii="宋体" w:hAnsi="宋体" w:eastAsia="宋体" w:cs="宋体"/>
                <w:color w:val="auto"/>
                <w:sz w:val="24"/>
                <w:szCs w:val="24"/>
                <w:highlight w:val="none"/>
                <w:lang w:val="en-US" w:eastAsia="zh-CN"/>
              </w:rPr>
              <w:t>〕</w:t>
            </w:r>
            <w:r>
              <w:rPr>
                <w:rFonts w:hint="eastAsia"/>
                <w:color w:val="auto"/>
                <w:sz w:val="24"/>
                <w:szCs w:val="24"/>
                <w:highlight w:val="none"/>
                <w:lang w:val="en-US" w:eastAsia="zh-CN"/>
              </w:rPr>
              <w:t>7号</w:t>
            </w:r>
            <w:r>
              <w:rPr>
                <w:rFonts w:hint="eastAsia" w:ascii="Calibri" w:hAnsi="Calibri" w:eastAsia="宋体" w:cs="Times New Roman"/>
                <w:color w:val="auto"/>
                <w:sz w:val="24"/>
                <w:szCs w:val="24"/>
                <w:highlight w:val="none"/>
              </w:rPr>
              <w:t>。</w:t>
            </w:r>
            <w:r>
              <w:rPr>
                <w:rFonts w:ascii="Calibri" w:hAnsi="Calibri" w:eastAsia="宋体" w:cs="Times New Roman"/>
                <w:color w:val="auto"/>
                <w:sz w:val="24"/>
                <w:szCs w:val="24"/>
                <w:highlight w:val="none"/>
              </w:rPr>
              <w:t>故本项目符合产业政策。</w:t>
            </w:r>
          </w:p>
          <w:p w14:paraId="4E7AC5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宋体" w:hAnsi="宋体" w:eastAsia="宋体" w:cs="宋体"/>
                <w:color w:val="auto"/>
                <w:kern w:val="0"/>
                <w:szCs w:val="21"/>
                <w:highlight w:val="none"/>
                <w:shd w:val="clear" w:color="auto" w:fill="auto"/>
                <w:lang w:eastAsia="zh-CN" w:bidi="ar"/>
              </w:rPr>
            </w:pPr>
            <w:r>
              <w:rPr>
                <w:rFonts w:hint="eastAsia" w:ascii="Calibri" w:hAnsi="Calibri" w:eastAsia="宋体" w:cs="Times New Roman"/>
                <w:color w:val="auto"/>
                <w:sz w:val="24"/>
                <w:highlight w:val="none"/>
                <w:shd w:val="clear" w:color="auto" w:fill="auto"/>
                <w:lang w:eastAsia="zh-CN"/>
              </w:rPr>
              <w:t>本项目</w:t>
            </w:r>
            <w:r>
              <w:rPr>
                <w:rFonts w:hint="eastAsia" w:ascii="Calibri" w:hAnsi="Calibri" w:cs="Times New Roman"/>
                <w:color w:val="auto"/>
                <w:sz w:val="24"/>
                <w:highlight w:val="none"/>
                <w:shd w:val="clear" w:color="auto" w:fill="auto"/>
                <w:lang w:eastAsia="zh-CN"/>
              </w:rPr>
              <w:t>位于岫岩满族自治县偏岭镇王家堡村，租用佳合鹏程粉现有厂房，不新增占地，用地性质为工业用地</w:t>
            </w:r>
            <w:r>
              <w:rPr>
                <w:rFonts w:hint="eastAsia" w:ascii="Times New Roman" w:hAnsi="Times New Roman" w:eastAsia="宋体" w:cs="Times New Roman"/>
                <w:color w:val="auto"/>
                <w:sz w:val="24"/>
                <w:highlight w:val="none"/>
                <w:shd w:val="clear" w:color="auto" w:fill="auto"/>
                <w:lang w:eastAsia="zh-CN"/>
              </w:rPr>
              <w:t>，</w:t>
            </w:r>
            <w:r>
              <w:rPr>
                <w:rFonts w:hint="eastAsia" w:cs="Times New Roman"/>
                <w:color w:val="auto"/>
                <w:sz w:val="24"/>
                <w:highlight w:val="none"/>
                <w:shd w:val="clear" w:color="auto" w:fill="auto"/>
                <w:lang w:eastAsia="zh-CN"/>
              </w:rPr>
              <w:t>周边</w:t>
            </w:r>
            <w:r>
              <w:rPr>
                <w:rFonts w:ascii="Times New Roman" w:hAnsi="Times New Roman" w:eastAsia="宋体" w:cs="Times New Roman"/>
                <w:color w:val="auto"/>
                <w:sz w:val="24"/>
                <w:highlight w:val="none"/>
                <w:shd w:val="clear" w:color="auto" w:fill="auto"/>
              </w:rPr>
              <w:t>无保护文物、风景名胜区、水源地和生态敏感点等环境保护敏感目标。综上，本项目选址合理。</w:t>
            </w:r>
          </w:p>
        </w:tc>
      </w:tr>
    </w:tbl>
    <w:p w14:paraId="395109CC">
      <w:pPr>
        <w:pStyle w:val="22"/>
        <w:jc w:val="center"/>
        <w:outlineLvl w:val="0"/>
        <w:rPr>
          <w:rFonts w:ascii="黑体" w:eastAsia="黑体" w:cs="黑体"/>
          <w:color w:val="auto"/>
          <w:sz w:val="30"/>
          <w:szCs w:val="30"/>
          <w:highlight w:val="none"/>
          <w:shd w:val="clear" w:color="auto" w:fill="auto"/>
        </w:rPr>
      </w:pPr>
      <w:r>
        <w:rPr>
          <w:rFonts w:ascii="黑体" w:eastAsia="黑体" w:cs="黑体"/>
          <w:snapToGrid w:val="0"/>
          <w:color w:val="auto"/>
          <w:sz w:val="30"/>
          <w:szCs w:val="30"/>
          <w:highlight w:val="none"/>
          <w:shd w:val="clear" w:color="auto" w:fill="auto"/>
        </w:rPr>
        <w:br w:type="page"/>
      </w:r>
      <w:r>
        <w:rPr>
          <w:rFonts w:ascii="黑体" w:eastAsia="黑体" w:cs="黑体"/>
          <w:snapToGrid w:val="0"/>
          <w:color w:val="auto"/>
          <w:sz w:val="30"/>
          <w:szCs w:val="30"/>
          <w:highlight w:val="none"/>
          <w:shd w:val="clear" w:color="auto" w:fill="auto"/>
        </w:rPr>
        <w:t>二、建设项目工程分析</w:t>
      </w:r>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9"/>
        <w:gridCol w:w="8631"/>
      </w:tblGrid>
      <w:tr w14:paraId="751D73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tcBorders>
              <w:top w:val="single" w:color="auto" w:sz="8" w:space="0"/>
              <w:left w:val="single" w:color="auto" w:sz="8" w:space="0"/>
              <w:bottom w:val="single" w:color="auto" w:sz="4" w:space="0"/>
              <w:right w:val="single" w:color="auto" w:sz="4" w:space="0"/>
            </w:tcBorders>
            <w:noWrap w:val="0"/>
            <w:vAlign w:val="center"/>
          </w:tcPr>
          <w:p w14:paraId="4123EA64">
            <w:pPr>
              <w:pStyle w:val="22"/>
              <w:adjustRightInd w:val="0"/>
              <w:snapToGrid w:val="0"/>
              <w:spacing w:before="0" w:beforeAutospacing="0" w:after="0" w:afterAutospacing="0"/>
              <w:jc w:val="center"/>
              <w:rPr>
                <w:rFonts w:cs="宋体"/>
                <w:color w:val="auto"/>
                <w:kern w:val="2"/>
                <w:sz w:val="21"/>
                <w:szCs w:val="21"/>
                <w:highlight w:val="none"/>
                <w:shd w:val="clear" w:color="auto" w:fill="auto"/>
              </w:rPr>
            </w:pPr>
            <w:r>
              <w:rPr>
                <w:rFonts w:cs="宋体"/>
                <w:color w:val="auto"/>
                <w:kern w:val="2"/>
                <w:sz w:val="21"/>
                <w:szCs w:val="21"/>
                <w:highlight w:val="none"/>
                <w:shd w:val="clear" w:color="auto" w:fill="auto"/>
              </w:rPr>
              <w:t>建设内容</w:t>
            </w:r>
          </w:p>
        </w:tc>
        <w:tc>
          <w:tcPr>
            <w:tcW w:w="8161" w:type="dxa"/>
            <w:tcBorders>
              <w:top w:val="single" w:color="auto" w:sz="8" w:space="0"/>
              <w:left w:val="single" w:color="auto" w:sz="4" w:space="0"/>
              <w:bottom w:val="single" w:color="auto" w:sz="4" w:space="0"/>
              <w:right w:val="single" w:color="auto" w:sz="8" w:space="0"/>
            </w:tcBorders>
            <w:noWrap w:val="0"/>
            <w:vAlign w:val="top"/>
          </w:tcPr>
          <w:p w14:paraId="054A0E21">
            <w:pPr>
              <w:keepNext w:val="0"/>
              <w:keepLines w:val="0"/>
              <w:numPr>
                <w:ilvl w:val="0"/>
                <w:numId w:val="0"/>
              </w:numPr>
              <w:suppressLineNumbers w:val="0"/>
              <w:spacing w:before="0" w:beforeAutospacing="0" w:after="0" w:afterAutospacing="0" w:line="360" w:lineRule="auto"/>
              <w:ind w:left="0" w:right="0"/>
              <w:rPr>
                <w:rFonts w:ascii="Calibri" w:hAnsi="Calibri" w:eastAsia="宋体" w:cs="Times New Roman"/>
                <w:color w:val="auto"/>
                <w:sz w:val="24"/>
                <w:highlight w:val="none"/>
                <w:shd w:val="clear" w:color="auto" w:fill="auto"/>
              </w:rPr>
            </w:pPr>
            <w:r>
              <w:rPr>
                <w:rFonts w:hint="eastAsia" w:ascii="Calibri" w:hAnsi="Calibri" w:eastAsia="宋体" w:cs="Times New Roman"/>
                <w:b/>
                <w:bCs/>
                <w:color w:val="auto"/>
                <w:sz w:val="24"/>
                <w:highlight w:val="none"/>
                <w:shd w:val="clear" w:color="auto" w:fill="auto"/>
                <w:lang w:val="en-US" w:eastAsia="zh-CN"/>
              </w:rPr>
              <w:t>1、</w:t>
            </w:r>
            <w:r>
              <w:rPr>
                <w:rFonts w:ascii="Calibri" w:hAnsi="Calibri" w:eastAsia="宋体" w:cs="Times New Roman"/>
                <w:b/>
                <w:bCs/>
                <w:color w:val="auto"/>
                <w:sz w:val="24"/>
                <w:highlight w:val="none"/>
                <w:shd w:val="clear" w:color="auto" w:fill="auto"/>
              </w:rPr>
              <w:t>项目</w:t>
            </w:r>
            <w:r>
              <w:rPr>
                <w:rFonts w:hint="eastAsia" w:ascii="Calibri" w:hAnsi="Calibri" w:eastAsia="宋体" w:cs="Times New Roman"/>
                <w:b/>
                <w:bCs/>
                <w:color w:val="auto"/>
                <w:sz w:val="24"/>
                <w:highlight w:val="none"/>
                <w:shd w:val="clear" w:color="auto" w:fill="auto"/>
                <w:lang w:eastAsia="zh-CN"/>
              </w:rPr>
              <w:t>由来</w:t>
            </w:r>
          </w:p>
          <w:p w14:paraId="46AB0661">
            <w:pPr>
              <w:keepNext w:val="0"/>
              <w:keepLines w:val="0"/>
              <w:suppressLineNumbers w:val="0"/>
              <w:spacing w:before="0" w:beforeAutospacing="0" w:after="0" w:afterAutospacing="0" w:line="360" w:lineRule="auto"/>
              <w:ind w:left="0" w:right="0" w:firstLine="480" w:firstLineChars="200"/>
              <w:rPr>
                <w:rFonts w:hint="eastAsia" w:ascii="Calibri" w:hAnsi="Calibri" w:eastAsia="宋体" w:cs="Times New Roman"/>
                <w:color w:val="auto"/>
                <w:sz w:val="24"/>
                <w:highlight w:val="none"/>
                <w:shd w:val="clear" w:color="auto" w:fill="auto"/>
                <w:lang w:val="en-US" w:eastAsia="zh-CN"/>
              </w:rPr>
            </w:pPr>
            <w:r>
              <w:rPr>
                <w:rFonts w:hint="eastAsia" w:ascii="Calibri" w:hAnsi="Calibri" w:cs="Times New Roman"/>
                <w:color w:val="auto"/>
                <w:sz w:val="24"/>
                <w:highlight w:val="none"/>
                <w:shd w:val="clear" w:color="auto" w:fill="auto"/>
                <w:lang w:eastAsia="zh-CN"/>
              </w:rPr>
              <w:t>辽宁金仑矿产品有限责任公司</w:t>
            </w:r>
            <w:r>
              <w:rPr>
                <w:rFonts w:ascii="Calibri" w:hAnsi="Calibri" w:eastAsia="宋体" w:cs="Times New Roman"/>
                <w:color w:val="auto"/>
                <w:sz w:val="24"/>
                <w:highlight w:val="none"/>
                <w:shd w:val="clear" w:color="auto" w:fill="auto"/>
              </w:rPr>
              <w:t>成立于2</w:t>
            </w:r>
            <w:r>
              <w:rPr>
                <w:rFonts w:hint="eastAsia" w:ascii="Calibri" w:hAnsi="Calibri" w:eastAsia="宋体" w:cs="Times New Roman"/>
                <w:color w:val="auto"/>
                <w:sz w:val="24"/>
                <w:highlight w:val="none"/>
                <w:shd w:val="clear" w:color="auto" w:fill="auto"/>
                <w:lang w:val="en-US" w:eastAsia="zh-CN"/>
              </w:rPr>
              <w:t>0</w:t>
            </w:r>
            <w:r>
              <w:rPr>
                <w:rFonts w:hint="eastAsia" w:ascii="Calibri" w:hAnsi="Calibri" w:cs="Times New Roman"/>
                <w:color w:val="auto"/>
                <w:sz w:val="24"/>
                <w:highlight w:val="none"/>
                <w:shd w:val="clear" w:color="auto" w:fill="auto"/>
                <w:lang w:val="en-US" w:eastAsia="zh-CN"/>
              </w:rPr>
              <w:t>21</w:t>
            </w:r>
            <w:r>
              <w:rPr>
                <w:rFonts w:ascii="Calibri" w:hAnsi="Calibri" w:eastAsia="宋体" w:cs="Times New Roman"/>
                <w:color w:val="auto"/>
                <w:sz w:val="24"/>
                <w:highlight w:val="none"/>
                <w:shd w:val="clear" w:color="auto" w:fill="auto"/>
              </w:rPr>
              <w:t>年</w:t>
            </w:r>
            <w:r>
              <w:rPr>
                <w:rFonts w:hint="eastAsia" w:ascii="Calibri" w:hAnsi="Calibri" w:cs="Times New Roman"/>
                <w:color w:val="auto"/>
                <w:sz w:val="24"/>
                <w:highlight w:val="none"/>
                <w:shd w:val="clear" w:color="auto" w:fill="auto"/>
                <w:lang w:val="en-US" w:eastAsia="zh-CN"/>
              </w:rPr>
              <w:t>7</w:t>
            </w:r>
            <w:r>
              <w:rPr>
                <w:rFonts w:ascii="Calibri" w:hAnsi="Calibri" w:eastAsia="宋体" w:cs="Times New Roman"/>
                <w:color w:val="auto"/>
                <w:sz w:val="24"/>
                <w:highlight w:val="none"/>
                <w:shd w:val="clear" w:color="auto" w:fill="auto"/>
              </w:rPr>
              <w:t>月</w:t>
            </w:r>
            <w:r>
              <w:rPr>
                <w:rFonts w:hint="eastAsia" w:ascii="Calibri" w:hAnsi="Calibri" w:cs="Times New Roman"/>
                <w:color w:val="auto"/>
                <w:sz w:val="24"/>
                <w:highlight w:val="none"/>
                <w:shd w:val="clear" w:color="auto" w:fill="auto"/>
                <w:lang w:val="en-US" w:eastAsia="zh-CN"/>
              </w:rPr>
              <w:t>16</w:t>
            </w:r>
            <w:r>
              <w:rPr>
                <w:rFonts w:ascii="Calibri" w:hAnsi="Calibri" w:eastAsia="宋体" w:cs="Times New Roman"/>
                <w:color w:val="auto"/>
                <w:sz w:val="24"/>
                <w:highlight w:val="none"/>
                <w:shd w:val="clear" w:color="auto" w:fill="auto"/>
              </w:rPr>
              <w:t>日</w:t>
            </w:r>
            <w:r>
              <w:rPr>
                <w:rFonts w:hint="eastAsia" w:ascii="Calibri" w:hAnsi="Calibri" w:cs="Times New Roman"/>
                <w:color w:val="auto"/>
                <w:sz w:val="24"/>
                <w:highlight w:val="none"/>
                <w:shd w:val="clear" w:color="auto" w:fill="auto"/>
                <w:lang w:eastAsia="zh-CN"/>
              </w:rPr>
              <w:t>，是一家以从事</w:t>
            </w:r>
            <w:r>
              <w:rPr>
                <w:rFonts w:hint="eastAsia" w:ascii="Calibri" w:hAnsi="Calibri" w:cs="Times New Roman"/>
                <w:color w:val="auto"/>
                <w:sz w:val="24"/>
                <w:highlight w:val="none"/>
                <w:shd w:val="clear" w:color="auto" w:fill="auto"/>
                <w:lang w:val="en-US" w:eastAsia="zh-CN"/>
              </w:rPr>
              <w:t>非金属矿物制品制造和销售</w:t>
            </w:r>
            <w:r>
              <w:rPr>
                <w:rFonts w:hint="eastAsia" w:ascii="Calibri" w:hAnsi="Calibri" w:cs="Times New Roman"/>
                <w:color w:val="auto"/>
                <w:sz w:val="24"/>
                <w:highlight w:val="none"/>
                <w:shd w:val="clear" w:color="auto" w:fill="auto"/>
                <w:lang w:eastAsia="zh-CN"/>
              </w:rPr>
              <w:t>为主的企业</w:t>
            </w:r>
            <w:r>
              <w:rPr>
                <w:rFonts w:ascii="Calibri" w:hAnsi="Calibri" w:eastAsia="宋体" w:cs="Times New Roman"/>
                <w:color w:val="auto"/>
                <w:sz w:val="24"/>
                <w:highlight w:val="none"/>
                <w:shd w:val="clear" w:color="auto" w:fill="auto"/>
              </w:rPr>
              <w:t>，</w:t>
            </w:r>
            <w:r>
              <w:rPr>
                <w:rFonts w:hint="eastAsia" w:ascii="Calibri" w:hAnsi="Calibri" w:eastAsia="宋体" w:cs="Times New Roman"/>
                <w:color w:val="auto"/>
                <w:sz w:val="24"/>
                <w:highlight w:val="none"/>
                <w:shd w:val="clear" w:color="auto" w:fill="auto"/>
                <w:lang w:eastAsia="zh-CN"/>
              </w:rPr>
              <w:t>租用</w:t>
            </w:r>
            <w:r>
              <w:rPr>
                <w:rFonts w:hint="eastAsia" w:ascii="Calibri" w:hAnsi="Calibri" w:cs="Times New Roman"/>
                <w:color w:val="auto"/>
                <w:sz w:val="24"/>
                <w:highlight w:val="none"/>
                <w:shd w:val="clear" w:color="auto" w:fill="auto"/>
                <w:lang w:eastAsia="zh-CN"/>
              </w:rPr>
              <w:t>辽宁佳合鹏程粉体科技有限公司（以下简称佳合鹏程）现有厂房</w:t>
            </w:r>
            <w:r>
              <w:rPr>
                <w:rFonts w:hint="eastAsia" w:ascii="Calibri" w:hAnsi="Calibri" w:eastAsia="宋体" w:cs="Times New Roman"/>
                <w:color w:val="auto"/>
                <w:sz w:val="24"/>
                <w:highlight w:val="none"/>
                <w:shd w:val="clear" w:color="auto" w:fill="auto"/>
                <w:lang w:eastAsia="zh-CN"/>
              </w:rPr>
              <w:t>，</w:t>
            </w:r>
            <w:r>
              <w:rPr>
                <w:rFonts w:hint="eastAsia" w:ascii="Calibri" w:hAnsi="Calibri" w:cs="Times New Roman"/>
                <w:color w:val="auto"/>
                <w:sz w:val="24"/>
                <w:highlight w:val="none"/>
                <w:shd w:val="clear" w:color="auto" w:fill="auto"/>
                <w:lang w:eastAsia="zh-CN"/>
              </w:rPr>
              <w:t>建设</w:t>
            </w:r>
            <w:r>
              <w:rPr>
                <w:rFonts w:hint="eastAsia" w:cs="Times New Roman"/>
                <w:color w:val="auto"/>
                <w:sz w:val="24"/>
                <w:highlight w:val="none"/>
                <w:shd w:val="clear" w:color="auto" w:fill="auto"/>
                <w:lang w:eastAsia="zh-CN"/>
              </w:rPr>
              <w:t>5条生产线，</w:t>
            </w:r>
            <w:r>
              <w:rPr>
                <w:rFonts w:hint="eastAsia" w:ascii="Calibri" w:hAnsi="Calibri" w:eastAsia="宋体" w:cs="Times New Roman"/>
                <w:color w:val="auto"/>
                <w:sz w:val="24"/>
                <w:highlight w:val="none"/>
                <w:shd w:val="clear" w:color="auto" w:fill="auto"/>
                <w:lang w:eastAsia="zh-CN"/>
              </w:rPr>
              <w:t>建设地点位于</w:t>
            </w:r>
            <w:r>
              <w:rPr>
                <w:rFonts w:hint="eastAsia" w:ascii="Calibri" w:hAnsi="Calibri" w:eastAsia="宋体" w:cs="Times New Roman"/>
                <w:color w:val="auto"/>
                <w:sz w:val="24"/>
                <w:highlight w:val="none"/>
                <w:shd w:val="clear" w:color="auto" w:fill="auto"/>
                <w:lang w:val="en-US" w:eastAsia="zh-CN"/>
              </w:rPr>
              <w:t>岫岩满族自治县</w:t>
            </w:r>
            <w:r>
              <w:rPr>
                <w:rFonts w:hint="eastAsia" w:ascii="Calibri" w:hAnsi="Calibri" w:cs="Times New Roman"/>
                <w:color w:val="auto"/>
                <w:sz w:val="24"/>
                <w:highlight w:val="none"/>
                <w:shd w:val="clear" w:color="auto" w:fill="auto"/>
                <w:lang w:eastAsia="zh-CN"/>
              </w:rPr>
              <w:t>偏岭镇王家堡村</w:t>
            </w:r>
            <w:r>
              <w:rPr>
                <w:rFonts w:ascii="Calibri" w:hAnsi="Calibri" w:eastAsia="宋体" w:cs="Times New Roman"/>
                <w:color w:val="auto"/>
                <w:sz w:val="24"/>
                <w:highlight w:val="none"/>
                <w:shd w:val="clear" w:color="auto" w:fill="auto"/>
              </w:rPr>
              <w:t>，</w:t>
            </w:r>
            <w:r>
              <w:rPr>
                <w:rFonts w:hint="eastAsia" w:ascii="Calibri" w:hAnsi="Calibri" w:cs="Times New Roman"/>
                <w:color w:val="auto"/>
                <w:sz w:val="24"/>
                <w:highlight w:val="none"/>
                <w:shd w:val="clear" w:color="auto" w:fill="auto"/>
                <w:lang w:eastAsia="zh-CN"/>
              </w:rPr>
              <w:t>租用面积</w:t>
            </w:r>
            <w:r>
              <w:rPr>
                <w:rFonts w:hint="eastAsia" w:ascii="Calibri" w:hAnsi="Calibri" w:cs="Times New Roman"/>
                <w:color w:val="auto"/>
                <w:sz w:val="24"/>
                <w:highlight w:val="none"/>
                <w:shd w:val="clear" w:color="auto" w:fill="auto"/>
                <w:lang w:val="en-US" w:eastAsia="zh-CN"/>
              </w:rPr>
              <w:t>18000㎡</w:t>
            </w:r>
            <w:r>
              <w:rPr>
                <w:rFonts w:hint="eastAsia"/>
                <w:color w:val="auto"/>
                <w:sz w:val="24"/>
                <w:szCs w:val="24"/>
                <w:highlight w:val="none"/>
                <w:lang w:eastAsia="zh-CN"/>
              </w:rPr>
              <w:t>（含</w:t>
            </w:r>
            <w:r>
              <w:rPr>
                <w:rFonts w:hint="eastAsia"/>
                <w:color w:val="auto"/>
                <w:sz w:val="24"/>
                <w:szCs w:val="24"/>
                <w:highlight w:val="none"/>
                <w:lang w:val="en-US" w:eastAsia="zh-CN"/>
              </w:rPr>
              <w:t>14000㎡厂房，4000㎡空地</w:t>
            </w:r>
            <w:r>
              <w:rPr>
                <w:rFonts w:hint="eastAsia"/>
                <w:color w:val="auto"/>
                <w:sz w:val="24"/>
                <w:szCs w:val="24"/>
                <w:highlight w:val="none"/>
                <w:lang w:eastAsia="zh-CN"/>
              </w:rPr>
              <w:t>）</w:t>
            </w:r>
            <w:r>
              <w:rPr>
                <w:rFonts w:hint="eastAsia" w:ascii="Calibri" w:hAnsi="Calibri" w:cs="Times New Roman"/>
                <w:color w:val="auto"/>
                <w:sz w:val="24"/>
                <w:highlight w:val="none"/>
                <w:shd w:val="clear" w:color="auto" w:fill="auto"/>
                <w:lang w:val="en-US" w:eastAsia="zh-CN"/>
              </w:rPr>
              <w:t>，</w:t>
            </w:r>
            <w:r>
              <w:rPr>
                <w:rFonts w:hint="eastAsia" w:ascii="Calibri" w:hAnsi="Calibri" w:eastAsia="宋体" w:cs="Times New Roman"/>
                <w:color w:val="auto"/>
                <w:sz w:val="24"/>
                <w:highlight w:val="none"/>
                <w:shd w:val="clear" w:color="auto" w:fill="auto"/>
                <w:lang w:eastAsia="zh-CN"/>
              </w:rPr>
              <w:t>用地</w:t>
            </w:r>
            <w:r>
              <w:rPr>
                <w:rFonts w:hint="eastAsia" w:ascii="Calibri" w:hAnsi="Calibri" w:cs="Times New Roman"/>
                <w:color w:val="auto"/>
                <w:sz w:val="24"/>
                <w:highlight w:val="none"/>
                <w:shd w:val="clear" w:color="auto" w:fill="auto"/>
                <w:lang w:eastAsia="zh-CN"/>
              </w:rPr>
              <w:t>性质为工业用地，详见附件</w:t>
            </w:r>
            <w:r>
              <w:rPr>
                <w:rFonts w:hint="eastAsia" w:ascii="Calibri" w:hAnsi="Calibri" w:cs="Times New Roman"/>
                <w:color w:val="auto"/>
                <w:sz w:val="24"/>
                <w:highlight w:val="none"/>
                <w:shd w:val="clear" w:color="auto" w:fill="auto"/>
                <w:lang w:val="en-US" w:eastAsia="zh-CN"/>
              </w:rPr>
              <w:t>3</w:t>
            </w:r>
            <w:r>
              <w:rPr>
                <w:rFonts w:hint="eastAsia" w:ascii="Calibri" w:hAnsi="Calibri" w:eastAsia="宋体" w:cs="Times New Roman"/>
                <w:color w:val="auto"/>
                <w:sz w:val="24"/>
                <w:highlight w:val="none"/>
                <w:shd w:val="clear" w:color="auto" w:fill="auto"/>
                <w:lang w:val="en-US" w:eastAsia="zh-CN"/>
              </w:rPr>
              <w:t>。</w:t>
            </w:r>
          </w:p>
          <w:p w14:paraId="77B48D74">
            <w:pPr>
              <w:pStyle w:val="16"/>
              <w:keepNext w:val="0"/>
              <w:keepLines w:val="0"/>
              <w:suppressLineNumbers w:val="0"/>
              <w:spacing w:before="0" w:beforeAutospacing="0" w:after="0" w:afterAutospacing="0"/>
              <w:ind w:left="0" w:right="0"/>
              <w:rPr>
                <w:rFonts w:hint="default"/>
                <w:color w:val="auto"/>
                <w:highlight w:val="none"/>
                <w:lang w:val="en-US" w:eastAsia="zh-CN"/>
              </w:rPr>
            </w:pPr>
            <w:r>
              <w:rPr>
                <w:rFonts w:hint="default" w:ascii="Times New Roman" w:hAnsi="Times New Roman" w:cs="Times New Roman"/>
                <w:color w:val="auto"/>
                <w:sz w:val="24"/>
                <w:highlight w:val="none"/>
                <w:lang w:val="en-US" w:eastAsia="zh-CN"/>
              </w:rPr>
              <w:t>根据《国民经济行业分类代码》（GB4754-2017），本工程行业类别为 C3099 其他非金属矿物制品制造，根据《中华人民共和国环境保护法》、《中华人民共和国环境影响评价法》、《建设项目环境保护管理条例》及《建设项目环境影响评价分类管理名录》</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2021版</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中的有关规定，本项目属于“二十七、非金属矿物制品业30石墨及其他非金属矿物制品制造309”中“其他”，因此本项目需要编制环境影响报告表。受</w:t>
            </w:r>
            <w:r>
              <w:rPr>
                <w:rFonts w:hint="eastAsia" w:cs="Times New Roman"/>
                <w:color w:val="auto"/>
                <w:sz w:val="24"/>
                <w:highlight w:val="none"/>
                <w:lang w:val="en-US" w:eastAsia="zh-CN"/>
              </w:rPr>
              <w:t>辽宁金仑矿产品有限责任公司</w:t>
            </w:r>
            <w:r>
              <w:rPr>
                <w:rFonts w:hint="default" w:ascii="Times New Roman" w:hAnsi="Times New Roman" w:cs="Times New Roman"/>
                <w:color w:val="auto"/>
                <w:sz w:val="24"/>
                <w:highlight w:val="none"/>
                <w:lang w:val="en-US" w:eastAsia="zh-CN"/>
              </w:rPr>
              <w:t>的委托，我单位承担《</w:t>
            </w:r>
            <w:r>
              <w:rPr>
                <w:rFonts w:hint="eastAsia"/>
                <w:color w:val="auto"/>
                <w:highlight w:val="none"/>
                <w:lang w:eastAsia="zh-CN"/>
              </w:rPr>
              <w:t>辽宁金仑矿产品有限责任公司</w:t>
            </w:r>
            <w:r>
              <w:rPr>
                <w:rFonts w:hint="eastAsia" w:cs="Times New Roman"/>
                <w:color w:val="auto"/>
                <w:highlight w:val="none"/>
                <w:lang w:eastAsia="zh-CN"/>
              </w:rPr>
              <w:t>白云石加工</w:t>
            </w:r>
            <w:r>
              <w:rPr>
                <w:rFonts w:hint="eastAsia"/>
                <w:color w:val="auto"/>
                <w:highlight w:val="none"/>
                <w:lang w:eastAsia="zh-CN"/>
              </w:rPr>
              <w:t>项目</w:t>
            </w:r>
            <w:r>
              <w:rPr>
                <w:rFonts w:hint="default" w:ascii="Times New Roman" w:hAnsi="Times New Roman" w:cs="Times New Roman"/>
                <w:color w:val="auto"/>
                <w:sz w:val="24"/>
                <w:highlight w:val="none"/>
                <w:lang w:val="en-US" w:eastAsia="zh-CN"/>
              </w:rPr>
              <w:t>》环境影响报告表的编制工作。我单位接受委托后，开展了详细现场勘查、资料收集工作，对有关环境现状和影响分析后，编制了本环境影响报告表</w:t>
            </w:r>
            <w:r>
              <w:rPr>
                <w:rFonts w:hint="eastAsia" w:cs="Times New Roman"/>
                <w:color w:val="auto"/>
                <w:sz w:val="24"/>
                <w:highlight w:val="none"/>
                <w:lang w:val="en-US" w:eastAsia="zh-CN"/>
              </w:rPr>
              <w:t>。</w:t>
            </w:r>
          </w:p>
          <w:p w14:paraId="0AC1BF21">
            <w:pPr>
              <w:keepNext w:val="0"/>
              <w:keepLines w:val="0"/>
              <w:numPr>
                <w:ilvl w:val="0"/>
                <w:numId w:val="0"/>
              </w:numPr>
              <w:suppressLineNumbers w:val="0"/>
              <w:spacing w:before="0" w:beforeAutospacing="0" w:after="0" w:afterAutospacing="0" w:line="360" w:lineRule="auto"/>
              <w:ind w:left="0" w:right="0"/>
              <w:rPr>
                <w:rFonts w:ascii="Calibri" w:hAnsi="Calibri" w:eastAsia="宋体" w:cs="Times New Roman"/>
                <w:b/>
                <w:bCs/>
                <w:color w:val="auto"/>
                <w:sz w:val="24"/>
                <w:highlight w:val="none"/>
                <w:shd w:val="clear" w:color="auto" w:fill="auto"/>
              </w:rPr>
            </w:pPr>
            <w:r>
              <w:rPr>
                <w:rFonts w:hint="eastAsia" w:ascii="Calibri" w:hAnsi="Calibri" w:eastAsia="宋体" w:cs="Times New Roman"/>
                <w:b/>
                <w:bCs/>
                <w:color w:val="auto"/>
                <w:sz w:val="24"/>
                <w:highlight w:val="none"/>
                <w:shd w:val="clear" w:color="auto" w:fill="auto"/>
                <w:lang w:val="en-US" w:eastAsia="zh-CN"/>
              </w:rPr>
              <w:t>2、</w:t>
            </w:r>
            <w:r>
              <w:rPr>
                <w:rFonts w:ascii="Calibri" w:hAnsi="Calibri" w:eastAsia="宋体" w:cs="Times New Roman"/>
                <w:b/>
                <w:bCs/>
                <w:color w:val="auto"/>
                <w:sz w:val="24"/>
                <w:highlight w:val="none"/>
                <w:shd w:val="clear" w:color="auto" w:fill="auto"/>
              </w:rPr>
              <w:t>工程内容及规模</w:t>
            </w:r>
          </w:p>
          <w:p w14:paraId="65C65E0C">
            <w:pPr>
              <w:keepNext w:val="0"/>
              <w:keepLines w:val="0"/>
              <w:suppressLineNumbers w:val="0"/>
              <w:spacing w:before="0" w:beforeAutospacing="0" w:after="0" w:afterAutospacing="0" w:line="360" w:lineRule="auto"/>
              <w:ind w:left="0" w:right="0" w:firstLine="480" w:firstLineChars="200"/>
              <w:rPr>
                <w:rFonts w:hint="default" w:ascii="Calibri" w:hAnsi="Calibri" w:eastAsia="宋体" w:cs="Times New Roman"/>
                <w:color w:val="auto"/>
                <w:sz w:val="24"/>
                <w:highlight w:val="none"/>
                <w:shd w:val="clear" w:color="auto" w:fill="auto"/>
                <w:lang w:val="en-US" w:eastAsia="zh-CN"/>
              </w:rPr>
            </w:pPr>
            <w:r>
              <w:rPr>
                <w:rFonts w:hint="default" w:ascii="Times New Roman" w:hAnsi="Times New Roman" w:eastAsia="宋体" w:cs="Times New Roman"/>
                <w:color w:val="auto"/>
                <w:sz w:val="24"/>
                <w:highlight w:val="none"/>
                <w:shd w:val="clear" w:color="auto" w:fill="auto"/>
                <w:lang w:eastAsia="zh-CN"/>
              </w:rPr>
              <w:t>本项目</w:t>
            </w:r>
            <w:r>
              <w:rPr>
                <w:rFonts w:ascii="Times New Roman" w:hAnsi="Times New Roman"/>
                <w:color w:val="auto"/>
                <w:sz w:val="24"/>
                <w:highlight w:val="none"/>
              </w:rPr>
              <w:t>位于辽宁省鞍山市岫岩满族自治县</w:t>
            </w:r>
            <w:r>
              <w:rPr>
                <w:rFonts w:hint="eastAsia"/>
                <w:color w:val="auto"/>
                <w:sz w:val="24"/>
                <w:highlight w:val="none"/>
                <w:lang w:eastAsia="zh-CN"/>
              </w:rPr>
              <w:t>偏岭镇王家堡村</w:t>
            </w:r>
            <w:r>
              <w:rPr>
                <w:rFonts w:hint="eastAsia" w:ascii="Times New Roman" w:hAnsi="Times New Roman"/>
                <w:color w:val="auto"/>
                <w:sz w:val="24"/>
                <w:highlight w:val="none"/>
              </w:rPr>
              <w:t>，</w:t>
            </w:r>
            <w:r>
              <w:rPr>
                <w:rFonts w:hint="eastAsia"/>
                <w:color w:val="auto"/>
                <w:sz w:val="24"/>
                <w:highlight w:val="none"/>
                <w:lang w:eastAsia="zh-CN"/>
              </w:rPr>
              <w:t>租用佳合鹏程生产厂房</w:t>
            </w:r>
            <w:r>
              <w:rPr>
                <w:rFonts w:hint="eastAsia"/>
                <w:color w:val="auto"/>
                <w:sz w:val="24"/>
                <w:highlight w:val="none"/>
                <w:lang w:val="en-US" w:eastAsia="zh-CN"/>
              </w:rPr>
              <w:t>18000㎡，（1#厂房西侧4000㎡；2#厂房东侧10000㎡；</w:t>
            </w:r>
            <w:r>
              <w:rPr>
                <w:rFonts w:hint="eastAsia"/>
                <w:color w:val="auto"/>
                <w:sz w:val="24"/>
                <w:szCs w:val="24"/>
                <w:highlight w:val="none"/>
                <w:lang w:val="en-US" w:eastAsia="zh-CN"/>
              </w:rPr>
              <w:t>4000㎡空地</w:t>
            </w:r>
            <w:r>
              <w:rPr>
                <w:rFonts w:hint="eastAsia"/>
                <w:color w:val="auto"/>
                <w:sz w:val="24"/>
                <w:highlight w:val="none"/>
                <w:lang w:val="en-US" w:eastAsia="zh-CN"/>
              </w:rPr>
              <w:t>）。新建5条生产线</w:t>
            </w:r>
            <w:r>
              <w:rPr>
                <w:rFonts w:hint="eastAsia" w:cs="Times New Roman"/>
                <w:color w:val="auto"/>
                <w:sz w:val="24"/>
                <w:highlight w:val="none"/>
                <w:shd w:val="clear" w:color="auto" w:fill="auto"/>
                <w:lang w:eastAsia="zh-CN"/>
              </w:rPr>
              <w:t>（</w:t>
            </w:r>
            <w:r>
              <w:rPr>
                <w:rFonts w:hint="eastAsia" w:cs="Times New Roman"/>
                <w:color w:val="auto"/>
                <w:sz w:val="24"/>
                <w:highlight w:val="none"/>
                <w:shd w:val="clear" w:color="auto" w:fill="auto"/>
                <w:lang w:val="en-US" w:eastAsia="zh-CN"/>
              </w:rPr>
              <w:t>1#生产线年清洗20万吨石块；2#生产线年产10万吨白云石粉；3#生产线年产10万吨白云石粉；4#生产线年产10万吨白云石粉；5#生产线年产10万吨白云砂</w:t>
            </w:r>
            <w:r>
              <w:rPr>
                <w:rFonts w:hint="eastAsia" w:cs="Times New Roman"/>
                <w:color w:val="auto"/>
                <w:sz w:val="24"/>
                <w:highlight w:val="none"/>
                <w:shd w:val="clear" w:color="auto" w:fill="auto"/>
                <w:lang w:eastAsia="zh-CN"/>
              </w:rPr>
              <w:t>）</w:t>
            </w:r>
            <w:r>
              <w:rPr>
                <w:rFonts w:ascii="Times New Roman" w:hAnsi="Times New Roman"/>
                <w:color w:val="auto"/>
                <w:sz w:val="24"/>
                <w:highlight w:val="none"/>
              </w:rPr>
              <w:t>，</w:t>
            </w:r>
            <w:r>
              <w:rPr>
                <w:rFonts w:hint="eastAsia" w:ascii="Times New Roman" w:hAnsi="Times New Roman"/>
                <w:color w:val="auto"/>
                <w:sz w:val="24"/>
                <w:highlight w:val="none"/>
              </w:rPr>
              <w:t>用地性质为工业用地，</w:t>
            </w:r>
            <w:r>
              <w:rPr>
                <w:rFonts w:hint="eastAsia" w:ascii="Times New Roman" w:hAnsi="Times New Roman"/>
                <w:color w:val="auto"/>
                <w:sz w:val="24"/>
                <w:highlight w:val="none"/>
                <w:lang w:eastAsia="zh-CN"/>
              </w:rPr>
              <w:t>购置颚式破碎机</w:t>
            </w:r>
            <w:r>
              <w:rPr>
                <w:rFonts w:hint="eastAsia"/>
                <w:color w:val="auto"/>
                <w:sz w:val="24"/>
                <w:highlight w:val="none"/>
                <w:lang w:eastAsia="zh-CN"/>
              </w:rPr>
              <w:t>、提升机、中间仓、</w:t>
            </w:r>
            <w:r>
              <w:rPr>
                <w:rFonts w:hint="eastAsia" w:ascii="Times New Roman" w:hAnsi="Times New Roman"/>
                <w:color w:val="auto"/>
                <w:sz w:val="24"/>
                <w:highlight w:val="none"/>
                <w:lang w:eastAsia="zh-CN"/>
              </w:rPr>
              <w:t>锤式破碎机、筛分机、雷蒙</w:t>
            </w:r>
            <w:r>
              <w:rPr>
                <w:rFonts w:hint="eastAsia"/>
                <w:color w:val="auto"/>
                <w:sz w:val="24"/>
                <w:highlight w:val="none"/>
                <w:lang w:eastAsia="zh-CN"/>
              </w:rPr>
              <w:t>机、环辊磨、产品仓</w:t>
            </w:r>
            <w:r>
              <w:rPr>
                <w:rFonts w:hint="eastAsia" w:ascii="Times New Roman" w:hAnsi="Times New Roman"/>
                <w:color w:val="auto"/>
                <w:sz w:val="24"/>
                <w:highlight w:val="none"/>
                <w:lang w:eastAsia="zh-CN"/>
              </w:rPr>
              <w:t>等</w:t>
            </w:r>
            <w:r>
              <w:rPr>
                <w:rFonts w:hint="eastAsia" w:ascii="Times New Roman" w:hAnsi="Times New Roman"/>
                <w:color w:val="auto"/>
                <w:sz w:val="24"/>
                <w:highlight w:val="none"/>
              </w:rPr>
              <w:t>设备</w:t>
            </w:r>
            <w:r>
              <w:rPr>
                <w:rFonts w:hint="eastAsia" w:ascii="Times New Roman" w:hAnsi="Times New Roman"/>
                <w:color w:val="auto"/>
                <w:sz w:val="24"/>
                <w:highlight w:val="none"/>
                <w:lang w:eastAsia="zh-CN"/>
              </w:rPr>
              <w:t>，建设</w:t>
            </w:r>
            <w:r>
              <w:rPr>
                <w:rFonts w:hint="eastAsia"/>
                <w:color w:val="auto"/>
                <w:sz w:val="24"/>
                <w:highlight w:val="none"/>
                <w:lang w:eastAsia="zh-CN"/>
              </w:rPr>
              <w:t>生产线五条</w:t>
            </w:r>
            <w:r>
              <w:rPr>
                <w:rFonts w:hint="eastAsia" w:ascii="Times New Roman" w:hAnsi="Times New Roman"/>
                <w:color w:val="auto"/>
                <w:sz w:val="24"/>
                <w:highlight w:val="none"/>
              </w:rPr>
              <w:t>，建成后年产</w:t>
            </w:r>
            <w:r>
              <w:rPr>
                <w:rFonts w:hint="eastAsia"/>
                <w:color w:val="auto"/>
                <w:sz w:val="24"/>
                <w:highlight w:val="none"/>
                <w:lang w:val="en-US" w:eastAsia="zh-CN"/>
              </w:rPr>
              <w:t>20万吨水洗白云石、</w:t>
            </w:r>
            <w:r>
              <w:rPr>
                <w:rFonts w:hint="eastAsia" w:ascii="Times New Roman" w:hAnsi="Times New Roman"/>
                <w:color w:val="auto"/>
                <w:sz w:val="24"/>
                <w:highlight w:val="none"/>
                <w:lang w:val="en-US" w:eastAsia="zh-CN"/>
              </w:rPr>
              <w:t>3</w:t>
            </w:r>
            <w:r>
              <w:rPr>
                <w:rFonts w:hint="eastAsia" w:ascii="Times New Roman" w:hAnsi="Times New Roman"/>
                <w:color w:val="auto"/>
                <w:sz w:val="24"/>
                <w:highlight w:val="none"/>
                <w:lang w:eastAsia="zh-CN"/>
              </w:rPr>
              <w:t>0万吨</w:t>
            </w:r>
            <w:r>
              <w:rPr>
                <w:rFonts w:hint="eastAsia"/>
                <w:color w:val="auto"/>
                <w:sz w:val="24"/>
                <w:highlight w:val="none"/>
                <w:lang w:eastAsia="zh-CN"/>
              </w:rPr>
              <w:t>白云石</w:t>
            </w:r>
            <w:r>
              <w:rPr>
                <w:rFonts w:hint="eastAsia" w:ascii="Times New Roman" w:hAnsi="Times New Roman"/>
                <w:color w:val="auto"/>
                <w:sz w:val="24"/>
                <w:highlight w:val="none"/>
                <w:lang w:eastAsia="zh-CN"/>
              </w:rPr>
              <w:t>粉</w:t>
            </w:r>
            <w:r>
              <w:rPr>
                <w:rFonts w:hint="eastAsia"/>
                <w:color w:val="auto"/>
                <w:sz w:val="24"/>
                <w:highlight w:val="none"/>
                <w:lang w:eastAsia="zh-CN"/>
              </w:rPr>
              <w:t>、</w:t>
            </w:r>
            <w:r>
              <w:rPr>
                <w:rFonts w:hint="eastAsia"/>
                <w:color w:val="auto"/>
                <w:sz w:val="24"/>
                <w:highlight w:val="none"/>
                <w:lang w:val="en-US" w:eastAsia="zh-CN"/>
              </w:rPr>
              <w:t>10万吨白云砂</w:t>
            </w:r>
            <w:r>
              <w:rPr>
                <w:rFonts w:hint="eastAsia" w:ascii="Times New Roman" w:hAnsi="Times New Roman"/>
                <w:color w:val="auto"/>
                <w:sz w:val="24"/>
                <w:highlight w:val="none"/>
              </w:rPr>
              <w:t>。</w:t>
            </w:r>
            <w:r>
              <w:rPr>
                <w:rFonts w:hint="default" w:ascii="Times New Roman" w:hAnsi="Times New Roman" w:eastAsia="宋体" w:cs="Times New Roman"/>
                <w:color w:val="auto"/>
                <w:sz w:val="24"/>
                <w:highlight w:val="none"/>
                <w:shd w:val="clear" w:color="auto" w:fill="auto"/>
              </w:rPr>
              <w:t>项目建设组成见表</w:t>
            </w:r>
            <w:r>
              <w:rPr>
                <w:rFonts w:hint="eastAsia" w:cs="Times New Roman"/>
                <w:color w:val="auto"/>
                <w:sz w:val="24"/>
                <w:highlight w:val="none"/>
                <w:shd w:val="clear" w:color="auto" w:fill="auto"/>
                <w:lang w:val="en-US" w:eastAsia="zh-CN"/>
              </w:rPr>
              <w:t>2-1</w:t>
            </w:r>
            <w:r>
              <w:rPr>
                <w:rFonts w:hint="eastAsia" w:ascii="Times New Roman" w:hAnsi="Times New Roman" w:eastAsia="宋体" w:cs="Times New Roman"/>
                <w:color w:val="auto"/>
                <w:sz w:val="24"/>
                <w:highlight w:val="none"/>
                <w:shd w:val="clear" w:color="auto" w:fill="auto"/>
                <w:lang w:val="en-US" w:eastAsia="zh-CN"/>
              </w:rPr>
              <w:t>，</w:t>
            </w:r>
            <w:r>
              <w:rPr>
                <w:rFonts w:ascii="Calibri" w:hAnsi="Calibri" w:eastAsia="宋体" w:cs="Times New Roman"/>
                <w:color w:val="auto"/>
                <w:sz w:val="24"/>
                <w:highlight w:val="none"/>
                <w:shd w:val="clear" w:color="auto" w:fill="auto"/>
              </w:rPr>
              <w:t>建</w:t>
            </w:r>
            <w:r>
              <w:rPr>
                <w:rFonts w:ascii="Times New Roman" w:hAnsi="Times New Roman" w:eastAsia="宋体" w:cs="Times New Roman"/>
                <w:color w:val="auto"/>
                <w:sz w:val="24"/>
                <w:highlight w:val="none"/>
              </w:rPr>
              <w:t>构筑物情况</w:t>
            </w:r>
            <w:r>
              <w:rPr>
                <w:rFonts w:hint="eastAsia" w:ascii="Times New Roman" w:hAnsi="Times New Roman" w:eastAsia="宋体" w:cs="Times New Roman"/>
                <w:color w:val="auto"/>
                <w:sz w:val="24"/>
                <w:highlight w:val="none"/>
                <w:lang w:eastAsia="zh-CN"/>
              </w:rPr>
              <w:t>见表</w:t>
            </w:r>
            <w:r>
              <w:rPr>
                <w:rFonts w:hint="eastAsia" w:cs="Times New Roman"/>
                <w:color w:val="auto"/>
                <w:sz w:val="24"/>
                <w:highlight w:val="none"/>
                <w:lang w:val="en-US" w:eastAsia="zh-CN"/>
              </w:rPr>
              <w:t>2-2。</w:t>
            </w:r>
          </w:p>
          <w:p w14:paraId="293B317B">
            <w:pPr>
              <w:keepNext w:val="0"/>
              <w:keepLines w:val="0"/>
              <w:numPr>
                <w:ilvl w:val="0"/>
                <w:numId w:val="0"/>
              </w:numPr>
              <w:suppressLineNumbers w:val="0"/>
              <w:spacing w:before="0" w:beforeAutospacing="0" w:after="0" w:afterAutospacing="0" w:line="360" w:lineRule="auto"/>
              <w:ind w:left="0" w:right="151" w:rightChars="72"/>
              <w:jc w:val="center"/>
              <w:rPr>
                <w:rFonts w:ascii="Calibri" w:hAnsi="Calibri" w:eastAsia="宋体" w:cs="Times New Roman"/>
                <w:color w:val="auto"/>
                <w:sz w:val="24"/>
                <w:highlight w:val="none"/>
                <w:shd w:val="clear" w:color="auto" w:fill="auto"/>
              </w:rPr>
            </w:pPr>
            <w:r>
              <w:rPr>
                <w:rFonts w:ascii="Calibri" w:hAnsi="Calibri" w:eastAsia="宋体" w:cs="Times New Roman"/>
                <w:color w:val="auto"/>
                <w:sz w:val="24"/>
                <w:highlight w:val="none"/>
                <w:shd w:val="clear" w:color="auto" w:fill="auto"/>
              </w:rPr>
              <w:t>表</w:t>
            </w:r>
            <w:r>
              <w:rPr>
                <w:rFonts w:hint="eastAsia" w:ascii="Calibri" w:hAnsi="Calibri" w:cs="Times New Roman"/>
                <w:color w:val="auto"/>
                <w:sz w:val="24"/>
                <w:highlight w:val="none"/>
                <w:shd w:val="clear" w:color="auto" w:fill="auto"/>
                <w:lang w:val="en-US" w:eastAsia="zh-CN"/>
              </w:rPr>
              <w:t>2-1</w:t>
            </w:r>
            <w:r>
              <w:rPr>
                <w:rFonts w:hint="eastAsia" w:ascii="Calibri" w:hAnsi="Calibri" w:eastAsia="宋体" w:cs="Times New Roman"/>
                <w:color w:val="auto"/>
                <w:sz w:val="24"/>
                <w:highlight w:val="none"/>
                <w:shd w:val="clear" w:color="auto" w:fill="auto"/>
                <w:lang w:val="en-US" w:eastAsia="zh-CN"/>
              </w:rPr>
              <w:t xml:space="preserve"> </w:t>
            </w:r>
            <w:r>
              <w:rPr>
                <w:rFonts w:ascii="Calibri" w:hAnsi="Calibri" w:eastAsia="宋体" w:cs="Times New Roman"/>
                <w:color w:val="auto"/>
                <w:sz w:val="24"/>
                <w:highlight w:val="none"/>
                <w:shd w:val="clear" w:color="auto" w:fill="auto"/>
              </w:rPr>
              <w:t xml:space="preserve"> 项目建设组成一览表</w:t>
            </w:r>
          </w:p>
          <w:tbl>
            <w:tblPr>
              <w:tblStyle w:val="25"/>
              <w:tblW w:w="4961"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51"/>
              <w:gridCol w:w="927"/>
              <w:gridCol w:w="5953"/>
              <w:gridCol w:w="818"/>
            </w:tblGrid>
            <w:tr w14:paraId="79B0E4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0" w:hRule="atLeast"/>
                <w:jc w:val="center"/>
              </w:trPr>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4CC92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工程</w:t>
                  </w:r>
                </w:p>
              </w:tc>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A4DC9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名称</w:t>
                  </w: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CB064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本项目建设内容</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425C9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备注</w:t>
                  </w:r>
                </w:p>
              </w:tc>
            </w:tr>
            <w:tr w14:paraId="7CBE51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71" w:hRule="atLeast"/>
                <w:jc w:val="center"/>
              </w:trPr>
              <w:tc>
                <w:tcPr>
                  <w:tcW w:w="39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759A38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主体工程</w:t>
                  </w:r>
                </w:p>
              </w:tc>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C1972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1#生产车间</w:t>
                  </w: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B56B09">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项目设有封闭的生产车间一座，占地</w:t>
                  </w:r>
                  <w:r>
                    <w:rPr>
                      <w:rFonts w:hint="eastAsia" w:cs="Times New Roman"/>
                      <w:i w:val="0"/>
                      <w:iCs w:val="0"/>
                      <w:color w:val="auto"/>
                      <w:kern w:val="0"/>
                      <w:sz w:val="21"/>
                      <w:szCs w:val="21"/>
                      <w:highlight w:val="none"/>
                      <w:u w:val="none"/>
                      <w:lang w:val="en-US" w:eastAsia="zh-CN" w:bidi="ar"/>
                    </w:rPr>
                    <w:t>20</w:t>
                  </w:r>
                  <w:r>
                    <w:rPr>
                      <w:rFonts w:hint="default" w:ascii="Times New Roman" w:hAnsi="Times New Roman" w:eastAsia="宋体" w:cs="Times New Roman"/>
                      <w:i w:val="0"/>
                      <w:iCs w:val="0"/>
                      <w:color w:val="auto"/>
                      <w:kern w:val="0"/>
                      <w:sz w:val="21"/>
                      <w:szCs w:val="21"/>
                      <w:highlight w:val="none"/>
                      <w:u w:val="none"/>
                      <w:lang w:val="en-US" w:eastAsia="zh-CN" w:bidi="ar"/>
                    </w:rPr>
                    <w:t>00m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，设有水洗白云石生产线一条，购置输送皮带一条，清洗槽一座，建成后年产水洗白云石20万吨：设有</w:t>
                  </w:r>
                  <w:r>
                    <w:rPr>
                      <w:rFonts w:hint="eastAsia" w:cs="Times New Roman"/>
                      <w:i w:val="0"/>
                      <w:iCs w:val="0"/>
                      <w:color w:val="auto"/>
                      <w:kern w:val="0"/>
                      <w:sz w:val="21"/>
                      <w:szCs w:val="21"/>
                      <w:highlight w:val="none"/>
                      <w:u w:val="none"/>
                      <w:lang w:val="en-US" w:eastAsia="zh-CN" w:bidi="ar"/>
                    </w:rPr>
                    <w:t>白云石粉</w:t>
                  </w:r>
                  <w:r>
                    <w:rPr>
                      <w:rFonts w:hint="default" w:ascii="Times New Roman" w:hAnsi="Times New Roman" w:eastAsia="宋体" w:cs="Times New Roman"/>
                      <w:i w:val="0"/>
                      <w:iCs w:val="0"/>
                      <w:color w:val="auto"/>
                      <w:kern w:val="0"/>
                      <w:sz w:val="21"/>
                      <w:szCs w:val="21"/>
                      <w:highlight w:val="none"/>
                      <w:u w:val="none"/>
                      <w:lang w:val="en-US" w:eastAsia="zh-CN" w:bidi="ar"/>
                    </w:rPr>
                    <w:t>生产线一条，购置颚式破碎机一台、提升机一台、中间仓一座、锤式破碎机一台、振动筛分机一台、雷蒙机一台，建成后可年产白云石粉10万吨。</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C43D8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olor w:val="auto"/>
                      <w:highlight w:val="none"/>
                      <w:lang w:eastAsia="zh-CN"/>
                    </w:rPr>
                    <w:t>厂房利旧设备新增</w:t>
                  </w:r>
                </w:p>
              </w:tc>
            </w:tr>
            <w:tr w14:paraId="04A6ED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70" w:hRule="atLeast"/>
                <w:jc w:val="center"/>
              </w:trPr>
              <w:tc>
                <w:tcPr>
                  <w:tcW w:w="3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F9559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693CE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2#生产车间</w:t>
                  </w: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DB0CEB">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项目设有封闭的生产车间一座，占地</w:t>
                  </w:r>
                  <w:r>
                    <w:rPr>
                      <w:rFonts w:hint="eastAsia" w:cs="Times New Roman"/>
                      <w:i w:val="0"/>
                      <w:iCs w:val="0"/>
                      <w:color w:val="auto"/>
                      <w:kern w:val="0"/>
                      <w:sz w:val="21"/>
                      <w:szCs w:val="21"/>
                      <w:highlight w:val="none"/>
                      <w:u w:val="none"/>
                      <w:lang w:val="en-US" w:eastAsia="zh-CN" w:bidi="ar"/>
                    </w:rPr>
                    <w:t>4000</w:t>
                  </w:r>
                  <w:r>
                    <w:rPr>
                      <w:rFonts w:hint="default" w:ascii="Times New Roman" w:hAnsi="Times New Roman" w:eastAsia="宋体" w:cs="Times New Roman"/>
                      <w:i w:val="0"/>
                      <w:iCs w:val="0"/>
                      <w:color w:val="auto"/>
                      <w:kern w:val="0"/>
                      <w:sz w:val="21"/>
                      <w:szCs w:val="21"/>
                      <w:highlight w:val="none"/>
                      <w:u w:val="none"/>
                      <w:lang w:val="en-US" w:eastAsia="zh-CN" w:bidi="ar"/>
                    </w:rPr>
                    <w:t>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eastAsia" w:cs="Times New Roman"/>
                      <w:i w:val="0"/>
                      <w:iCs w:val="0"/>
                      <w:color w:val="auto"/>
                      <w:kern w:val="0"/>
                      <w:sz w:val="21"/>
                      <w:szCs w:val="21"/>
                      <w:highlight w:val="none"/>
                      <w:u w:val="none"/>
                      <w:lang w:val="en-US" w:eastAsia="zh-CN" w:bidi="ar"/>
                    </w:rPr>
                    <w:t>设有白云石粉</w:t>
                  </w:r>
                  <w:r>
                    <w:rPr>
                      <w:rFonts w:hint="default" w:ascii="Times New Roman" w:hAnsi="Times New Roman" w:eastAsia="宋体" w:cs="Times New Roman"/>
                      <w:i w:val="0"/>
                      <w:iCs w:val="0"/>
                      <w:color w:val="auto"/>
                      <w:kern w:val="0"/>
                      <w:sz w:val="21"/>
                      <w:szCs w:val="21"/>
                      <w:highlight w:val="none"/>
                      <w:u w:val="none"/>
                      <w:lang w:val="en-US" w:eastAsia="zh-CN" w:bidi="ar"/>
                    </w:rPr>
                    <w:t>生产线两条，购置颚式破碎机两台、提升机两台、中间仓两座、锤式破碎机两台、振动筛分机两台、雷蒙机</w:t>
                  </w:r>
                  <w:r>
                    <w:rPr>
                      <w:rFonts w:hint="eastAsia" w:cs="Times New Roman"/>
                      <w:i w:val="0"/>
                      <w:iCs w:val="0"/>
                      <w:color w:val="auto"/>
                      <w:kern w:val="0"/>
                      <w:sz w:val="21"/>
                      <w:szCs w:val="21"/>
                      <w:highlight w:val="none"/>
                      <w:u w:val="none"/>
                      <w:lang w:val="en-US" w:eastAsia="zh-CN" w:bidi="ar"/>
                    </w:rPr>
                    <w:t>一</w:t>
                  </w:r>
                  <w:r>
                    <w:rPr>
                      <w:rFonts w:hint="default" w:ascii="Times New Roman" w:hAnsi="Times New Roman" w:eastAsia="宋体" w:cs="Times New Roman"/>
                      <w:i w:val="0"/>
                      <w:iCs w:val="0"/>
                      <w:color w:val="auto"/>
                      <w:kern w:val="0"/>
                      <w:sz w:val="21"/>
                      <w:szCs w:val="21"/>
                      <w:highlight w:val="none"/>
                      <w:u w:val="none"/>
                      <w:lang w:val="en-US" w:eastAsia="zh-CN" w:bidi="ar"/>
                    </w:rPr>
                    <w:t>台，</w:t>
                  </w:r>
                  <w:r>
                    <w:rPr>
                      <w:rFonts w:hint="eastAsia" w:cs="Times New Roman"/>
                      <w:i w:val="0"/>
                      <w:iCs w:val="0"/>
                      <w:color w:val="auto"/>
                      <w:kern w:val="0"/>
                      <w:sz w:val="21"/>
                      <w:szCs w:val="21"/>
                      <w:highlight w:val="none"/>
                      <w:u w:val="none"/>
                      <w:lang w:val="en-US" w:eastAsia="zh-CN" w:bidi="ar"/>
                    </w:rPr>
                    <w:t>环辊磨两台、</w:t>
                  </w:r>
                  <w:r>
                    <w:rPr>
                      <w:rFonts w:hint="default" w:ascii="Times New Roman" w:hAnsi="Times New Roman" w:eastAsia="宋体" w:cs="Times New Roman"/>
                      <w:i w:val="0"/>
                      <w:iCs w:val="0"/>
                      <w:color w:val="auto"/>
                      <w:kern w:val="0"/>
                      <w:sz w:val="21"/>
                      <w:szCs w:val="21"/>
                      <w:highlight w:val="none"/>
                      <w:u w:val="none"/>
                      <w:lang w:val="en-US" w:eastAsia="zh-CN" w:bidi="ar"/>
                    </w:rPr>
                    <w:t>建成后可年产白云石粉20万吨；设有白云砂生产线一条：购置颚式破碎机一台、提升机一台、中间仓一座、锤式破碎机一台、振动筛分机一台、</w:t>
                  </w:r>
                  <w:r>
                    <w:rPr>
                      <w:rFonts w:hint="eastAsia" w:cs="Times New Roman"/>
                      <w:i w:val="0"/>
                      <w:iCs w:val="0"/>
                      <w:color w:val="auto"/>
                      <w:kern w:val="0"/>
                      <w:sz w:val="21"/>
                      <w:szCs w:val="21"/>
                      <w:highlight w:val="none"/>
                      <w:u w:val="none"/>
                      <w:lang w:val="en-US" w:eastAsia="zh-CN" w:bidi="ar"/>
                    </w:rPr>
                    <w:t>色选机一台、</w:t>
                  </w:r>
                  <w:r>
                    <w:rPr>
                      <w:rFonts w:hint="default" w:ascii="Times New Roman" w:hAnsi="Times New Roman" w:eastAsia="宋体" w:cs="Times New Roman"/>
                      <w:i w:val="0"/>
                      <w:iCs w:val="0"/>
                      <w:color w:val="auto"/>
                      <w:kern w:val="0"/>
                      <w:sz w:val="21"/>
                      <w:szCs w:val="21"/>
                      <w:highlight w:val="none"/>
                      <w:u w:val="none"/>
                      <w:lang w:val="en-US" w:eastAsia="zh-CN" w:bidi="ar"/>
                    </w:rPr>
                    <w:t>产品仓5座。建成后可年产白云砂10万吨</w:t>
                  </w:r>
                  <w:r>
                    <w:rPr>
                      <w:rFonts w:hint="eastAsia" w:cs="Times New Roman"/>
                      <w:i w:val="0"/>
                      <w:iCs w:val="0"/>
                      <w:color w:val="auto"/>
                      <w:kern w:val="0"/>
                      <w:sz w:val="21"/>
                      <w:szCs w:val="21"/>
                      <w:highlight w:val="none"/>
                      <w:u w:val="none"/>
                      <w:lang w:val="en-US" w:eastAsia="zh-CN" w:bidi="ar"/>
                    </w:rPr>
                    <w:t>（含白度＞90的白砂2万吨）。</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8755F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olor w:val="auto"/>
                      <w:highlight w:val="none"/>
                      <w:lang w:eastAsia="zh-CN"/>
                    </w:rPr>
                    <w:t>厂房利旧设备新增</w:t>
                  </w:r>
                </w:p>
              </w:tc>
            </w:tr>
            <w:tr w14:paraId="069354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9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D8F419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公用工程</w:t>
                  </w:r>
                </w:p>
              </w:tc>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364C2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供水工程</w:t>
                  </w: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07AB05">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项目生产及生活使用</w:t>
                  </w:r>
                  <w:r>
                    <w:rPr>
                      <w:rFonts w:hint="eastAsia" w:cs="Times New Roman"/>
                      <w:i w:val="0"/>
                      <w:iCs w:val="0"/>
                      <w:color w:val="auto"/>
                      <w:kern w:val="0"/>
                      <w:sz w:val="21"/>
                      <w:szCs w:val="21"/>
                      <w:highlight w:val="none"/>
                      <w:u w:val="none"/>
                      <w:lang w:val="en-US" w:eastAsia="zh-CN" w:bidi="ar"/>
                    </w:rPr>
                    <w:t>地下</w:t>
                  </w:r>
                  <w:r>
                    <w:rPr>
                      <w:rFonts w:hint="default" w:ascii="Times New Roman" w:hAnsi="Times New Roman" w:eastAsia="宋体" w:cs="Times New Roman"/>
                      <w:i w:val="0"/>
                      <w:iCs w:val="0"/>
                      <w:color w:val="auto"/>
                      <w:kern w:val="0"/>
                      <w:sz w:val="21"/>
                      <w:szCs w:val="21"/>
                      <w:highlight w:val="none"/>
                      <w:u w:val="none"/>
                      <w:lang w:val="en-US" w:eastAsia="zh-CN" w:bidi="ar"/>
                    </w:rPr>
                    <w:t>水</w:t>
                  </w:r>
                  <w:r>
                    <w:rPr>
                      <w:rFonts w:hint="eastAsia" w:cs="Times New Roman"/>
                      <w:i w:val="0"/>
                      <w:iCs w:val="0"/>
                      <w:color w:val="auto"/>
                      <w:kern w:val="0"/>
                      <w:sz w:val="21"/>
                      <w:szCs w:val="21"/>
                      <w:highlight w:val="none"/>
                      <w:u w:val="none"/>
                      <w:lang w:val="en-US" w:eastAsia="zh-CN" w:bidi="ar"/>
                    </w:rPr>
                    <w:t>，依托佳合鹏程地下水井</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eastAsia" w:cs="Times New Roman"/>
                      <w:i w:val="0"/>
                      <w:iCs w:val="0"/>
                      <w:color w:val="auto"/>
                      <w:kern w:val="0"/>
                      <w:sz w:val="21"/>
                      <w:szCs w:val="21"/>
                      <w:highlight w:val="none"/>
                      <w:u w:val="none"/>
                      <w:lang w:val="en-US" w:eastAsia="zh-CN" w:bidi="ar"/>
                    </w:rPr>
                    <w:t>佳合鹏程取水证许可取水量为1.113万m³/a；佳合鹏程用水量48m³/a；本项目用水量5290.504m³/a，剩余取水量可满足本项目所需，依托可行。</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5B312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利旧</w:t>
                  </w:r>
                </w:p>
              </w:tc>
            </w:tr>
            <w:tr w14:paraId="408927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27DF4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CE542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供暖工程</w:t>
                  </w: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01CB61">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本项目办公室采用电采暖，生产车间不供暖</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A1186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利旧</w:t>
                  </w:r>
                </w:p>
              </w:tc>
            </w:tr>
            <w:tr w14:paraId="49D07F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531B7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34789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供电工程</w:t>
                  </w: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10C102">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由区域供电网供电</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85E1E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利旧</w:t>
                  </w:r>
                </w:p>
              </w:tc>
            </w:tr>
            <w:tr w14:paraId="343B18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87" w:hRule="atLeast"/>
                <w:jc w:val="center"/>
              </w:trPr>
              <w:tc>
                <w:tcPr>
                  <w:tcW w:w="3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59BF0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5EFE6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排水工程</w:t>
                  </w: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436530">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本项目生活污水排入化粪池，定期清掏，用于农田施肥。水洗白云石生产工艺</w:t>
                  </w:r>
                  <w:r>
                    <w:rPr>
                      <w:rFonts w:hint="eastAsia" w:cs="Times New Roman"/>
                      <w:i w:val="0"/>
                      <w:iCs w:val="0"/>
                      <w:color w:val="auto"/>
                      <w:kern w:val="0"/>
                      <w:sz w:val="21"/>
                      <w:szCs w:val="21"/>
                      <w:highlight w:val="none"/>
                      <w:u w:val="none"/>
                      <w:lang w:val="en-US" w:eastAsia="zh-CN" w:bidi="ar"/>
                    </w:rPr>
                    <w:t>废水</w:t>
                  </w:r>
                  <w:r>
                    <w:rPr>
                      <w:rFonts w:hint="default" w:ascii="Times New Roman" w:hAnsi="Times New Roman" w:eastAsia="宋体" w:cs="Times New Roman"/>
                      <w:i w:val="0"/>
                      <w:iCs w:val="0"/>
                      <w:color w:val="auto"/>
                      <w:kern w:val="0"/>
                      <w:sz w:val="21"/>
                      <w:szCs w:val="21"/>
                      <w:highlight w:val="none"/>
                      <w:u w:val="none"/>
                      <w:lang w:val="en-US" w:eastAsia="zh-CN" w:bidi="ar"/>
                    </w:rPr>
                    <w:t>依托佳合鹏程沉淀池，循环利用，定期补充蒸发损耗；轮胎清洗水排入新建沉淀池内，循环使用，定期补充蒸发损耗；洒水抑尘水全部蒸发不外排。</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26BDA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利旧</w:t>
                  </w:r>
                </w:p>
              </w:tc>
            </w:tr>
            <w:tr w14:paraId="0544DE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2" w:hRule="atLeast"/>
                <w:jc w:val="center"/>
              </w:trPr>
              <w:tc>
                <w:tcPr>
                  <w:tcW w:w="39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528189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环保工程</w:t>
                  </w:r>
                </w:p>
              </w:tc>
              <w:tc>
                <w:tcPr>
                  <w:tcW w:w="55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71A346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废气控制</w:t>
                  </w: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7D31CD">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（1）本项目在</w:t>
                  </w:r>
                  <w:r>
                    <w:rPr>
                      <w:rFonts w:hint="eastAsia" w:cs="Times New Roman"/>
                      <w:i w:val="0"/>
                      <w:iCs w:val="0"/>
                      <w:color w:val="auto"/>
                      <w:kern w:val="0"/>
                      <w:sz w:val="21"/>
                      <w:szCs w:val="21"/>
                      <w:highlight w:val="none"/>
                      <w:u w:val="none"/>
                      <w:lang w:val="en-US" w:eastAsia="zh-CN" w:bidi="ar"/>
                    </w:rPr>
                    <w:t>1#原料库房卸料、</w:t>
                  </w:r>
                  <w:r>
                    <w:rPr>
                      <w:rFonts w:hint="default" w:ascii="Times New Roman" w:hAnsi="Times New Roman" w:eastAsia="宋体" w:cs="Times New Roman"/>
                      <w:i w:val="0"/>
                      <w:iCs w:val="0"/>
                      <w:color w:val="auto"/>
                      <w:kern w:val="0"/>
                      <w:sz w:val="21"/>
                      <w:szCs w:val="21"/>
                      <w:highlight w:val="none"/>
                      <w:u w:val="none"/>
                      <w:lang w:val="en-US" w:eastAsia="zh-CN" w:bidi="ar"/>
                    </w:rPr>
                    <w:t>1#生产线上料工序各设置一个集气罩，废气经</w:t>
                  </w:r>
                  <w:r>
                    <w:rPr>
                      <w:rFonts w:hint="eastAsia" w:cs="Times New Roman"/>
                      <w:i w:val="0"/>
                      <w:iCs w:val="0"/>
                      <w:color w:val="auto"/>
                      <w:kern w:val="0"/>
                      <w:sz w:val="21"/>
                      <w:szCs w:val="21"/>
                      <w:highlight w:val="none"/>
                      <w:u w:val="none"/>
                      <w:lang w:val="en-US" w:eastAsia="zh-CN" w:bidi="ar"/>
                    </w:rPr>
                    <w:t>布袋</w:t>
                  </w:r>
                  <w:r>
                    <w:rPr>
                      <w:rFonts w:hint="default" w:ascii="Times New Roman" w:hAnsi="Times New Roman" w:eastAsia="宋体" w:cs="Times New Roman"/>
                      <w:i w:val="0"/>
                      <w:iCs w:val="0"/>
                      <w:color w:val="auto"/>
                      <w:kern w:val="0"/>
                      <w:sz w:val="21"/>
                      <w:szCs w:val="21"/>
                      <w:highlight w:val="none"/>
                      <w:u w:val="none"/>
                      <w:lang w:val="en-US" w:eastAsia="zh-CN" w:bidi="ar"/>
                    </w:rPr>
                    <w:t>除尘器净化后由15m高排气筒DA001排放。</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2945B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新建</w:t>
                  </w:r>
                </w:p>
              </w:tc>
            </w:tr>
            <w:tr w14:paraId="60DB95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90" w:hRule="atLeast"/>
                <w:jc w:val="center"/>
              </w:trPr>
              <w:tc>
                <w:tcPr>
                  <w:tcW w:w="3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A56FC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55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A620A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3C6C84">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（2）本项目在2#生产线上料、</w:t>
                  </w:r>
                  <w:r>
                    <w:rPr>
                      <w:rFonts w:hint="eastAsia" w:cs="Times New Roman"/>
                      <w:i w:val="0"/>
                      <w:iCs w:val="0"/>
                      <w:color w:val="auto"/>
                      <w:kern w:val="0"/>
                      <w:sz w:val="21"/>
                      <w:szCs w:val="21"/>
                      <w:highlight w:val="none"/>
                      <w:u w:val="none"/>
                      <w:lang w:val="en-US" w:eastAsia="zh-CN" w:bidi="ar"/>
                    </w:rPr>
                    <w:t>颚破</w:t>
                  </w:r>
                  <w:r>
                    <w:rPr>
                      <w:rFonts w:hint="default" w:ascii="Times New Roman" w:hAnsi="Times New Roman" w:eastAsia="宋体" w:cs="Times New Roman"/>
                      <w:i w:val="0"/>
                      <w:iCs w:val="0"/>
                      <w:color w:val="auto"/>
                      <w:kern w:val="0"/>
                      <w:sz w:val="21"/>
                      <w:szCs w:val="21"/>
                      <w:highlight w:val="none"/>
                      <w:u w:val="none"/>
                      <w:lang w:val="en-US" w:eastAsia="zh-CN" w:bidi="ar"/>
                    </w:rPr>
                    <w:t>、中间仓、锤破、筛分、产品仓、包装工序各设置一个集尘罩，废气经1套除尘设施净化</w:t>
                  </w:r>
                  <w:r>
                    <w:rPr>
                      <w:rFonts w:hint="eastAsia" w:cs="Times New Roman"/>
                      <w:i w:val="0"/>
                      <w:iCs w:val="0"/>
                      <w:color w:val="auto"/>
                      <w:kern w:val="0"/>
                      <w:sz w:val="21"/>
                      <w:szCs w:val="21"/>
                      <w:highlight w:val="none"/>
                      <w:u w:val="none"/>
                      <w:lang w:val="en-US" w:eastAsia="zh-CN" w:bidi="ar"/>
                    </w:rPr>
                    <w:t>，净化后的废气经</w:t>
                  </w:r>
                  <w:r>
                    <w:rPr>
                      <w:rFonts w:hint="default" w:ascii="Times New Roman" w:hAnsi="Times New Roman" w:eastAsia="宋体" w:cs="Times New Roman"/>
                      <w:i w:val="0"/>
                      <w:iCs w:val="0"/>
                      <w:color w:val="auto"/>
                      <w:kern w:val="0"/>
                      <w:sz w:val="21"/>
                      <w:szCs w:val="21"/>
                      <w:highlight w:val="none"/>
                      <w:u w:val="none"/>
                      <w:lang w:val="en-US" w:eastAsia="zh-CN" w:bidi="ar"/>
                    </w:rPr>
                    <w:t>15m高排气筒DA00</w:t>
                  </w:r>
                  <w:r>
                    <w:rPr>
                      <w:rFonts w:hint="eastAsia"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排放；雷蒙机工序产生的粉尘经自带布袋除尘器净化，净化后的废气由磨机余风送入15m高排气筒DA001排放。</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02E83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新建</w:t>
                  </w:r>
                </w:p>
              </w:tc>
            </w:tr>
            <w:tr w14:paraId="59F9EC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5" w:hRule="atLeast"/>
                <w:jc w:val="center"/>
              </w:trPr>
              <w:tc>
                <w:tcPr>
                  <w:tcW w:w="3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EF220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55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75489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B2119E">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（3）本项目在3#生产线上料、</w:t>
                  </w:r>
                  <w:r>
                    <w:rPr>
                      <w:rFonts w:hint="eastAsia" w:cs="Times New Roman"/>
                      <w:i w:val="0"/>
                      <w:iCs w:val="0"/>
                      <w:color w:val="auto"/>
                      <w:kern w:val="0"/>
                      <w:sz w:val="21"/>
                      <w:szCs w:val="21"/>
                      <w:highlight w:val="none"/>
                      <w:u w:val="none"/>
                      <w:lang w:val="en-US" w:eastAsia="zh-CN" w:bidi="ar"/>
                    </w:rPr>
                    <w:t>颚破</w:t>
                  </w:r>
                  <w:r>
                    <w:rPr>
                      <w:rFonts w:hint="default" w:ascii="Times New Roman" w:hAnsi="Times New Roman" w:eastAsia="宋体" w:cs="Times New Roman"/>
                      <w:i w:val="0"/>
                      <w:iCs w:val="0"/>
                      <w:color w:val="auto"/>
                      <w:kern w:val="0"/>
                      <w:sz w:val="21"/>
                      <w:szCs w:val="21"/>
                      <w:highlight w:val="none"/>
                      <w:u w:val="none"/>
                      <w:lang w:val="en-US" w:eastAsia="zh-CN" w:bidi="ar"/>
                    </w:rPr>
                    <w:t>、中间仓、锤破、筛分、产品仓、包装工序各设置一个集尘罩，废气经1套除尘设施净化</w:t>
                  </w:r>
                  <w:r>
                    <w:rPr>
                      <w:rFonts w:hint="eastAsia" w:cs="Times New Roman"/>
                      <w:i w:val="0"/>
                      <w:iCs w:val="0"/>
                      <w:color w:val="auto"/>
                      <w:kern w:val="0"/>
                      <w:sz w:val="21"/>
                      <w:szCs w:val="21"/>
                      <w:highlight w:val="none"/>
                      <w:u w:val="none"/>
                      <w:lang w:val="en-US" w:eastAsia="zh-CN" w:bidi="ar"/>
                    </w:rPr>
                    <w:t>，净化后的废气经</w:t>
                  </w:r>
                  <w:r>
                    <w:rPr>
                      <w:rFonts w:hint="default" w:ascii="Times New Roman" w:hAnsi="Times New Roman" w:eastAsia="宋体" w:cs="Times New Roman"/>
                      <w:i w:val="0"/>
                      <w:iCs w:val="0"/>
                      <w:color w:val="auto"/>
                      <w:kern w:val="0"/>
                      <w:sz w:val="21"/>
                      <w:szCs w:val="21"/>
                      <w:highlight w:val="none"/>
                      <w:u w:val="none"/>
                      <w:lang w:val="en-US" w:eastAsia="zh-CN" w:bidi="ar"/>
                    </w:rPr>
                    <w:t>15m高排气筒DA002排放；</w:t>
                  </w:r>
                  <w:r>
                    <w:rPr>
                      <w:rFonts w:hint="eastAsia" w:cs="Times New Roman"/>
                      <w:i w:val="0"/>
                      <w:iCs w:val="0"/>
                      <w:color w:val="auto"/>
                      <w:kern w:val="0"/>
                      <w:sz w:val="21"/>
                      <w:szCs w:val="21"/>
                      <w:highlight w:val="none"/>
                      <w:u w:val="none"/>
                      <w:lang w:val="en-US" w:eastAsia="zh-CN" w:bidi="ar"/>
                    </w:rPr>
                    <w:t>雷蒙</w:t>
                  </w:r>
                  <w:r>
                    <w:rPr>
                      <w:rFonts w:hint="default" w:ascii="Times New Roman" w:hAnsi="Times New Roman" w:eastAsia="宋体" w:cs="Times New Roman"/>
                      <w:i w:val="0"/>
                      <w:iCs w:val="0"/>
                      <w:color w:val="auto"/>
                      <w:kern w:val="0"/>
                      <w:sz w:val="21"/>
                      <w:szCs w:val="21"/>
                      <w:highlight w:val="none"/>
                      <w:u w:val="none"/>
                      <w:lang w:val="en-US" w:eastAsia="zh-CN" w:bidi="ar"/>
                    </w:rPr>
                    <w:t>工序产生的粉尘经自带布袋除尘器净化，净化后的废气由磨机余风送入15m高排气筒DA002排放。</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2C0B4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新建</w:t>
                  </w:r>
                </w:p>
              </w:tc>
            </w:tr>
            <w:tr w14:paraId="46E50F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75" w:hRule="atLeast"/>
                <w:jc w:val="center"/>
              </w:trPr>
              <w:tc>
                <w:tcPr>
                  <w:tcW w:w="3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331BA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55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67530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208E57">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（4）本项目在4#生产线上料、</w:t>
                  </w:r>
                  <w:r>
                    <w:rPr>
                      <w:rFonts w:hint="eastAsia" w:cs="Times New Roman"/>
                      <w:i w:val="0"/>
                      <w:iCs w:val="0"/>
                      <w:color w:val="auto"/>
                      <w:kern w:val="0"/>
                      <w:sz w:val="21"/>
                      <w:szCs w:val="21"/>
                      <w:highlight w:val="none"/>
                      <w:u w:val="none"/>
                      <w:lang w:val="en-US" w:eastAsia="zh-CN" w:bidi="ar"/>
                    </w:rPr>
                    <w:t>颚破</w:t>
                  </w:r>
                  <w:r>
                    <w:rPr>
                      <w:rFonts w:hint="default" w:ascii="Times New Roman" w:hAnsi="Times New Roman" w:eastAsia="宋体" w:cs="Times New Roman"/>
                      <w:i w:val="0"/>
                      <w:iCs w:val="0"/>
                      <w:color w:val="auto"/>
                      <w:kern w:val="0"/>
                      <w:sz w:val="21"/>
                      <w:szCs w:val="21"/>
                      <w:highlight w:val="none"/>
                      <w:u w:val="none"/>
                      <w:lang w:val="en-US" w:eastAsia="zh-CN" w:bidi="ar"/>
                    </w:rPr>
                    <w:t>、中间仓、锤破、筛分、产品仓、包装工序各设置一个集尘罩，废气经1套除尘设施净化</w:t>
                  </w:r>
                  <w:r>
                    <w:rPr>
                      <w:rFonts w:hint="eastAsia" w:cs="Times New Roman"/>
                      <w:i w:val="0"/>
                      <w:iCs w:val="0"/>
                      <w:color w:val="auto"/>
                      <w:kern w:val="0"/>
                      <w:sz w:val="21"/>
                      <w:szCs w:val="21"/>
                      <w:highlight w:val="none"/>
                      <w:u w:val="none"/>
                      <w:lang w:val="en-US" w:eastAsia="zh-CN" w:bidi="ar"/>
                    </w:rPr>
                    <w:t>，净化后的废气经</w:t>
                  </w:r>
                  <w:r>
                    <w:rPr>
                      <w:rFonts w:hint="default" w:ascii="Times New Roman" w:hAnsi="Times New Roman" w:eastAsia="宋体" w:cs="Times New Roman"/>
                      <w:i w:val="0"/>
                      <w:iCs w:val="0"/>
                      <w:color w:val="auto"/>
                      <w:kern w:val="0"/>
                      <w:sz w:val="21"/>
                      <w:szCs w:val="21"/>
                      <w:highlight w:val="none"/>
                      <w:u w:val="none"/>
                      <w:lang w:val="en-US" w:eastAsia="zh-CN" w:bidi="ar"/>
                    </w:rPr>
                    <w:t>15m高排气筒DA00</w:t>
                  </w:r>
                  <w:r>
                    <w:rPr>
                      <w:rFonts w:hint="eastAsia" w:cs="Times New Roman"/>
                      <w:i w:val="0"/>
                      <w:iCs w:val="0"/>
                      <w:color w:val="auto"/>
                      <w:kern w:val="0"/>
                      <w:sz w:val="21"/>
                      <w:szCs w:val="21"/>
                      <w:highlight w:val="none"/>
                      <w:u w:val="none"/>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排放；</w:t>
                  </w:r>
                  <w:r>
                    <w:rPr>
                      <w:rFonts w:hint="eastAsia" w:cs="Times New Roman"/>
                      <w:i w:val="0"/>
                      <w:iCs w:val="0"/>
                      <w:color w:val="auto"/>
                      <w:kern w:val="0"/>
                      <w:sz w:val="21"/>
                      <w:szCs w:val="21"/>
                      <w:highlight w:val="none"/>
                      <w:u w:val="none"/>
                      <w:lang w:val="en-US" w:eastAsia="zh-CN" w:bidi="ar"/>
                    </w:rPr>
                    <w:t>环辊磨</w:t>
                  </w:r>
                  <w:r>
                    <w:rPr>
                      <w:rFonts w:hint="default" w:ascii="Times New Roman" w:hAnsi="Times New Roman" w:eastAsia="宋体" w:cs="Times New Roman"/>
                      <w:i w:val="0"/>
                      <w:iCs w:val="0"/>
                      <w:color w:val="auto"/>
                      <w:kern w:val="0"/>
                      <w:sz w:val="21"/>
                      <w:szCs w:val="21"/>
                      <w:highlight w:val="none"/>
                      <w:u w:val="none"/>
                      <w:lang w:val="en-US" w:eastAsia="zh-CN" w:bidi="ar"/>
                    </w:rPr>
                    <w:t>工序产生的粉尘经自带布袋除尘器净化，净化后的废气由磨机余风送入15m高排气筒DA003排放。</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04DB8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新建</w:t>
                  </w:r>
                </w:p>
              </w:tc>
            </w:tr>
            <w:tr w14:paraId="4F0408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20" w:hRule="atLeast"/>
                <w:jc w:val="center"/>
              </w:trPr>
              <w:tc>
                <w:tcPr>
                  <w:tcW w:w="3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13F55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55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D030D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61BD1F">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（5）在</w:t>
                  </w:r>
                  <w:r>
                    <w:rPr>
                      <w:rFonts w:hint="eastAsia" w:cs="Times New Roman"/>
                      <w:i w:val="0"/>
                      <w:iCs w:val="0"/>
                      <w:color w:val="auto"/>
                      <w:kern w:val="0"/>
                      <w:sz w:val="21"/>
                      <w:szCs w:val="21"/>
                      <w:highlight w:val="none"/>
                      <w:u w:val="none"/>
                      <w:lang w:val="en-US" w:eastAsia="zh-CN" w:bidi="ar"/>
                    </w:rPr>
                    <w:t>2#原料库房卸料、</w:t>
                  </w:r>
                  <w:r>
                    <w:rPr>
                      <w:rFonts w:hint="default" w:ascii="Times New Roman" w:hAnsi="Times New Roman" w:eastAsia="宋体" w:cs="Times New Roman"/>
                      <w:i w:val="0"/>
                      <w:iCs w:val="0"/>
                      <w:color w:val="auto"/>
                      <w:kern w:val="0"/>
                      <w:sz w:val="21"/>
                      <w:szCs w:val="21"/>
                      <w:highlight w:val="none"/>
                      <w:u w:val="none"/>
                      <w:lang w:val="en-US" w:eastAsia="zh-CN" w:bidi="ar"/>
                    </w:rPr>
                    <w:t>5#生产线上料、</w:t>
                  </w:r>
                  <w:r>
                    <w:rPr>
                      <w:rFonts w:hint="eastAsia" w:cs="Times New Roman"/>
                      <w:i w:val="0"/>
                      <w:iCs w:val="0"/>
                      <w:color w:val="auto"/>
                      <w:kern w:val="0"/>
                      <w:sz w:val="21"/>
                      <w:szCs w:val="21"/>
                      <w:highlight w:val="none"/>
                      <w:u w:val="none"/>
                      <w:lang w:val="en-US" w:eastAsia="zh-CN" w:bidi="ar"/>
                    </w:rPr>
                    <w:t>颚破</w:t>
                  </w:r>
                  <w:r>
                    <w:rPr>
                      <w:rFonts w:hint="default" w:ascii="Times New Roman" w:hAnsi="Times New Roman" w:eastAsia="宋体" w:cs="Times New Roman"/>
                      <w:i w:val="0"/>
                      <w:iCs w:val="0"/>
                      <w:color w:val="auto"/>
                      <w:kern w:val="0"/>
                      <w:sz w:val="21"/>
                      <w:szCs w:val="21"/>
                      <w:highlight w:val="none"/>
                      <w:u w:val="none"/>
                      <w:lang w:val="en-US" w:eastAsia="zh-CN" w:bidi="ar"/>
                    </w:rPr>
                    <w:t>、中间仓、锤破、筛分、</w:t>
                  </w:r>
                  <w:r>
                    <w:rPr>
                      <w:rFonts w:hint="eastAsia" w:cs="Times New Roman"/>
                      <w:i w:val="0"/>
                      <w:iCs w:val="0"/>
                      <w:color w:val="auto"/>
                      <w:kern w:val="0"/>
                      <w:sz w:val="21"/>
                      <w:szCs w:val="21"/>
                      <w:highlight w:val="none"/>
                      <w:u w:val="none"/>
                      <w:lang w:val="en-US" w:eastAsia="zh-CN" w:bidi="ar"/>
                    </w:rPr>
                    <w:t>色选、</w:t>
                  </w:r>
                  <w:r>
                    <w:rPr>
                      <w:rFonts w:hint="default" w:ascii="Times New Roman" w:hAnsi="Times New Roman" w:eastAsia="宋体" w:cs="Times New Roman"/>
                      <w:i w:val="0"/>
                      <w:iCs w:val="0"/>
                      <w:color w:val="auto"/>
                      <w:kern w:val="0"/>
                      <w:sz w:val="21"/>
                      <w:szCs w:val="21"/>
                      <w:highlight w:val="none"/>
                      <w:u w:val="none"/>
                      <w:lang w:val="en-US" w:eastAsia="zh-CN" w:bidi="ar"/>
                    </w:rPr>
                    <w:t>产品仓、包装工序各设置一个集尘罩，废气经1套除尘设施净化，净化后的废气送入15m高排气筒DA004排放。</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CE7CD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新建</w:t>
                  </w:r>
                </w:p>
              </w:tc>
            </w:tr>
            <w:tr w14:paraId="0AB4A5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75" w:hRule="atLeast"/>
                <w:jc w:val="center"/>
              </w:trPr>
              <w:tc>
                <w:tcPr>
                  <w:tcW w:w="3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81E42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55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1EDD2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32DC6C">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（6）设有独立、封闭的原料库房、产品库房、生产车间，厂房内配备移动式吸尘车1台收集厂房内地面沉积尘，运输产品及原料的车辆必须加盖苫布，</w:t>
                  </w:r>
                  <w:r>
                    <w:rPr>
                      <w:rFonts w:hint="eastAsia" w:cs="Times New Roman"/>
                      <w:i w:val="0"/>
                      <w:iCs w:val="0"/>
                      <w:color w:val="auto"/>
                      <w:kern w:val="0"/>
                      <w:sz w:val="21"/>
                      <w:szCs w:val="21"/>
                      <w:highlight w:val="none"/>
                      <w:u w:val="none"/>
                      <w:lang w:val="en-US" w:eastAsia="zh-CN" w:bidi="ar"/>
                    </w:rPr>
                    <w:t>出厂</w:t>
                  </w:r>
                  <w:r>
                    <w:rPr>
                      <w:rFonts w:hint="default" w:ascii="Times New Roman" w:hAnsi="Times New Roman" w:eastAsia="宋体" w:cs="Times New Roman"/>
                      <w:i w:val="0"/>
                      <w:iCs w:val="0"/>
                      <w:color w:val="auto"/>
                      <w:kern w:val="0"/>
                      <w:sz w:val="21"/>
                      <w:szCs w:val="21"/>
                      <w:highlight w:val="none"/>
                      <w:u w:val="none"/>
                      <w:lang w:val="en-US" w:eastAsia="zh-CN" w:bidi="ar"/>
                    </w:rPr>
                    <w:t>时进行轮胎冲洗；厂区内设洒水车1台，定期洒水抑尘。</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360F8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新建</w:t>
                  </w:r>
                </w:p>
              </w:tc>
            </w:tr>
            <w:tr w14:paraId="2C3CF7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5" w:hRule="atLeast"/>
                <w:jc w:val="center"/>
              </w:trPr>
              <w:tc>
                <w:tcPr>
                  <w:tcW w:w="3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500BE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55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96DA4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45855F">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（7）新建视频监控、粉尘在线监测；购置吸尘车及洒水车。</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98E24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新建</w:t>
                  </w:r>
                </w:p>
              </w:tc>
            </w:tr>
            <w:tr w14:paraId="5C1464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jc w:val="center"/>
              </w:trPr>
              <w:tc>
                <w:tcPr>
                  <w:tcW w:w="3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83FD4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CB639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废水控制</w:t>
                  </w: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6BA436">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水洗白云石生产线产生的废水经佳合鹏程沉淀池处理后循环使用，定期补充蒸发损耗，不外排；</w:t>
                  </w:r>
                  <w:r>
                    <w:rPr>
                      <w:rFonts w:hint="default" w:ascii="Times New Roman" w:hAnsi="Times New Roman" w:eastAsia="宋体" w:cs="Times New Roman"/>
                      <w:i w:val="0"/>
                      <w:iCs w:val="0"/>
                      <w:color w:val="auto"/>
                      <w:kern w:val="0"/>
                      <w:sz w:val="21"/>
                      <w:szCs w:val="21"/>
                      <w:highlight w:val="none"/>
                      <w:u w:val="none"/>
                      <w:lang w:val="en-US" w:eastAsia="zh-CN" w:bidi="ar"/>
                    </w:rPr>
                    <w:t>轮胎清洗水排入沉淀池内，循环使用，定期补充蒸发损耗；洒水抑尘产生的废水全部蒸发不外排。</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89951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新建</w:t>
                  </w:r>
                </w:p>
              </w:tc>
            </w:tr>
            <w:tr w14:paraId="67901E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F5543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A1B39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噪声控制</w:t>
                  </w: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2BF667">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采取设备减振和建筑围护隔声等措施。</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8F034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新建</w:t>
                  </w:r>
                </w:p>
              </w:tc>
            </w:tr>
            <w:tr w14:paraId="214932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F2B4E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55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886E99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固废控制</w:t>
                  </w: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780CD1">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生活垃圾由环卫部门统一收集处理</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CDB1E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新建</w:t>
                  </w:r>
                </w:p>
              </w:tc>
            </w:tr>
            <w:tr w14:paraId="517E48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80E99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555" w:type="pct"/>
                  <w:vMerge w:val="continue"/>
                  <w:tcBorders>
                    <w:left w:val="single" w:color="000000" w:sz="4" w:space="0"/>
                    <w:right w:val="single" w:color="000000" w:sz="4" w:space="0"/>
                  </w:tcBorders>
                  <w:shd w:val="clear" w:color="auto" w:fill="auto"/>
                  <w:vAlign w:val="center"/>
                </w:tcPr>
                <w:p w14:paraId="23B24AD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EB020C">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项目设有一般工业固体废物暂存区，位于产品库房西南角，占地面积100㎡。</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4F92B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新建</w:t>
                  </w:r>
                </w:p>
              </w:tc>
            </w:tr>
            <w:tr w14:paraId="168226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16DBC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55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8C0F5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49CBCE">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沉降粉尘</w:t>
                  </w:r>
                  <w:r>
                    <w:rPr>
                      <w:rFonts w:hint="eastAsia" w:cs="Times New Roman"/>
                      <w:i w:val="0"/>
                      <w:iCs w:val="0"/>
                      <w:color w:val="auto"/>
                      <w:kern w:val="0"/>
                      <w:sz w:val="21"/>
                      <w:szCs w:val="21"/>
                      <w:highlight w:val="none"/>
                      <w:u w:val="none"/>
                      <w:lang w:val="en-US" w:eastAsia="zh-CN" w:bidi="ar"/>
                    </w:rPr>
                    <w:t>袋装后暂存于一般工业固体废物暂存区，</w:t>
                  </w:r>
                  <w:r>
                    <w:rPr>
                      <w:rFonts w:hint="default" w:ascii="Times New Roman" w:hAnsi="Times New Roman" w:eastAsia="宋体" w:cs="Times New Roman"/>
                      <w:i w:val="0"/>
                      <w:iCs w:val="0"/>
                      <w:color w:val="auto"/>
                      <w:kern w:val="0"/>
                      <w:sz w:val="21"/>
                      <w:szCs w:val="21"/>
                      <w:highlight w:val="none"/>
                      <w:u w:val="none"/>
                      <w:lang w:val="en-US" w:eastAsia="zh-CN" w:bidi="ar"/>
                    </w:rPr>
                    <w:t>集中收集后外售</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41A78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新建</w:t>
                  </w:r>
                </w:p>
              </w:tc>
            </w:tr>
            <w:tr w14:paraId="6F9939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644D6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55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486B6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2A190D">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除尘器回收粉尘</w:t>
                  </w:r>
                  <w:r>
                    <w:rPr>
                      <w:rFonts w:hint="eastAsia" w:cs="Times New Roman"/>
                      <w:i w:val="0"/>
                      <w:iCs w:val="0"/>
                      <w:color w:val="auto"/>
                      <w:kern w:val="0"/>
                      <w:sz w:val="21"/>
                      <w:szCs w:val="21"/>
                      <w:highlight w:val="none"/>
                      <w:u w:val="none"/>
                      <w:lang w:val="en-US" w:eastAsia="zh-CN" w:bidi="ar"/>
                    </w:rPr>
                    <w:t>袋装后暂存于一般工业固体废物暂存区，</w:t>
                  </w:r>
                  <w:r>
                    <w:rPr>
                      <w:rFonts w:hint="default" w:ascii="Times New Roman" w:hAnsi="Times New Roman" w:eastAsia="宋体" w:cs="Times New Roman"/>
                      <w:i w:val="0"/>
                      <w:iCs w:val="0"/>
                      <w:color w:val="auto"/>
                      <w:kern w:val="0"/>
                      <w:sz w:val="21"/>
                      <w:szCs w:val="21"/>
                      <w:highlight w:val="none"/>
                      <w:u w:val="none"/>
                      <w:lang w:val="en-US" w:eastAsia="zh-CN" w:bidi="ar"/>
                    </w:rPr>
                    <w:t>集中收集后外售</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D8299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新建</w:t>
                  </w:r>
                </w:p>
              </w:tc>
            </w:tr>
            <w:tr w14:paraId="564F24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3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3A852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55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818D4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7A5CA5">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除尘器维修产生的废布袋集中收集，放置于产品库房西南角一般固体废物暂存区，定期由厂家回收。</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27C3A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新建</w:t>
                  </w:r>
                </w:p>
              </w:tc>
            </w:tr>
            <w:tr w14:paraId="7A6F58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3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7E862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55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9BB92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F7AC17">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项目产生的危险废物临时贮存在危险废物贮存点内，定期委托有资质单位处置。危险废物贮存点位于产品库房东北角，占地面积6㎡。</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C3DF9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新建</w:t>
                  </w:r>
                </w:p>
              </w:tc>
            </w:tr>
            <w:tr w14:paraId="5BD21E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0" w:hRule="atLeast"/>
                <w:jc w:val="center"/>
              </w:trPr>
              <w:tc>
                <w:tcPr>
                  <w:tcW w:w="3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BC56C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55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9EF3D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C230C7">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水洗白云石沉淀池产生的沉淀渣，定期清掏后直接外售</w:t>
                  </w:r>
                  <w:r>
                    <w:rPr>
                      <w:rFonts w:hint="eastAsia"/>
                      <w:color w:val="auto"/>
                      <w:highlight w:val="none"/>
                      <w:lang w:eastAsia="zh-CN"/>
                    </w:rPr>
                    <w:t>，厂区内不设储存</w:t>
                  </w:r>
                  <w:r>
                    <w:rPr>
                      <w:rFonts w:hint="eastAsia" w:cs="Times New Roman"/>
                      <w:i w:val="0"/>
                      <w:iCs w:val="0"/>
                      <w:color w:val="auto"/>
                      <w:kern w:val="0"/>
                      <w:sz w:val="21"/>
                      <w:szCs w:val="21"/>
                      <w:highlight w:val="none"/>
                      <w:u w:val="none"/>
                      <w:lang w:val="en-US" w:eastAsia="zh-CN" w:bidi="ar"/>
                    </w:rPr>
                    <w:t>。</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BA2C1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利旧</w:t>
                  </w:r>
                </w:p>
              </w:tc>
            </w:tr>
            <w:tr w14:paraId="1CA18D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5" w:hRule="atLeast"/>
                <w:jc w:val="center"/>
              </w:trPr>
              <w:tc>
                <w:tcPr>
                  <w:tcW w:w="3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DDCF0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55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5A623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CF0349">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新建洗车平台，洗车平台轮胎清洗水排入沉淀池内循环使用，沉淀池内产生的污泥定期清掏</w:t>
                  </w:r>
                  <w:r>
                    <w:rPr>
                      <w:rFonts w:hint="eastAsia" w:cs="Times New Roman"/>
                      <w:i w:val="0"/>
                      <w:iCs w:val="0"/>
                      <w:color w:val="auto"/>
                      <w:kern w:val="0"/>
                      <w:sz w:val="21"/>
                      <w:szCs w:val="21"/>
                      <w:highlight w:val="none"/>
                      <w:u w:val="none"/>
                      <w:lang w:val="en-US" w:eastAsia="zh-CN" w:bidi="ar"/>
                    </w:rPr>
                    <w:t>后外售</w:t>
                  </w: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5C389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新建</w:t>
                  </w:r>
                </w:p>
              </w:tc>
            </w:tr>
            <w:tr w14:paraId="298611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65" w:hRule="atLeast"/>
                <w:jc w:val="center"/>
              </w:trPr>
              <w:tc>
                <w:tcPr>
                  <w:tcW w:w="39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1D52C0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储运工程</w:t>
                  </w:r>
                </w:p>
              </w:tc>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6DB7D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1#车间原料库房</w:t>
                  </w: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297AD2">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1#车间原料库房为封闭库房，位于1#生产车间东侧，占地2000㎡，高12m，用于储存1#、2#生产线原料。最大储存量</w:t>
                  </w:r>
                  <w:r>
                    <w:rPr>
                      <w:rFonts w:hint="eastAsia" w:cs="Times New Roman"/>
                      <w:i w:val="0"/>
                      <w:iCs w:val="0"/>
                      <w:color w:val="auto"/>
                      <w:kern w:val="0"/>
                      <w:sz w:val="21"/>
                      <w:szCs w:val="21"/>
                      <w:highlight w:val="none"/>
                      <w:u w:val="none"/>
                      <w:lang w:val="en-US" w:eastAsia="zh-CN" w:bidi="ar"/>
                    </w:rPr>
                    <w:t>12</w:t>
                  </w:r>
                  <w:r>
                    <w:rPr>
                      <w:rFonts w:hint="default" w:ascii="Times New Roman" w:hAnsi="Times New Roman" w:eastAsia="宋体" w:cs="Times New Roman"/>
                      <w:i w:val="0"/>
                      <w:iCs w:val="0"/>
                      <w:color w:val="auto"/>
                      <w:kern w:val="0"/>
                      <w:sz w:val="21"/>
                      <w:szCs w:val="21"/>
                      <w:highlight w:val="none"/>
                      <w:u w:val="none"/>
                      <w:lang w:val="en-US" w:eastAsia="zh-CN" w:bidi="ar"/>
                    </w:rPr>
                    <w:t>000m³，约</w:t>
                  </w:r>
                  <w:r>
                    <w:rPr>
                      <w:rFonts w:hint="eastAsia" w:cs="Times New Roman"/>
                      <w:i w:val="0"/>
                      <w:iCs w:val="0"/>
                      <w:color w:val="auto"/>
                      <w:kern w:val="0"/>
                      <w:sz w:val="21"/>
                      <w:szCs w:val="21"/>
                      <w:highlight w:val="none"/>
                      <w:u w:val="none"/>
                      <w:lang w:val="en-US" w:eastAsia="zh-CN" w:bidi="ar"/>
                    </w:rPr>
                    <w:t>2.4</w:t>
                  </w:r>
                  <w:r>
                    <w:rPr>
                      <w:rFonts w:hint="default" w:ascii="Times New Roman" w:hAnsi="Times New Roman" w:eastAsia="宋体" w:cs="Times New Roman"/>
                      <w:i w:val="0"/>
                      <w:iCs w:val="0"/>
                      <w:color w:val="auto"/>
                      <w:kern w:val="0"/>
                      <w:sz w:val="21"/>
                      <w:szCs w:val="21"/>
                      <w:highlight w:val="none"/>
                      <w:u w:val="none"/>
                      <w:lang w:val="en-US" w:eastAsia="zh-CN" w:bidi="ar"/>
                    </w:rPr>
                    <w:t>万吨</w:t>
                  </w:r>
                  <w:r>
                    <w:rPr>
                      <w:rFonts w:hint="eastAsia" w:cs="Times New Roman"/>
                      <w:i w:val="0"/>
                      <w:iCs w:val="0"/>
                      <w:color w:val="auto"/>
                      <w:kern w:val="0"/>
                      <w:sz w:val="21"/>
                      <w:szCs w:val="21"/>
                      <w:highlight w:val="none"/>
                      <w:u w:val="none"/>
                      <w:lang w:val="en-US" w:eastAsia="zh-CN" w:bidi="ar"/>
                    </w:rPr>
                    <w:t>，存储周期25天</w:t>
                  </w: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427DA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利旧</w:t>
                  </w:r>
                </w:p>
              </w:tc>
            </w:tr>
            <w:tr w14:paraId="2798F6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65" w:hRule="atLeast"/>
                <w:jc w:val="center"/>
              </w:trPr>
              <w:tc>
                <w:tcPr>
                  <w:tcW w:w="3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1BDF2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EF090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2#车间原料库房</w:t>
                  </w: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8FA1F5">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2#车间原料库房为封闭库房，位于2#生产车间</w:t>
                  </w:r>
                  <w:r>
                    <w:rPr>
                      <w:rFonts w:hint="eastAsia" w:cs="Times New Roman"/>
                      <w:i w:val="0"/>
                      <w:iCs w:val="0"/>
                      <w:color w:val="auto"/>
                      <w:kern w:val="0"/>
                      <w:sz w:val="21"/>
                      <w:szCs w:val="21"/>
                      <w:highlight w:val="none"/>
                      <w:u w:val="none"/>
                      <w:lang w:val="en-US" w:eastAsia="zh-CN" w:bidi="ar"/>
                    </w:rPr>
                    <w:t>北</w:t>
                  </w:r>
                  <w:r>
                    <w:rPr>
                      <w:rFonts w:hint="default" w:ascii="Times New Roman" w:hAnsi="Times New Roman" w:eastAsia="宋体" w:cs="Times New Roman"/>
                      <w:i w:val="0"/>
                      <w:iCs w:val="0"/>
                      <w:color w:val="auto"/>
                      <w:kern w:val="0"/>
                      <w:sz w:val="21"/>
                      <w:szCs w:val="21"/>
                      <w:highlight w:val="none"/>
                      <w:u w:val="none"/>
                      <w:lang w:val="en-US" w:eastAsia="zh-CN" w:bidi="ar"/>
                    </w:rPr>
                    <w:t>侧，占地</w:t>
                  </w:r>
                  <w:r>
                    <w:rPr>
                      <w:rFonts w:hint="eastAsia"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000㎡，高12m，用于储存3#、4#、5#生产线原料。最大储存量</w:t>
                  </w:r>
                  <w:r>
                    <w:rPr>
                      <w:rFonts w:hint="eastAsia" w:cs="Times New Roman"/>
                      <w:i w:val="0"/>
                      <w:iCs w:val="0"/>
                      <w:color w:val="auto"/>
                      <w:kern w:val="0"/>
                      <w:sz w:val="21"/>
                      <w:szCs w:val="21"/>
                      <w:highlight w:val="none"/>
                      <w:u w:val="none"/>
                      <w:lang w:val="en-US" w:eastAsia="zh-CN" w:bidi="ar"/>
                    </w:rPr>
                    <w:t>6</w:t>
                  </w:r>
                  <w:r>
                    <w:rPr>
                      <w:rFonts w:hint="default" w:ascii="Times New Roman" w:hAnsi="Times New Roman" w:eastAsia="宋体" w:cs="Times New Roman"/>
                      <w:i w:val="0"/>
                      <w:iCs w:val="0"/>
                      <w:color w:val="auto"/>
                      <w:kern w:val="0"/>
                      <w:sz w:val="21"/>
                      <w:szCs w:val="21"/>
                      <w:highlight w:val="none"/>
                      <w:u w:val="none"/>
                      <w:lang w:val="en-US" w:eastAsia="zh-CN" w:bidi="ar"/>
                    </w:rPr>
                    <w:t>000m³，约</w:t>
                  </w:r>
                  <w:r>
                    <w:rPr>
                      <w:rFonts w:hint="eastAsia" w:cs="Times New Roman"/>
                      <w:i w:val="0"/>
                      <w:iCs w:val="0"/>
                      <w:color w:val="auto"/>
                      <w:kern w:val="0"/>
                      <w:sz w:val="21"/>
                      <w:szCs w:val="21"/>
                      <w:highlight w:val="none"/>
                      <w:u w:val="none"/>
                      <w:lang w:val="en-US" w:eastAsia="zh-CN" w:bidi="ar"/>
                    </w:rPr>
                    <w:t>1.2</w:t>
                  </w:r>
                  <w:r>
                    <w:rPr>
                      <w:rFonts w:hint="default" w:ascii="Times New Roman" w:hAnsi="Times New Roman" w:eastAsia="宋体" w:cs="Times New Roman"/>
                      <w:i w:val="0"/>
                      <w:iCs w:val="0"/>
                      <w:color w:val="auto"/>
                      <w:kern w:val="0"/>
                      <w:sz w:val="21"/>
                      <w:szCs w:val="21"/>
                      <w:highlight w:val="none"/>
                      <w:u w:val="none"/>
                      <w:lang w:val="en-US" w:eastAsia="zh-CN" w:bidi="ar"/>
                    </w:rPr>
                    <w:t>万吨</w:t>
                  </w:r>
                  <w:r>
                    <w:rPr>
                      <w:rFonts w:hint="eastAsia" w:cs="Times New Roman"/>
                      <w:i w:val="0"/>
                      <w:iCs w:val="0"/>
                      <w:color w:val="auto"/>
                      <w:kern w:val="0"/>
                      <w:sz w:val="21"/>
                      <w:szCs w:val="21"/>
                      <w:highlight w:val="none"/>
                      <w:u w:val="none"/>
                      <w:lang w:val="en-US" w:eastAsia="zh-CN" w:bidi="ar"/>
                    </w:rPr>
                    <w:t>，存储周期13天</w:t>
                  </w: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2CC63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利旧</w:t>
                  </w:r>
                </w:p>
              </w:tc>
            </w:tr>
            <w:tr w14:paraId="55A494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5" w:hRule="atLeast"/>
                <w:jc w:val="center"/>
              </w:trPr>
              <w:tc>
                <w:tcPr>
                  <w:tcW w:w="3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70493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AB39E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车间产品库房</w:t>
                  </w: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212B11">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产品库房为封闭库房，位于2#生产车间西侧，占地面积</w:t>
                  </w:r>
                  <w:r>
                    <w:rPr>
                      <w:rFonts w:hint="eastAsia" w:cs="Times New Roman"/>
                      <w:i w:val="0"/>
                      <w:iCs w:val="0"/>
                      <w:color w:val="auto"/>
                      <w:kern w:val="0"/>
                      <w:sz w:val="21"/>
                      <w:szCs w:val="21"/>
                      <w:highlight w:val="none"/>
                      <w:u w:val="none"/>
                      <w:lang w:val="en-US" w:eastAsia="zh-CN" w:bidi="ar"/>
                    </w:rPr>
                    <w:t>4894</w:t>
                  </w:r>
                  <w:r>
                    <w:rPr>
                      <w:rFonts w:hint="default" w:ascii="Times New Roman" w:hAnsi="Times New Roman" w:eastAsia="宋体" w:cs="Times New Roman"/>
                      <w:i w:val="0"/>
                      <w:iCs w:val="0"/>
                      <w:color w:val="auto"/>
                      <w:kern w:val="0"/>
                      <w:sz w:val="21"/>
                      <w:szCs w:val="21"/>
                      <w:highlight w:val="none"/>
                      <w:u w:val="none"/>
                      <w:lang w:val="en-US" w:eastAsia="zh-CN" w:bidi="ar"/>
                    </w:rPr>
                    <w:t>㎡，高12m，用于储存产品。最大储存量</w:t>
                  </w:r>
                  <w:r>
                    <w:rPr>
                      <w:rFonts w:hint="eastAsia" w:cs="Times New Roman"/>
                      <w:i w:val="0"/>
                      <w:iCs w:val="0"/>
                      <w:color w:val="auto"/>
                      <w:kern w:val="0"/>
                      <w:sz w:val="21"/>
                      <w:szCs w:val="21"/>
                      <w:highlight w:val="none"/>
                      <w:u w:val="none"/>
                      <w:lang w:val="en-US" w:eastAsia="zh-CN" w:bidi="ar"/>
                    </w:rPr>
                    <w:t>30</w:t>
                  </w:r>
                  <w:r>
                    <w:rPr>
                      <w:rFonts w:hint="default" w:ascii="Times New Roman" w:hAnsi="Times New Roman" w:eastAsia="宋体" w:cs="Times New Roman"/>
                      <w:i w:val="0"/>
                      <w:iCs w:val="0"/>
                      <w:color w:val="auto"/>
                      <w:kern w:val="0"/>
                      <w:sz w:val="21"/>
                      <w:szCs w:val="21"/>
                      <w:highlight w:val="none"/>
                      <w:u w:val="none"/>
                      <w:lang w:val="en-US" w:eastAsia="zh-CN" w:bidi="ar"/>
                    </w:rPr>
                    <w:t>000m³，约</w:t>
                  </w:r>
                  <w:r>
                    <w:rPr>
                      <w:rFonts w:hint="eastAsia" w:cs="Times New Roman"/>
                      <w:i w:val="0"/>
                      <w:iCs w:val="0"/>
                      <w:color w:val="auto"/>
                      <w:kern w:val="0"/>
                      <w:sz w:val="21"/>
                      <w:szCs w:val="21"/>
                      <w:highlight w:val="none"/>
                      <w:u w:val="none"/>
                      <w:lang w:val="en-US" w:eastAsia="zh-CN" w:bidi="ar"/>
                    </w:rPr>
                    <w:t>6</w:t>
                  </w:r>
                  <w:r>
                    <w:rPr>
                      <w:rFonts w:hint="default" w:ascii="Times New Roman" w:hAnsi="Times New Roman" w:eastAsia="宋体" w:cs="Times New Roman"/>
                      <w:i w:val="0"/>
                      <w:iCs w:val="0"/>
                      <w:color w:val="auto"/>
                      <w:kern w:val="0"/>
                      <w:sz w:val="21"/>
                      <w:szCs w:val="21"/>
                      <w:highlight w:val="none"/>
                      <w:u w:val="none"/>
                      <w:lang w:val="en-US" w:eastAsia="zh-CN" w:bidi="ar"/>
                    </w:rPr>
                    <w:t>万吨。</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4EA67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利旧</w:t>
                  </w:r>
                </w:p>
              </w:tc>
            </w:tr>
            <w:tr w14:paraId="01D28F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9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152D7F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依托工程</w:t>
                  </w:r>
                </w:p>
              </w:tc>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716A5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办公室</w:t>
                  </w: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895B21">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本项目不新建办公室，依托佳合鹏程原有办公楼。</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A0EC2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利旧</w:t>
                  </w:r>
                </w:p>
              </w:tc>
            </w:tr>
            <w:tr w14:paraId="2BB7BA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D8145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FEBAB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门卫</w:t>
                  </w: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3E5A2F">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本项目不新设门卫，依托佳合鹏程原有门卫。</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80A25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利旧</w:t>
                  </w:r>
                </w:p>
              </w:tc>
            </w:tr>
            <w:tr w14:paraId="123CB4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jc w:val="center"/>
              </w:trPr>
              <w:tc>
                <w:tcPr>
                  <w:tcW w:w="3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6CB7D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346A3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沉淀池</w:t>
                  </w: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DA5FA2">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本项目水洗白云石生产线不设置沉淀池，依托佳合鹏程闲置沉淀池</w:t>
                  </w:r>
                  <w:r>
                    <w:rPr>
                      <w:rFonts w:hint="eastAsia" w:cs="Times New Roman"/>
                      <w:i w:val="0"/>
                      <w:iCs w:val="0"/>
                      <w:color w:val="auto"/>
                      <w:kern w:val="0"/>
                      <w:sz w:val="21"/>
                      <w:szCs w:val="21"/>
                      <w:highlight w:val="none"/>
                      <w:u w:val="none"/>
                      <w:lang w:val="en-US" w:eastAsia="zh-CN" w:bidi="ar"/>
                    </w:rPr>
                    <w:t>，沉淀池容积1500m³（50m*10m*3m）沉淀池采用多级沉淀，使用防渗水泥，目前满足一般防渗要求，经重点防渗后，可满足本项目重点防渗要求。</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808DF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利旧</w:t>
                  </w:r>
                </w:p>
              </w:tc>
            </w:tr>
            <w:tr w14:paraId="0C739F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jc w:val="center"/>
              </w:trPr>
              <w:tc>
                <w:tcPr>
                  <w:tcW w:w="3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CEA14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5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88C1A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化粪池</w:t>
                  </w:r>
                </w:p>
              </w:tc>
              <w:tc>
                <w:tcPr>
                  <w:tcW w:w="35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49D1C6">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本项目不新增化粪池，生活污水依托佳合鹏程原有化粪池，定期清掏，用于农田施肥。</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A4C2E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利旧</w:t>
                  </w:r>
                </w:p>
              </w:tc>
            </w:tr>
          </w:tbl>
          <w:p w14:paraId="6D6B8242">
            <w:pPr>
              <w:pStyle w:val="57"/>
              <w:keepNext w:val="0"/>
              <w:keepLines w:val="0"/>
              <w:suppressLineNumbers w:val="0"/>
              <w:spacing w:before="0" w:beforeAutospacing="0" w:after="0" w:afterAutospacing="0"/>
              <w:ind w:left="0" w:leftChars="0" w:right="0" w:firstLine="0" w:firstLineChars="0"/>
              <w:jc w:val="both"/>
              <w:rPr>
                <w:rFonts w:hint="eastAsia" w:ascii="Times New Roman" w:hAnsi="Times New Roman" w:eastAsia="宋体" w:cs="Times New Roman"/>
                <w:color w:val="auto"/>
                <w:sz w:val="24"/>
                <w:highlight w:val="none"/>
                <w:lang w:eastAsia="zh-CN"/>
              </w:rPr>
            </w:pPr>
          </w:p>
          <w:p w14:paraId="0FBFC807">
            <w:pPr>
              <w:pStyle w:val="57"/>
              <w:keepNext w:val="0"/>
              <w:keepLines w:val="0"/>
              <w:suppressLineNumbers w:val="0"/>
              <w:spacing w:before="0" w:beforeAutospacing="0" w:after="0" w:afterAutospacing="0"/>
              <w:ind w:left="0" w:leftChars="0" w:right="0" w:firstLine="0"/>
              <w:jc w:val="center"/>
              <w:rPr>
                <w:rFonts w:ascii="Times New Roman" w:hAnsi="Times New Roman" w:eastAsia="宋体" w:cs="Times New Roman"/>
                <w:b w:val="0"/>
                <w:bCs w:val="0"/>
                <w:color w:val="auto"/>
                <w:szCs w:val="24"/>
                <w:highlight w:val="none"/>
              </w:rPr>
            </w:pPr>
            <w:r>
              <w:rPr>
                <w:rFonts w:hint="eastAsia" w:ascii="Times New Roman" w:hAnsi="Times New Roman" w:eastAsia="宋体" w:cs="Times New Roman"/>
                <w:color w:val="auto"/>
                <w:sz w:val="24"/>
                <w:highlight w:val="none"/>
                <w:lang w:eastAsia="zh-CN"/>
              </w:rPr>
              <w:t>表</w:t>
            </w:r>
            <w:r>
              <w:rPr>
                <w:rFonts w:hint="eastAsia" w:cs="Times New Roman"/>
                <w:color w:val="auto"/>
                <w:sz w:val="24"/>
                <w:highlight w:val="none"/>
                <w:lang w:val="en-US" w:eastAsia="zh-CN"/>
              </w:rPr>
              <w:t>2-2</w:t>
            </w:r>
            <w:r>
              <w:rPr>
                <w:rFonts w:hint="eastAsia" w:ascii="Times New Roman" w:hAnsi="Times New Roman" w:eastAsia="宋体" w:cs="Times New Roman"/>
                <w:color w:val="auto"/>
                <w:sz w:val="24"/>
                <w:highlight w:val="none"/>
                <w:lang w:val="en-US" w:eastAsia="zh-CN"/>
              </w:rPr>
              <w:t xml:space="preserve">     </w:t>
            </w:r>
            <w:r>
              <w:rPr>
                <w:rFonts w:hint="eastAsia" w:cs="Times New Roman"/>
                <w:color w:val="auto"/>
                <w:sz w:val="24"/>
                <w:highlight w:val="none"/>
                <w:lang w:val="en-US" w:eastAsia="zh-CN"/>
              </w:rPr>
              <w:t>本</w:t>
            </w:r>
            <w:r>
              <w:rPr>
                <w:color w:val="auto"/>
                <w:sz w:val="24"/>
                <w:highlight w:val="none"/>
                <w:shd w:val="clear" w:color="auto" w:fill="auto"/>
              </w:rPr>
              <w:t>项</w:t>
            </w:r>
            <w:r>
              <w:rPr>
                <w:rFonts w:ascii="Times New Roman" w:hAnsi="Times New Roman" w:eastAsia="宋体" w:cs="Times New Roman"/>
                <w:b w:val="0"/>
                <w:bCs w:val="0"/>
                <w:color w:val="auto"/>
                <w:szCs w:val="24"/>
                <w:highlight w:val="none"/>
              </w:rPr>
              <w:t>目厂区建构筑物情况一览表</w:t>
            </w:r>
          </w:p>
          <w:tbl>
            <w:tblPr>
              <w:tblStyle w:val="25"/>
              <w:tblW w:w="499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0"/>
              <w:gridCol w:w="656"/>
              <w:gridCol w:w="1839"/>
              <w:gridCol w:w="1110"/>
              <w:gridCol w:w="1081"/>
              <w:gridCol w:w="514"/>
              <w:gridCol w:w="1108"/>
              <w:gridCol w:w="1584"/>
            </w:tblGrid>
            <w:tr w14:paraId="7292F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blHeader/>
                <w:jc w:val="center"/>
              </w:trPr>
              <w:tc>
                <w:tcPr>
                  <w:tcW w:w="298" w:type="pct"/>
                  <w:noWrap w:val="0"/>
                  <w:vAlign w:val="center"/>
                </w:tcPr>
                <w:p w14:paraId="732F16AB">
                  <w:pPr>
                    <w:pStyle w:val="10"/>
                    <w:keepNext w:val="0"/>
                    <w:keepLines w:val="0"/>
                    <w:suppressLineNumbers w:val="0"/>
                    <w:spacing w:before="0" w:beforeAutospacing="0" w:after="0" w:afterAutospacing="0" w:line="240" w:lineRule="auto"/>
                    <w:ind w:left="0" w:right="0"/>
                    <w:jc w:val="center"/>
                    <w:rPr>
                      <w:rFonts w:ascii="Times New Roman" w:hAnsi="Times New Roman" w:eastAsia="宋体" w:cs="Times New Roman"/>
                      <w:b w:val="0"/>
                      <w:bCs w:val="0"/>
                      <w:color w:val="auto"/>
                      <w:sz w:val="21"/>
                      <w:szCs w:val="21"/>
                      <w:highlight w:val="none"/>
                    </w:rPr>
                  </w:pPr>
                  <w:bookmarkStart w:id="1" w:name="OLE_LINK3"/>
                  <w:r>
                    <w:rPr>
                      <w:rFonts w:ascii="Times New Roman" w:hAnsi="Times New Roman" w:eastAsia="宋体" w:cs="Times New Roman"/>
                      <w:b w:val="0"/>
                      <w:bCs w:val="0"/>
                      <w:color w:val="auto"/>
                      <w:sz w:val="21"/>
                      <w:szCs w:val="21"/>
                      <w:highlight w:val="none"/>
                    </w:rPr>
                    <w:t>序号</w:t>
                  </w:r>
                </w:p>
              </w:tc>
              <w:tc>
                <w:tcPr>
                  <w:tcW w:w="1485" w:type="pct"/>
                  <w:gridSpan w:val="2"/>
                  <w:noWrap w:val="0"/>
                  <w:vAlign w:val="center"/>
                </w:tcPr>
                <w:p w14:paraId="26083035">
                  <w:pPr>
                    <w:pStyle w:val="10"/>
                    <w:keepNext w:val="0"/>
                    <w:keepLines w:val="0"/>
                    <w:suppressLineNumbers w:val="0"/>
                    <w:spacing w:before="0" w:beforeAutospacing="0" w:after="0" w:afterAutospacing="0" w:line="240" w:lineRule="auto"/>
                    <w:ind w:left="0" w:right="0"/>
                    <w:jc w:val="center"/>
                    <w:rPr>
                      <w:rFonts w:ascii="Times New Roman" w:hAnsi="Times New Roman" w:eastAsia="宋体" w:cs="Times New Roman"/>
                      <w:b w:val="0"/>
                      <w:bCs w:val="0"/>
                      <w:color w:val="auto"/>
                      <w:sz w:val="21"/>
                      <w:szCs w:val="21"/>
                      <w:highlight w:val="none"/>
                    </w:rPr>
                  </w:pPr>
                  <w:r>
                    <w:rPr>
                      <w:rFonts w:ascii="Times New Roman" w:hAnsi="Times New Roman" w:eastAsia="宋体" w:cs="Times New Roman"/>
                      <w:b w:val="0"/>
                      <w:bCs w:val="0"/>
                      <w:color w:val="auto"/>
                      <w:sz w:val="21"/>
                      <w:szCs w:val="21"/>
                      <w:highlight w:val="none"/>
                    </w:rPr>
                    <w:t>项目</w:t>
                  </w:r>
                </w:p>
              </w:tc>
              <w:tc>
                <w:tcPr>
                  <w:tcW w:w="661" w:type="pct"/>
                  <w:noWrap w:val="0"/>
                  <w:vAlign w:val="center"/>
                </w:tcPr>
                <w:p w14:paraId="5DEA4B8B">
                  <w:pPr>
                    <w:pStyle w:val="10"/>
                    <w:keepNext w:val="0"/>
                    <w:keepLines w:val="0"/>
                    <w:suppressLineNumbers w:val="0"/>
                    <w:spacing w:before="0" w:beforeAutospacing="0" w:after="0" w:afterAutospacing="0" w:line="240" w:lineRule="auto"/>
                    <w:ind w:left="0" w:right="0"/>
                    <w:jc w:val="center"/>
                    <w:rPr>
                      <w:rFonts w:ascii="Times New Roman" w:hAnsi="Times New Roman" w:eastAsia="宋体" w:cs="Times New Roman"/>
                      <w:b w:val="0"/>
                      <w:bCs w:val="0"/>
                      <w:color w:val="auto"/>
                      <w:sz w:val="21"/>
                      <w:szCs w:val="21"/>
                      <w:highlight w:val="none"/>
                    </w:rPr>
                  </w:pPr>
                  <w:r>
                    <w:rPr>
                      <w:rFonts w:ascii="Times New Roman" w:hAnsi="Times New Roman" w:eastAsia="宋体" w:cs="Times New Roman"/>
                      <w:b w:val="0"/>
                      <w:bCs w:val="0"/>
                      <w:color w:val="auto"/>
                      <w:sz w:val="21"/>
                      <w:szCs w:val="21"/>
                      <w:highlight w:val="none"/>
                    </w:rPr>
                    <w:t>占地面积</w:t>
                  </w:r>
                </w:p>
                <w:p w14:paraId="7B35D245">
                  <w:pPr>
                    <w:pStyle w:val="10"/>
                    <w:keepNext w:val="0"/>
                    <w:keepLines w:val="0"/>
                    <w:suppressLineNumbers w:val="0"/>
                    <w:spacing w:before="0" w:beforeAutospacing="0" w:after="0" w:afterAutospacing="0" w:line="240" w:lineRule="auto"/>
                    <w:ind w:left="0" w:right="0"/>
                    <w:jc w:val="center"/>
                    <w:rPr>
                      <w:rFonts w:ascii="Times New Roman" w:hAnsi="Times New Roman" w:eastAsia="宋体" w:cs="Times New Roman"/>
                      <w:b w:val="0"/>
                      <w:bCs w:val="0"/>
                      <w:color w:val="auto"/>
                      <w:sz w:val="21"/>
                      <w:szCs w:val="21"/>
                      <w:highlight w:val="none"/>
                    </w:rPr>
                  </w:pPr>
                  <w:r>
                    <w:rPr>
                      <w:rFonts w:ascii="Times New Roman" w:hAnsi="Times New Roman" w:eastAsia="宋体" w:cs="Times New Roman"/>
                      <w:b w:val="0"/>
                      <w:bCs w:val="0"/>
                      <w:color w:val="auto"/>
                      <w:sz w:val="21"/>
                      <w:szCs w:val="21"/>
                      <w:highlight w:val="none"/>
                    </w:rPr>
                    <w:t>（m</w:t>
                  </w:r>
                  <w:r>
                    <w:rPr>
                      <w:rFonts w:ascii="Times New Roman" w:hAnsi="Times New Roman" w:eastAsia="宋体" w:cs="Times New Roman"/>
                      <w:b w:val="0"/>
                      <w:bCs w:val="0"/>
                      <w:color w:val="auto"/>
                      <w:sz w:val="21"/>
                      <w:szCs w:val="21"/>
                      <w:highlight w:val="none"/>
                      <w:vertAlign w:val="superscript"/>
                    </w:rPr>
                    <w:t>2</w:t>
                  </w:r>
                  <w:r>
                    <w:rPr>
                      <w:rFonts w:ascii="Times New Roman" w:hAnsi="Times New Roman" w:eastAsia="宋体" w:cs="Times New Roman"/>
                      <w:b w:val="0"/>
                      <w:bCs w:val="0"/>
                      <w:color w:val="auto"/>
                      <w:sz w:val="21"/>
                      <w:szCs w:val="21"/>
                      <w:highlight w:val="none"/>
                    </w:rPr>
                    <w:t>）</w:t>
                  </w:r>
                </w:p>
              </w:tc>
              <w:tc>
                <w:tcPr>
                  <w:tcW w:w="644" w:type="pct"/>
                  <w:noWrap w:val="0"/>
                  <w:vAlign w:val="center"/>
                </w:tcPr>
                <w:p w14:paraId="0C35DF7B">
                  <w:pPr>
                    <w:pStyle w:val="10"/>
                    <w:keepNext w:val="0"/>
                    <w:keepLines w:val="0"/>
                    <w:suppressLineNumbers w:val="0"/>
                    <w:spacing w:before="0" w:beforeAutospacing="0" w:after="0" w:afterAutospacing="0" w:line="240" w:lineRule="auto"/>
                    <w:ind w:left="0" w:right="0"/>
                    <w:jc w:val="center"/>
                    <w:rPr>
                      <w:rFonts w:ascii="Times New Roman" w:hAnsi="Times New Roman" w:eastAsia="宋体" w:cs="Times New Roman"/>
                      <w:b w:val="0"/>
                      <w:bCs w:val="0"/>
                      <w:color w:val="auto"/>
                      <w:sz w:val="21"/>
                      <w:szCs w:val="21"/>
                      <w:highlight w:val="none"/>
                    </w:rPr>
                  </w:pPr>
                  <w:r>
                    <w:rPr>
                      <w:rFonts w:ascii="Times New Roman" w:hAnsi="Times New Roman" w:eastAsia="宋体" w:cs="Times New Roman"/>
                      <w:b w:val="0"/>
                      <w:bCs w:val="0"/>
                      <w:color w:val="auto"/>
                      <w:sz w:val="21"/>
                      <w:szCs w:val="21"/>
                      <w:highlight w:val="none"/>
                    </w:rPr>
                    <w:t>建筑面积</w:t>
                  </w:r>
                </w:p>
                <w:p w14:paraId="60E929E9">
                  <w:pPr>
                    <w:pStyle w:val="10"/>
                    <w:keepNext w:val="0"/>
                    <w:keepLines w:val="0"/>
                    <w:suppressLineNumbers w:val="0"/>
                    <w:spacing w:before="0" w:beforeAutospacing="0" w:after="0" w:afterAutospacing="0" w:line="240" w:lineRule="auto"/>
                    <w:ind w:left="0" w:right="0"/>
                    <w:jc w:val="center"/>
                    <w:rPr>
                      <w:rFonts w:ascii="Times New Roman" w:hAnsi="Times New Roman" w:eastAsia="宋体" w:cs="Times New Roman"/>
                      <w:b w:val="0"/>
                      <w:bCs w:val="0"/>
                      <w:color w:val="auto"/>
                      <w:sz w:val="21"/>
                      <w:szCs w:val="21"/>
                      <w:highlight w:val="none"/>
                    </w:rPr>
                  </w:pPr>
                  <w:r>
                    <w:rPr>
                      <w:rFonts w:ascii="Times New Roman" w:hAnsi="Times New Roman" w:eastAsia="宋体" w:cs="Times New Roman"/>
                      <w:b w:val="0"/>
                      <w:bCs w:val="0"/>
                      <w:color w:val="auto"/>
                      <w:sz w:val="21"/>
                      <w:szCs w:val="21"/>
                      <w:highlight w:val="none"/>
                    </w:rPr>
                    <w:t>（m</w:t>
                  </w:r>
                  <w:r>
                    <w:rPr>
                      <w:rFonts w:ascii="Times New Roman" w:hAnsi="Times New Roman" w:eastAsia="宋体" w:cs="Times New Roman"/>
                      <w:b w:val="0"/>
                      <w:bCs w:val="0"/>
                      <w:color w:val="auto"/>
                      <w:sz w:val="21"/>
                      <w:szCs w:val="21"/>
                      <w:highlight w:val="none"/>
                      <w:vertAlign w:val="superscript"/>
                    </w:rPr>
                    <w:t>2</w:t>
                  </w:r>
                  <w:r>
                    <w:rPr>
                      <w:rFonts w:ascii="Times New Roman" w:hAnsi="Times New Roman" w:eastAsia="宋体" w:cs="Times New Roman"/>
                      <w:b w:val="0"/>
                      <w:bCs w:val="0"/>
                      <w:color w:val="auto"/>
                      <w:sz w:val="21"/>
                      <w:szCs w:val="21"/>
                      <w:highlight w:val="none"/>
                    </w:rPr>
                    <w:t>）</w:t>
                  </w:r>
                </w:p>
              </w:tc>
              <w:tc>
                <w:tcPr>
                  <w:tcW w:w="306" w:type="pct"/>
                  <w:noWrap w:val="0"/>
                  <w:vAlign w:val="center"/>
                </w:tcPr>
                <w:p w14:paraId="193B93D8">
                  <w:pPr>
                    <w:pStyle w:val="10"/>
                    <w:keepNext w:val="0"/>
                    <w:keepLines w:val="0"/>
                    <w:suppressLineNumbers w:val="0"/>
                    <w:spacing w:before="0" w:beforeAutospacing="0" w:after="0" w:afterAutospacing="0" w:line="240" w:lineRule="auto"/>
                    <w:ind w:left="0" w:right="0"/>
                    <w:jc w:val="center"/>
                    <w:rPr>
                      <w:rFonts w:ascii="Times New Roman" w:hAnsi="Times New Roman" w:eastAsia="宋体" w:cs="Times New Roman"/>
                      <w:b w:val="0"/>
                      <w:bCs w:val="0"/>
                      <w:color w:val="auto"/>
                      <w:sz w:val="21"/>
                      <w:szCs w:val="21"/>
                      <w:highlight w:val="none"/>
                    </w:rPr>
                  </w:pPr>
                  <w:r>
                    <w:rPr>
                      <w:rFonts w:ascii="Times New Roman" w:hAnsi="Times New Roman" w:eastAsia="宋体" w:cs="Times New Roman"/>
                      <w:b w:val="0"/>
                      <w:bCs w:val="0"/>
                      <w:color w:val="auto"/>
                      <w:sz w:val="21"/>
                      <w:szCs w:val="21"/>
                      <w:highlight w:val="none"/>
                    </w:rPr>
                    <w:t>层数</w:t>
                  </w:r>
                </w:p>
              </w:tc>
              <w:tc>
                <w:tcPr>
                  <w:tcW w:w="660" w:type="pct"/>
                  <w:noWrap w:val="0"/>
                  <w:vAlign w:val="center"/>
                </w:tcPr>
                <w:p w14:paraId="08B3DD67">
                  <w:pPr>
                    <w:pStyle w:val="10"/>
                    <w:keepNext w:val="0"/>
                    <w:keepLines w:val="0"/>
                    <w:suppressLineNumbers w:val="0"/>
                    <w:spacing w:before="0" w:beforeAutospacing="0" w:after="0" w:afterAutospacing="0" w:line="240" w:lineRule="auto"/>
                    <w:ind w:left="0" w:right="0"/>
                    <w:jc w:val="center"/>
                    <w:rPr>
                      <w:rFonts w:ascii="Times New Roman" w:hAnsi="Times New Roman" w:eastAsia="宋体" w:cs="Times New Roman"/>
                      <w:b w:val="0"/>
                      <w:bCs w:val="0"/>
                      <w:color w:val="auto"/>
                      <w:sz w:val="21"/>
                      <w:szCs w:val="21"/>
                      <w:highlight w:val="none"/>
                    </w:rPr>
                  </w:pPr>
                  <w:r>
                    <w:rPr>
                      <w:rFonts w:ascii="Times New Roman" w:hAnsi="Times New Roman" w:eastAsia="宋体" w:cs="Times New Roman"/>
                      <w:b w:val="0"/>
                      <w:bCs w:val="0"/>
                      <w:color w:val="auto"/>
                      <w:sz w:val="21"/>
                      <w:szCs w:val="21"/>
                      <w:highlight w:val="none"/>
                    </w:rPr>
                    <w:t>建筑高度（m）</w:t>
                  </w:r>
                </w:p>
              </w:tc>
              <w:tc>
                <w:tcPr>
                  <w:tcW w:w="943" w:type="pct"/>
                  <w:noWrap w:val="0"/>
                  <w:vAlign w:val="center"/>
                </w:tcPr>
                <w:p w14:paraId="02944DF1">
                  <w:pPr>
                    <w:pStyle w:val="10"/>
                    <w:keepNext w:val="0"/>
                    <w:keepLines w:val="0"/>
                    <w:suppressLineNumbers w:val="0"/>
                    <w:spacing w:before="0" w:beforeAutospacing="0" w:after="0" w:afterAutospacing="0" w:line="240" w:lineRule="auto"/>
                    <w:ind w:left="0" w:right="0"/>
                    <w:jc w:val="center"/>
                    <w:rPr>
                      <w:rFonts w:ascii="Times New Roman" w:hAnsi="Times New Roman" w:eastAsia="宋体" w:cs="Times New Roman"/>
                      <w:b w:val="0"/>
                      <w:bCs w:val="0"/>
                      <w:color w:val="auto"/>
                      <w:sz w:val="21"/>
                      <w:szCs w:val="21"/>
                      <w:highlight w:val="none"/>
                    </w:rPr>
                  </w:pPr>
                  <w:r>
                    <w:rPr>
                      <w:rFonts w:ascii="Times New Roman" w:hAnsi="Times New Roman" w:eastAsia="宋体" w:cs="Times New Roman"/>
                      <w:b w:val="0"/>
                      <w:bCs w:val="0"/>
                      <w:color w:val="auto"/>
                      <w:sz w:val="21"/>
                      <w:szCs w:val="21"/>
                      <w:highlight w:val="none"/>
                    </w:rPr>
                    <w:t>备注</w:t>
                  </w:r>
                </w:p>
              </w:tc>
            </w:tr>
            <w:tr w14:paraId="17227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98" w:type="pct"/>
                  <w:noWrap w:val="0"/>
                  <w:vAlign w:val="center"/>
                </w:tcPr>
                <w:p w14:paraId="48926C2B">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391" w:type="pct"/>
                  <w:vMerge w:val="restart"/>
                  <w:noWrap w:val="0"/>
                  <w:vAlign w:val="center"/>
                </w:tcPr>
                <w:p w14:paraId="191E7750">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sz w:val="21"/>
                      <w:szCs w:val="21"/>
                      <w:highlight w:val="none"/>
                      <w:lang w:eastAsia="zh-CN"/>
                    </w:rPr>
                  </w:pPr>
                  <w:r>
                    <w:rPr>
                      <w:rFonts w:hint="eastAsia" w:ascii="宋体" w:hAnsi="宋体" w:eastAsia="宋体" w:cs="宋体"/>
                      <w:i w:val="0"/>
                      <w:iCs w:val="0"/>
                      <w:color w:val="auto"/>
                      <w:kern w:val="0"/>
                      <w:sz w:val="21"/>
                      <w:szCs w:val="21"/>
                      <w:highlight w:val="none"/>
                      <w:u w:val="none"/>
                      <w:lang w:val="en-US" w:eastAsia="zh-CN" w:bidi="ar"/>
                    </w:rPr>
                    <w:t>生产区</w:t>
                  </w:r>
                </w:p>
              </w:tc>
              <w:tc>
                <w:tcPr>
                  <w:tcW w:w="1094" w:type="pct"/>
                  <w:noWrap w:val="0"/>
                  <w:vAlign w:val="center"/>
                </w:tcPr>
                <w:p w14:paraId="0A2D356A">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1#车间</w:t>
                  </w:r>
                  <w:r>
                    <w:rPr>
                      <w:rFonts w:hint="default" w:ascii="Times New Roman" w:hAnsi="Times New Roman" w:eastAsia="宋体" w:cs="Times New Roman"/>
                      <w:color w:val="auto"/>
                      <w:sz w:val="21"/>
                      <w:szCs w:val="21"/>
                      <w:highlight w:val="none"/>
                      <w:lang w:eastAsia="zh-CN"/>
                    </w:rPr>
                    <w:t>原料库房</w:t>
                  </w:r>
                </w:p>
              </w:tc>
              <w:tc>
                <w:tcPr>
                  <w:tcW w:w="661" w:type="pct"/>
                  <w:noWrap w:val="0"/>
                  <w:vAlign w:val="center"/>
                </w:tcPr>
                <w:p w14:paraId="5FF9B2C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2000</w:t>
                  </w:r>
                </w:p>
              </w:tc>
              <w:tc>
                <w:tcPr>
                  <w:tcW w:w="644" w:type="pct"/>
                  <w:noWrap w:val="0"/>
                  <w:vAlign w:val="center"/>
                </w:tcPr>
                <w:p w14:paraId="6B0479E4">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2000</w:t>
                  </w:r>
                </w:p>
              </w:tc>
              <w:tc>
                <w:tcPr>
                  <w:tcW w:w="306" w:type="pct"/>
                  <w:noWrap w:val="0"/>
                  <w:vAlign w:val="center"/>
                </w:tcPr>
                <w:p w14:paraId="393862B2">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Cs/>
                      <w:color w:val="auto"/>
                      <w:sz w:val="21"/>
                      <w:szCs w:val="21"/>
                      <w:highlight w:val="none"/>
                      <w:lang w:val="en-US" w:eastAsia="zh-CN"/>
                    </w:rPr>
                    <w:t>1</w:t>
                  </w:r>
                </w:p>
              </w:tc>
              <w:tc>
                <w:tcPr>
                  <w:tcW w:w="660" w:type="pct"/>
                  <w:noWrap w:val="0"/>
                  <w:vAlign w:val="center"/>
                </w:tcPr>
                <w:p w14:paraId="05795E0C">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highlight w:val="none"/>
                      <w:lang w:eastAsia="zh-CN"/>
                    </w:rPr>
                  </w:pPr>
                  <w:r>
                    <w:rPr>
                      <w:rFonts w:hint="eastAsia" w:ascii="Times New Roman" w:hAnsi="Times New Roman" w:eastAsia="宋体" w:cs="Times New Roman"/>
                      <w:bCs/>
                      <w:color w:val="auto"/>
                      <w:sz w:val="21"/>
                      <w:szCs w:val="21"/>
                      <w:highlight w:val="none"/>
                      <w:lang w:val="en-US" w:eastAsia="zh-CN"/>
                    </w:rPr>
                    <w:t>12</w:t>
                  </w:r>
                </w:p>
              </w:tc>
              <w:tc>
                <w:tcPr>
                  <w:tcW w:w="943" w:type="pct"/>
                  <w:noWrap w:val="0"/>
                  <w:vAlign w:val="center"/>
                </w:tcPr>
                <w:p w14:paraId="687FA682">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sz w:val="21"/>
                      <w:szCs w:val="21"/>
                      <w:highlight w:val="none"/>
                      <w:lang w:eastAsia="zh-CN"/>
                    </w:rPr>
                  </w:pPr>
                  <w:r>
                    <w:rPr>
                      <w:rFonts w:hint="eastAsia" w:ascii="宋体" w:hAnsi="宋体" w:eastAsia="宋体" w:cs="宋体"/>
                      <w:i w:val="0"/>
                      <w:iCs w:val="0"/>
                      <w:color w:val="auto"/>
                      <w:kern w:val="0"/>
                      <w:sz w:val="21"/>
                      <w:szCs w:val="21"/>
                      <w:highlight w:val="none"/>
                      <w:u w:val="none"/>
                      <w:lang w:val="en-US" w:eastAsia="zh-CN" w:bidi="ar"/>
                    </w:rPr>
                    <w:t>钢结构</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eastAsia" w:ascii="宋体" w:hAnsi="宋体" w:cs="宋体"/>
                      <w:i w:val="0"/>
                      <w:iCs w:val="0"/>
                      <w:color w:val="auto"/>
                      <w:kern w:val="0"/>
                      <w:sz w:val="21"/>
                      <w:szCs w:val="21"/>
                      <w:highlight w:val="none"/>
                      <w:u w:val="none"/>
                      <w:lang w:val="en-US" w:eastAsia="zh-CN" w:bidi="ar"/>
                    </w:rPr>
                    <w:t>利旧</w:t>
                  </w:r>
                </w:p>
              </w:tc>
            </w:tr>
            <w:tr w14:paraId="18050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98" w:type="pct"/>
                  <w:noWrap w:val="0"/>
                  <w:vAlign w:val="center"/>
                </w:tcPr>
                <w:p w14:paraId="5AB4B7C3">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391" w:type="pct"/>
                  <w:vMerge w:val="continue"/>
                  <w:noWrap w:val="0"/>
                  <w:vAlign w:val="center"/>
                </w:tcPr>
                <w:p w14:paraId="1940FD26">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highlight w:val="none"/>
                      <w:lang w:eastAsia="zh-CN"/>
                    </w:rPr>
                  </w:pPr>
                </w:p>
              </w:tc>
              <w:tc>
                <w:tcPr>
                  <w:tcW w:w="1094" w:type="pct"/>
                  <w:noWrap w:val="0"/>
                  <w:vAlign w:val="center"/>
                </w:tcPr>
                <w:p w14:paraId="24C8D8AD">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eastAsia="zh-CN"/>
                    </w:rPr>
                    <w:t>生产车间</w:t>
                  </w:r>
                </w:p>
              </w:tc>
              <w:tc>
                <w:tcPr>
                  <w:tcW w:w="661" w:type="pct"/>
                  <w:noWrap w:val="0"/>
                  <w:vAlign w:val="center"/>
                </w:tcPr>
                <w:p w14:paraId="5CC3AAB8">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20</w:t>
                  </w:r>
                  <w:r>
                    <w:rPr>
                      <w:rFonts w:hint="eastAsia" w:ascii="Times New Roman" w:hAnsi="Times New Roman" w:eastAsia="宋体" w:cs="Times New Roman"/>
                      <w:color w:val="auto"/>
                      <w:sz w:val="21"/>
                      <w:szCs w:val="21"/>
                      <w:highlight w:val="none"/>
                      <w:lang w:val="en-US" w:eastAsia="zh-CN"/>
                    </w:rPr>
                    <w:t>00</w:t>
                  </w:r>
                </w:p>
              </w:tc>
              <w:tc>
                <w:tcPr>
                  <w:tcW w:w="644" w:type="pct"/>
                  <w:noWrap w:val="0"/>
                  <w:vAlign w:val="center"/>
                </w:tcPr>
                <w:p w14:paraId="56773AC0">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20</w:t>
                  </w:r>
                  <w:r>
                    <w:rPr>
                      <w:rFonts w:hint="eastAsia" w:ascii="Times New Roman" w:hAnsi="Times New Roman" w:eastAsia="宋体" w:cs="Times New Roman"/>
                      <w:color w:val="auto"/>
                      <w:sz w:val="21"/>
                      <w:szCs w:val="21"/>
                      <w:highlight w:val="none"/>
                      <w:lang w:val="en-US" w:eastAsia="zh-CN"/>
                    </w:rPr>
                    <w:t>00</w:t>
                  </w:r>
                </w:p>
              </w:tc>
              <w:tc>
                <w:tcPr>
                  <w:tcW w:w="306" w:type="pct"/>
                  <w:noWrap w:val="0"/>
                  <w:vAlign w:val="center"/>
                </w:tcPr>
                <w:p w14:paraId="0AA73E36">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660" w:type="pct"/>
                  <w:noWrap w:val="0"/>
                  <w:vAlign w:val="center"/>
                </w:tcPr>
                <w:p w14:paraId="390BA79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w:t>
                  </w:r>
                </w:p>
              </w:tc>
              <w:tc>
                <w:tcPr>
                  <w:tcW w:w="943" w:type="pct"/>
                  <w:noWrap w:val="0"/>
                  <w:vAlign w:val="center"/>
                </w:tcPr>
                <w:p w14:paraId="64C2EF28">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钢结构</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eastAsia" w:ascii="宋体" w:hAnsi="宋体" w:cs="宋体"/>
                      <w:i w:val="0"/>
                      <w:iCs w:val="0"/>
                      <w:color w:val="auto"/>
                      <w:kern w:val="0"/>
                      <w:sz w:val="21"/>
                      <w:szCs w:val="21"/>
                      <w:highlight w:val="none"/>
                      <w:u w:val="none"/>
                      <w:lang w:val="en-US" w:eastAsia="zh-CN" w:bidi="ar"/>
                    </w:rPr>
                    <w:t>利旧</w:t>
                  </w:r>
                </w:p>
              </w:tc>
            </w:tr>
            <w:tr w14:paraId="2D0F2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98" w:type="pct"/>
                  <w:noWrap w:val="0"/>
                  <w:vAlign w:val="center"/>
                </w:tcPr>
                <w:p w14:paraId="5F9BF66C">
                  <w:pPr>
                    <w:keepNext w:val="0"/>
                    <w:keepLines w:val="0"/>
                    <w:widowControl/>
                    <w:suppressLineNumbers w:val="0"/>
                    <w:spacing w:before="0" w:beforeAutospacing="0" w:after="0" w:afterAutospacing="0"/>
                    <w:ind w:left="0" w:right="0"/>
                    <w:jc w:val="center"/>
                    <w:textAlignment w:val="center"/>
                    <w:rPr>
                      <w:rFonts w:hint="eastAsia" w:cs="Times New Roman"/>
                      <w:b w:val="0"/>
                      <w:bCs w:val="0"/>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3</w:t>
                  </w:r>
                </w:p>
              </w:tc>
              <w:tc>
                <w:tcPr>
                  <w:tcW w:w="391" w:type="pct"/>
                  <w:vMerge w:val="continue"/>
                  <w:noWrap w:val="0"/>
                  <w:vAlign w:val="center"/>
                </w:tcPr>
                <w:p w14:paraId="6E7653AC">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highlight w:val="none"/>
                      <w:lang w:eastAsia="zh-CN"/>
                    </w:rPr>
                  </w:pPr>
                </w:p>
              </w:tc>
              <w:tc>
                <w:tcPr>
                  <w:tcW w:w="1094" w:type="pct"/>
                  <w:noWrap w:val="0"/>
                  <w:vAlign w:val="center"/>
                </w:tcPr>
                <w:p w14:paraId="6976018B">
                  <w:pPr>
                    <w:keepNext w:val="0"/>
                    <w:keepLines w:val="0"/>
                    <w:suppressLineNumbers w:val="0"/>
                    <w:spacing w:before="0" w:beforeAutospacing="0" w:after="0" w:afterAutospacing="0"/>
                    <w:ind w:left="0" w:right="0"/>
                    <w:jc w:val="center"/>
                    <w:rPr>
                      <w:rFonts w:hint="eastAsia" w:cs="Times New Roman"/>
                      <w:b w:val="0"/>
                      <w:bCs w:val="0"/>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2#车间</w:t>
                  </w:r>
                  <w:r>
                    <w:rPr>
                      <w:rFonts w:hint="default" w:ascii="Times New Roman" w:hAnsi="Times New Roman" w:eastAsia="宋体" w:cs="Times New Roman"/>
                      <w:color w:val="auto"/>
                      <w:sz w:val="21"/>
                      <w:szCs w:val="21"/>
                      <w:highlight w:val="none"/>
                      <w:lang w:eastAsia="zh-CN"/>
                    </w:rPr>
                    <w:t>原料库房</w:t>
                  </w:r>
                </w:p>
              </w:tc>
              <w:tc>
                <w:tcPr>
                  <w:tcW w:w="661" w:type="pct"/>
                  <w:noWrap w:val="0"/>
                  <w:vAlign w:val="center"/>
                </w:tcPr>
                <w:p w14:paraId="70290626">
                  <w:pPr>
                    <w:keepNext w:val="0"/>
                    <w:keepLines w:val="0"/>
                    <w:suppressLineNumbers w:val="0"/>
                    <w:spacing w:before="0" w:beforeAutospacing="0" w:after="0" w:afterAutospacing="0"/>
                    <w:ind w:left="0" w:right="0"/>
                    <w:jc w:val="center"/>
                    <w:rPr>
                      <w:rFonts w:hint="eastAsia"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val="en-US" w:eastAsia="zh-CN"/>
                    </w:rPr>
                    <w:t>000</w:t>
                  </w:r>
                </w:p>
              </w:tc>
              <w:tc>
                <w:tcPr>
                  <w:tcW w:w="644" w:type="pct"/>
                  <w:noWrap w:val="0"/>
                  <w:vAlign w:val="center"/>
                </w:tcPr>
                <w:p w14:paraId="42E25F9E">
                  <w:pPr>
                    <w:keepNext w:val="0"/>
                    <w:keepLines w:val="0"/>
                    <w:suppressLineNumbers w:val="0"/>
                    <w:spacing w:before="0" w:beforeAutospacing="0" w:after="0" w:afterAutospacing="0"/>
                    <w:ind w:left="0" w:right="0"/>
                    <w:jc w:val="center"/>
                    <w:rPr>
                      <w:rFonts w:hint="eastAsia"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val="en-US" w:eastAsia="zh-CN"/>
                    </w:rPr>
                    <w:t>000</w:t>
                  </w:r>
                </w:p>
              </w:tc>
              <w:tc>
                <w:tcPr>
                  <w:tcW w:w="306" w:type="pct"/>
                  <w:noWrap w:val="0"/>
                  <w:vAlign w:val="center"/>
                </w:tcPr>
                <w:p w14:paraId="67169144">
                  <w:pPr>
                    <w:keepNext w:val="0"/>
                    <w:keepLines w:val="0"/>
                    <w:suppressLineNumbers w:val="0"/>
                    <w:spacing w:before="0" w:beforeAutospacing="0" w:after="0" w:afterAutospacing="0"/>
                    <w:ind w:left="0" w:right="0"/>
                    <w:jc w:val="center"/>
                    <w:rPr>
                      <w:rFonts w:hint="eastAsia" w:cs="Times New Roman"/>
                      <w:b w:val="0"/>
                      <w:bCs w:val="0"/>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660" w:type="pct"/>
                  <w:noWrap w:val="0"/>
                  <w:vAlign w:val="center"/>
                </w:tcPr>
                <w:p w14:paraId="4CE04509">
                  <w:pPr>
                    <w:keepNext w:val="0"/>
                    <w:keepLines w:val="0"/>
                    <w:suppressLineNumbers w:val="0"/>
                    <w:spacing w:before="0" w:beforeAutospacing="0" w:after="0" w:afterAutospacing="0"/>
                    <w:ind w:left="0" w:right="0"/>
                    <w:jc w:val="center"/>
                    <w:rPr>
                      <w:rFonts w:hint="eastAsia" w:cs="Times New Roman"/>
                      <w:b w:val="0"/>
                      <w:bCs w:val="0"/>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w:t>
                  </w:r>
                </w:p>
              </w:tc>
              <w:tc>
                <w:tcPr>
                  <w:tcW w:w="943" w:type="pct"/>
                  <w:noWrap w:val="0"/>
                  <w:vAlign w:val="center"/>
                </w:tcPr>
                <w:p w14:paraId="469F6125">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钢结构</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eastAsia" w:ascii="宋体" w:hAnsi="宋体" w:cs="宋体"/>
                      <w:i w:val="0"/>
                      <w:iCs w:val="0"/>
                      <w:color w:val="auto"/>
                      <w:kern w:val="0"/>
                      <w:sz w:val="21"/>
                      <w:szCs w:val="21"/>
                      <w:highlight w:val="none"/>
                      <w:u w:val="none"/>
                      <w:lang w:val="en-US" w:eastAsia="zh-CN" w:bidi="ar"/>
                    </w:rPr>
                    <w:t>利旧</w:t>
                  </w:r>
                </w:p>
              </w:tc>
            </w:tr>
            <w:tr w14:paraId="47ECE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8" w:type="dxa"/>
                  <w:noWrap w:val="0"/>
                  <w:vAlign w:val="center"/>
                </w:tcPr>
                <w:p w14:paraId="5E855834">
                  <w:pPr>
                    <w:keepNext w:val="0"/>
                    <w:keepLines w:val="0"/>
                    <w:widowControl/>
                    <w:suppressLineNumbers w:val="0"/>
                    <w:spacing w:before="0" w:beforeAutospacing="0" w:after="0" w:afterAutospacing="0"/>
                    <w:ind w:left="0" w:leftChars="0" w:right="0" w:rightChars="0"/>
                    <w:jc w:val="center"/>
                    <w:textAlignment w:val="center"/>
                    <w:rPr>
                      <w:rFonts w:hint="eastAsia"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391" w:type="pct"/>
                  <w:vMerge w:val="continue"/>
                  <w:noWrap w:val="0"/>
                  <w:vAlign w:val="center"/>
                </w:tcPr>
                <w:p w14:paraId="4FF05FAB">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highlight w:val="none"/>
                      <w:lang w:eastAsia="zh-CN"/>
                    </w:rPr>
                  </w:pPr>
                </w:p>
              </w:tc>
              <w:tc>
                <w:tcPr>
                  <w:tcW w:w="1094" w:type="pct"/>
                  <w:noWrap w:val="0"/>
                  <w:vAlign w:val="center"/>
                </w:tcPr>
                <w:p w14:paraId="4E199B74">
                  <w:pPr>
                    <w:keepNext w:val="0"/>
                    <w:keepLines w:val="0"/>
                    <w:suppressLineNumbers w:val="0"/>
                    <w:spacing w:before="0" w:beforeAutospacing="0" w:after="0" w:afterAutospacing="0"/>
                    <w:ind w:left="0" w:right="0"/>
                    <w:jc w:val="center"/>
                    <w:rPr>
                      <w:rFonts w:hint="eastAsia" w:cs="Times New Roman"/>
                      <w:b w:val="0"/>
                      <w:bCs w:val="0"/>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eastAsia="zh-CN"/>
                    </w:rPr>
                    <w:t>生产车间</w:t>
                  </w:r>
                </w:p>
              </w:tc>
              <w:tc>
                <w:tcPr>
                  <w:tcW w:w="661" w:type="pct"/>
                  <w:noWrap w:val="0"/>
                  <w:vAlign w:val="center"/>
                </w:tcPr>
                <w:p w14:paraId="6DA2A7FA">
                  <w:pPr>
                    <w:keepNext w:val="0"/>
                    <w:keepLines w:val="0"/>
                    <w:suppressLineNumbers w:val="0"/>
                    <w:spacing w:before="0" w:beforeAutospacing="0" w:after="0" w:afterAutospacing="0"/>
                    <w:ind w:left="0" w:right="0"/>
                    <w:jc w:val="center"/>
                    <w:rPr>
                      <w:rFonts w:hint="default"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4000</w:t>
                  </w:r>
                </w:p>
              </w:tc>
              <w:tc>
                <w:tcPr>
                  <w:tcW w:w="644" w:type="pct"/>
                  <w:noWrap w:val="0"/>
                  <w:vAlign w:val="center"/>
                </w:tcPr>
                <w:p w14:paraId="3B828264">
                  <w:pPr>
                    <w:keepNext w:val="0"/>
                    <w:keepLines w:val="0"/>
                    <w:suppressLineNumbers w:val="0"/>
                    <w:spacing w:before="0" w:beforeAutospacing="0" w:after="0" w:afterAutospacing="0"/>
                    <w:ind w:left="0" w:right="0"/>
                    <w:jc w:val="center"/>
                    <w:rPr>
                      <w:rFonts w:hint="default"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4000</w:t>
                  </w:r>
                </w:p>
              </w:tc>
              <w:tc>
                <w:tcPr>
                  <w:tcW w:w="306" w:type="pct"/>
                  <w:noWrap w:val="0"/>
                  <w:vAlign w:val="center"/>
                </w:tcPr>
                <w:p w14:paraId="7A87132F">
                  <w:pPr>
                    <w:keepNext w:val="0"/>
                    <w:keepLines w:val="0"/>
                    <w:suppressLineNumbers w:val="0"/>
                    <w:spacing w:before="0" w:beforeAutospacing="0" w:after="0" w:afterAutospacing="0"/>
                    <w:ind w:left="0" w:right="0"/>
                    <w:jc w:val="center"/>
                    <w:rPr>
                      <w:rFonts w:hint="eastAsia" w:cs="Times New Roman"/>
                      <w:b w:val="0"/>
                      <w:bCs w:val="0"/>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660" w:type="pct"/>
                  <w:noWrap w:val="0"/>
                  <w:vAlign w:val="center"/>
                </w:tcPr>
                <w:p w14:paraId="5B113142">
                  <w:pPr>
                    <w:keepNext w:val="0"/>
                    <w:keepLines w:val="0"/>
                    <w:suppressLineNumbers w:val="0"/>
                    <w:spacing w:before="0" w:beforeAutospacing="0" w:after="0" w:afterAutospacing="0"/>
                    <w:ind w:left="0" w:right="0"/>
                    <w:jc w:val="center"/>
                    <w:rPr>
                      <w:rFonts w:hint="eastAsia" w:cs="Times New Roman"/>
                      <w:b w:val="0"/>
                      <w:bCs w:val="0"/>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w:t>
                  </w:r>
                </w:p>
              </w:tc>
              <w:tc>
                <w:tcPr>
                  <w:tcW w:w="943" w:type="pct"/>
                  <w:noWrap w:val="0"/>
                  <w:vAlign w:val="center"/>
                </w:tcPr>
                <w:p w14:paraId="0D23595A">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钢结构</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eastAsia" w:ascii="宋体" w:hAnsi="宋体" w:cs="宋体"/>
                      <w:i w:val="0"/>
                      <w:iCs w:val="0"/>
                      <w:color w:val="auto"/>
                      <w:kern w:val="0"/>
                      <w:sz w:val="21"/>
                      <w:szCs w:val="21"/>
                      <w:highlight w:val="none"/>
                      <w:u w:val="none"/>
                      <w:lang w:val="en-US" w:eastAsia="zh-CN" w:bidi="ar"/>
                    </w:rPr>
                    <w:t>利旧</w:t>
                  </w:r>
                </w:p>
              </w:tc>
            </w:tr>
            <w:tr w14:paraId="52153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8" w:type="dxa"/>
                  <w:noWrap w:val="0"/>
                  <w:vAlign w:val="center"/>
                </w:tcPr>
                <w:p w14:paraId="18B6DE53">
                  <w:pPr>
                    <w:keepNext w:val="0"/>
                    <w:keepLines w:val="0"/>
                    <w:widowControl/>
                    <w:suppressLineNumbers w:val="0"/>
                    <w:spacing w:before="0" w:beforeAutospacing="0" w:after="0" w:afterAutospacing="0"/>
                    <w:ind w:left="0" w:leftChars="0" w:right="0" w:rightChars="0"/>
                    <w:jc w:val="center"/>
                    <w:textAlignment w:val="center"/>
                    <w:rPr>
                      <w:rFonts w:hint="eastAsia"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391" w:type="pct"/>
                  <w:vMerge w:val="continue"/>
                  <w:noWrap w:val="0"/>
                  <w:vAlign w:val="center"/>
                </w:tcPr>
                <w:p w14:paraId="34521CC2">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highlight w:val="none"/>
                      <w:lang w:eastAsia="zh-CN"/>
                    </w:rPr>
                  </w:pPr>
                </w:p>
              </w:tc>
              <w:tc>
                <w:tcPr>
                  <w:tcW w:w="1094" w:type="pct"/>
                  <w:noWrap w:val="0"/>
                  <w:vAlign w:val="center"/>
                </w:tcPr>
                <w:p w14:paraId="13FA406A">
                  <w:pPr>
                    <w:keepNext w:val="0"/>
                    <w:keepLines w:val="0"/>
                    <w:suppressLineNumbers w:val="0"/>
                    <w:spacing w:before="0" w:beforeAutospacing="0" w:after="0" w:afterAutospacing="0"/>
                    <w:ind w:left="0" w:right="0"/>
                    <w:jc w:val="center"/>
                    <w:rPr>
                      <w:rFonts w:hint="eastAsia" w:cs="Times New Roman"/>
                      <w:b w:val="0"/>
                      <w:bCs w:val="0"/>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产品库房</w:t>
                  </w:r>
                </w:p>
              </w:tc>
              <w:tc>
                <w:tcPr>
                  <w:tcW w:w="661" w:type="pct"/>
                  <w:noWrap w:val="0"/>
                  <w:vAlign w:val="center"/>
                </w:tcPr>
                <w:p w14:paraId="36F6D786">
                  <w:pPr>
                    <w:keepNext w:val="0"/>
                    <w:keepLines w:val="0"/>
                    <w:suppressLineNumbers w:val="0"/>
                    <w:spacing w:before="0" w:beforeAutospacing="0" w:after="0" w:afterAutospacing="0"/>
                    <w:ind w:left="0" w:right="0"/>
                    <w:jc w:val="center"/>
                    <w:rPr>
                      <w:rFonts w:hint="default"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4894</w:t>
                  </w:r>
                </w:p>
              </w:tc>
              <w:tc>
                <w:tcPr>
                  <w:tcW w:w="1021" w:type="dxa"/>
                  <w:noWrap w:val="0"/>
                  <w:vAlign w:val="center"/>
                </w:tcPr>
                <w:p w14:paraId="2CE4DDBD">
                  <w:pPr>
                    <w:keepNext w:val="0"/>
                    <w:keepLines w:val="0"/>
                    <w:suppressLineNumbers w:val="0"/>
                    <w:spacing w:before="0" w:beforeAutospacing="0" w:after="0" w:afterAutospacing="0"/>
                    <w:ind w:left="0" w:leftChars="0" w:right="0" w:rightChars="0"/>
                    <w:jc w:val="center"/>
                    <w:rPr>
                      <w:rFonts w:hint="default"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4894</w:t>
                  </w:r>
                </w:p>
              </w:tc>
              <w:tc>
                <w:tcPr>
                  <w:tcW w:w="306" w:type="pct"/>
                  <w:noWrap w:val="0"/>
                  <w:vAlign w:val="center"/>
                </w:tcPr>
                <w:p w14:paraId="10124017">
                  <w:pPr>
                    <w:keepNext w:val="0"/>
                    <w:keepLines w:val="0"/>
                    <w:suppressLineNumbers w:val="0"/>
                    <w:spacing w:before="0" w:beforeAutospacing="0" w:after="0" w:afterAutospacing="0"/>
                    <w:ind w:left="0" w:right="0"/>
                    <w:jc w:val="center"/>
                    <w:rPr>
                      <w:rFonts w:hint="eastAsia" w:cs="Times New Roman"/>
                      <w:b w:val="0"/>
                      <w:bCs w:val="0"/>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660" w:type="pct"/>
                  <w:noWrap w:val="0"/>
                  <w:vAlign w:val="center"/>
                </w:tcPr>
                <w:p w14:paraId="78D01A29">
                  <w:pPr>
                    <w:keepNext w:val="0"/>
                    <w:keepLines w:val="0"/>
                    <w:suppressLineNumbers w:val="0"/>
                    <w:spacing w:before="0" w:beforeAutospacing="0" w:after="0" w:afterAutospacing="0"/>
                    <w:ind w:left="0" w:right="0"/>
                    <w:jc w:val="center"/>
                    <w:rPr>
                      <w:rFonts w:hint="eastAsia" w:cs="Times New Roman"/>
                      <w:b w:val="0"/>
                      <w:bCs w:val="0"/>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w:t>
                  </w:r>
                </w:p>
              </w:tc>
              <w:tc>
                <w:tcPr>
                  <w:tcW w:w="943" w:type="pct"/>
                  <w:noWrap w:val="0"/>
                  <w:vAlign w:val="center"/>
                </w:tcPr>
                <w:p w14:paraId="57A1BFAE">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钢结构</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eastAsia" w:ascii="宋体" w:hAnsi="宋体" w:cs="宋体"/>
                      <w:i w:val="0"/>
                      <w:iCs w:val="0"/>
                      <w:color w:val="auto"/>
                      <w:kern w:val="0"/>
                      <w:sz w:val="21"/>
                      <w:szCs w:val="21"/>
                      <w:highlight w:val="none"/>
                      <w:u w:val="none"/>
                      <w:lang w:val="en-US" w:eastAsia="zh-CN" w:bidi="ar"/>
                    </w:rPr>
                    <w:t>利旧</w:t>
                  </w:r>
                </w:p>
              </w:tc>
            </w:tr>
            <w:tr w14:paraId="7E8CAA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8" w:type="dxa"/>
                  <w:noWrap w:val="0"/>
                  <w:vAlign w:val="center"/>
                </w:tcPr>
                <w:p w14:paraId="147C418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6</w:t>
                  </w:r>
                </w:p>
              </w:tc>
              <w:tc>
                <w:tcPr>
                  <w:tcW w:w="391" w:type="pct"/>
                  <w:vMerge w:val="continue"/>
                  <w:noWrap w:val="0"/>
                  <w:vAlign w:val="center"/>
                </w:tcPr>
                <w:p w14:paraId="7230B80E">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highlight w:val="none"/>
                      <w:lang w:eastAsia="zh-CN"/>
                    </w:rPr>
                  </w:pPr>
                </w:p>
              </w:tc>
              <w:tc>
                <w:tcPr>
                  <w:tcW w:w="1094" w:type="pct"/>
                  <w:noWrap w:val="0"/>
                  <w:vAlign w:val="center"/>
                </w:tcPr>
                <w:p w14:paraId="055FD9E1">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危险废物贮存点</w:t>
                  </w:r>
                </w:p>
              </w:tc>
              <w:tc>
                <w:tcPr>
                  <w:tcW w:w="661" w:type="pct"/>
                  <w:noWrap w:val="0"/>
                  <w:vAlign w:val="center"/>
                </w:tcPr>
                <w:p w14:paraId="1898588C">
                  <w:pPr>
                    <w:keepNext w:val="0"/>
                    <w:keepLines w:val="0"/>
                    <w:suppressLineNumbers w:val="0"/>
                    <w:spacing w:before="0" w:beforeAutospacing="0" w:after="0" w:afterAutospacing="0"/>
                    <w:ind w:left="0" w:right="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6</w:t>
                  </w:r>
                </w:p>
              </w:tc>
              <w:tc>
                <w:tcPr>
                  <w:tcW w:w="1021" w:type="dxa"/>
                  <w:noWrap w:val="0"/>
                  <w:vAlign w:val="center"/>
                </w:tcPr>
                <w:p w14:paraId="5762CC81">
                  <w:pPr>
                    <w:keepNext w:val="0"/>
                    <w:keepLines w:val="0"/>
                    <w:suppressLineNumbers w:val="0"/>
                    <w:spacing w:before="0" w:beforeAutospacing="0" w:after="0" w:afterAutospacing="0"/>
                    <w:ind w:left="0" w:leftChars="0" w:right="0" w:right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6</w:t>
                  </w:r>
                </w:p>
              </w:tc>
              <w:tc>
                <w:tcPr>
                  <w:tcW w:w="306" w:type="pct"/>
                  <w:noWrap w:val="0"/>
                  <w:vAlign w:val="center"/>
                </w:tcPr>
                <w:p w14:paraId="3F41794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660" w:type="pct"/>
                  <w:noWrap w:val="0"/>
                  <w:vAlign w:val="center"/>
                </w:tcPr>
                <w:p w14:paraId="2F1C903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w:t>
                  </w:r>
                </w:p>
              </w:tc>
              <w:tc>
                <w:tcPr>
                  <w:tcW w:w="943" w:type="pct"/>
                  <w:noWrap w:val="0"/>
                  <w:vAlign w:val="center"/>
                </w:tcPr>
                <w:p w14:paraId="4095EAA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钢结构</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eastAsia" w:ascii="宋体" w:hAnsi="宋体" w:cs="宋体"/>
                      <w:i w:val="0"/>
                      <w:iCs w:val="0"/>
                      <w:color w:val="auto"/>
                      <w:kern w:val="0"/>
                      <w:sz w:val="21"/>
                      <w:szCs w:val="21"/>
                      <w:highlight w:val="none"/>
                      <w:u w:val="none"/>
                      <w:lang w:val="en-US" w:eastAsia="zh-CN" w:bidi="ar"/>
                    </w:rPr>
                    <w:t>新建</w:t>
                  </w:r>
                </w:p>
              </w:tc>
            </w:tr>
            <w:tr w14:paraId="54BE3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8" w:type="dxa"/>
                  <w:noWrap w:val="0"/>
                  <w:vAlign w:val="center"/>
                </w:tcPr>
                <w:p w14:paraId="4426CF3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7</w:t>
                  </w:r>
                </w:p>
              </w:tc>
              <w:tc>
                <w:tcPr>
                  <w:tcW w:w="391" w:type="pct"/>
                  <w:vMerge w:val="continue"/>
                  <w:noWrap w:val="0"/>
                  <w:vAlign w:val="center"/>
                </w:tcPr>
                <w:p w14:paraId="371731C0">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highlight w:val="none"/>
                    </w:rPr>
                  </w:pPr>
                </w:p>
              </w:tc>
              <w:tc>
                <w:tcPr>
                  <w:tcW w:w="1094" w:type="pct"/>
                  <w:noWrap w:val="0"/>
                  <w:vAlign w:val="center"/>
                </w:tcPr>
                <w:p w14:paraId="5E5B0B9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eastAsia="zh-CN"/>
                    </w:rPr>
                    <w:t>一般固废暂存</w:t>
                  </w:r>
                  <w:r>
                    <w:rPr>
                      <w:rFonts w:hint="eastAsia" w:cs="Times New Roman"/>
                      <w:color w:val="auto"/>
                      <w:sz w:val="21"/>
                      <w:szCs w:val="21"/>
                      <w:highlight w:val="none"/>
                      <w:lang w:eastAsia="zh-CN"/>
                    </w:rPr>
                    <w:t>区</w:t>
                  </w:r>
                </w:p>
              </w:tc>
              <w:tc>
                <w:tcPr>
                  <w:tcW w:w="661" w:type="pct"/>
                  <w:noWrap w:val="0"/>
                  <w:vAlign w:val="center"/>
                </w:tcPr>
                <w:p w14:paraId="735114C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color w:val="auto"/>
                      <w:sz w:val="21"/>
                      <w:szCs w:val="21"/>
                      <w:highlight w:val="none"/>
                      <w:lang w:val="en-US" w:eastAsia="zh-CN"/>
                    </w:rPr>
                    <w:t>100</w:t>
                  </w:r>
                </w:p>
              </w:tc>
              <w:tc>
                <w:tcPr>
                  <w:tcW w:w="1021" w:type="dxa"/>
                  <w:noWrap w:val="0"/>
                  <w:vAlign w:val="center"/>
                </w:tcPr>
                <w:p w14:paraId="3EFD1BF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color w:val="auto"/>
                      <w:sz w:val="21"/>
                      <w:szCs w:val="21"/>
                      <w:highlight w:val="none"/>
                      <w:lang w:val="en-US" w:eastAsia="zh-CN"/>
                    </w:rPr>
                    <w:t>100</w:t>
                  </w:r>
                </w:p>
              </w:tc>
              <w:tc>
                <w:tcPr>
                  <w:tcW w:w="306" w:type="pct"/>
                  <w:noWrap w:val="0"/>
                  <w:vAlign w:val="center"/>
                </w:tcPr>
                <w:p w14:paraId="678849D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1</w:t>
                  </w:r>
                </w:p>
              </w:tc>
              <w:tc>
                <w:tcPr>
                  <w:tcW w:w="660" w:type="pct"/>
                  <w:noWrap w:val="0"/>
                  <w:vAlign w:val="center"/>
                </w:tcPr>
                <w:p w14:paraId="0E1A166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12</w:t>
                  </w:r>
                </w:p>
              </w:tc>
              <w:tc>
                <w:tcPr>
                  <w:tcW w:w="943" w:type="pct"/>
                  <w:noWrap w:val="0"/>
                  <w:vAlign w:val="center"/>
                </w:tcPr>
                <w:p w14:paraId="7F6CC91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钢结构</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eastAsia" w:ascii="宋体" w:hAnsi="宋体" w:cs="宋体"/>
                      <w:i w:val="0"/>
                      <w:iCs w:val="0"/>
                      <w:color w:val="auto"/>
                      <w:kern w:val="0"/>
                      <w:sz w:val="21"/>
                      <w:szCs w:val="21"/>
                      <w:highlight w:val="none"/>
                      <w:u w:val="none"/>
                      <w:lang w:val="en-US" w:eastAsia="zh-CN" w:bidi="ar"/>
                    </w:rPr>
                    <w:t>新建</w:t>
                  </w:r>
                </w:p>
              </w:tc>
            </w:tr>
            <w:tr w14:paraId="42311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8" w:type="dxa"/>
                  <w:noWrap w:val="0"/>
                  <w:vAlign w:val="center"/>
                </w:tcPr>
                <w:p w14:paraId="7D095DE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8</w:t>
                  </w:r>
                </w:p>
              </w:tc>
              <w:tc>
                <w:tcPr>
                  <w:tcW w:w="391" w:type="pct"/>
                  <w:vMerge w:val="continue"/>
                  <w:noWrap w:val="0"/>
                  <w:vAlign w:val="center"/>
                </w:tcPr>
                <w:p w14:paraId="55096FA8">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highlight w:val="none"/>
                    </w:rPr>
                  </w:pPr>
                </w:p>
              </w:tc>
              <w:tc>
                <w:tcPr>
                  <w:tcW w:w="1094" w:type="pct"/>
                  <w:noWrap w:val="0"/>
                  <w:vAlign w:val="center"/>
                </w:tcPr>
                <w:p w14:paraId="19B1643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水洗白云石生产线沉淀池</w:t>
                  </w:r>
                </w:p>
              </w:tc>
              <w:tc>
                <w:tcPr>
                  <w:tcW w:w="661" w:type="pct"/>
                  <w:noWrap w:val="0"/>
                  <w:vAlign w:val="center"/>
                </w:tcPr>
                <w:p w14:paraId="390D7BE2">
                  <w:pPr>
                    <w:keepNext w:val="0"/>
                    <w:keepLines w:val="0"/>
                    <w:suppressLineNumbers w:val="0"/>
                    <w:spacing w:before="0" w:beforeAutospacing="0" w:after="0" w:afterAutospacing="0"/>
                    <w:ind w:left="0" w:right="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500</w:t>
                  </w:r>
                </w:p>
              </w:tc>
              <w:tc>
                <w:tcPr>
                  <w:tcW w:w="1021" w:type="dxa"/>
                  <w:noWrap w:val="0"/>
                  <w:vAlign w:val="center"/>
                </w:tcPr>
                <w:p w14:paraId="67D82A3F">
                  <w:pPr>
                    <w:keepNext w:val="0"/>
                    <w:keepLines w:val="0"/>
                    <w:suppressLineNumbers w:val="0"/>
                    <w:spacing w:before="0" w:beforeAutospacing="0" w:after="0" w:afterAutospacing="0"/>
                    <w:ind w:left="0" w:leftChars="0" w:right="0" w:right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306" w:type="pct"/>
                  <w:noWrap w:val="0"/>
                  <w:vAlign w:val="center"/>
                </w:tcPr>
                <w:p w14:paraId="21591C2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660" w:type="pct"/>
                  <w:noWrap w:val="0"/>
                  <w:vAlign w:val="center"/>
                </w:tcPr>
                <w:p w14:paraId="24EC803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943" w:type="pct"/>
                  <w:noWrap w:val="0"/>
                  <w:vAlign w:val="center"/>
                </w:tcPr>
                <w:p w14:paraId="5CB08ED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依托，砖混</w:t>
                  </w:r>
                </w:p>
              </w:tc>
            </w:tr>
            <w:tr w14:paraId="2E1B9F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8" w:type="dxa"/>
                  <w:noWrap w:val="0"/>
                  <w:vAlign w:val="center"/>
                </w:tcPr>
                <w:p w14:paraId="1A1381E7">
                  <w:pPr>
                    <w:keepNext w:val="0"/>
                    <w:keepLines w:val="0"/>
                    <w:widowControl/>
                    <w:suppressLineNumbers w:val="0"/>
                    <w:spacing w:before="0" w:beforeAutospacing="0" w:after="0" w:afterAutospacing="0"/>
                    <w:ind w:left="0" w:leftChars="0" w:right="0" w:rightChars="0"/>
                    <w:jc w:val="center"/>
                    <w:textAlignment w:val="center"/>
                    <w:rPr>
                      <w:rFonts w:hint="eastAsia" w:cs="Times New Roman"/>
                      <w:b w:val="0"/>
                      <w:bCs w:val="0"/>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9</w:t>
                  </w:r>
                </w:p>
              </w:tc>
              <w:tc>
                <w:tcPr>
                  <w:tcW w:w="391" w:type="pct"/>
                  <w:vMerge w:val="continue"/>
                  <w:noWrap w:val="0"/>
                  <w:vAlign w:val="center"/>
                </w:tcPr>
                <w:p w14:paraId="61A76A42">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highlight w:val="none"/>
                      <w:lang w:eastAsia="zh-CN"/>
                    </w:rPr>
                  </w:pPr>
                </w:p>
              </w:tc>
              <w:tc>
                <w:tcPr>
                  <w:tcW w:w="1839" w:type="dxa"/>
                  <w:noWrap w:val="0"/>
                  <w:vAlign w:val="center"/>
                </w:tcPr>
                <w:p w14:paraId="319F5E24">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b w:val="0"/>
                      <w:bCs w:val="0"/>
                      <w:color w:val="auto"/>
                      <w:sz w:val="21"/>
                      <w:szCs w:val="21"/>
                      <w:highlight w:val="none"/>
                      <w:lang w:eastAsia="zh-CN"/>
                    </w:rPr>
                  </w:pPr>
                  <w:r>
                    <w:rPr>
                      <w:rFonts w:hint="eastAsia" w:ascii="宋体" w:hAnsi="宋体" w:eastAsia="宋体" w:cs="宋体"/>
                      <w:i w:val="0"/>
                      <w:iCs w:val="0"/>
                      <w:color w:val="auto"/>
                      <w:kern w:val="0"/>
                      <w:sz w:val="21"/>
                      <w:szCs w:val="21"/>
                      <w:highlight w:val="none"/>
                      <w:u w:val="none"/>
                      <w:lang w:val="en-US" w:eastAsia="zh-CN" w:bidi="ar"/>
                    </w:rPr>
                    <w:t>洗车平台及</w:t>
                  </w:r>
                  <w:r>
                    <w:rPr>
                      <w:rFonts w:hint="eastAsia" w:ascii="宋体" w:hAnsi="宋体" w:cs="宋体"/>
                      <w:i w:val="0"/>
                      <w:iCs w:val="0"/>
                      <w:color w:val="auto"/>
                      <w:kern w:val="0"/>
                      <w:sz w:val="21"/>
                      <w:szCs w:val="21"/>
                      <w:highlight w:val="none"/>
                      <w:u w:val="none"/>
                      <w:lang w:val="en-US" w:eastAsia="zh-CN" w:bidi="ar"/>
                    </w:rPr>
                    <w:t>洗车平台</w:t>
                  </w:r>
                  <w:r>
                    <w:rPr>
                      <w:rFonts w:hint="eastAsia" w:ascii="宋体" w:hAnsi="宋体" w:eastAsia="宋体" w:cs="宋体"/>
                      <w:i w:val="0"/>
                      <w:iCs w:val="0"/>
                      <w:color w:val="auto"/>
                      <w:kern w:val="0"/>
                      <w:sz w:val="21"/>
                      <w:szCs w:val="21"/>
                      <w:highlight w:val="none"/>
                      <w:u w:val="none"/>
                      <w:lang w:val="en-US" w:eastAsia="zh-CN" w:bidi="ar"/>
                    </w:rPr>
                    <w:t>沉淀池</w:t>
                  </w:r>
                </w:p>
              </w:tc>
              <w:tc>
                <w:tcPr>
                  <w:tcW w:w="1110" w:type="dxa"/>
                  <w:noWrap w:val="0"/>
                  <w:vAlign w:val="center"/>
                </w:tcPr>
                <w:p w14:paraId="2042293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5</w:t>
                  </w: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44" w:type="pct"/>
                  <w:noWrap w:val="0"/>
                  <w:vAlign w:val="center"/>
                </w:tcPr>
                <w:p w14:paraId="56FAE76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20</w:t>
                  </w:r>
                </w:p>
              </w:tc>
              <w:tc>
                <w:tcPr>
                  <w:tcW w:w="306" w:type="pct"/>
                  <w:noWrap w:val="0"/>
                  <w:vAlign w:val="center"/>
                </w:tcPr>
                <w:p w14:paraId="4A6A558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660" w:type="pct"/>
                  <w:noWrap w:val="0"/>
                  <w:vAlign w:val="center"/>
                </w:tcPr>
                <w:p w14:paraId="530C9C9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43" w:type="pct"/>
                  <w:noWrap w:val="0"/>
                  <w:vAlign w:val="center"/>
                </w:tcPr>
                <w:p w14:paraId="6479EB1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地面洗车平台</w:t>
                  </w:r>
                  <w:r>
                    <w:rPr>
                      <w:rFonts w:hint="default" w:ascii="Times New Roman" w:hAnsi="Times New Roman" w:eastAsia="宋体" w:cs="Times New Roman"/>
                      <w:i w:val="0"/>
                      <w:iCs w:val="0"/>
                      <w:color w:val="auto"/>
                      <w:kern w:val="0"/>
                      <w:sz w:val="21"/>
                      <w:szCs w:val="21"/>
                      <w:highlight w:val="none"/>
                      <w:u w:val="none"/>
                      <w:lang w:val="en-US" w:eastAsia="zh-CN" w:bidi="ar"/>
                    </w:rPr>
                    <w:t>20m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2</w:t>
                  </w:r>
                  <w:r>
                    <w:rPr>
                      <w:rFonts w:hint="eastAsia" w:ascii="宋体" w:hAnsi="宋体" w:eastAsia="宋体" w:cs="宋体"/>
                      <w:i w:val="0"/>
                      <w:iCs w:val="0"/>
                      <w:color w:val="auto"/>
                      <w:kern w:val="0"/>
                      <w:sz w:val="21"/>
                      <w:szCs w:val="21"/>
                      <w:highlight w:val="none"/>
                      <w:u w:val="none"/>
                      <w:lang w:val="en-US" w:eastAsia="zh-CN" w:bidi="ar"/>
                    </w:rPr>
                    <w:t>，地下沉淀池</w:t>
                  </w:r>
                  <w:r>
                    <w:rPr>
                      <w:rFonts w:hint="default" w:ascii="Times New Roman" w:hAnsi="Times New Roman" w:eastAsia="宋体" w:cs="Times New Roman"/>
                      <w:i w:val="0"/>
                      <w:iCs w:val="0"/>
                      <w:color w:val="auto"/>
                      <w:kern w:val="0"/>
                      <w:sz w:val="21"/>
                      <w:szCs w:val="21"/>
                      <w:highlight w:val="none"/>
                      <w:u w:val="none"/>
                      <w:lang w:val="en-US" w:eastAsia="zh-CN" w:bidi="ar"/>
                    </w:rPr>
                    <w:t>30m³</w:t>
                  </w:r>
                </w:p>
              </w:tc>
            </w:tr>
            <w:tr w14:paraId="6A691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4" w:type="pct"/>
                  <w:gridSpan w:val="3"/>
                  <w:noWrap w:val="0"/>
                  <w:vAlign w:val="center"/>
                </w:tcPr>
                <w:p w14:paraId="71788C75">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合计</w:t>
                  </w:r>
                </w:p>
              </w:tc>
              <w:tc>
                <w:tcPr>
                  <w:tcW w:w="661" w:type="pct"/>
                  <w:noWrap w:val="0"/>
                  <w:vAlign w:val="center"/>
                </w:tcPr>
                <w:p w14:paraId="210974D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14550</w:t>
                  </w:r>
                </w:p>
              </w:tc>
              <w:tc>
                <w:tcPr>
                  <w:tcW w:w="644" w:type="pct"/>
                  <w:noWrap w:val="0"/>
                  <w:vAlign w:val="center"/>
                </w:tcPr>
                <w:p w14:paraId="6F28139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14020</w:t>
                  </w:r>
                </w:p>
              </w:tc>
              <w:tc>
                <w:tcPr>
                  <w:tcW w:w="306" w:type="pct"/>
                  <w:noWrap w:val="0"/>
                  <w:vAlign w:val="center"/>
                </w:tcPr>
                <w:p w14:paraId="10C7ABF2">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660" w:type="pct"/>
                  <w:noWrap w:val="0"/>
                  <w:vAlign w:val="center"/>
                </w:tcPr>
                <w:p w14:paraId="47F36656">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43" w:type="pct"/>
                  <w:noWrap w:val="0"/>
                  <w:vAlign w:val="center"/>
                </w:tcPr>
                <w:p w14:paraId="6BE6D439">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bookmarkEnd w:id="1"/>
          </w:tbl>
          <w:p w14:paraId="4CA118B7">
            <w:pPr>
              <w:keepNext w:val="0"/>
              <w:keepLines w:val="0"/>
              <w:numPr>
                <w:ilvl w:val="0"/>
                <w:numId w:val="0"/>
              </w:numPr>
              <w:suppressLineNumbers w:val="0"/>
              <w:spacing w:before="0" w:beforeAutospacing="0" w:after="0" w:afterAutospacing="0" w:line="360" w:lineRule="auto"/>
              <w:ind w:left="0" w:right="151" w:rightChars="72"/>
              <w:rPr>
                <w:rFonts w:ascii="Calibri" w:hAnsi="Calibri" w:eastAsia="宋体" w:cs="Times New Roman"/>
                <w:b/>
                <w:bCs/>
                <w:color w:val="auto"/>
                <w:sz w:val="24"/>
                <w:highlight w:val="none"/>
                <w:shd w:val="clear" w:color="auto" w:fill="auto"/>
              </w:rPr>
            </w:pPr>
            <w:r>
              <w:rPr>
                <w:rFonts w:hint="eastAsia" w:ascii="Calibri" w:hAnsi="Calibri" w:eastAsia="宋体" w:cs="Times New Roman"/>
                <w:b/>
                <w:bCs/>
                <w:color w:val="auto"/>
                <w:sz w:val="24"/>
                <w:highlight w:val="none"/>
                <w:shd w:val="clear" w:color="auto" w:fill="auto"/>
                <w:lang w:val="en-US" w:eastAsia="zh-CN"/>
              </w:rPr>
              <w:t>3、</w:t>
            </w:r>
            <w:r>
              <w:rPr>
                <w:rFonts w:ascii="Calibri" w:hAnsi="Calibri" w:eastAsia="宋体" w:cs="Times New Roman"/>
                <w:b/>
                <w:bCs/>
                <w:color w:val="auto"/>
                <w:sz w:val="24"/>
                <w:highlight w:val="none"/>
                <w:shd w:val="clear" w:color="auto" w:fill="auto"/>
              </w:rPr>
              <w:t>产品方案</w:t>
            </w:r>
          </w:p>
          <w:p w14:paraId="7F8903F4">
            <w:pPr>
              <w:keepNext w:val="0"/>
              <w:keepLines w:val="0"/>
              <w:suppressLineNumbers w:val="0"/>
              <w:spacing w:before="0" w:beforeAutospacing="0" w:after="0" w:afterAutospacing="0" w:line="500" w:lineRule="exact"/>
              <w:ind w:left="0" w:right="0" w:firstLine="480" w:firstLineChars="200"/>
              <w:jc w:val="left"/>
              <w:rPr>
                <w:rFonts w:hint="default" w:ascii="Calibri" w:hAnsi="Calibri" w:eastAsia="宋体" w:cs="Times New Roman"/>
                <w:color w:val="auto"/>
                <w:sz w:val="24"/>
                <w:highlight w:val="none"/>
                <w:shd w:val="clear" w:color="auto" w:fill="auto"/>
                <w:lang w:val="en-US" w:eastAsia="zh-CN"/>
              </w:rPr>
            </w:pPr>
            <w:r>
              <w:rPr>
                <w:rFonts w:hint="eastAsia" w:ascii="Calibri" w:hAnsi="Calibri" w:eastAsia="宋体" w:cs="Times New Roman"/>
                <w:color w:val="auto"/>
                <w:sz w:val="24"/>
                <w:highlight w:val="none"/>
                <w:shd w:val="clear" w:color="auto" w:fill="auto"/>
                <w:lang w:eastAsia="zh-CN"/>
              </w:rPr>
              <w:t>本项目</w:t>
            </w:r>
            <w:r>
              <w:rPr>
                <w:rFonts w:hint="eastAsia" w:ascii="Calibri" w:hAnsi="Calibri" w:cs="Times New Roman"/>
                <w:color w:val="auto"/>
                <w:sz w:val="24"/>
                <w:highlight w:val="none"/>
                <w:shd w:val="clear" w:color="auto" w:fill="auto"/>
                <w:lang w:eastAsia="zh-CN"/>
              </w:rPr>
              <w:t>建成</w:t>
            </w:r>
            <w:r>
              <w:rPr>
                <w:rFonts w:hint="eastAsia" w:ascii="Calibri" w:hAnsi="Calibri" w:eastAsia="宋体" w:cs="Times New Roman"/>
                <w:color w:val="auto"/>
                <w:sz w:val="24"/>
                <w:highlight w:val="none"/>
                <w:shd w:val="clear" w:color="auto" w:fill="auto"/>
                <w:lang w:eastAsia="zh-CN"/>
              </w:rPr>
              <w:t>后，</w:t>
            </w:r>
            <w:r>
              <w:rPr>
                <w:rFonts w:hint="eastAsia" w:ascii="Calibri" w:hAnsi="Calibri" w:cs="Times New Roman"/>
                <w:color w:val="auto"/>
                <w:sz w:val="24"/>
                <w:highlight w:val="none"/>
                <w:shd w:val="clear" w:color="auto" w:fill="auto"/>
                <w:lang w:eastAsia="zh-CN"/>
              </w:rPr>
              <w:t>年产</w:t>
            </w:r>
            <w:r>
              <w:rPr>
                <w:rFonts w:hint="eastAsia" w:ascii="Calibri" w:hAnsi="Calibri" w:cs="Times New Roman"/>
                <w:color w:val="auto"/>
                <w:sz w:val="24"/>
                <w:highlight w:val="none"/>
                <w:shd w:val="clear" w:color="auto" w:fill="auto"/>
                <w:lang w:val="en-US" w:eastAsia="zh-CN"/>
              </w:rPr>
              <w:t>20万吨水洗白云石、30万吨白云石粉、10万吨白云砂。产品方案见表2-3</w:t>
            </w:r>
            <w:r>
              <w:rPr>
                <w:rFonts w:hint="eastAsia" w:ascii="Calibri" w:hAnsi="Calibri" w:eastAsia="宋体" w:cs="Times New Roman"/>
                <w:color w:val="auto"/>
                <w:sz w:val="24"/>
                <w:highlight w:val="none"/>
                <w:shd w:val="clear" w:color="auto" w:fill="auto"/>
                <w:lang w:val="en-US" w:eastAsia="zh-CN"/>
              </w:rPr>
              <w:t>。</w:t>
            </w:r>
          </w:p>
          <w:p w14:paraId="65612AF8">
            <w:pPr>
              <w:keepNext w:val="0"/>
              <w:keepLines w:val="0"/>
              <w:suppressLineNumbers w:val="0"/>
              <w:spacing w:before="0" w:beforeAutospacing="0" w:after="0" w:afterAutospacing="0" w:line="500" w:lineRule="exact"/>
              <w:ind w:left="0" w:right="0"/>
              <w:jc w:val="center"/>
              <w:rPr>
                <w:rFonts w:ascii="Calibri" w:hAnsi="Calibri" w:eastAsia="宋体" w:cs="Times New Roman"/>
                <w:color w:val="auto"/>
                <w:sz w:val="24"/>
                <w:highlight w:val="none"/>
                <w:shd w:val="clear" w:color="auto" w:fill="auto"/>
              </w:rPr>
            </w:pPr>
            <w:r>
              <w:rPr>
                <w:rFonts w:ascii="Calibri" w:hAnsi="Calibri" w:eastAsia="宋体" w:cs="Times New Roman"/>
                <w:color w:val="auto"/>
                <w:sz w:val="24"/>
                <w:highlight w:val="none"/>
                <w:shd w:val="clear" w:color="auto" w:fill="auto"/>
              </w:rPr>
              <w:t>表</w:t>
            </w:r>
            <w:r>
              <w:rPr>
                <w:rFonts w:hint="eastAsia" w:ascii="Calibri" w:hAnsi="Calibri" w:cs="Times New Roman"/>
                <w:color w:val="auto"/>
                <w:sz w:val="24"/>
                <w:highlight w:val="none"/>
                <w:shd w:val="clear" w:color="auto" w:fill="auto"/>
                <w:lang w:val="en-US" w:eastAsia="zh-CN"/>
              </w:rPr>
              <w:t>2-3</w:t>
            </w:r>
            <w:r>
              <w:rPr>
                <w:rFonts w:ascii="Calibri" w:hAnsi="Calibri" w:eastAsia="宋体" w:cs="Times New Roman"/>
                <w:color w:val="auto"/>
                <w:sz w:val="24"/>
                <w:highlight w:val="none"/>
                <w:shd w:val="clear" w:color="auto" w:fill="auto"/>
              </w:rPr>
              <w:t xml:space="preserve">    本项目主要产品方案表</w:t>
            </w:r>
          </w:p>
          <w:tbl>
            <w:tblPr>
              <w:tblStyle w:val="25"/>
              <w:tblW w:w="4998"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480"/>
              <w:gridCol w:w="1409"/>
              <w:gridCol w:w="1101"/>
              <w:gridCol w:w="1303"/>
              <w:gridCol w:w="2112"/>
              <w:gridCol w:w="997"/>
            </w:tblGrid>
            <w:tr w14:paraId="6940B33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880" w:type="pct"/>
                  <w:tcBorders>
                    <w:bottom w:val="single" w:color="000000" w:sz="4" w:space="0"/>
                    <w:right w:val="single" w:color="000000" w:sz="4" w:space="0"/>
                  </w:tcBorders>
                  <w:shd w:val="clear" w:color="auto" w:fill="auto"/>
                  <w:vAlign w:val="center"/>
                </w:tcPr>
                <w:p w14:paraId="66E939B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产品名称</w:t>
                  </w:r>
                </w:p>
              </w:tc>
              <w:tc>
                <w:tcPr>
                  <w:tcW w:w="838" w:type="pct"/>
                  <w:tcBorders>
                    <w:left w:val="single" w:color="000000" w:sz="4" w:space="0"/>
                    <w:bottom w:val="single" w:color="000000" w:sz="4" w:space="0"/>
                    <w:right w:val="single" w:color="000000" w:sz="4" w:space="0"/>
                  </w:tcBorders>
                  <w:shd w:val="clear" w:color="auto" w:fill="auto"/>
                  <w:vAlign w:val="center"/>
                </w:tcPr>
                <w:p w14:paraId="6E7CD3B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规格</w:t>
                  </w:r>
                </w:p>
              </w:tc>
              <w:tc>
                <w:tcPr>
                  <w:tcW w:w="655" w:type="pct"/>
                  <w:tcBorders>
                    <w:left w:val="single" w:color="000000" w:sz="4" w:space="0"/>
                    <w:bottom w:val="single" w:color="000000" w:sz="4" w:space="0"/>
                    <w:right w:val="single" w:color="000000" w:sz="4" w:space="0"/>
                  </w:tcBorders>
                  <w:shd w:val="clear" w:color="auto" w:fill="auto"/>
                  <w:vAlign w:val="center"/>
                </w:tcPr>
                <w:p w14:paraId="70954E5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年产量</w:t>
                  </w:r>
                </w:p>
              </w:tc>
              <w:tc>
                <w:tcPr>
                  <w:tcW w:w="775" w:type="pct"/>
                  <w:tcBorders>
                    <w:left w:val="single" w:color="000000" w:sz="4" w:space="0"/>
                    <w:bottom w:val="single" w:color="000000" w:sz="4" w:space="0"/>
                    <w:right w:val="single" w:color="000000" w:sz="4" w:space="0"/>
                  </w:tcBorders>
                  <w:shd w:val="clear" w:color="auto" w:fill="auto"/>
                  <w:vAlign w:val="center"/>
                </w:tcPr>
                <w:p w14:paraId="5FA34F8B">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用途</w:t>
                  </w:r>
                </w:p>
              </w:tc>
              <w:tc>
                <w:tcPr>
                  <w:tcW w:w="1256" w:type="pct"/>
                  <w:tcBorders>
                    <w:left w:val="single" w:color="000000" w:sz="4" w:space="0"/>
                    <w:bottom w:val="single" w:color="000000" w:sz="4" w:space="0"/>
                    <w:right w:val="single" w:color="000000" w:sz="4" w:space="0"/>
                  </w:tcBorders>
                  <w:shd w:val="clear" w:color="auto" w:fill="auto"/>
                  <w:vAlign w:val="center"/>
                </w:tcPr>
                <w:p w14:paraId="5D02570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产品质量标准</w:t>
                  </w:r>
                </w:p>
              </w:tc>
              <w:tc>
                <w:tcPr>
                  <w:tcW w:w="593" w:type="pct"/>
                  <w:tcBorders>
                    <w:left w:val="single" w:color="000000" w:sz="4" w:space="0"/>
                    <w:bottom w:val="single" w:color="auto" w:sz="4" w:space="0"/>
                  </w:tcBorders>
                  <w:shd w:val="clear" w:color="auto" w:fill="auto"/>
                  <w:vAlign w:val="center"/>
                </w:tcPr>
                <w:p w14:paraId="4290453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备注</w:t>
                  </w:r>
                </w:p>
              </w:tc>
            </w:tr>
            <w:tr w14:paraId="4AA00AD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05" w:hRule="atLeast"/>
                <w:jc w:val="center"/>
              </w:trPr>
              <w:tc>
                <w:tcPr>
                  <w:tcW w:w="880" w:type="pct"/>
                  <w:tcBorders>
                    <w:top w:val="single" w:color="000000" w:sz="4" w:space="0"/>
                    <w:bottom w:val="single" w:color="000000" w:sz="4" w:space="0"/>
                    <w:right w:val="single" w:color="000000" w:sz="4" w:space="0"/>
                  </w:tcBorders>
                  <w:shd w:val="clear" w:color="auto" w:fill="auto"/>
                  <w:vAlign w:val="center"/>
                </w:tcPr>
                <w:p w14:paraId="66F3F2E8">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i w:val="0"/>
                      <w:iCs w:val="0"/>
                      <w:color w:val="auto"/>
                      <w:sz w:val="21"/>
                      <w:szCs w:val="21"/>
                      <w:highlight w:val="none"/>
                      <w:u w:val="none"/>
                    </w:rPr>
                  </w:pPr>
                  <w:r>
                    <w:rPr>
                      <w:rFonts w:hint="eastAsia" w:ascii="Times New Roman" w:hAnsi="Times New Roman" w:eastAsia="宋体" w:cs="Times New Roman"/>
                      <w:i w:val="0"/>
                      <w:iCs w:val="0"/>
                      <w:color w:val="auto"/>
                      <w:kern w:val="0"/>
                      <w:sz w:val="22"/>
                      <w:szCs w:val="22"/>
                      <w:highlight w:val="none"/>
                      <w:u w:val="none"/>
                      <w:lang w:val="en-US" w:eastAsia="zh-CN" w:bidi="ar"/>
                    </w:rPr>
                    <w:t>水洗</w:t>
                  </w:r>
                  <w:r>
                    <w:rPr>
                      <w:rFonts w:hint="default" w:ascii="Times New Roman" w:hAnsi="Times New Roman" w:eastAsia="宋体" w:cs="Times New Roman"/>
                      <w:i w:val="0"/>
                      <w:iCs w:val="0"/>
                      <w:color w:val="auto"/>
                      <w:kern w:val="0"/>
                      <w:sz w:val="22"/>
                      <w:szCs w:val="22"/>
                      <w:highlight w:val="none"/>
                      <w:u w:val="none"/>
                      <w:lang w:val="en-US" w:eastAsia="zh-CN" w:bidi="ar"/>
                    </w:rPr>
                    <w:t>白云石</w:t>
                  </w:r>
                </w:p>
              </w:tc>
              <w:tc>
                <w:tcPr>
                  <w:tcW w:w="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CBBB6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2"/>
                      <w:szCs w:val="22"/>
                      <w:highlight w:val="none"/>
                      <w:u w:val="none"/>
                    </w:rPr>
                  </w:pPr>
                  <w:r>
                    <w:rPr>
                      <w:rFonts w:hint="eastAsia" w:ascii="Times New Roman" w:hAnsi="Times New Roman" w:eastAsia="宋体" w:cs="Times New Roman"/>
                      <w:i w:val="0"/>
                      <w:iCs w:val="0"/>
                      <w:color w:val="auto"/>
                      <w:kern w:val="0"/>
                      <w:sz w:val="22"/>
                      <w:szCs w:val="22"/>
                      <w:highlight w:val="none"/>
                      <w:u w:val="none"/>
                      <w:lang w:val="en-US" w:eastAsia="zh-CN" w:bidi="ar"/>
                    </w:rPr>
                    <w:t>20cm</w:t>
                  </w:r>
                </w:p>
              </w:tc>
              <w:tc>
                <w:tcPr>
                  <w:tcW w:w="6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D6F4F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2"/>
                      <w:szCs w:val="22"/>
                      <w:highlight w:val="none"/>
                      <w:u w:val="none"/>
                    </w:rPr>
                  </w:pPr>
                  <w:r>
                    <w:rPr>
                      <w:rFonts w:hint="eastAsia" w:ascii="Times New Roman" w:hAnsi="Times New Roman" w:eastAsia="宋体" w:cs="Times New Roman"/>
                      <w:i w:val="0"/>
                      <w:iCs w:val="0"/>
                      <w:color w:val="auto"/>
                      <w:kern w:val="0"/>
                      <w:sz w:val="22"/>
                      <w:szCs w:val="22"/>
                      <w:highlight w:val="none"/>
                      <w:u w:val="none"/>
                      <w:lang w:val="en-US" w:eastAsia="zh-CN" w:bidi="ar"/>
                    </w:rPr>
                    <w:t>20万吨</w:t>
                  </w:r>
                </w:p>
              </w:tc>
              <w:tc>
                <w:tcPr>
                  <w:tcW w:w="7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9B29FF">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建筑材料</w:t>
                  </w:r>
                </w:p>
              </w:tc>
              <w:tc>
                <w:tcPr>
                  <w:tcW w:w="1256" w:type="pct"/>
                  <w:vMerge w:val="restart"/>
                  <w:tcBorders>
                    <w:top w:val="single" w:color="000000" w:sz="4" w:space="0"/>
                    <w:left w:val="single" w:color="000000" w:sz="4" w:space="0"/>
                    <w:right w:val="single" w:color="auto" w:sz="4" w:space="0"/>
                  </w:tcBorders>
                  <w:shd w:val="clear" w:color="auto" w:fill="auto"/>
                  <w:vAlign w:val="center"/>
                </w:tcPr>
                <w:p w14:paraId="77CDF06F">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《白云石》</w:t>
                  </w:r>
                </w:p>
                <w:p w14:paraId="344E7532">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（YB/T5278-2020）</w:t>
                  </w:r>
                </w:p>
                <w:p w14:paraId="44CA73B1">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MgO≥19%，</w:t>
                  </w:r>
                </w:p>
                <w:p w14:paraId="5643065A">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SiO</w:t>
                  </w:r>
                  <w:r>
                    <w:rPr>
                      <w:rFonts w:hint="eastAsia" w:ascii="Times New Roman" w:hAnsi="Times New Roman" w:eastAsia="宋体" w:cs="Times New Roman"/>
                      <w:i w:val="0"/>
                      <w:iCs w:val="0"/>
                      <w:color w:val="auto"/>
                      <w:kern w:val="0"/>
                      <w:sz w:val="22"/>
                      <w:szCs w:val="22"/>
                      <w:highlight w:val="none"/>
                      <w:u w:val="none"/>
                      <w:vertAlign w:val="subscript"/>
                      <w:lang w:val="en-US" w:eastAsia="zh-CN" w:bidi="ar"/>
                    </w:rPr>
                    <w:t>2</w:t>
                  </w:r>
                  <w:r>
                    <w:rPr>
                      <w:rFonts w:hint="eastAsia" w:ascii="Times New Roman" w:hAnsi="Times New Roman" w:eastAsia="宋体" w:cs="Times New Roman"/>
                      <w:i w:val="0"/>
                      <w:iCs w:val="0"/>
                      <w:color w:val="auto"/>
                      <w:kern w:val="0"/>
                      <w:sz w:val="22"/>
                      <w:szCs w:val="22"/>
                      <w:highlight w:val="none"/>
                      <w:u w:val="none"/>
                      <w:lang w:val="en-US" w:eastAsia="zh-CN" w:bidi="ar"/>
                    </w:rPr>
                    <w:t>≤3.5%。</w:t>
                  </w:r>
                </w:p>
              </w:tc>
              <w:tc>
                <w:tcPr>
                  <w:tcW w:w="593" w:type="pct"/>
                  <w:tcBorders>
                    <w:top w:val="single" w:color="auto" w:sz="4" w:space="0"/>
                    <w:left w:val="single" w:color="auto" w:sz="4" w:space="0"/>
                    <w:bottom w:val="single" w:color="auto" w:sz="4" w:space="0"/>
                  </w:tcBorders>
                  <w:shd w:val="clear" w:color="auto" w:fill="auto"/>
                  <w:vAlign w:val="center"/>
                </w:tcPr>
                <w:p w14:paraId="5E510A8F">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i w:val="0"/>
                      <w:iCs w:val="0"/>
                      <w:color w:val="auto"/>
                      <w:kern w:val="2"/>
                      <w:sz w:val="22"/>
                      <w:szCs w:val="22"/>
                      <w:highlight w:val="none"/>
                      <w:u w:val="none"/>
                      <w:lang w:val="en-US" w:eastAsia="zh-CN" w:bidi="ar-SA"/>
                    </w:rPr>
                  </w:pPr>
                  <w:r>
                    <w:rPr>
                      <w:rFonts w:hint="eastAsia"/>
                      <w:color w:val="auto"/>
                      <w:highlight w:val="none"/>
                      <w:lang w:eastAsia="zh-CN"/>
                    </w:rPr>
                    <w:t>湿料、散装</w:t>
                  </w:r>
                  <w:r>
                    <w:rPr>
                      <w:rFonts w:hint="eastAsia"/>
                      <w:color w:val="auto"/>
                      <w:highlight w:val="none"/>
                      <w:lang w:val="en-US" w:eastAsia="zh-CN"/>
                    </w:rPr>
                    <w:t>封闭成品库储存，封闭车辆运输</w:t>
                  </w:r>
                </w:p>
              </w:tc>
            </w:tr>
            <w:tr w14:paraId="51B0724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05" w:hRule="atLeast"/>
                <w:jc w:val="center"/>
              </w:trPr>
              <w:tc>
                <w:tcPr>
                  <w:tcW w:w="880" w:type="pct"/>
                  <w:tcBorders>
                    <w:top w:val="single" w:color="000000" w:sz="4" w:space="0"/>
                    <w:bottom w:val="single" w:color="000000" w:sz="4" w:space="0"/>
                    <w:right w:val="single" w:color="000000" w:sz="4" w:space="0"/>
                  </w:tcBorders>
                  <w:shd w:val="clear" w:color="auto" w:fill="auto"/>
                  <w:vAlign w:val="center"/>
                </w:tcPr>
                <w:p w14:paraId="7F5245C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白云石粉</w:t>
                  </w:r>
                </w:p>
              </w:tc>
              <w:tc>
                <w:tcPr>
                  <w:tcW w:w="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B0C742">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小于325</w:t>
                  </w:r>
                  <w:r>
                    <w:rPr>
                      <w:rFonts w:hint="default" w:ascii="Times New Roman" w:hAnsi="Times New Roman" w:eastAsia="宋体" w:cs="Times New Roman"/>
                      <w:i w:val="0"/>
                      <w:iCs w:val="0"/>
                      <w:color w:val="auto"/>
                      <w:kern w:val="0"/>
                      <w:sz w:val="22"/>
                      <w:szCs w:val="22"/>
                      <w:highlight w:val="none"/>
                      <w:u w:val="none"/>
                      <w:lang w:val="en-US" w:eastAsia="zh-CN" w:bidi="ar"/>
                    </w:rPr>
                    <w:t>目</w:t>
                  </w:r>
                </w:p>
              </w:tc>
              <w:tc>
                <w:tcPr>
                  <w:tcW w:w="6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C267F4">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2</w:t>
                  </w:r>
                  <w:r>
                    <w:rPr>
                      <w:rFonts w:hint="eastAsia" w:ascii="Times New Roman" w:hAnsi="Times New Roman" w:eastAsia="宋体" w:cs="Times New Roman"/>
                      <w:i w:val="0"/>
                      <w:iCs w:val="0"/>
                      <w:color w:val="auto"/>
                      <w:kern w:val="0"/>
                      <w:sz w:val="22"/>
                      <w:szCs w:val="22"/>
                      <w:highlight w:val="none"/>
                      <w:u w:val="none"/>
                      <w:lang w:val="en-US" w:eastAsia="zh-CN" w:bidi="ar"/>
                    </w:rPr>
                    <w:t>0万吨</w:t>
                  </w:r>
                </w:p>
              </w:tc>
              <w:tc>
                <w:tcPr>
                  <w:tcW w:w="7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C7E3DA">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建筑材料</w:t>
                  </w:r>
                </w:p>
              </w:tc>
              <w:tc>
                <w:tcPr>
                  <w:tcW w:w="1256" w:type="pct"/>
                  <w:vMerge w:val="continue"/>
                  <w:tcBorders>
                    <w:left w:val="single" w:color="000000" w:sz="4" w:space="0"/>
                    <w:right w:val="single" w:color="auto" w:sz="4" w:space="0"/>
                  </w:tcBorders>
                  <w:shd w:val="clear" w:color="auto" w:fill="auto"/>
                  <w:vAlign w:val="center"/>
                </w:tcPr>
                <w:p w14:paraId="3E88E3D6">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p>
              </w:tc>
              <w:tc>
                <w:tcPr>
                  <w:tcW w:w="593" w:type="pct"/>
                  <w:vMerge w:val="restart"/>
                  <w:tcBorders>
                    <w:top w:val="single" w:color="auto" w:sz="4" w:space="0"/>
                    <w:left w:val="single" w:color="auto" w:sz="4" w:space="0"/>
                  </w:tcBorders>
                  <w:shd w:val="clear" w:color="auto" w:fill="auto"/>
                  <w:vAlign w:val="center"/>
                </w:tcPr>
                <w:p w14:paraId="4CB2354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2"/>
                      <w:szCs w:val="22"/>
                      <w:highlight w:val="none"/>
                      <w:u w:val="none"/>
                      <w:lang w:eastAsia="zh-CN"/>
                    </w:rPr>
                  </w:pPr>
                  <w:r>
                    <w:rPr>
                      <w:rFonts w:hint="eastAsia" w:ascii="宋体" w:hAnsi="宋体" w:eastAsia="宋体" w:cs="宋体"/>
                      <w:i w:val="0"/>
                      <w:iCs w:val="0"/>
                      <w:color w:val="auto"/>
                      <w:sz w:val="22"/>
                      <w:szCs w:val="22"/>
                      <w:highlight w:val="none"/>
                      <w:u w:val="none"/>
                      <w:lang w:eastAsia="zh-CN"/>
                    </w:rPr>
                    <w:t>产品均使用吨袋包装，厂内使用叉车运输，厂外汽运。</w:t>
                  </w:r>
                </w:p>
              </w:tc>
            </w:tr>
            <w:tr w14:paraId="2A2B437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05" w:hRule="atLeast"/>
                <w:jc w:val="center"/>
              </w:trPr>
              <w:tc>
                <w:tcPr>
                  <w:tcW w:w="1480" w:type="dxa"/>
                  <w:tcBorders>
                    <w:top w:val="single" w:color="000000" w:sz="4" w:space="0"/>
                    <w:bottom w:val="single" w:color="000000" w:sz="4" w:space="0"/>
                    <w:right w:val="single" w:color="000000" w:sz="4" w:space="0"/>
                  </w:tcBorders>
                  <w:shd w:val="clear" w:color="auto" w:fill="auto"/>
                  <w:vAlign w:val="center"/>
                </w:tcPr>
                <w:p w14:paraId="574A770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白云石粉</w:t>
                  </w:r>
                </w:p>
              </w:tc>
              <w:tc>
                <w:tcPr>
                  <w:tcW w:w="140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4B2055">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400~800</w:t>
                  </w:r>
                  <w:r>
                    <w:rPr>
                      <w:rFonts w:hint="default" w:ascii="Times New Roman" w:hAnsi="Times New Roman" w:eastAsia="宋体" w:cs="Times New Roman"/>
                      <w:i w:val="0"/>
                      <w:iCs w:val="0"/>
                      <w:color w:val="auto"/>
                      <w:kern w:val="0"/>
                      <w:sz w:val="22"/>
                      <w:szCs w:val="22"/>
                      <w:highlight w:val="none"/>
                      <w:u w:val="none"/>
                      <w:lang w:val="en-US" w:eastAsia="zh-CN" w:bidi="ar"/>
                    </w:rPr>
                    <w:t>目</w:t>
                  </w:r>
                </w:p>
              </w:tc>
              <w:tc>
                <w:tcPr>
                  <w:tcW w:w="11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1B0B36">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1</w:t>
                  </w:r>
                  <w:r>
                    <w:rPr>
                      <w:rFonts w:hint="eastAsia" w:ascii="Times New Roman" w:hAnsi="Times New Roman" w:eastAsia="宋体" w:cs="Times New Roman"/>
                      <w:i w:val="0"/>
                      <w:iCs w:val="0"/>
                      <w:color w:val="auto"/>
                      <w:kern w:val="0"/>
                      <w:sz w:val="22"/>
                      <w:szCs w:val="22"/>
                      <w:highlight w:val="none"/>
                      <w:u w:val="none"/>
                      <w:lang w:val="en-US" w:eastAsia="zh-CN" w:bidi="ar"/>
                    </w:rPr>
                    <w:t>0万吨</w:t>
                  </w:r>
                </w:p>
              </w:tc>
              <w:tc>
                <w:tcPr>
                  <w:tcW w:w="13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CD907D">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建筑材料</w:t>
                  </w:r>
                </w:p>
              </w:tc>
              <w:tc>
                <w:tcPr>
                  <w:tcW w:w="1256" w:type="pct"/>
                  <w:vMerge w:val="continue"/>
                  <w:tcBorders>
                    <w:left w:val="single" w:color="000000" w:sz="4" w:space="0"/>
                    <w:right w:val="single" w:color="auto" w:sz="4" w:space="0"/>
                  </w:tcBorders>
                  <w:shd w:val="clear" w:color="auto" w:fill="auto"/>
                  <w:vAlign w:val="center"/>
                </w:tcPr>
                <w:p w14:paraId="589067B7">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p>
              </w:tc>
              <w:tc>
                <w:tcPr>
                  <w:tcW w:w="593" w:type="pct"/>
                  <w:vMerge w:val="continue"/>
                  <w:tcBorders>
                    <w:left w:val="single" w:color="auto" w:sz="4" w:space="0"/>
                  </w:tcBorders>
                  <w:shd w:val="clear" w:color="auto" w:fill="auto"/>
                  <w:vAlign w:val="center"/>
                </w:tcPr>
                <w:p w14:paraId="2A58FDA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2"/>
                      <w:szCs w:val="22"/>
                      <w:highlight w:val="none"/>
                      <w:u w:val="none"/>
                      <w:lang w:eastAsia="zh-CN"/>
                    </w:rPr>
                  </w:pPr>
                </w:p>
              </w:tc>
            </w:tr>
            <w:tr w14:paraId="01EA26A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880" w:type="pct"/>
                  <w:tcBorders>
                    <w:top w:val="single" w:color="000000" w:sz="4" w:space="0"/>
                    <w:bottom w:val="single" w:color="000000" w:sz="4" w:space="0"/>
                    <w:right w:val="single" w:color="000000" w:sz="4" w:space="0"/>
                  </w:tcBorders>
                  <w:shd w:val="clear" w:color="auto" w:fill="auto"/>
                  <w:vAlign w:val="center"/>
                </w:tcPr>
                <w:p w14:paraId="01E22A5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Times New Roman" w:hAnsi="Times New Roman" w:eastAsia="宋体" w:cs="Times New Roman"/>
                      <w:i w:val="0"/>
                      <w:iCs w:val="0"/>
                      <w:color w:val="auto"/>
                      <w:kern w:val="0"/>
                      <w:sz w:val="22"/>
                      <w:szCs w:val="22"/>
                      <w:highlight w:val="none"/>
                      <w:u w:val="none"/>
                      <w:lang w:val="en-US" w:eastAsia="zh-CN" w:bidi="ar"/>
                    </w:rPr>
                    <w:t>白云砂</w:t>
                  </w:r>
                </w:p>
              </w:tc>
              <w:tc>
                <w:tcPr>
                  <w:tcW w:w="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B22FA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2"/>
                      <w:szCs w:val="22"/>
                      <w:highlight w:val="none"/>
                      <w:u w:val="none"/>
                    </w:rPr>
                  </w:pPr>
                  <w:r>
                    <w:rPr>
                      <w:rFonts w:hint="eastAsia" w:ascii="Times New Roman" w:hAnsi="Times New Roman" w:eastAsia="宋体" w:cs="Times New Roman"/>
                      <w:i w:val="0"/>
                      <w:iCs w:val="0"/>
                      <w:color w:val="auto"/>
                      <w:kern w:val="0"/>
                      <w:sz w:val="22"/>
                      <w:szCs w:val="22"/>
                      <w:highlight w:val="none"/>
                      <w:u w:val="none"/>
                      <w:lang w:val="en-US" w:eastAsia="zh-CN" w:bidi="ar"/>
                    </w:rPr>
                    <w:t>10~20</w:t>
                  </w:r>
                  <w:r>
                    <w:rPr>
                      <w:rFonts w:hint="default" w:ascii="Times New Roman" w:hAnsi="Times New Roman" w:eastAsia="宋体" w:cs="Times New Roman"/>
                      <w:i w:val="0"/>
                      <w:iCs w:val="0"/>
                      <w:color w:val="auto"/>
                      <w:kern w:val="0"/>
                      <w:sz w:val="22"/>
                      <w:szCs w:val="22"/>
                      <w:highlight w:val="none"/>
                      <w:u w:val="none"/>
                      <w:lang w:val="en-US" w:eastAsia="zh-CN" w:bidi="ar"/>
                    </w:rPr>
                    <w:t>目</w:t>
                  </w:r>
                </w:p>
              </w:tc>
              <w:tc>
                <w:tcPr>
                  <w:tcW w:w="6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EB207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2"/>
                      <w:szCs w:val="22"/>
                      <w:highlight w:val="none"/>
                      <w:u w:val="none"/>
                    </w:rPr>
                  </w:pPr>
                  <w:r>
                    <w:rPr>
                      <w:rFonts w:hint="eastAsia" w:cs="Times New Roman"/>
                      <w:i w:val="0"/>
                      <w:iCs w:val="0"/>
                      <w:color w:val="auto"/>
                      <w:kern w:val="0"/>
                      <w:sz w:val="22"/>
                      <w:szCs w:val="22"/>
                      <w:highlight w:val="none"/>
                      <w:u w:val="none"/>
                      <w:lang w:val="en-US" w:eastAsia="zh-CN" w:bidi="ar"/>
                    </w:rPr>
                    <w:t>1.6</w:t>
                  </w:r>
                  <w:r>
                    <w:rPr>
                      <w:rFonts w:hint="eastAsia" w:ascii="Times New Roman" w:hAnsi="Times New Roman" w:eastAsia="宋体" w:cs="Times New Roman"/>
                      <w:i w:val="0"/>
                      <w:iCs w:val="0"/>
                      <w:color w:val="auto"/>
                      <w:kern w:val="0"/>
                      <w:sz w:val="22"/>
                      <w:szCs w:val="22"/>
                      <w:highlight w:val="none"/>
                      <w:u w:val="none"/>
                      <w:lang w:val="en-US" w:eastAsia="zh-CN" w:bidi="ar"/>
                    </w:rPr>
                    <w:t>万吨</w:t>
                  </w:r>
                </w:p>
              </w:tc>
              <w:tc>
                <w:tcPr>
                  <w:tcW w:w="7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D9063F">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建筑材料</w:t>
                  </w:r>
                </w:p>
              </w:tc>
              <w:tc>
                <w:tcPr>
                  <w:tcW w:w="1256" w:type="pct"/>
                  <w:vMerge w:val="continue"/>
                  <w:tcBorders>
                    <w:left w:val="single" w:color="000000" w:sz="4" w:space="0"/>
                    <w:right w:val="single" w:color="auto" w:sz="4" w:space="0"/>
                  </w:tcBorders>
                  <w:shd w:val="clear" w:color="auto" w:fill="auto"/>
                  <w:vAlign w:val="center"/>
                </w:tcPr>
                <w:p w14:paraId="55636F4D">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p>
              </w:tc>
              <w:tc>
                <w:tcPr>
                  <w:tcW w:w="593" w:type="pct"/>
                  <w:vMerge w:val="continue"/>
                  <w:tcBorders>
                    <w:left w:val="single" w:color="auto" w:sz="4" w:space="0"/>
                  </w:tcBorders>
                  <w:shd w:val="clear" w:color="auto" w:fill="auto"/>
                  <w:vAlign w:val="center"/>
                </w:tcPr>
                <w:p w14:paraId="6E76AB3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2"/>
                      <w:szCs w:val="22"/>
                      <w:highlight w:val="none"/>
                      <w:u w:val="none"/>
                    </w:rPr>
                  </w:pPr>
                </w:p>
              </w:tc>
            </w:tr>
            <w:tr w14:paraId="5B8928D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09" w:hRule="atLeast"/>
                <w:jc w:val="center"/>
              </w:trPr>
              <w:tc>
                <w:tcPr>
                  <w:tcW w:w="880" w:type="pct"/>
                  <w:tcBorders>
                    <w:top w:val="single" w:color="000000" w:sz="4" w:space="0"/>
                    <w:bottom w:val="single" w:color="000000" w:sz="4" w:space="0"/>
                    <w:right w:val="single" w:color="000000" w:sz="4" w:space="0"/>
                  </w:tcBorders>
                  <w:shd w:val="clear" w:color="auto" w:fill="auto"/>
                  <w:vAlign w:val="center"/>
                </w:tcPr>
                <w:p w14:paraId="01F15064">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白云砂</w:t>
                  </w:r>
                </w:p>
              </w:tc>
              <w:tc>
                <w:tcPr>
                  <w:tcW w:w="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2726F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10~20</w:t>
                  </w:r>
                  <w:r>
                    <w:rPr>
                      <w:rFonts w:hint="default" w:ascii="Times New Roman" w:hAnsi="Times New Roman" w:eastAsia="宋体" w:cs="Times New Roman"/>
                      <w:i w:val="0"/>
                      <w:iCs w:val="0"/>
                      <w:color w:val="auto"/>
                      <w:kern w:val="0"/>
                      <w:sz w:val="22"/>
                      <w:szCs w:val="22"/>
                      <w:highlight w:val="none"/>
                      <w:u w:val="none"/>
                      <w:lang w:val="en-US" w:eastAsia="zh-CN" w:bidi="ar"/>
                    </w:rPr>
                    <w:t>目</w:t>
                  </w:r>
                  <w:r>
                    <w:rPr>
                      <w:rFonts w:hint="eastAsia" w:cs="Times New Roman"/>
                      <w:i w:val="0"/>
                      <w:iCs w:val="0"/>
                      <w:color w:val="auto"/>
                      <w:kern w:val="0"/>
                      <w:sz w:val="22"/>
                      <w:szCs w:val="22"/>
                      <w:highlight w:val="none"/>
                      <w:u w:val="none"/>
                      <w:lang w:val="en-US" w:eastAsia="zh-CN" w:bidi="ar"/>
                    </w:rPr>
                    <w:t>；白度</w:t>
                  </w:r>
                  <w:r>
                    <w:rPr>
                      <w:rFonts w:hint="default" w:ascii="Times New Roman" w:hAnsi="Times New Roman" w:eastAsia="Segoe UI" w:cs="Times New Roman"/>
                      <w:i w:val="0"/>
                      <w:iCs w:val="0"/>
                      <w:caps w:val="0"/>
                      <w:color w:val="auto"/>
                      <w:spacing w:val="0"/>
                      <w:sz w:val="24"/>
                      <w:szCs w:val="24"/>
                      <w:highlight w:val="none"/>
                    </w:rPr>
                    <w:t>≥</w:t>
                  </w:r>
                  <w:r>
                    <w:rPr>
                      <w:rFonts w:hint="eastAsia" w:ascii="Times New Roman" w:hAnsi="Times New Roman" w:eastAsia="宋体" w:cs="Times New Roman"/>
                      <w:i w:val="0"/>
                      <w:iCs w:val="0"/>
                      <w:caps w:val="0"/>
                      <w:color w:val="auto"/>
                      <w:spacing w:val="0"/>
                      <w:sz w:val="24"/>
                      <w:szCs w:val="24"/>
                      <w:highlight w:val="none"/>
                      <w:lang w:val="en-US" w:eastAsia="zh-CN"/>
                    </w:rPr>
                    <w:t>9</w:t>
                  </w:r>
                  <w:r>
                    <w:rPr>
                      <w:rFonts w:hint="eastAsia" w:cs="Times New Roman"/>
                      <w:i w:val="0"/>
                      <w:iCs w:val="0"/>
                      <w:color w:val="auto"/>
                      <w:kern w:val="0"/>
                      <w:sz w:val="22"/>
                      <w:szCs w:val="22"/>
                      <w:highlight w:val="none"/>
                      <w:u w:val="none"/>
                      <w:lang w:val="en-US" w:eastAsia="zh-CN" w:bidi="ar"/>
                    </w:rPr>
                    <w:t>0</w:t>
                  </w:r>
                </w:p>
              </w:tc>
              <w:tc>
                <w:tcPr>
                  <w:tcW w:w="6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2CA22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0.4万吨</w:t>
                  </w:r>
                </w:p>
              </w:tc>
              <w:tc>
                <w:tcPr>
                  <w:tcW w:w="7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3E0BF5">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建筑材料</w:t>
                  </w:r>
                </w:p>
              </w:tc>
              <w:tc>
                <w:tcPr>
                  <w:tcW w:w="1256" w:type="pct"/>
                  <w:vMerge w:val="continue"/>
                  <w:tcBorders>
                    <w:left w:val="single" w:color="000000" w:sz="4" w:space="0"/>
                    <w:right w:val="single" w:color="auto" w:sz="4" w:space="0"/>
                  </w:tcBorders>
                  <w:shd w:val="clear" w:color="auto" w:fill="auto"/>
                  <w:vAlign w:val="center"/>
                </w:tcPr>
                <w:p w14:paraId="7F63A89C">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p>
              </w:tc>
              <w:tc>
                <w:tcPr>
                  <w:tcW w:w="593" w:type="pct"/>
                  <w:vMerge w:val="continue"/>
                  <w:tcBorders>
                    <w:left w:val="single" w:color="auto" w:sz="4" w:space="0"/>
                  </w:tcBorders>
                  <w:shd w:val="clear" w:color="auto" w:fill="auto"/>
                  <w:vAlign w:val="center"/>
                </w:tcPr>
                <w:p w14:paraId="3D10827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2"/>
                      <w:szCs w:val="22"/>
                      <w:highlight w:val="none"/>
                      <w:u w:val="none"/>
                    </w:rPr>
                  </w:pPr>
                </w:p>
              </w:tc>
            </w:tr>
            <w:tr w14:paraId="1FA2F3A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80" w:type="pct"/>
                  <w:tcBorders>
                    <w:top w:val="single" w:color="000000" w:sz="4" w:space="0"/>
                    <w:bottom w:val="single" w:color="000000" w:sz="4" w:space="0"/>
                    <w:right w:val="single" w:color="000000" w:sz="4" w:space="0"/>
                  </w:tcBorders>
                  <w:shd w:val="clear" w:color="auto" w:fill="auto"/>
                  <w:vAlign w:val="center"/>
                </w:tcPr>
                <w:p w14:paraId="71DB032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Times New Roman" w:hAnsi="Times New Roman" w:eastAsia="宋体" w:cs="Times New Roman"/>
                      <w:i w:val="0"/>
                      <w:iCs w:val="0"/>
                      <w:color w:val="auto"/>
                      <w:kern w:val="0"/>
                      <w:sz w:val="22"/>
                      <w:szCs w:val="22"/>
                      <w:highlight w:val="none"/>
                      <w:u w:val="none"/>
                      <w:lang w:val="en-US" w:eastAsia="zh-CN" w:bidi="ar"/>
                    </w:rPr>
                    <w:t>白云砂</w:t>
                  </w:r>
                </w:p>
              </w:tc>
              <w:tc>
                <w:tcPr>
                  <w:tcW w:w="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83DAD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20~30</w:t>
                  </w:r>
                  <w:r>
                    <w:rPr>
                      <w:rFonts w:hint="default" w:ascii="Times New Roman" w:hAnsi="Times New Roman" w:eastAsia="宋体" w:cs="Times New Roman"/>
                      <w:i w:val="0"/>
                      <w:iCs w:val="0"/>
                      <w:color w:val="auto"/>
                      <w:kern w:val="0"/>
                      <w:sz w:val="22"/>
                      <w:szCs w:val="22"/>
                      <w:highlight w:val="none"/>
                      <w:u w:val="none"/>
                      <w:lang w:val="en-US" w:eastAsia="zh-CN" w:bidi="ar"/>
                    </w:rPr>
                    <w:t>目</w:t>
                  </w:r>
                </w:p>
              </w:tc>
              <w:tc>
                <w:tcPr>
                  <w:tcW w:w="6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D2FE5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1.6</w:t>
                  </w:r>
                  <w:r>
                    <w:rPr>
                      <w:rFonts w:hint="eastAsia" w:ascii="Times New Roman" w:hAnsi="Times New Roman" w:eastAsia="宋体" w:cs="Times New Roman"/>
                      <w:i w:val="0"/>
                      <w:iCs w:val="0"/>
                      <w:color w:val="auto"/>
                      <w:kern w:val="0"/>
                      <w:sz w:val="22"/>
                      <w:szCs w:val="22"/>
                      <w:highlight w:val="none"/>
                      <w:u w:val="none"/>
                      <w:lang w:val="en-US" w:eastAsia="zh-CN" w:bidi="ar"/>
                    </w:rPr>
                    <w:t>万吨</w:t>
                  </w:r>
                </w:p>
              </w:tc>
              <w:tc>
                <w:tcPr>
                  <w:tcW w:w="7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0AA2F8">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建筑材料</w:t>
                  </w:r>
                </w:p>
              </w:tc>
              <w:tc>
                <w:tcPr>
                  <w:tcW w:w="1256" w:type="pct"/>
                  <w:vMerge w:val="continue"/>
                  <w:tcBorders>
                    <w:left w:val="single" w:color="000000" w:sz="4" w:space="0"/>
                    <w:right w:val="single" w:color="auto" w:sz="4" w:space="0"/>
                  </w:tcBorders>
                  <w:shd w:val="clear" w:color="auto" w:fill="auto"/>
                  <w:vAlign w:val="center"/>
                </w:tcPr>
                <w:p w14:paraId="5BD38042">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p>
              </w:tc>
              <w:tc>
                <w:tcPr>
                  <w:tcW w:w="593" w:type="pct"/>
                  <w:vMerge w:val="continue"/>
                  <w:tcBorders>
                    <w:left w:val="single" w:color="auto" w:sz="4" w:space="0"/>
                  </w:tcBorders>
                  <w:shd w:val="clear" w:color="auto" w:fill="auto"/>
                  <w:vAlign w:val="center"/>
                </w:tcPr>
                <w:p w14:paraId="54C9958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2"/>
                      <w:szCs w:val="22"/>
                      <w:highlight w:val="none"/>
                      <w:u w:val="none"/>
                    </w:rPr>
                  </w:pPr>
                </w:p>
              </w:tc>
            </w:tr>
            <w:tr w14:paraId="796DCAD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80" w:type="pct"/>
                  <w:tcBorders>
                    <w:top w:val="single" w:color="000000" w:sz="4" w:space="0"/>
                    <w:bottom w:val="single" w:color="000000" w:sz="4" w:space="0"/>
                    <w:right w:val="single" w:color="000000" w:sz="4" w:space="0"/>
                  </w:tcBorders>
                  <w:shd w:val="clear" w:color="auto" w:fill="auto"/>
                  <w:vAlign w:val="center"/>
                </w:tcPr>
                <w:p w14:paraId="55EC1FE5">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白云砂</w:t>
                  </w:r>
                </w:p>
              </w:tc>
              <w:tc>
                <w:tcPr>
                  <w:tcW w:w="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6FD9BC">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20~30</w:t>
                  </w:r>
                  <w:r>
                    <w:rPr>
                      <w:rFonts w:hint="default" w:ascii="Times New Roman" w:hAnsi="Times New Roman" w:eastAsia="宋体" w:cs="Times New Roman"/>
                      <w:i w:val="0"/>
                      <w:iCs w:val="0"/>
                      <w:color w:val="auto"/>
                      <w:kern w:val="0"/>
                      <w:sz w:val="22"/>
                      <w:szCs w:val="22"/>
                      <w:highlight w:val="none"/>
                      <w:u w:val="none"/>
                      <w:lang w:val="en-US" w:eastAsia="zh-CN" w:bidi="ar"/>
                    </w:rPr>
                    <w:t>目</w:t>
                  </w:r>
                  <w:r>
                    <w:rPr>
                      <w:rFonts w:hint="eastAsia" w:ascii="Times New Roman" w:hAnsi="Times New Roman" w:eastAsia="宋体" w:cs="Times New Roman"/>
                      <w:i w:val="0"/>
                      <w:iCs w:val="0"/>
                      <w:color w:val="auto"/>
                      <w:kern w:val="0"/>
                      <w:sz w:val="22"/>
                      <w:szCs w:val="22"/>
                      <w:highlight w:val="none"/>
                      <w:u w:val="none"/>
                      <w:lang w:val="en-US" w:eastAsia="zh-CN" w:bidi="ar"/>
                    </w:rPr>
                    <w:t>；白度</w:t>
                  </w:r>
                  <w:r>
                    <w:rPr>
                      <w:rFonts w:hint="default" w:ascii="Times New Roman" w:hAnsi="Times New Roman" w:eastAsia="宋体" w:cs="Times New Roman"/>
                      <w:i w:val="0"/>
                      <w:iCs w:val="0"/>
                      <w:color w:val="auto"/>
                      <w:kern w:val="0"/>
                      <w:sz w:val="22"/>
                      <w:szCs w:val="22"/>
                      <w:highlight w:val="none"/>
                      <w:u w:val="none"/>
                      <w:lang w:val="en-US" w:eastAsia="zh-CN" w:bidi="ar"/>
                    </w:rPr>
                    <w:t>≥</w:t>
                  </w:r>
                  <w:r>
                    <w:rPr>
                      <w:rFonts w:hint="eastAsia" w:ascii="Times New Roman" w:hAnsi="Times New Roman" w:eastAsia="宋体" w:cs="Times New Roman"/>
                      <w:i w:val="0"/>
                      <w:iCs w:val="0"/>
                      <w:color w:val="auto"/>
                      <w:kern w:val="0"/>
                      <w:sz w:val="22"/>
                      <w:szCs w:val="22"/>
                      <w:highlight w:val="none"/>
                      <w:u w:val="none"/>
                      <w:lang w:val="en-US" w:eastAsia="zh-CN" w:bidi="ar"/>
                    </w:rPr>
                    <w:t>90</w:t>
                  </w:r>
                </w:p>
              </w:tc>
              <w:tc>
                <w:tcPr>
                  <w:tcW w:w="6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5B2F5E">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0.4万吨</w:t>
                  </w:r>
                </w:p>
              </w:tc>
              <w:tc>
                <w:tcPr>
                  <w:tcW w:w="7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93DAEA">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建筑材料</w:t>
                  </w:r>
                </w:p>
              </w:tc>
              <w:tc>
                <w:tcPr>
                  <w:tcW w:w="1256" w:type="pct"/>
                  <w:vMerge w:val="continue"/>
                  <w:tcBorders>
                    <w:left w:val="single" w:color="000000" w:sz="4" w:space="0"/>
                    <w:right w:val="single" w:color="auto" w:sz="4" w:space="0"/>
                  </w:tcBorders>
                  <w:shd w:val="clear" w:color="auto" w:fill="auto"/>
                  <w:vAlign w:val="center"/>
                </w:tcPr>
                <w:p w14:paraId="2CF0E958">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p>
              </w:tc>
              <w:tc>
                <w:tcPr>
                  <w:tcW w:w="593" w:type="pct"/>
                  <w:vMerge w:val="continue"/>
                  <w:tcBorders>
                    <w:left w:val="single" w:color="auto" w:sz="4" w:space="0"/>
                  </w:tcBorders>
                  <w:shd w:val="clear" w:color="auto" w:fill="auto"/>
                  <w:vAlign w:val="center"/>
                </w:tcPr>
                <w:p w14:paraId="3C685F2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2"/>
                      <w:szCs w:val="22"/>
                      <w:highlight w:val="none"/>
                      <w:u w:val="none"/>
                    </w:rPr>
                  </w:pPr>
                </w:p>
              </w:tc>
            </w:tr>
            <w:tr w14:paraId="1835895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880" w:type="pct"/>
                  <w:tcBorders>
                    <w:top w:val="single" w:color="000000" w:sz="4" w:space="0"/>
                    <w:bottom w:val="single" w:color="000000" w:sz="4" w:space="0"/>
                    <w:right w:val="single" w:color="000000" w:sz="4" w:space="0"/>
                  </w:tcBorders>
                  <w:shd w:val="clear" w:color="auto" w:fill="auto"/>
                  <w:vAlign w:val="center"/>
                </w:tcPr>
                <w:p w14:paraId="04DBB1A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Times New Roman" w:hAnsi="Times New Roman" w:eastAsia="宋体" w:cs="Times New Roman"/>
                      <w:i w:val="0"/>
                      <w:iCs w:val="0"/>
                      <w:color w:val="auto"/>
                      <w:kern w:val="0"/>
                      <w:sz w:val="22"/>
                      <w:szCs w:val="22"/>
                      <w:highlight w:val="none"/>
                      <w:u w:val="none"/>
                      <w:lang w:val="en-US" w:eastAsia="zh-CN" w:bidi="ar"/>
                    </w:rPr>
                    <w:t>白云砂</w:t>
                  </w:r>
                </w:p>
              </w:tc>
              <w:tc>
                <w:tcPr>
                  <w:tcW w:w="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DC483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30~40</w:t>
                  </w:r>
                  <w:r>
                    <w:rPr>
                      <w:rFonts w:hint="default" w:ascii="Times New Roman" w:hAnsi="Times New Roman" w:eastAsia="宋体" w:cs="Times New Roman"/>
                      <w:i w:val="0"/>
                      <w:iCs w:val="0"/>
                      <w:color w:val="auto"/>
                      <w:kern w:val="0"/>
                      <w:sz w:val="22"/>
                      <w:szCs w:val="22"/>
                      <w:highlight w:val="none"/>
                      <w:u w:val="none"/>
                      <w:lang w:val="en-US" w:eastAsia="zh-CN" w:bidi="ar"/>
                    </w:rPr>
                    <w:t>目</w:t>
                  </w:r>
                </w:p>
              </w:tc>
              <w:tc>
                <w:tcPr>
                  <w:tcW w:w="6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9F07C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1.6</w:t>
                  </w:r>
                  <w:r>
                    <w:rPr>
                      <w:rFonts w:hint="eastAsia" w:ascii="Times New Roman" w:hAnsi="Times New Roman" w:eastAsia="宋体" w:cs="Times New Roman"/>
                      <w:i w:val="0"/>
                      <w:iCs w:val="0"/>
                      <w:color w:val="auto"/>
                      <w:kern w:val="0"/>
                      <w:sz w:val="22"/>
                      <w:szCs w:val="22"/>
                      <w:highlight w:val="none"/>
                      <w:u w:val="none"/>
                      <w:lang w:val="en-US" w:eastAsia="zh-CN" w:bidi="ar"/>
                    </w:rPr>
                    <w:t>万吨</w:t>
                  </w:r>
                </w:p>
              </w:tc>
              <w:tc>
                <w:tcPr>
                  <w:tcW w:w="7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FF2F2E">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建筑材料</w:t>
                  </w:r>
                </w:p>
              </w:tc>
              <w:tc>
                <w:tcPr>
                  <w:tcW w:w="1256" w:type="pct"/>
                  <w:vMerge w:val="continue"/>
                  <w:tcBorders>
                    <w:left w:val="single" w:color="000000" w:sz="4" w:space="0"/>
                    <w:right w:val="single" w:color="auto" w:sz="4" w:space="0"/>
                  </w:tcBorders>
                  <w:shd w:val="clear" w:color="auto" w:fill="auto"/>
                  <w:vAlign w:val="center"/>
                </w:tcPr>
                <w:p w14:paraId="5EAA441D">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p>
              </w:tc>
              <w:tc>
                <w:tcPr>
                  <w:tcW w:w="593" w:type="pct"/>
                  <w:vMerge w:val="continue"/>
                  <w:tcBorders>
                    <w:left w:val="single" w:color="auto" w:sz="4" w:space="0"/>
                  </w:tcBorders>
                  <w:shd w:val="clear" w:color="auto" w:fill="auto"/>
                  <w:vAlign w:val="center"/>
                </w:tcPr>
                <w:p w14:paraId="6AC92BB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2"/>
                      <w:szCs w:val="22"/>
                      <w:highlight w:val="none"/>
                      <w:u w:val="none"/>
                    </w:rPr>
                  </w:pPr>
                </w:p>
              </w:tc>
            </w:tr>
            <w:tr w14:paraId="4F2D554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880" w:type="pct"/>
                  <w:tcBorders>
                    <w:top w:val="single" w:color="000000" w:sz="4" w:space="0"/>
                    <w:bottom w:val="single" w:color="000000" w:sz="4" w:space="0"/>
                    <w:right w:val="single" w:color="000000" w:sz="4" w:space="0"/>
                  </w:tcBorders>
                  <w:shd w:val="clear" w:color="auto" w:fill="auto"/>
                  <w:vAlign w:val="center"/>
                </w:tcPr>
                <w:p w14:paraId="20334B96">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白云砂</w:t>
                  </w:r>
                </w:p>
              </w:tc>
              <w:tc>
                <w:tcPr>
                  <w:tcW w:w="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6D5595">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30~40</w:t>
                  </w:r>
                  <w:r>
                    <w:rPr>
                      <w:rFonts w:hint="default" w:ascii="Times New Roman" w:hAnsi="Times New Roman" w:eastAsia="宋体" w:cs="Times New Roman"/>
                      <w:i w:val="0"/>
                      <w:iCs w:val="0"/>
                      <w:color w:val="auto"/>
                      <w:kern w:val="0"/>
                      <w:sz w:val="22"/>
                      <w:szCs w:val="22"/>
                      <w:highlight w:val="none"/>
                      <w:u w:val="none"/>
                      <w:lang w:val="en-US" w:eastAsia="zh-CN" w:bidi="ar"/>
                    </w:rPr>
                    <w:t>目</w:t>
                  </w:r>
                  <w:r>
                    <w:rPr>
                      <w:rFonts w:hint="eastAsia" w:ascii="Times New Roman" w:hAnsi="Times New Roman" w:eastAsia="宋体" w:cs="Times New Roman"/>
                      <w:i w:val="0"/>
                      <w:iCs w:val="0"/>
                      <w:color w:val="auto"/>
                      <w:kern w:val="0"/>
                      <w:sz w:val="22"/>
                      <w:szCs w:val="22"/>
                      <w:highlight w:val="none"/>
                      <w:u w:val="none"/>
                      <w:lang w:val="en-US" w:eastAsia="zh-CN" w:bidi="ar"/>
                    </w:rPr>
                    <w:t>；白度</w:t>
                  </w:r>
                  <w:r>
                    <w:rPr>
                      <w:rFonts w:hint="default" w:ascii="Times New Roman" w:hAnsi="Times New Roman" w:eastAsia="宋体" w:cs="Times New Roman"/>
                      <w:i w:val="0"/>
                      <w:iCs w:val="0"/>
                      <w:color w:val="auto"/>
                      <w:kern w:val="0"/>
                      <w:sz w:val="22"/>
                      <w:szCs w:val="22"/>
                      <w:highlight w:val="none"/>
                      <w:u w:val="none"/>
                      <w:lang w:val="en-US" w:eastAsia="zh-CN" w:bidi="ar"/>
                    </w:rPr>
                    <w:t>≥</w:t>
                  </w:r>
                  <w:r>
                    <w:rPr>
                      <w:rFonts w:hint="eastAsia" w:ascii="Times New Roman" w:hAnsi="Times New Roman" w:eastAsia="宋体" w:cs="Times New Roman"/>
                      <w:i w:val="0"/>
                      <w:iCs w:val="0"/>
                      <w:color w:val="auto"/>
                      <w:kern w:val="0"/>
                      <w:sz w:val="22"/>
                      <w:szCs w:val="22"/>
                      <w:highlight w:val="none"/>
                      <w:u w:val="none"/>
                      <w:lang w:val="en-US" w:eastAsia="zh-CN" w:bidi="ar"/>
                    </w:rPr>
                    <w:t>90</w:t>
                  </w:r>
                </w:p>
              </w:tc>
              <w:tc>
                <w:tcPr>
                  <w:tcW w:w="6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4F518F">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0.4万吨</w:t>
                  </w:r>
                </w:p>
              </w:tc>
              <w:tc>
                <w:tcPr>
                  <w:tcW w:w="7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39D158">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建筑材料</w:t>
                  </w:r>
                </w:p>
              </w:tc>
              <w:tc>
                <w:tcPr>
                  <w:tcW w:w="1256" w:type="pct"/>
                  <w:vMerge w:val="continue"/>
                  <w:tcBorders>
                    <w:left w:val="single" w:color="000000" w:sz="4" w:space="0"/>
                    <w:right w:val="single" w:color="auto" w:sz="4" w:space="0"/>
                  </w:tcBorders>
                  <w:shd w:val="clear" w:color="auto" w:fill="auto"/>
                  <w:vAlign w:val="center"/>
                </w:tcPr>
                <w:p w14:paraId="7DFBC4D9">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p>
              </w:tc>
              <w:tc>
                <w:tcPr>
                  <w:tcW w:w="593" w:type="pct"/>
                  <w:vMerge w:val="continue"/>
                  <w:tcBorders>
                    <w:left w:val="single" w:color="auto" w:sz="4" w:space="0"/>
                  </w:tcBorders>
                  <w:shd w:val="clear" w:color="auto" w:fill="auto"/>
                  <w:vAlign w:val="center"/>
                </w:tcPr>
                <w:p w14:paraId="4F00CD0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2"/>
                      <w:szCs w:val="22"/>
                      <w:highlight w:val="none"/>
                      <w:u w:val="none"/>
                    </w:rPr>
                  </w:pPr>
                </w:p>
              </w:tc>
            </w:tr>
            <w:tr w14:paraId="7CAA802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880" w:type="pct"/>
                  <w:tcBorders>
                    <w:top w:val="single" w:color="000000" w:sz="4" w:space="0"/>
                    <w:right w:val="single" w:color="000000" w:sz="4" w:space="0"/>
                  </w:tcBorders>
                  <w:shd w:val="clear" w:color="auto" w:fill="auto"/>
                  <w:vAlign w:val="center"/>
                </w:tcPr>
                <w:p w14:paraId="513869AB">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白云砂</w:t>
                  </w:r>
                </w:p>
              </w:tc>
              <w:tc>
                <w:tcPr>
                  <w:tcW w:w="838" w:type="pct"/>
                  <w:tcBorders>
                    <w:top w:val="single" w:color="000000" w:sz="4" w:space="0"/>
                    <w:left w:val="single" w:color="000000" w:sz="4" w:space="0"/>
                    <w:right w:val="single" w:color="000000" w:sz="4" w:space="0"/>
                  </w:tcBorders>
                  <w:shd w:val="clear" w:color="auto" w:fill="auto"/>
                  <w:vAlign w:val="center"/>
                </w:tcPr>
                <w:p w14:paraId="1FE69C73">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40~80</w:t>
                  </w:r>
                  <w:r>
                    <w:rPr>
                      <w:rFonts w:hint="default" w:ascii="Times New Roman" w:hAnsi="Times New Roman" w:eastAsia="宋体" w:cs="Times New Roman"/>
                      <w:i w:val="0"/>
                      <w:iCs w:val="0"/>
                      <w:color w:val="auto"/>
                      <w:kern w:val="0"/>
                      <w:sz w:val="22"/>
                      <w:szCs w:val="22"/>
                      <w:highlight w:val="none"/>
                      <w:u w:val="none"/>
                      <w:lang w:val="en-US" w:eastAsia="zh-CN" w:bidi="ar"/>
                    </w:rPr>
                    <w:t>目</w:t>
                  </w:r>
                </w:p>
              </w:tc>
              <w:tc>
                <w:tcPr>
                  <w:tcW w:w="655" w:type="pct"/>
                  <w:tcBorders>
                    <w:top w:val="single" w:color="000000" w:sz="4" w:space="0"/>
                    <w:left w:val="single" w:color="000000" w:sz="4" w:space="0"/>
                    <w:right w:val="single" w:color="000000" w:sz="4" w:space="0"/>
                  </w:tcBorders>
                  <w:shd w:val="clear" w:color="auto" w:fill="auto"/>
                  <w:vAlign w:val="center"/>
                </w:tcPr>
                <w:p w14:paraId="5C1B47F1">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1.6</w:t>
                  </w:r>
                  <w:r>
                    <w:rPr>
                      <w:rFonts w:hint="eastAsia" w:ascii="Times New Roman" w:hAnsi="Times New Roman" w:eastAsia="宋体" w:cs="Times New Roman"/>
                      <w:i w:val="0"/>
                      <w:iCs w:val="0"/>
                      <w:color w:val="auto"/>
                      <w:kern w:val="0"/>
                      <w:sz w:val="22"/>
                      <w:szCs w:val="22"/>
                      <w:highlight w:val="none"/>
                      <w:u w:val="none"/>
                      <w:lang w:val="en-US" w:eastAsia="zh-CN" w:bidi="ar"/>
                    </w:rPr>
                    <w:t>万吨</w:t>
                  </w:r>
                </w:p>
              </w:tc>
              <w:tc>
                <w:tcPr>
                  <w:tcW w:w="775" w:type="pct"/>
                  <w:tcBorders>
                    <w:top w:val="single" w:color="000000" w:sz="4" w:space="0"/>
                    <w:left w:val="single" w:color="000000" w:sz="4" w:space="0"/>
                    <w:right w:val="single" w:color="000000" w:sz="4" w:space="0"/>
                  </w:tcBorders>
                  <w:shd w:val="clear" w:color="auto" w:fill="auto"/>
                  <w:vAlign w:val="center"/>
                </w:tcPr>
                <w:p w14:paraId="2843EF8A">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建筑材料</w:t>
                  </w:r>
                </w:p>
              </w:tc>
              <w:tc>
                <w:tcPr>
                  <w:tcW w:w="1256" w:type="pct"/>
                  <w:vMerge w:val="continue"/>
                  <w:tcBorders>
                    <w:left w:val="single" w:color="000000" w:sz="4" w:space="0"/>
                    <w:right w:val="single" w:color="auto" w:sz="4" w:space="0"/>
                  </w:tcBorders>
                  <w:shd w:val="clear" w:color="auto" w:fill="auto"/>
                  <w:vAlign w:val="center"/>
                </w:tcPr>
                <w:p w14:paraId="07825815">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p>
              </w:tc>
              <w:tc>
                <w:tcPr>
                  <w:tcW w:w="593" w:type="pct"/>
                  <w:vMerge w:val="continue"/>
                  <w:tcBorders>
                    <w:left w:val="single" w:color="auto" w:sz="4" w:space="0"/>
                  </w:tcBorders>
                  <w:shd w:val="clear" w:color="auto" w:fill="auto"/>
                  <w:vAlign w:val="center"/>
                </w:tcPr>
                <w:p w14:paraId="3279860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2"/>
                      <w:szCs w:val="22"/>
                      <w:highlight w:val="none"/>
                      <w:u w:val="none"/>
                    </w:rPr>
                  </w:pPr>
                </w:p>
              </w:tc>
            </w:tr>
            <w:tr w14:paraId="2921975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880" w:type="pct"/>
                  <w:tcBorders>
                    <w:top w:val="single" w:color="000000" w:sz="4" w:space="0"/>
                    <w:right w:val="single" w:color="000000" w:sz="4" w:space="0"/>
                  </w:tcBorders>
                  <w:shd w:val="clear" w:color="auto" w:fill="auto"/>
                  <w:vAlign w:val="center"/>
                </w:tcPr>
                <w:p w14:paraId="7145ACA2">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白云砂</w:t>
                  </w:r>
                </w:p>
              </w:tc>
              <w:tc>
                <w:tcPr>
                  <w:tcW w:w="838" w:type="pct"/>
                  <w:tcBorders>
                    <w:top w:val="single" w:color="000000" w:sz="4" w:space="0"/>
                    <w:left w:val="single" w:color="000000" w:sz="4" w:space="0"/>
                    <w:right w:val="single" w:color="000000" w:sz="4" w:space="0"/>
                  </w:tcBorders>
                  <w:shd w:val="clear" w:color="auto" w:fill="auto"/>
                  <w:vAlign w:val="center"/>
                </w:tcPr>
                <w:p w14:paraId="7B2EF71A">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40~80</w:t>
                  </w:r>
                  <w:r>
                    <w:rPr>
                      <w:rFonts w:hint="default" w:ascii="Times New Roman" w:hAnsi="Times New Roman" w:eastAsia="宋体" w:cs="Times New Roman"/>
                      <w:i w:val="0"/>
                      <w:iCs w:val="0"/>
                      <w:color w:val="auto"/>
                      <w:kern w:val="0"/>
                      <w:sz w:val="22"/>
                      <w:szCs w:val="22"/>
                      <w:highlight w:val="none"/>
                      <w:u w:val="none"/>
                      <w:lang w:val="en-US" w:eastAsia="zh-CN" w:bidi="ar"/>
                    </w:rPr>
                    <w:t>目</w:t>
                  </w:r>
                  <w:r>
                    <w:rPr>
                      <w:rFonts w:hint="eastAsia" w:ascii="Times New Roman" w:hAnsi="Times New Roman" w:eastAsia="宋体" w:cs="Times New Roman"/>
                      <w:i w:val="0"/>
                      <w:iCs w:val="0"/>
                      <w:color w:val="auto"/>
                      <w:kern w:val="0"/>
                      <w:sz w:val="22"/>
                      <w:szCs w:val="22"/>
                      <w:highlight w:val="none"/>
                      <w:u w:val="none"/>
                      <w:lang w:val="en-US" w:eastAsia="zh-CN" w:bidi="ar"/>
                    </w:rPr>
                    <w:t>；白度</w:t>
                  </w:r>
                  <w:r>
                    <w:rPr>
                      <w:rFonts w:hint="default" w:ascii="Times New Roman" w:hAnsi="Times New Roman" w:eastAsia="宋体" w:cs="Times New Roman"/>
                      <w:i w:val="0"/>
                      <w:iCs w:val="0"/>
                      <w:color w:val="auto"/>
                      <w:kern w:val="0"/>
                      <w:sz w:val="22"/>
                      <w:szCs w:val="22"/>
                      <w:highlight w:val="none"/>
                      <w:u w:val="none"/>
                      <w:lang w:val="en-US" w:eastAsia="zh-CN" w:bidi="ar"/>
                    </w:rPr>
                    <w:t>≥</w:t>
                  </w:r>
                  <w:r>
                    <w:rPr>
                      <w:rFonts w:hint="eastAsia" w:ascii="Times New Roman" w:hAnsi="Times New Roman" w:eastAsia="宋体" w:cs="Times New Roman"/>
                      <w:i w:val="0"/>
                      <w:iCs w:val="0"/>
                      <w:color w:val="auto"/>
                      <w:kern w:val="0"/>
                      <w:sz w:val="22"/>
                      <w:szCs w:val="22"/>
                      <w:highlight w:val="none"/>
                      <w:u w:val="none"/>
                      <w:lang w:val="en-US" w:eastAsia="zh-CN" w:bidi="ar"/>
                    </w:rPr>
                    <w:t>90</w:t>
                  </w:r>
                </w:p>
              </w:tc>
              <w:tc>
                <w:tcPr>
                  <w:tcW w:w="655" w:type="pct"/>
                  <w:tcBorders>
                    <w:top w:val="single" w:color="000000" w:sz="4" w:space="0"/>
                    <w:left w:val="single" w:color="000000" w:sz="4" w:space="0"/>
                    <w:right w:val="single" w:color="000000" w:sz="4" w:space="0"/>
                  </w:tcBorders>
                  <w:shd w:val="clear" w:color="auto" w:fill="auto"/>
                  <w:vAlign w:val="center"/>
                </w:tcPr>
                <w:p w14:paraId="6DB8BA65">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0.4万吨</w:t>
                  </w:r>
                </w:p>
              </w:tc>
              <w:tc>
                <w:tcPr>
                  <w:tcW w:w="775" w:type="pct"/>
                  <w:tcBorders>
                    <w:top w:val="single" w:color="000000" w:sz="4" w:space="0"/>
                    <w:left w:val="single" w:color="000000" w:sz="4" w:space="0"/>
                    <w:right w:val="single" w:color="000000" w:sz="4" w:space="0"/>
                  </w:tcBorders>
                  <w:shd w:val="clear" w:color="auto" w:fill="auto"/>
                  <w:vAlign w:val="center"/>
                </w:tcPr>
                <w:p w14:paraId="277A2847">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建筑材料</w:t>
                  </w:r>
                </w:p>
              </w:tc>
              <w:tc>
                <w:tcPr>
                  <w:tcW w:w="1256" w:type="pct"/>
                  <w:vMerge w:val="continue"/>
                  <w:tcBorders>
                    <w:left w:val="single" w:color="000000" w:sz="4" w:space="0"/>
                    <w:right w:val="single" w:color="auto" w:sz="4" w:space="0"/>
                  </w:tcBorders>
                  <w:shd w:val="clear" w:color="auto" w:fill="auto"/>
                  <w:vAlign w:val="center"/>
                </w:tcPr>
                <w:p w14:paraId="3776E536">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p>
              </w:tc>
              <w:tc>
                <w:tcPr>
                  <w:tcW w:w="593" w:type="pct"/>
                  <w:vMerge w:val="continue"/>
                  <w:tcBorders>
                    <w:left w:val="single" w:color="auto" w:sz="4" w:space="0"/>
                  </w:tcBorders>
                  <w:shd w:val="clear" w:color="auto" w:fill="auto"/>
                  <w:vAlign w:val="center"/>
                </w:tcPr>
                <w:p w14:paraId="17C7E68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2"/>
                      <w:szCs w:val="22"/>
                      <w:highlight w:val="none"/>
                      <w:u w:val="none"/>
                    </w:rPr>
                  </w:pPr>
                </w:p>
              </w:tc>
            </w:tr>
            <w:tr w14:paraId="090C6F6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880" w:type="pct"/>
                  <w:tcBorders>
                    <w:top w:val="single" w:color="000000" w:sz="4" w:space="0"/>
                    <w:bottom w:val="single" w:color="000000" w:sz="4" w:space="0"/>
                    <w:right w:val="single" w:color="000000" w:sz="4" w:space="0"/>
                  </w:tcBorders>
                  <w:shd w:val="clear" w:color="auto" w:fill="auto"/>
                  <w:vAlign w:val="center"/>
                </w:tcPr>
                <w:p w14:paraId="036AB52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Times New Roman" w:hAnsi="Times New Roman" w:eastAsia="宋体" w:cs="Times New Roman"/>
                      <w:i w:val="0"/>
                      <w:iCs w:val="0"/>
                      <w:color w:val="auto"/>
                      <w:kern w:val="0"/>
                      <w:sz w:val="22"/>
                      <w:szCs w:val="22"/>
                      <w:highlight w:val="none"/>
                      <w:u w:val="none"/>
                      <w:lang w:val="en-US" w:eastAsia="zh-CN" w:bidi="ar"/>
                    </w:rPr>
                    <w:t>白云砂</w:t>
                  </w:r>
                </w:p>
              </w:tc>
              <w:tc>
                <w:tcPr>
                  <w:tcW w:w="8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A9CFA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小于80</w:t>
                  </w:r>
                  <w:r>
                    <w:rPr>
                      <w:rFonts w:hint="default" w:ascii="Times New Roman" w:hAnsi="Times New Roman" w:eastAsia="宋体" w:cs="Times New Roman"/>
                      <w:i w:val="0"/>
                      <w:iCs w:val="0"/>
                      <w:color w:val="auto"/>
                      <w:kern w:val="0"/>
                      <w:sz w:val="22"/>
                      <w:szCs w:val="22"/>
                      <w:highlight w:val="none"/>
                      <w:u w:val="none"/>
                      <w:lang w:val="en-US" w:eastAsia="zh-CN" w:bidi="ar"/>
                    </w:rPr>
                    <w:t>目</w:t>
                  </w:r>
                </w:p>
              </w:tc>
              <w:tc>
                <w:tcPr>
                  <w:tcW w:w="6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61164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cs="Times New Roman"/>
                      <w:i w:val="0"/>
                      <w:iCs w:val="0"/>
                      <w:color w:val="auto"/>
                      <w:kern w:val="0"/>
                      <w:sz w:val="22"/>
                      <w:szCs w:val="22"/>
                      <w:highlight w:val="none"/>
                      <w:u w:val="none"/>
                      <w:lang w:val="en-US" w:eastAsia="zh-CN" w:bidi="ar"/>
                    </w:rPr>
                    <w:t>1.6</w:t>
                  </w:r>
                  <w:r>
                    <w:rPr>
                      <w:rFonts w:hint="eastAsia" w:ascii="Times New Roman" w:hAnsi="Times New Roman" w:eastAsia="宋体" w:cs="Times New Roman"/>
                      <w:i w:val="0"/>
                      <w:iCs w:val="0"/>
                      <w:color w:val="auto"/>
                      <w:kern w:val="0"/>
                      <w:sz w:val="22"/>
                      <w:szCs w:val="22"/>
                      <w:highlight w:val="none"/>
                      <w:u w:val="none"/>
                      <w:lang w:val="en-US" w:eastAsia="zh-CN" w:bidi="ar"/>
                    </w:rPr>
                    <w:t>万吨</w:t>
                  </w:r>
                </w:p>
              </w:tc>
              <w:tc>
                <w:tcPr>
                  <w:tcW w:w="7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EDBCF1">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建筑材料</w:t>
                  </w:r>
                </w:p>
              </w:tc>
              <w:tc>
                <w:tcPr>
                  <w:tcW w:w="1256" w:type="pct"/>
                  <w:vMerge w:val="continue"/>
                  <w:tcBorders>
                    <w:left w:val="single" w:color="000000" w:sz="4" w:space="0"/>
                    <w:right w:val="single" w:color="auto" w:sz="4" w:space="0"/>
                  </w:tcBorders>
                  <w:shd w:val="clear" w:color="auto" w:fill="auto"/>
                  <w:vAlign w:val="center"/>
                </w:tcPr>
                <w:p w14:paraId="54590E7C">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p>
              </w:tc>
              <w:tc>
                <w:tcPr>
                  <w:tcW w:w="593" w:type="pct"/>
                  <w:vMerge w:val="continue"/>
                  <w:tcBorders>
                    <w:left w:val="single" w:color="auto" w:sz="4" w:space="0"/>
                  </w:tcBorders>
                  <w:shd w:val="clear" w:color="auto" w:fill="auto"/>
                  <w:vAlign w:val="center"/>
                </w:tcPr>
                <w:p w14:paraId="669B7CB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2"/>
                      <w:szCs w:val="22"/>
                      <w:highlight w:val="none"/>
                      <w:u w:val="none"/>
                    </w:rPr>
                  </w:pPr>
                </w:p>
              </w:tc>
            </w:tr>
            <w:tr w14:paraId="75E40AA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880" w:type="pct"/>
                  <w:tcBorders>
                    <w:top w:val="single" w:color="000000" w:sz="4" w:space="0"/>
                    <w:right w:val="single" w:color="000000" w:sz="4" w:space="0"/>
                  </w:tcBorders>
                  <w:shd w:val="clear" w:color="auto" w:fill="auto"/>
                  <w:vAlign w:val="center"/>
                </w:tcPr>
                <w:p w14:paraId="7E670D4E">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白云砂</w:t>
                  </w:r>
                </w:p>
              </w:tc>
              <w:tc>
                <w:tcPr>
                  <w:tcW w:w="838" w:type="pct"/>
                  <w:tcBorders>
                    <w:top w:val="single" w:color="000000" w:sz="4" w:space="0"/>
                    <w:left w:val="single" w:color="000000" w:sz="4" w:space="0"/>
                    <w:right w:val="single" w:color="000000" w:sz="4" w:space="0"/>
                  </w:tcBorders>
                  <w:shd w:val="clear" w:color="auto" w:fill="auto"/>
                  <w:vAlign w:val="center"/>
                </w:tcPr>
                <w:p w14:paraId="75B4A5A9">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小于80</w:t>
                  </w:r>
                  <w:r>
                    <w:rPr>
                      <w:rFonts w:hint="default" w:ascii="Times New Roman" w:hAnsi="Times New Roman" w:eastAsia="宋体" w:cs="Times New Roman"/>
                      <w:i w:val="0"/>
                      <w:iCs w:val="0"/>
                      <w:color w:val="auto"/>
                      <w:kern w:val="0"/>
                      <w:sz w:val="22"/>
                      <w:szCs w:val="22"/>
                      <w:highlight w:val="none"/>
                      <w:u w:val="none"/>
                      <w:lang w:val="en-US" w:eastAsia="zh-CN" w:bidi="ar"/>
                    </w:rPr>
                    <w:t>目</w:t>
                  </w:r>
                  <w:r>
                    <w:rPr>
                      <w:rFonts w:hint="eastAsia" w:ascii="Times New Roman" w:hAnsi="Times New Roman" w:eastAsia="宋体" w:cs="Times New Roman"/>
                      <w:i w:val="0"/>
                      <w:iCs w:val="0"/>
                      <w:color w:val="auto"/>
                      <w:kern w:val="0"/>
                      <w:sz w:val="22"/>
                      <w:szCs w:val="22"/>
                      <w:highlight w:val="none"/>
                      <w:u w:val="none"/>
                      <w:lang w:val="en-US" w:eastAsia="zh-CN" w:bidi="ar"/>
                    </w:rPr>
                    <w:t>；白度</w:t>
                  </w:r>
                  <w:r>
                    <w:rPr>
                      <w:rFonts w:hint="default" w:ascii="Times New Roman" w:hAnsi="Times New Roman" w:eastAsia="宋体" w:cs="Times New Roman"/>
                      <w:i w:val="0"/>
                      <w:iCs w:val="0"/>
                      <w:color w:val="auto"/>
                      <w:kern w:val="0"/>
                      <w:sz w:val="22"/>
                      <w:szCs w:val="22"/>
                      <w:highlight w:val="none"/>
                      <w:u w:val="none"/>
                      <w:lang w:val="en-US" w:eastAsia="zh-CN" w:bidi="ar"/>
                    </w:rPr>
                    <w:t>≥</w:t>
                  </w:r>
                  <w:r>
                    <w:rPr>
                      <w:rFonts w:hint="eastAsia" w:ascii="Times New Roman" w:hAnsi="Times New Roman" w:eastAsia="宋体" w:cs="Times New Roman"/>
                      <w:i w:val="0"/>
                      <w:iCs w:val="0"/>
                      <w:color w:val="auto"/>
                      <w:kern w:val="0"/>
                      <w:sz w:val="22"/>
                      <w:szCs w:val="22"/>
                      <w:highlight w:val="none"/>
                      <w:u w:val="none"/>
                      <w:lang w:val="en-US" w:eastAsia="zh-CN" w:bidi="ar"/>
                    </w:rPr>
                    <w:t>90</w:t>
                  </w:r>
                </w:p>
              </w:tc>
              <w:tc>
                <w:tcPr>
                  <w:tcW w:w="655" w:type="pct"/>
                  <w:tcBorders>
                    <w:top w:val="single" w:color="000000" w:sz="4" w:space="0"/>
                    <w:left w:val="single" w:color="000000" w:sz="4" w:space="0"/>
                    <w:right w:val="single" w:color="000000" w:sz="4" w:space="0"/>
                  </w:tcBorders>
                  <w:shd w:val="clear" w:color="auto" w:fill="auto"/>
                  <w:vAlign w:val="center"/>
                </w:tcPr>
                <w:p w14:paraId="66B4C0ED">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0.4万吨</w:t>
                  </w:r>
                </w:p>
              </w:tc>
              <w:tc>
                <w:tcPr>
                  <w:tcW w:w="775" w:type="pct"/>
                  <w:tcBorders>
                    <w:top w:val="single" w:color="000000" w:sz="4" w:space="0"/>
                    <w:left w:val="single" w:color="000000" w:sz="4" w:space="0"/>
                    <w:right w:val="single" w:color="000000" w:sz="4" w:space="0"/>
                  </w:tcBorders>
                  <w:shd w:val="clear" w:color="auto" w:fill="auto"/>
                  <w:vAlign w:val="center"/>
                </w:tcPr>
                <w:p w14:paraId="2CEE01BD">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建筑材料</w:t>
                  </w:r>
                </w:p>
              </w:tc>
              <w:tc>
                <w:tcPr>
                  <w:tcW w:w="1256" w:type="pct"/>
                  <w:vMerge w:val="continue"/>
                  <w:tcBorders>
                    <w:left w:val="single" w:color="000000" w:sz="4" w:space="0"/>
                    <w:right w:val="single" w:color="auto" w:sz="4" w:space="0"/>
                  </w:tcBorders>
                  <w:shd w:val="clear" w:color="auto" w:fill="auto"/>
                  <w:vAlign w:val="center"/>
                </w:tcPr>
                <w:p w14:paraId="5B67ECC5">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2"/>
                      <w:szCs w:val="22"/>
                      <w:highlight w:val="none"/>
                      <w:u w:val="none"/>
                      <w:lang w:val="en-US" w:eastAsia="zh-CN" w:bidi="ar"/>
                    </w:rPr>
                  </w:pPr>
                </w:p>
              </w:tc>
              <w:tc>
                <w:tcPr>
                  <w:tcW w:w="593" w:type="pct"/>
                  <w:vMerge w:val="continue"/>
                  <w:tcBorders>
                    <w:left w:val="single" w:color="auto" w:sz="4" w:space="0"/>
                    <w:bottom w:val="single" w:color="auto" w:sz="4" w:space="0"/>
                  </w:tcBorders>
                  <w:shd w:val="clear" w:color="auto" w:fill="auto"/>
                  <w:vAlign w:val="center"/>
                </w:tcPr>
                <w:p w14:paraId="3C981A0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2"/>
                      <w:szCs w:val="22"/>
                      <w:highlight w:val="none"/>
                      <w:u w:val="none"/>
                    </w:rPr>
                  </w:pPr>
                </w:p>
              </w:tc>
            </w:tr>
          </w:tbl>
          <w:p w14:paraId="6BBE1692">
            <w:pPr>
              <w:keepNext w:val="0"/>
              <w:keepLines w:val="0"/>
              <w:numPr>
                <w:ilvl w:val="0"/>
                <w:numId w:val="0"/>
              </w:numPr>
              <w:suppressLineNumbers w:val="0"/>
              <w:spacing w:before="0" w:beforeAutospacing="0" w:after="0" w:afterAutospacing="0" w:line="360" w:lineRule="auto"/>
              <w:ind w:left="0" w:right="151" w:rightChars="72"/>
              <w:rPr>
                <w:rFonts w:hint="eastAsia" w:ascii="Calibri" w:hAnsi="Calibri" w:eastAsia="宋体" w:cs="Times New Roman"/>
                <w:b/>
                <w:bCs/>
                <w:color w:val="auto"/>
                <w:sz w:val="24"/>
                <w:highlight w:val="none"/>
                <w:shd w:val="clear" w:color="auto" w:fill="auto"/>
                <w:lang w:val="en-US" w:eastAsia="zh-CN"/>
              </w:rPr>
            </w:pPr>
          </w:p>
          <w:p w14:paraId="6FD1D233">
            <w:pPr>
              <w:keepNext w:val="0"/>
              <w:keepLines w:val="0"/>
              <w:numPr>
                <w:ilvl w:val="0"/>
                <w:numId w:val="0"/>
              </w:numPr>
              <w:suppressLineNumbers w:val="0"/>
              <w:spacing w:before="0" w:beforeAutospacing="0" w:after="0" w:afterAutospacing="0" w:line="360" w:lineRule="auto"/>
              <w:ind w:left="0" w:right="151" w:rightChars="72"/>
              <w:rPr>
                <w:rFonts w:ascii="Calibri" w:hAnsi="Calibri" w:eastAsia="宋体" w:cs="Times New Roman"/>
                <w:b/>
                <w:bCs/>
                <w:color w:val="auto"/>
                <w:sz w:val="24"/>
                <w:highlight w:val="none"/>
                <w:shd w:val="clear" w:color="auto" w:fill="auto"/>
              </w:rPr>
            </w:pPr>
            <w:r>
              <w:rPr>
                <w:rFonts w:hint="eastAsia" w:ascii="Calibri" w:hAnsi="Calibri" w:eastAsia="宋体" w:cs="Times New Roman"/>
                <w:b/>
                <w:bCs/>
                <w:color w:val="auto"/>
                <w:sz w:val="24"/>
                <w:highlight w:val="none"/>
                <w:shd w:val="clear" w:color="auto" w:fill="auto"/>
                <w:lang w:val="en-US" w:eastAsia="zh-CN"/>
              </w:rPr>
              <w:t>4、</w:t>
            </w:r>
            <w:r>
              <w:rPr>
                <w:rFonts w:ascii="Calibri" w:hAnsi="Calibri" w:eastAsia="宋体" w:cs="Times New Roman"/>
                <w:b/>
                <w:bCs/>
                <w:color w:val="auto"/>
                <w:sz w:val="24"/>
                <w:highlight w:val="none"/>
                <w:shd w:val="clear" w:color="auto" w:fill="auto"/>
              </w:rPr>
              <w:t>平面布局</w:t>
            </w:r>
          </w:p>
          <w:p w14:paraId="217C2473">
            <w:pPr>
              <w:keepNext w:val="0"/>
              <w:keepLines w:val="0"/>
              <w:suppressLineNumbers w:val="0"/>
              <w:adjustRightInd w:val="0"/>
              <w:snapToGrid w:val="0"/>
              <w:spacing w:before="0" w:beforeAutospacing="0" w:after="0" w:afterAutospacing="0" w:line="360" w:lineRule="auto"/>
              <w:ind w:left="0" w:right="0" w:firstLine="480" w:firstLineChars="200"/>
              <w:contextualSpacing/>
              <w:rPr>
                <w:rFonts w:ascii="Calibri" w:hAnsi="Calibri" w:eastAsia="宋体" w:cs="Times New Roman"/>
                <w:color w:val="auto"/>
                <w:sz w:val="24"/>
                <w:highlight w:val="none"/>
                <w:shd w:val="clear" w:color="auto" w:fill="auto"/>
              </w:rPr>
            </w:pPr>
            <w:r>
              <w:rPr>
                <w:rFonts w:hint="eastAsia" w:ascii="Calibri" w:hAnsi="Calibri" w:eastAsia="宋体" w:cs="Times New Roman"/>
                <w:color w:val="auto"/>
                <w:sz w:val="24"/>
                <w:highlight w:val="none"/>
                <w:shd w:val="clear" w:color="auto" w:fill="auto"/>
                <w:lang w:eastAsia="zh-CN"/>
              </w:rPr>
              <w:t>本项目</w:t>
            </w:r>
            <w:r>
              <w:rPr>
                <w:rFonts w:hint="eastAsia" w:ascii="Calibri" w:hAnsi="Calibri" w:cs="Times New Roman"/>
                <w:color w:val="auto"/>
                <w:sz w:val="24"/>
                <w:highlight w:val="none"/>
                <w:shd w:val="clear" w:color="auto" w:fill="auto"/>
                <w:lang w:eastAsia="zh-CN"/>
              </w:rPr>
              <w:t>位于岫岩满族自治县偏岭镇王家堡村，租用佳合鹏程现有厂房，佳合鹏程由北向南依次为门卫、</w:t>
            </w:r>
            <w:r>
              <w:rPr>
                <w:rFonts w:hint="eastAsia" w:ascii="Calibri" w:hAnsi="Calibri" w:cs="Times New Roman"/>
                <w:color w:val="auto"/>
                <w:sz w:val="24"/>
                <w:highlight w:val="none"/>
                <w:shd w:val="clear" w:color="auto" w:fill="auto"/>
                <w:lang w:val="en-US" w:eastAsia="zh-CN"/>
              </w:rPr>
              <w:t>2#厂房、1#厂房、沉淀水池、化粪池、办公楼。本项目租用佳合鹏程2#厂房东侧隔断厂房10000㎡（由西向东依次为2#原料库房、2#生产车间产品库房）；4000㎡空地；1#厂房西侧隔断厂房4000㎡（由西向东依次为1#原料库房、1#生产车间）</w:t>
            </w:r>
            <w:r>
              <w:rPr>
                <w:rFonts w:hint="eastAsia" w:ascii="Calibri" w:hAnsi="Calibri" w:cs="Times New Roman"/>
                <w:color w:val="auto"/>
                <w:sz w:val="24"/>
                <w:highlight w:val="none"/>
                <w:shd w:val="clear" w:color="auto" w:fill="auto"/>
                <w:lang w:eastAsia="zh-CN"/>
              </w:rPr>
              <w:t>详</w:t>
            </w:r>
            <w:r>
              <w:rPr>
                <w:rFonts w:ascii="Calibri" w:hAnsi="Calibri" w:eastAsia="宋体" w:cs="Times New Roman"/>
                <w:color w:val="auto"/>
                <w:sz w:val="24"/>
                <w:highlight w:val="none"/>
                <w:shd w:val="clear" w:color="auto" w:fill="auto"/>
              </w:rPr>
              <w:t>见附图</w:t>
            </w:r>
            <w:r>
              <w:rPr>
                <w:rFonts w:hint="eastAsia" w:ascii="Calibri" w:hAnsi="Calibri" w:cs="Times New Roman"/>
                <w:color w:val="auto"/>
                <w:sz w:val="24"/>
                <w:highlight w:val="none"/>
                <w:shd w:val="clear" w:color="auto" w:fill="auto"/>
                <w:lang w:val="en-US" w:eastAsia="zh-CN"/>
              </w:rPr>
              <w:t>4</w:t>
            </w:r>
            <w:r>
              <w:rPr>
                <w:rFonts w:ascii="Calibri" w:hAnsi="Calibri" w:eastAsia="宋体" w:cs="Times New Roman"/>
                <w:color w:val="auto"/>
                <w:sz w:val="24"/>
                <w:highlight w:val="none"/>
                <w:shd w:val="clear" w:color="auto" w:fill="auto"/>
              </w:rPr>
              <w:t>。</w:t>
            </w:r>
          </w:p>
          <w:p w14:paraId="007013BF">
            <w:pPr>
              <w:keepNext w:val="0"/>
              <w:keepLines w:val="0"/>
              <w:suppressLineNumbers w:val="0"/>
              <w:adjustRightInd w:val="0"/>
              <w:snapToGrid w:val="0"/>
              <w:spacing w:before="0" w:beforeAutospacing="0" w:after="0" w:afterAutospacing="0" w:line="360" w:lineRule="auto"/>
              <w:ind w:left="0" w:right="0" w:firstLine="480" w:firstLineChars="200"/>
              <w:contextualSpacing/>
              <w:rPr>
                <w:rFonts w:hint="default" w:ascii="Calibri" w:hAnsi="Calibri" w:eastAsia="宋体" w:cs="Times New Roman"/>
                <w:color w:val="auto"/>
                <w:sz w:val="24"/>
                <w:highlight w:val="none"/>
                <w:shd w:val="clear" w:color="auto" w:fill="auto"/>
                <w:lang w:val="en-US" w:eastAsia="zh-CN"/>
              </w:rPr>
            </w:pPr>
            <w:r>
              <w:rPr>
                <w:rFonts w:hint="eastAsia" w:ascii="Calibri" w:hAnsi="Calibri" w:cs="Times New Roman"/>
                <w:color w:val="auto"/>
                <w:sz w:val="24"/>
                <w:highlight w:val="none"/>
                <w:shd w:val="clear" w:color="auto" w:fill="auto"/>
                <w:lang w:eastAsia="zh-CN"/>
              </w:rPr>
              <w:t>佳合鹏程</w:t>
            </w:r>
            <w:r>
              <w:rPr>
                <w:rFonts w:hint="eastAsia" w:ascii="Calibri" w:hAnsi="Calibri" w:eastAsia="宋体" w:cs="Times New Roman"/>
                <w:color w:val="auto"/>
                <w:sz w:val="24"/>
                <w:highlight w:val="none"/>
                <w:shd w:val="clear" w:color="auto" w:fill="auto"/>
              </w:rPr>
              <w:t>厂区东侧为</w:t>
            </w:r>
            <w:r>
              <w:rPr>
                <w:rFonts w:hint="eastAsia" w:ascii="Calibri" w:hAnsi="Calibri" w:cs="Times New Roman"/>
                <w:color w:val="auto"/>
                <w:sz w:val="24"/>
                <w:highlight w:val="none"/>
                <w:shd w:val="clear" w:color="auto" w:fill="auto"/>
                <w:lang w:eastAsia="zh-CN"/>
              </w:rPr>
              <w:t>丹锡高速</w:t>
            </w:r>
            <w:r>
              <w:rPr>
                <w:rFonts w:hint="eastAsia" w:ascii="Calibri" w:hAnsi="Calibri" w:eastAsia="宋体" w:cs="Times New Roman"/>
                <w:color w:val="auto"/>
                <w:sz w:val="24"/>
                <w:highlight w:val="none"/>
                <w:shd w:val="clear" w:color="auto" w:fill="auto"/>
                <w:lang w:eastAsia="zh-CN"/>
              </w:rPr>
              <w:t>；南侧为</w:t>
            </w:r>
            <w:r>
              <w:rPr>
                <w:rFonts w:hint="eastAsia" w:ascii="Calibri" w:hAnsi="Calibri" w:cs="Times New Roman"/>
                <w:color w:val="auto"/>
                <w:sz w:val="24"/>
                <w:highlight w:val="none"/>
                <w:shd w:val="clear" w:color="auto" w:fill="auto"/>
                <w:lang w:eastAsia="zh-CN"/>
              </w:rPr>
              <w:t>丹锡高速偏岭高速口</w:t>
            </w:r>
            <w:r>
              <w:rPr>
                <w:rFonts w:hint="eastAsia" w:ascii="Calibri" w:hAnsi="Calibri" w:eastAsia="宋体" w:cs="Times New Roman"/>
                <w:color w:val="auto"/>
                <w:sz w:val="24"/>
                <w:highlight w:val="none"/>
                <w:shd w:val="clear" w:color="auto" w:fill="auto"/>
                <w:lang w:eastAsia="zh-CN"/>
              </w:rPr>
              <w:t>；</w:t>
            </w:r>
            <w:r>
              <w:rPr>
                <w:rFonts w:hint="eastAsia" w:ascii="Calibri" w:hAnsi="Calibri" w:cs="Times New Roman"/>
                <w:color w:val="auto"/>
                <w:sz w:val="24"/>
                <w:highlight w:val="none"/>
                <w:shd w:val="clear" w:color="auto" w:fill="auto"/>
                <w:lang w:eastAsia="zh-CN"/>
              </w:rPr>
              <w:t>西侧为小路，隔路为大洋河，</w:t>
            </w:r>
            <w:r>
              <w:rPr>
                <w:rFonts w:hint="eastAsia" w:ascii="Calibri" w:hAnsi="Calibri" w:eastAsia="宋体" w:cs="Times New Roman"/>
                <w:color w:val="auto"/>
                <w:sz w:val="24"/>
                <w:highlight w:val="none"/>
                <w:shd w:val="clear" w:color="auto" w:fill="auto"/>
                <w:lang w:eastAsia="zh-CN"/>
              </w:rPr>
              <w:t>北侧为</w:t>
            </w:r>
            <w:r>
              <w:rPr>
                <w:rFonts w:hint="eastAsia" w:ascii="Calibri" w:hAnsi="Calibri" w:cs="Times New Roman"/>
                <w:color w:val="auto"/>
                <w:sz w:val="24"/>
                <w:highlight w:val="none"/>
                <w:shd w:val="clear" w:color="auto" w:fill="auto"/>
                <w:lang w:eastAsia="zh-CN"/>
              </w:rPr>
              <w:t>荒地</w:t>
            </w:r>
            <w:r>
              <w:rPr>
                <w:rFonts w:hint="eastAsia" w:ascii="Calibri" w:hAnsi="Calibri" w:cs="Times New Roman"/>
                <w:color w:val="auto"/>
                <w:sz w:val="24"/>
                <w:highlight w:val="none"/>
                <w:shd w:val="clear" w:color="auto" w:fill="auto"/>
                <w:lang w:val="en-US" w:eastAsia="zh-CN"/>
              </w:rPr>
              <w:t>。</w:t>
            </w:r>
          </w:p>
          <w:p w14:paraId="63855F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ascii="Calibri" w:hAnsi="Calibri" w:eastAsia="宋体" w:cs="Times New Roman"/>
                <w:b/>
                <w:bCs/>
                <w:color w:val="auto"/>
                <w:sz w:val="24"/>
                <w:highlight w:val="none"/>
                <w:shd w:val="clear" w:color="auto" w:fill="auto"/>
              </w:rPr>
            </w:pPr>
            <w:r>
              <w:rPr>
                <w:rFonts w:hint="eastAsia" w:ascii="Calibri" w:hAnsi="Calibri" w:eastAsia="宋体" w:cs="Times New Roman"/>
                <w:b/>
                <w:bCs/>
                <w:color w:val="auto"/>
                <w:sz w:val="24"/>
                <w:highlight w:val="none"/>
                <w:shd w:val="clear" w:color="auto" w:fill="auto"/>
                <w:lang w:val="en-US" w:eastAsia="zh-CN"/>
              </w:rPr>
              <w:t>5、</w:t>
            </w:r>
            <w:r>
              <w:rPr>
                <w:rFonts w:ascii="Calibri" w:hAnsi="Calibri" w:eastAsia="宋体" w:cs="Times New Roman"/>
                <w:b/>
                <w:bCs/>
                <w:color w:val="auto"/>
                <w:sz w:val="24"/>
                <w:highlight w:val="none"/>
                <w:shd w:val="clear" w:color="auto" w:fill="auto"/>
              </w:rPr>
              <w:t>主要原材料及能源消耗情况</w:t>
            </w:r>
          </w:p>
          <w:p w14:paraId="3AA4EF96">
            <w:pPr>
              <w:keepNext w:val="0"/>
              <w:keepLines w:val="0"/>
              <w:numPr>
                <w:ilvl w:val="0"/>
                <w:numId w:val="0"/>
              </w:numPr>
              <w:suppressLineNumbers w:val="0"/>
              <w:spacing w:before="0" w:beforeAutospacing="0" w:after="0" w:afterAutospacing="0" w:line="360" w:lineRule="auto"/>
              <w:ind w:left="0" w:right="151" w:rightChars="72" w:firstLine="480" w:firstLineChars="200"/>
              <w:rPr>
                <w:rFonts w:hint="eastAsia" w:ascii="Calibri" w:hAnsi="Calibri" w:eastAsia="宋体" w:cs="Times New Roman"/>
                <w:color w:val="auto"/>
                <w:sz w:val="24"/>
                <w:highlight w:val="none"/>
                <w:shd w:val="clear" w:color="auto" w:fill="auto"/>
                <w:lang w:eastAsia="zh-CN"/>
              </w:rPr>
            </w:pPr>
            <w:r>
              <w:rPr>
                <w:rFonts w:hint="eastAsia" w:ascii="Calibri" w:hAnsi="Calibri" w:eastAsia="宋体" w:cs="Times New Roman"/>
                <w:color w:val="auto"/>
                <w:sz w:val="24"/>
                <w:highlight w:val="none"/>
                <w:shd w:val="clear" w:color="auto" w:fill="auto"/>
                <w:lang w:eastAsia="zh-CN"/>
              </w:rPr>
              <w:t>本</w:t>
            </w:r>
            <w:r>
              <w:rPr>
                <w:rFonts w:ascii="Calibri" w:hAnsi="Calibri" w:eastAsia="宋体" w:cs="Times New Roman"/>
                <w:color w:val="auto"/>
                <w:sz w:val="24"/>
                <w:highlight w:val="none"/>
                <w:shd w:val="clear" w:color="auto" w:fill="auto"/>
              </w:rPr>
              <w:t>项目</w:t>
            </w:r>
            <w:r>
              <w:rPr>
                <w:rFonts w:hint="eastAsia" w:ascii="Calibri" w:hAnsi="Calibri" w:cs="Times New Roman"/>
                <w:color w:val="auto"/>
                <w:sz w:val="24"/>
                <w:highlight w:val="none"/>
                <w:shd w:val="clear" w:color="auto" w:fill="auto"/>
                <w:lang w:eastAsia="zh-CN"/>
              </w:rPr>
              <w:t>新建</w:t>
            </w:r>
            <w:r>
              <w:rPr>
                <w:rFonts w:hint="eastAsia" w:ascii="Calibri" w:hAnsi="Calibri" w:cs="Times New Roman"/>
                <w:color w:val="auto"/>
                <w:sz w:val="24"/>
                <w:highlight w:val="none"/>
                <w:shd w:val="clear" w:color="auto" w:fill="auto"/>
                <w:lang w:val="en-US" w:eastAsia="zh-CN"/>
              </w:rPr>
              <w:t>年产20万吨水洗白云石生产线1条、</w:t>
            </w:r>
            <w:r>
              <w:rPr>
                <w:rFonts w:hint="eastAsia" w:ascii="Calibri" w:hAnsi="Calibri" w:cs="Times New Roman"/>
                <w:color w:val="auto"/>
                <w:sz w:val="24"/>
                <w:highlight w:val="none"/>
                <w:shd w:val="clear" w:color="auto" w:fill="auto"/>
                <w:lang w:eastAsia="zh-CN"/>
              </w:rPr>
              <w:t>年产</w:t>
            </w:r>
            <w:r>
              <w:rPr>
                <w:rFonts w:hint="eastAsia" w:ascii="Calibri" w:hAnsi="Calibri" w:cs="Times New Roman"/>
                <w:color w:val="auto"/>
                <w:sz w:val="24"/>
                <w:highlight w:val="none"/>
                <w:shd w:val="clear" w:color="auto" w:fill="auto"/>
                <w:lang w:val="en-US" w:eastAsia="zh-CN"/>
              </w:rPr>
              <w:t>10万吨白云石粉生产线3条</w:t>
            </w:r>
            <w:r>
              <w:rPr>
                <w:rFonts w:hint="eastAsia" w:ascii="Calibri" w:hAnsi="Calibri" w:eastAsia="宋体" w:cs="Times New Roman"/>
                <w:color w:val="auto"/>
                <w:sz w:val="24"/>
                <w:highlight w:val="none"/>
                <w:shd w:val="clear" w:color="auto" w:fill="auto"/>
                <w:lang w:val="en-US" w:eastAsia="zh-CN"/>
              </w:rPr>
              <w:t>，</w:t>
            </w:r>
            <w:r>
              <w:rPr>
                <w:rFonts w:hint="eastAsia" w:ascii="Calibri" w:hAnsi="Calibri" w:cs="Times New Roman"/>
                <w:color w:val="auto"/>
                <w:sz w:val="24"/>
                <w:highlight w:val="none"/>
                <w:shd w:val="clear" w:color="auto" w:fill="auto"/>
                <w:lang w:val="en-US" w:eastAsia="zh-CN"/>
              </w:rPr>
              <w:t>年产10万吨白云砂生产线1条，总产能20万吨水洗白云石；30万吨/年白云石粉；10万吨白云砂，项目</w:t>
            </w:r>
            <w:r>
              <w:rPr>
                <w:rFonts w:hint="eastAsia" w:ascii="Calibri" w:hAnsi="Calibri" w:eastAsia="宋体" w:cs="Times New Roman"/>
                <w:color w:val="auto"/>
                <w:sz w:val="24"/>
                <w:highlight w:val="none"/>
                <w:shd w:val="clear" w:color="auto" w:fill="auto"/>
                <w:lang w:val="en-US" w:eastAsia="zh-CN"/>
              </w:rPr>
              <w:t>原辅材料见下表</w:t>
            </w:r>
            <w:r>
              <w:rPr>
                <w:rFonts w:hint="eastAsia" w:ascii="Calibri" w:hAnsi="Calibri" w:eastAsia="宋体" w:cs="Times New Roman"/>
                <w:color w:val="auto"/>
                <w:sz w:val="24"/>
                <w:highlight w:val="none"/>
                <w:shd w:val="clear" w:color="auto" w:fill="auto"/>
                <w:lang w:eastAsia="zh-CN"/>
              </w:rPr>
              <w:t>。</w:t>
            </w:r>
          </w:p>
          <w:p w14:paraId="1F0FA0E7">
            <w:pPr>
              <w:pStyle w:val="16"/>
              <w:keepNext w:val="0"/>
              <w:keepLines w:val="0"/>
              <w:suppressLineNumbers w:val="0"/>
              <w:spacing w:before="0" w:beforeAutospacing="0" w:after="0" w:afterAutospacing="0"/>
              <w:ind w:left="0" w:right="0"/>
              <w:jc w:val="center"/>
              <w:rPr>
                <w:rFonts w:hint="eastAsia" w:ascii="Calibri" w:hAnsi="Calibri" w:eastAsia="宋体" w:cs="Times New Roman"/>
                <w:color w:val="auto"/>
                <w:highlight w:val="none"/>
                <w:shd w:val="clear" w:color="auto" w:fill="auto"/>
                <w:lang w:val="en-US" w:eastAsia="zh-CN"/>
              </w:rPr>
            </w:pPr>
          </w:p>
          <w:p w14:paraId="0C9771B6">
            <w:pPr>
              <w:pStyle w:val="16"/>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highlight w:val="none"/>
                <w:shd w:val="clear" w:color="auto" w:fill="auto"/>
                <w:lang w:val="en-US" w:eastAsia="zh-CN"/>
              </w:rPr>
            </w:pPr>
            <w:r>
              <w:rPr>
                <w:rFonts w:hint="eastAsia" w:ascii="Calibri" w:hAnsi="Calibri" w:eastAsia="宋体" w:cs="Times New Roman"/>
                <w:color w:val="auto"/>
                <w:highlight w:val="none"/>
                <w:shd w:val="clear" w:color="auto" w:fill="auto"/>
                <w:lang w:val="en-US" w:eastAsia="zh-CN"/>
              </w:rPr>
              <w:t>表</w:t>
            </w:r>
            <w:r>
              <w:rPr>
                <w:rFonts w:hint="eastAsia" w:ascii="Calibri" w:hAnsi="Calibri" w:cs="Times New Roman"/>
                <w:color w:val="auto"/>
                <w:sz w:val="24"/>
                <w:highlight w:val="none"/>
                <w:shd w:val="clear" w:color="auto" w:fill="auto"/>
                <w:lang w:val="en-US" w:eastAsia="zh-CN"/>
              </w:rPr>
              <w:t>2-4</w:t>
            </w:r>
            <w:r>
              <w:rPr>
                <w:rFonts w:hint="eastAsia" w:ascii="Calibri" w:hAnsi="Calibri" w:eastAsia="宋体" w:cs="Times New Roman"/>
                <w:color w:val="auto"/>
                <w:highlight w:val="none"/>
                <w:shd w:val="clear" w:color="auto" w:fill="auto"/>
                <w:lang w:val="en-US" w:eastAsia="zh-CN"/>
              </w:rPr>
              <w:t xml:space="preserve">  </w:t>
            </w:r>
            <w:r>
              <w:rPr>
                <w:rFonts w:hint="eastAsia" w:ascii="Times New Roman" w:hAnsi="Times New Roman" w:eastAsia="宋体" w:cs="Times New Roman"/>
                <w:color w:val="auto"/>
                <w:highlight w:val="none"/>
                <w:shd w:val="clear" w:color="auto" w:fill="auto"/>
                <w:lang w:val="en-US" w:eastAsia="zh-CN"/>
              </w:rPr>
              <w:t>原辅材料消耗表</w:t>
            </w:r>
          </w:p>
          <w:tbl>
            <w:tblPr>
              <w:tblStyle w:val="25"/>
              <w:tblW w:w="8415"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63"/>
              <w:gridCol w:w="748"/>
              <w:gridCol w:w="741"/>
              <w:gridCol w:w="2116"/>
              <w:gridCol w:w="1607"/>
              <w:gridCol w:w="2340"/>
            </w:tblGrid>
            <w:tr w14:paraId="4AA414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5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D8F0F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sz w:val="21"/>
                      <w:szCs w:val="21"/>
                      <w:highlight w:val="none"/>
                      <w:u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序号</w:t>
                  </w:r>
                </w:p>
              </w:tc>
              <w:tc>
                <w:tcPr>
                  <w:tcW w:w="8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6B7C35B">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sz w:val="21"/>
                      <w:szCs w:val="21"/>
                      <w:highlight w:val="none"/>
                      <w:u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名称</w:t>
                  </w:r>
                </w:p>
              </w:tc>
              <w:tc>
                <w:tcPr>
                  <w:tcW w:w="1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E2EAA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sz w:val="21"/>
                      <w:szCs w:val="21"/>
                      <w:highlight w:val="none"/>
                      <w:u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规格型号</w:t>
                  </w:r>
                </w:p>
              </w:tc>
              <w:tc>
                <w:tcPr>
                  <w:tcW w:w="9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3AAFC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sz w:val="21"/>
                      <w:szCs w:val="21"/>
                      <w:highlight w:val="none"/>
                      <w:u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年消耗量</w:t>
                  </w:r>
                </w:p>
              </w:tc>
              <w:tc>
                <w:tcPr>
                  <w:tcW w:w="13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7EA32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sz w:val="21"/>
                      <w:szCs w:val="21"/>
                      <w:highlight w:val="none"/>
                      <w:u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备注</w:t>
                  </w:r>
                </w:p>
              </w:tc>
            </w:tr>
            <w:tr w14:paraId="6B1F12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7" w:hRule="atLeast"/>
              </w:trPr>
              <w:tc>
                <w:tcPr>
                  <w:tcW w:w="5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4C058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sz w:val="21"/>
                      <w:szCs w:val="21"/>
                      <w:highlight w:val="none"/>
                      <w:u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1</w:t>
                  </w:r>
                </w:p>
              </w:tc>
              <w:tc>
                <w:tcPr>
                  <w:tcW w:w="8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3E3A10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auto"/>
                      <w:sz w:val="21"/>
                      <w:szCs w:val="21"/>
                      <w:highlight w:val="none"/>
                      <w:u w:val="none"/>
                    </w:rPr>
                  </w:pPr>
                  <w:r>
                    <w:rPr>
                      <w:rFonts w:hint="eastAsia" w:cs="Times New Roman" w:eastAsiaTheme="minorEastAsia"/>
                      <w:i w:val="0"/>
                      <w:iCs w:val="0"/>
                      <w:color w:val="auto"/>
                      <w:kern w:val="0"/>
                      <w:sz w:val="21"/>
                      <w:szCs w:val="21"/>
                      <w:highlight w:val="none"/>
                      <w:u w:val="none"/>
                      <w:lang w:val="en-US" w:eastAsia="zh-CN" w:bidi="ar"/>
                    </w:rPr>
                    <w:t>白云石</w:t>
                  </w:r>
                </w:p>
              </w:tc>
              <w:tc>
                <w:tcPr>
                  <w:tcW w:w="1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3C58E6">
                  <w:pPr>
                    <w:keepNext w:val="0"/>
                    <w:keepLines w:val="0"/>
                    <w:widowControl/>
                    <w:suppressLineNumbers w:val="0"/>
                    <w:spacing w:before="0" w:beforeAutospacing="0" w:after="0" w:afterAutospacing="0"/>
                    <w:ind w:left="0" w:leftChars="0" w:right="0" w:rightChars="0"/>
                    <w:jc w:val="center"/>
                    <w:textAlignment w:val="center"/>
                    <w:rPr>
                      <w:rFonts w:hint="eastAsia" w:cs="Times New Roman" w:eastAsiaTheme="minorEastAsia"/>
                      <w:i w:val="0"/>
                      <w:iCs w:val="0"/>
                      <w:color w:val="auto"/>
                      <w:kern w:val="0"/>
                      <w:sz w:val="21"/>
                      <w:szCs w:val="21"/>
                      <w:highlight w:val="none"/>
                      <w:u w:val="none"/>
                      <w:lang w:val="en-US" w:eastAsia="zh-CN" w:bidi="ar"/>
                    </w:rPr>
                  </w:pPr>
                  <w:r>
                    <w:rPr>
                      <w:rFonts w:hint="eastAsia" w:cs="Times New Roman" w:eastAsiaTheme="minorEastAsia"/>
                      <w:i w:val="0"/>
                      <w:iCs w:val="0"/>
                      <w:color w:val="auto"/>
                      <w:kern w:val="0"/>
                      <w:sz w:val="21"/>
                      <w:szCs w:val="21"/>
                      <w:highlight w:val="none"/>
                      <w:u w:val="none"/>
                      <w:lang w:val="en-US" w:eastAsia="zh-CN" w:bidi="ar"/>
                    </w:rPr>
                    <w:t>水洗白云石生产线</w:t>
                  </w:r>
                </w:p>
                <w:p w14:paraId="2B96D2D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eastAsiaTheme="minorEastAsia"/>
                      <w:i w:val="0"/>
                      <w:iCs w:val="0"/>
                      <w:color w:val="auto"/>
                      <w:sz w:val="21"/>
                      <w:szCs w:val="21"/>
                      <w:highlight w:val="none"/>
                      <w:u w:val="none"/>
                    </w:rPr>
                  </w:pPr>
                  <w:r>
                    <w:rPr>
                      <w:rFonts w:hint="eastAsia" w:cs="Times New Roman" w:eastAsiaTheme="minorEastAsia"/>
                      <w:i w:val="0"/>
                      <w:iCs w:val="0"/>
                      <w:color w:val="auto"/>
                      <w:kern w:val="0"/>
                      <w:sz w:val="21"/>
                      <w:szCs w:val="21"/>
                      <w:highlight w:val="none"/>
                      <w:u w:val="none"/>
                      <w:lang w:val="en-US" w:eastAsia="zh-CN" w:bidi="ar"/>
                    </w:rPr>
                    <w:t>直径约20cm</w:t>
                  </w:r>
                </w:p>
              </w:tc>
              <w:tc>
                <w:tcPr>
                  <w:tcW w:w="9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38A0B5">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i w:val="0"/>
                      <w:iCs w:val="0"/>
                      <w:color w:val="auto"/>
                      <w:sz w:val="21"/>
                      <w:szCs w:val="21"/>
                      <w:highlight w:val="none"/>
                      <w:u w:val="none"/>
                      <w:lang w:val="en-US" w:eastAsia="zh-CN"/>
                    </w:rPr>
                  </w:pPr>
                  <w:r>
                    <w:rPr>
                      <w:rFonts w:hint="eastAsia" w:cs="Times New Roman" w:eastAsiaTheme="minorEastAsia"/>
                      <w:i w:val="0"/>
                      <w:iCs w:val="0"/>
                      <w:color w:val="auto"/>
                      <w:sz w:val="21"/>
                      <w:szCs w:val="21"/>
                      <w:highlight w:val="none"/>
                      <w:u w:val="none"/>
                      <w:lang w:val="en-US" w:eastAsia="zh-CN"/>
                    </w:rPr>
                    <w:t>200016</w:t>
                  </w:r>
                  <w:r>
                    <w:rPr>
                      <w:rFonts w:hint="default" w:ascii="Times New Roman" w:hAnsi="Times New Roman" w:cs="Times New Roman" w:eastAsiaTheme="minorEastAsia"/>
                      <w:i w:val="0"/>
                      <w:iCs w:val="0"/>
                      <w:color w:val="auto"/>
                      <w:kern w:val="0"/>
                      <w:sz w:val="21"/>
                      <w:szCs w:val="21"/>
                      <w:highlight w:val="none"/>
                      <w:u w:val="none"/>
                      <w:lang w:val="en-US" w:eastAsia="zh-CN" w:bidi="ar"/>
                    </w:rPr>
                    <w:t>t/a</w:t>
                  </w:r>
                </w:p>
              </w:tc>
              <w:tc>
                <w:tcPr>
                  <w:tcW w:w="1389" w:type="pct"/>
                  <w:vMerge w:val="restart"/>
                  <w:tcBorders>
                    <w:top w:val="single" w:color="000000" w:sz="4" w:space="0"/>
                    <w:left w:val="single" w:color="000000" w:sz="4" w:space="0"/>
                    <w:right w:val="single" w:color="000000" w:sz="4" w:space="0"/>
                  </w:tcBorders>
                  <w:shd w:val="clear" w:color="auto" w:fill="auto"/>
                  <w:vAlign w:val="center"/>
                </w:tcPr>
                <w:p w14:paraId="07CC2C9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sz w:val="21"/>
                      <w:szCs w:val="21"/>
                      <w:highlight w:val="none"/>
                      <w:u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本项目原料来源于当地矿山，运输采用汽运，存放于封闭原料库房；机油维修时购买，不在厂内储存。</w:t>
                  </w:r>
                </w:p>
              </w:tc>
            </w:tr>
            <w:tr w14:paraId="1F425E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7" w:hRule="atLeast"/>
              </w:trPr>
              <w:tc>
                <w:tcPr>
                  <w:tcW w:w="5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F4BEE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eastAsia" w:cs="Times New Roman" w:eastAsiaTheme="minorEastAsia"/>
                      <w:i w:val="0"/>
                      <w:iCs w:val="0"/>
                      <w:color w:val="auto"/>
                      <w:kern w:val="0"/>
                      <w:sz w:val="21"/>
                      <w:szCs w:val="21"/>
                      <w:highlight w:val="none"/>
                      <w:u w:val="none"/>
                      <w:lang w:val="en-US" w:eastAsia="zh-CN" w:bidi="ar"/>
                    </w:rPr>
                    <w:t>2</w:t>
                  </w:r>
                </w:p>
              </w:tc>
              <w:tc>
                <w:tcPr>
                  <w:tcW w:w="8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CEE1718">
                  <w:pPr>
                    <w:keepNext w:val="0"/>
                    <w:keepLines w:val="0"/>
                    <w:widowControl/>
                    <w:suppressLineNumbers w:val="0"/>
                    <w:spacing w:before="0" w:beforeAutospacing="0" w:after="0" w:afterAutospacing="0"/>
                    <w:ind w:left="0" w:leftChars="0" w:right="0" w:rightChars="0"/>
                    <w:jc w:val="center"/>
                    <w:textAlignment w:val="center"/>
                    <w:rPr>
                      <w:rFonts w:hint="eastAsia" w:cs="Times New Roman" w:eastAsiaTheme="minorEastAsia"/>
                      <w:i w:val="0"/>
                      <w:iCs w:val="0"/>
                      <w:color w:val="auto"/>
                      <w:kern w:val="0"/>
                      <w:sz w:val="21"/>
                      <w:szCs w:val="21"/>
                      <w:highlight w:val="none"/>
                      <w:u w:val="none"/>
                      <w:lang w:val="en-US" w:eastAsia="zh-CN" w:bidi="ar"/>
                    </w:rPr>
                  </w:pPr>
                  <w:r>
                    <w:rPr>
                      <w:rFonts w:hint="eastAsia" w:cs="Times New Roman" w:eastAsiaTheme="minorEastAsia"/>
                      <w:i w:val="0"/>
                      <w:iCs w:val="0"/>
                      <w:color w:val="auto"/>
                      <w:kern w:val="0"/>
                      <w:sz w:val="21"/>
                      <w:szCs w:val="21"/>
                      <w:highlight w:val="none"/>
                      <w:u w:val="none"/>
                      <w:lang w:val="en-US" w:eastAsia="zh-CN" w:bidi="ar"/>
                    </w:rPr>
                    <w:t>白云石</w:t>
                  </w:r>
                </w:p>
              </w:tc>
              <w:tc>
                <w:tcPr>
                  <w:tcW w:w="1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9F4A4A">
                  <w:pPr>
                    <w:keepNext w:val="0"/>
                    <w:keepLines w:val="0"/>
                    <w:widowControl/>
                    <w:suppressLineNumbers w:val="0"/>
                    <w:spacing w:before="0" w:beforeAutospacing="0" w:after="0" w:afterAutospacing="0"/>
                    <w:ind w:left="0" w:leftChars="0" w:right="0" w:rightChars="0"/>
                    <w:jc w:val="center"/>
                    <w:textAlignment w:val="center"/>
                    <w:rPr>
                      <w:rFonts w:hint="eastAsia" w:cs="Times New Roman" w:eastAsiaTheme="minorEastAsia"/>
                      <w:i w:val="0"/>
                      <w:iCs w:val="0"/>
                      <w:color w:val="auto"/>
                      <w:kern w:val="0"/>
                      <w:sz w:val="21"/>
                      <w:szCs w:val="21"/>
                      <w:highlight w:val="none"/>
                      <w:u w:val="none"/>
                      <w:lang w:val="en-US" w:eastAsia="zh-CN" w:bidi="ar"/>
                    </w:rPr>
                  </w:pPr>
                  <w:r>
                    <w:rPr>
                      <w:rFonts w:hint="eastAsia" w:cs="Times New Roman" w:eastAsiaTheme="minorEastAsia"/>
                      <w:i w:val="0"/>
                      <w:iCs w:val="0"/>
                      <w:color w:val="auto"/>
                      <w:kern w:val="0"/>
                      <w:sz w:val="21"/>
                      <w:szCs w:val="21"/>
                      <w:highlight w:val="none"/>
                      <w:u w:val="none"/>
                      <w:lang w:val="en-US" w:eastAsia="zh-CN" w:bidi="ar"/>
                    </w:rPr>
                    <w:t>2~5#生产线</w:t>
                  </w:r>
                </w:p>
                <w:p w14:paraId="1D70AA5D">
                  <w:pPr>
                    <w:keepNext w:val="0"/>
                    <w:keepLines w:val="0"/>
                    <w:widowControl/>
                    <w:suppressLineNumbers w:val="0"/>
                    <w:spacing w:before="0" w:beforeAutospacing="0" w:after="0" w:afterAutospacing="0"/>
                    <w:ind w:left="0" w:leftChars="0" w:right="0" w:rightChars="0"/>
                    <w:jc w:val="center"/>
                    <w:textAlignment w:val="center"/>
                    <w:rPr>
                      <w:rFonts w:hint="eastAsia" w:cs="Times New Roman" w:eastAsiaTheme="minorEastAsia"/>
                      <w:i w:val="0"/>
                      <w:iCs w:val="0"/>
                      <w:color w:val="auto"/>
                      <w:kern w:val="0"/>
                      <w:sz w:val="21"/>
                      <w:szCs w:val="21"/>
                      <w:highlight w:val="none"/>
                      <w:u w:val="none"/>
                      <w:lang w:val="en-US" w:eastAsia="zh-CN" w:bidi="ar"/>
                    </w:rPr>
                  </w:pPr>
                  <w:r>
                    <w:rPr>
                      <w:rFonts w:hint="eastAsia" w:cs="Times New Roman" w:eastAsiaTheme="minorEastAsia"/>
                      <w:i w:val="0"/>
                      <w:iCs w:val="0"/>
                      <w:color w:val="auto"/>
                      <w:kern w:val="0"/>
                      <w:sz w:val="21"/>
                      <w:szCs w:val="21"/>
                      <w:highlight w:val="none"/>
                      <w:u w:val="none"/>
                      <w:lang w:val="en-US" w:eastAsia="zh-CN" w:bidi="ar"/>
                    </w:rPr>
                    <w:t>直径小于</w:t>
                  </w:r>
                  <w:r>
                    <w:rPr>
                      <w:rFonts w:hint="default" w:ascii="Times New Roman" w:hAnsi="Times New Roman" w:cs="Times New Roman" w:eastAsiaTheme="minorEastAsia"/>
                      <w:i w:val="0"/>
                      <w:iCs w:val="0"/>
                      <w:color w:val="auto"/>
                      <w:kern w:val="0"/>
                      <w:sz w:val="21"/>
                      <w:szCs w:val="21"/>
                      <w:highlight w:val="none"/>
                      <w:u w:val="none"/>
                      <w:lang w:val="en-US" w:eastAsia="zh-CN" w:bidi="ar"/>
                    </w:rPr>
                    <w:t>60cm</w:t>
                  </w:r>
                </w:p>
              </w:tc>
              <w:tc>
                <w:tcPr>
                  <w:tcW w:w="9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9909F2">
                  <w:pPr>
                    <w:keepNext w:val="0"/>
                    <w:keepLines w:val="0"/>
                    <w:suppressLineNumbers w:val="0"/>
                    <w:spacing w:before="0" w:beforeAutospacing="0" w:after="0" w:afterAutospacing="0"/>
                    <w:ind w:left="0" w:right="0"/>
                    <w:jc w:val="center"/>
                    <w:rPr>
                      <w:rFonts w:hint="default" w:cs="Times New Roman" w:eastAsiaTheme="minorEastAsia"/>
                      <w:i w:val="0"/>
                      <w:iCs w:val="0"/>
                      <w:color w:val="auto"/>
                      <w:sz w:val="21"/>
                      <w:szCs w:val="21"/>
                      <w:highlight w:val="none"/>
                      <w:u w:val="none"/>
                      <w:lang w:val="en-US" w:eastAsia="zh-CN"/>
                    </w:rPr>
                  </w:pPr>
                  <w:r>
                    <w:rPr>
                      <w:rFonts w:hint="eastAsia" w:cs="Times New Roman" w:eastAsiaTheme="minorEastAsia"/>
                      <w:i w:val="0"/>
                      <w:iCs w:val="0"/>
                      <w:color w:val="auto"/>
                      <w:sz w:val="21"/>
                      <w:szCs w:val="21"/>
                      <w:highlight w:val="none"/>
                      <w:u w:val="none"/>
                      <w:lang w:val="en-US" w:eastAsia="zh-CN"/>
                    </w:rPr>
                    <w:t>401866.357</w:t>
                  </w:r>
                  <w:r>
                    <w:rPr>
                      <w:rFonts w:hint="default" w:ascii="Times New Roman" w:hAnsi="Times New Roman" w:cs="Times New Roman" w:eastAsiaTheme="minorEastAsia"/>
                      <w:i w:val="0"/>
                      <w:iCs w:val="0"/>
                      <w:color w:val="auto"/>
                      <w:kern w:val="0"/>
                      <w:sz w:val="21"/>
                      <w:szCs w:val="21"/>
                      <w:highlight w:val="none"/>
                      <w:u w:val="none"/>
                      <w:lang w:val="en-US" w:eastAsia="zh-CN" w:bidi="ar"/>
                    </w:rPr>
                    <w:t>t/a</w:t>
                  </w:r>
                </w:p>
              </w:tc>
              <w:tc>
                <w:tcPr>
                  <w:tcW w:w="1389" w:type="pct"/>
                  <w:vMerge w:val="continue"/>
                  <w:tcBorders>
                    <w:left w:val="single" w:color="000000" w:sz="4" w:space="0"/>
                    <w:right w:val="single" w:color="000000" w:sz="4" w:space="0"/>
                  </w:tcBorders>
                  <w:shd w:val="clear" w:color="auto" w:fill="auto"/>
                  <w:vAlign w:val="center"/>
                </w:tcPr>
                <w:p w14:paraId="1198ACC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p>
              </w:tc>
            </w:tr>
            <w:tr w14:paraId="009451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5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9D5C6E">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sz w:val="21"/>
                      <w:szCs w:val="21"/>
                      <w:highlight w:val="none"/>
                      <w:u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3</w:t>
                  </w:r>
                </w:p>
              </w:tc>
              <w:tc>
                <w:tcPr>
                  <w:tcW w:w="8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BC3FF2A">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sz w:val="21"/>
                      <w:szCs w:val="21"/>
                      <w:highlight w:val="none"/>
                      <w:u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吨袋</w:t>
                  </w:r>
                </w:p>
              </w:tc>
              <w:tc>
                <w:tcPr>
                  <w:tcW w:w="1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B049A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sz w:val="21"/>
                      <w:szCs w:val="21"/>
                      <w:highlight w:val="none"/>
                      <w:u w:val="none"/>
                    </w:rPr>
                  </w:pPr>
                  <w:r>
                    <w:rPr>
                      <w:rFonts w:hint="default" w:ascii="Times New Roman" w:hAnsi="Times New Roman" w:cs="Times New Roman" w:eastAsiaTheme="minorEastAsia"/>
                      <w:i w:val="0"/>
                      <w:iCs w:val="0"/>
                      <w:color w:val="auto"/>
                      <w:sz w:val="21"/>
                      <w:szCs w:val="21"/>
                      <w:highlight w:val="none"/>
                      <w:u w:val="none"/>
                    </w:rPr>
                    <w:t>1m×1m×1m</w:t>
                  </w:r>
                </w:p>
              </w:tc>
              <w:tc>
                <w:tcPr>
                  <w:tcW w:w="9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BCE68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sz w:val="21"/>
                      <w:szCs w:val="21"/>
                      <w:highlight w:val="none"/>
                      <w:u w:val="none"/>
                    </w:rPr>
                  </w:pPr>
                  <w:r>
                    <w:rPr>
                      <w:rFonts w:hint="eastAsia" w:cs="Times New Roman" w:eastAsiaTheme="minorEastAsia"/>
                      <w:i w:val="0"/>
                      <w:iCs w:val="0"/>
                      <w:color w:val="auto"/>
                      <w:kern w:val="0"/>
                      <w:sz w:val="21"/>
                      <w:szCs w:val="21"/>
                      <w:highlight w:val="none"/>
                      <w:u w:val="none"/>
                      <w:lang w:val="en-US" w:eastAsia="zh-CN" w:bidi="ar"/>
                    </w:rPr>
                    <w:t>4</w:t>
                  </w:r>
                  <w:r>
                    <w:rPr>
                      <w:rFonts w:hint="default" w:ascii="Times New Roman" w:hAnsi="Times New Roman" w:cs="Times New Roman" w:eastAsiaTheme="minorEastAsia"/>
                      <w:i w:val="0"/>
                      <w:iCs w:val="0"/>
                      <w:color w:val="auto"/>
                      <w:kern w:val="0"/>
                      <w:sz w:val="21"/>
                      <w:szCs w:val="21"/>
                      <w:highlight w:val="none"/>
                      <w:u w:val="none"/>
                      <w:lang w:val="en-US" w:eastAsia="zh-CN" w:bidi="ar"/>
                    </w:rPr>
                    <w:t>0万条</w:t>
                  </w:r>
                </w:p>
              </w:tc>
              <w:tc>
                <w:tcPr>
                  <w:tcW w:w="1389" w:type="pct"/>
                  <w:vMerge w:val="continue"/>
                  <w:tcBorders>
                    <w:left w:val="single" w:color="000000" w:sz="4" w:space="0"/>
                    <w:right w:val="single" w:color="000000" w:sz="4" w:space="0"/>
                  </w:tcBorders>
                  <w:shd w:val="clear" w:color="auto" w:fill="auto"/>
                  <w:vAlign w:val="center"/>
                </w:tcPr>
                <w:p w14:paraId="3EA01DC8">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i w:val="0"/>
                      <w:iCs w:val="0"/>
                      <w:color w:val="auto"/>
                      <w:sz w:val="21"/>
                      <w:szCs w:val="21"/>
                      <w:highlight w:val="none"/>
                      <w:u w:val="none"/>
                    </w:rPr>
                  </w:pPr>
                </w:p>
              </w:tc>
            </w:tr>
            <w:tr w14:paraId="4570DD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2" w:hRule="atLeast"/>
              </w:trPr>
              <w:tc>
                <w:tcPr>
                  <w:tcW w:w="5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1C2A2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sz w:val="21"/>
                      <w:szCs w:val="21"/>
                      <w:highlight w:val="none"/>
                      <w:u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4</w:t>
                  </w:r>
                </w:p>
              </w:tc>
              <w:tc>
                <w:tcPr>
                  <w:tcW w:w="8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0A4DE4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sz w:val="21"/>
                      <w:szCs w:val="21"/>
                      <w:highlight w:val="none"/>
                      <w:u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机油</w:t>
                  </w:r>
                </w:p>
              </w:tc>
              <w:tc>
                <w:tcPr>
                  <w:tcW w:w="1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A9CF0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sz w:val="21"/>
                      <w:szCs w:val="21"/>
                      <w:highlight w:val="none"/>
                      <w:u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20kg/桶</w:t>
                  </w:r>
                </w:p>
              </w:tc>
              <w:tc>
                <w:tcPr>
                  <w:tcW w:w="9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00E0F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sz w:val="21"/>
                      <w:szCs w:val="21"/>
                      <w:highlight w:val="none"/>
                      <w:u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0.5t/a</w:t>
                  </w:r>
                </w:p>
              </w:tc>
              <w:tc>
                <w:tcPr>
                  <w:tcW w:w="1389" w:type="pct"/>
                  <w:vMerge w:val="continue"/>
                  <w:tcBorders>
                    <w:left w:val="single" w:color="000000" w:sz="4" w:space="0"/>
                    <w:right w:val="single" w:color="000000" w:sz="4" w:space="0"/>
                  </w:tcBorders>
                  <w:shd w:val="clear" w:color="auto" w:fill="auto"/>
                  <w:vAlign w:val="center"/>
                </w:tcPr>
                <w:p w14:paraId="66F0C3F0">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i w:val="0"/>
                      <w:iCs w:val="0"/>
                      <w:color w:val="auto"/>
                      <w:sz w:val="21"/>
                      <w:szCs w:val="21"/>
                      <w:highlight w:val="none"/>
                      <w:u w:val="none"/>
                    </w:rPr>
                  </w:pPr>
                </w:p>
              </w:tc>
            </w:tr>
            <w:tr w14:paraId="07972F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2" w:hRule="atLeast"/>
              </w:trPr>
              <w:tc>
                <w:tcPr>
                  <w:tcW w:w="5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001D6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eastAsia" w:cs="Times New Roman" w:eastAsiaTheme="minorEastAsia"/>
                      <w:i w:val="0"/>
                      <w:iCs w:val="0"/>
                      <w:color w:val="auto"/>
                      <w:kern w:val="0"/>
                      <w:sz w:val="21"/>
                      <w:szCs w:val="21"/>
                      <w:highlight w:val="none"/>
                      <w:u w:val="none"/>
                      <w:lang w:val="en-US" w:eastAsia="zh-CN" w:bidi="ar"/>
                    </w:rPr>
                    <w:t>5</w:t>
                  </w:r>
                </w:p>
              </w:tc>
              <w:tc>
                <w:tcPr>
                  <w:tcW w:w="8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F339BA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eastAsia" w:cs="Times New Roman" w:eastAsiaTheme="minorEastAsia"/>
                      <w:i w:val="0"/>
                      <w:iCs w:val="0"/>
                      <w:color w:val="auto"/>
                      <w:kern w:val="0"/>
                      <w:sz w:val="21"/>
                      <w:szCs w:val="21"/>
                      <w:highlight w:val="none"/>
                      <w:u w:val="none"/>
                      <w:lang w:val="en-US" w:eastAsia="zh-CN" w:bidi="ar"/>
                    </w:rPr>
                    <w:t>布袋</w:t>
                  </w:r>
                </w:p>
              </w:tc>
              <w:tc>
                <w:tcPr>
                  <w:tcW w:w="1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609D3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eastAsia" w:cs="Times New Roman" w:eastAsiaTheme="minorEastAsia"/>
                      <w:i w:val="0"/>
                      <w:iCs w:val="0"/>
                      <w:color w:val="auto"/>
                      <w:kern w:val="0"/>
                      <w:sz w:val="21"/>
                      <w:szCs w:val="21"/>
                      <w:highlight w:val="none"/>
                      <w:u w:val="none"/>
                      <w:lang w:val="en-US" w:eastAsia="zh-CN" w:bidi="ar"/>
                    </w:rPr>
                    <w:t>/</w:t>
                  </w:r>
                </w:p>
              </w:tc>
              <w:tc>
                <w:tcPr>
                  <w:tcW w:w="9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B2F6E9">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eastAsia" w:cs="Times New Roman" w:eastAsiaTheme="minorEastAsia"/>
                      <w:i w:val="0"/>
                      <w:iCs w:val="0"/>
                      <w:color w:val="auto"/>
                      <w:kern w:val="0"/>
                      <w:sz w:val="21"/>
                      <w:szCs w:val="21"/>
                      <w:highlight w:val="none"/>
                      <w:u w:val="none"/>
                      <w:lang w:val="en-US" w:eastAsia="zh-CN" w:bidi="ar"/>
                    </w:rPr>
                    <w:t>0.1t/a</w:t>
                  </w:r>
                </w:p>
              </w:tc>
              <w:tc>
                <w:tcPr>
                  <w:tcW w:w="1389" w:type="pct"/>
                  <w:vMerge w:val="continue"/>
                  <w:tcBorders>
                    <w:left w:val="single" w:color="000000" w:sz="4" w:space="0"/>
                    <w:bottom w:val="single" w:color="000000" w:sz="4" w:space="0"/>
                    <w:right w:val="single" w:color="000000" w:sz="4" w:space="0"/>
                  </w:tcBorders>
                  <w:shd w:val="clear" w:color="auto" w:fill="auto"/>
                  <w:vAlign w:val="center"/>
                </w:tcPr>
                <w:p w14:paraId="100C0EBD">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i w:val="0"/>
                      <w:iCs w:val="0"/>
                      <w:color w:val="auto"/>
                      <w:sz w:val="21"/>
                      <w:szCs w:val="21"/>
                      <w:highlight w:val="none"/>
                      <w:u w:val="none"/>
                    </w:rPr>
                  </w:pPr>
                </w:p>
              </w:tc>
            </w:tr>
            <w:tr w14:paraId="5BDE22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D4DF1B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sz w:val="21"/>
                      <w:szCs w:val="21"/>
                      <w:highlight w:val="none"/>
                      <w:u w:val="none"/>
                    </w:rPr>
                  </w:pPr>
                  <w:r>
                    <w:rPr>
                      <w:rFonts w:hint="eastAsia" w:cs="Times New Roman" w:eastAsiaTheme="minorEastAsia"/>
                      <w:i w:val="0"/>
                      <w:iCs w:val="0"/>
                      <w:color w:val="auto"/>
                      <w:kern w:val="0"/>
                      <w:sz w:val="21"/>
                      <w:szCs w:val="21"/>
                      <w:highlight w:val="none"/>
                      <w:u w:val="none"/>
                      <w:lang w:val="en-US" w:eastAsia="zh-CN" w:bidi="ar"/>
                    </w:rPr>
                    <w:t>6</w:t>
                  </w:r>
                </w:p>
              </w:tc>
              <w:tc>
                <w:tcPr>
                  <w:tcW w:w="44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9AB1045">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sz w:val="21"/>
                      <w:szCs w:val="21"/>
                      <w:highlight w:val="none"/>
                      <w:u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能源</w:t>
                  </w:r>
                </w:p>
              </w:tc>
              <w:tc>
                <w:tcPr>
                  <w:tcW w:w="4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907D1D">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sz w:val="21"/>
                      <w:szCs w:val="21"/>
                      <w:highlight w:val="none"/>
                      <w:u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电</w:t>
                  </w:r>
                </w:p>
              </w:tc>
              <w:tc>
                <w:tcPr>
                  <w:tcW w:w="1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E5BF4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sz w:val="21"/>
                      <w:szCs w:val="21"/>
                      <w:highlight w:val="none"/>
                      <w:u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w:t>
                  </w:r>
                </w:p>
              </w:tc>
              <w:tc>
                <w:tcPr>
                  <w:tcW w:w="9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FFBDC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sz w:val="21"/>
                      <w:szCs w:val="21"/>
                      <w:highlight w:val="none"/>
                      <w:u w:val="none"/>
                    </w:rPr>
                  </w:pPr>
                  <w:r>
                    <w:rPr>
                      <w:rFonts w:hint="eastAsia" w:cs="Times New Roman" w:eastAsiaTheme="minorEastAsia"/>
                      <w:i w:val="0"/>
                      <w:iCs w:val="0"/>
                      <w:color w:val="auto"/>
                      <w:kern w:val="0"/>
                      <w:sz w:val="21"/>
                      <w:szCs w:val="21"/>
                      <w:highlight w:val="none"/>
                      <w:u w:val="none"/>
                      <w:lang w:val="en-US" w:eastAsia="zh-CN" w:bidi="ar"/>
                    </w:rPr>
                    <w:t>200</w:t>
                  </w:r>
                  <w:r>
                    <w:rPr>
                      <w:rFonts w:hint="default" w:ascii="Times New Roman" w:hAnsi="Times New Roman" w:cs="Times New Roman" w:eastAsiaTheme="minorEastAsia"/>
                      <w:i w:val="0"/>
                      <w:iCs w:val="0"/>
                      <w:color w:val="auto"/>
                      <w:kern w:val="0"/>
                      <w:sz w:val="21"/>
                      <w:szCs w:val="21"/>
                      <w:highlight w:val="none"/>
                      <w:u w:val="none"/>
                      <w:lang w:val="en-US" w:eastAsia="zh-CN" w:bidi="ar"/>
                    </w:rPr>
                    <w:t>万kWh/a</w:t>
                  </w:r>
                </w:p>
              </w:tc>
              <w:tc>
                <w:tcPr>
                  <w:tcW w:w="13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71762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sz w:val="21"/>
                      <w:szCs w:val="21"/>
                      <w:highlight w:val="none"/>
                      <w:u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来源本地区电网</w:t>
                  </w:r>
                </w:p>
              </w:tc>
            </w:tr>
            <w:tr w14:paraId="6C3BEA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6" w:hRule="atLeast"/>
              </w:trPr>
              <w:tc>
                <w:tcPr>
                  <w:tcW w:w="5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0392F5">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i w:val="0"/>
                      <w:iCs w:val="0"/>
                      <w:color w:val="auto"/>
                      <w:sz w:val="21"/>
                      <w:szCs w:val="21"/>
                      <w:highlight w:val="none"/>
                      <w:u w:val="none"/>
                    </w:rPr>
                  </w:pPr>
                </w:p>
              </w:tc>
              <w:tc>
                <w:tcPr>
                  <w:tcW w:w="4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938937">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i w:val="0"/>
                      <w:iCs w:val="0"/>
                      <w:color w:val="auto"/>
                      <w:sz w:val="21"/>
                      <w:szCs w:val="21"/>
                      <w:highlight w:val="none"/>
                      <w:u w:val="none"/>
                    </w:rPr>
                  </w:pPr>
                </w:p>
              </w:tc>
              <w:tc>
                <w:tcPr>
                  <w:tcW w:w="4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C3ACEC">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sz w:val="21"/>
                      <w:szCs w:val="21"/>
                      <w:highlight w:val="none"/>
                      <w:u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水</w:t>
                  </w:r>
                </w:p>
              </w:tc>
              <w:tc>
                <w:tcPr>
                  <w:tcW w:w="12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FEECC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sz w:val="21"/>
                      <w:szCs w:val="21"/>
                      <w:highlight w:val="none"/>
                      <w:u w:val="none"/>
                    </w:rPr>
                  </w:pPr>
                  <w:r>
                    <w:rPr>
                      <w:rFonts w:hint="default" w:ascii="Times New Roman" w:hAnsi="Times New Roman" w:cs="Times New Roman" w:eastAsiaTheme="minorEastAsia"/>
                      <w:i w:val="0"/>
                      <w:iCs w:val="0"/>
                      <w:color w:val="auto"/>
                      <w:kern w:val="0"/>
                      <w:sz w:val="21"/>
                      <w:szCs w:val="21"/>
                      <w:highlight w:val="none"/>
                      <w:u w:val="none"/>
                      <w:lang w:val="en-US" w:eastAsia="zh-CN" w:bidi="ar"/>
                    </w:rPr>
                    <w:t>/</w:t>
                  </w:r>
                </w:p>
              </w:tc>
              <w:tc>
                <w:tcPr>
                  <w:tcW w:w="9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C58010">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sz w:val="21"/>
                      <w:szCs w:val="21"/>
                      <w:highlight w:val="none"/>
                      <w:u w:val="none"/>
                    </w:rPr>
                  </w:pPr>
                  <w:r>
                    <w:rPr>
                      <w:rFonts w:hint="eastAsia" w:cs="Times New Roman" w:eastAsiaTheme="minorEastAsia"/>
                      <w:i w:val="0"/>
                      <w:iCs w:val="0"/>
                      <w:color w:val="auto"/>
                      <w:kern w:val="0"/>
                      <w:sz w:val="21"/>
                      <w:szCs w:val="21"/>
                      <w:highlight w:val="none"/>
                      <w:u w:val="none"/>
                      <w:lang w:val="en-US" w:eastAsia="zh-CN" w:bidi="ar"/>
                    </w:rPr>
                    <w:t>5290.504</w:t>
                  </w:r>
                  <w:r>
                    <w:rPr>
                      <w:rFonts w:hint="default" w:ascii="Times New Roman" w:hAnsi="Times New Roman" w:cs="Times New Roman" w:eastAsiaTheme="minorEastAsia"/>
                      <w:i w:val="0"/>
                      <w:iCs w:val="0"/>
                      <w:color w:val="auto"/>
                      <w:kern w:val="0"/>
                      <w:sz w:val="21"/>
                      <w:szCs w:val="21"/>
                      <w:highlight w:val="none"/>
                      <w:u w:val="none"/>
                      <w:lang w:val="en-US" w:eastAsia="zh-CN" w:bidi="ar"/>
                    </w:rPr>
                    <w:t>t/a</w:t>
                  </w:r>
                </w:p>
              </w:tc>
              <w:tc>
                <w:tcPr>
                  <w:tcW w:w="13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03847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i w:val="0"/>
                      <w:iCs w:val="0"/>
                      <w:color w:val="auto"/>
                      <w:sz w:val="21"/>
                      <w:szCs w:val="21"/>
                      <w:highlight w:val="none"/>
                      <w:u w:val="none"/>
                    </w:rPr>
                  </w:pPr>
                  <w:r>
                    <w:rPr>
                      <w:rFonts w:hint="eastAsia" w:cs="Times New Roman" w:eastAsiaTheme="minorEastAsia"/>
                      <w:i w:val="0"/>
                      <w:iCs w:val="0"/>
                      <w:color w:val="auto"/>
                      <w:kern w:val="0"/>
                      <w:sz w:val="21"/>
                      <w:szCs w:val="21"/>
                      <w:highlight w:val="none"/>
                      <w:u w:val="none"/>
                      <w:lang w:val="en-US" w:eastAsia="zh-CN" w:bidi="ar"/>
                    </w:rPr>
                    <w:t>地下水</w:t>
                  </w:r>
                </w:p>
              </w:tc>
            </w:tr>
          </w:tbl>
          <w:p w14:paraId="458FD0DD">
            <w:pPr>
              <w:keepNext w:val="0"/>
              <w:keepLines w:val="0"/>
              <w:numPr>
                <w:ilvl w:val="0"/>
                <w:numId w:val="0"/>
              </w:numPr>
              <w:suppressLineNumbers w:val="0"/>
              <w:spacing w:before="0" w:beforeAutospacing="0" w:after="0" w:afterAutospacing="0" w:line="360" w:lineRule="auto"/>
              <w:ind w:left="0" w:right="151" w:rightChars="72"/>
              <w:rPr>
                <w:rFonts w:hint="eastAsia" w:ascii="Calibri" w:hAnsi="Calibri" w:eastAsia="宋体" w:cs="Times New Roman"/>
                <w:color w:val="auto"/>
                <w:sz w:val="24"/>
                <w:highlight w:val="none"/>
                <w:shd w:val="clear" w:color="auto" w:fill="auto"/>
                <w:lang w:eastAsia="zh-CN"/>
              </w:rPr>
            </w:pPr>
          </w:p>
          <w:p w14:paraId="25AA4CF2">
            <w:pPr>
              <w:keepNext w:val="0"/>
              <w:keepLines w:val="0"/>
              <w:numPr>
                <w:ilvl w:val="0"/>
                <w:numId w:val="0"/>
              </w:numPr>
              <w:suppressLineNumbers w:val="0"/>
              <w:spacing w:before="0" w:beforeAutospacing="0" w:after="0" w:afterAutospacing="0" w:line="360" w:lineRule="auto"/>
              <w:ind w:left="0" w:right="151" w:rightChars="72" w:firstLine="480" w:firstLineChars="200"/>
              <w:rPr>
                <w:rFonts w:hint="eastAsia" w:ascii="Calibri" w:hAnsi="Calibri" w:eastAsia="宋体" w:cs="Times New Roman"/>
                <w:color w:val="auto"/>
                <w:sz w:val="24"/>
                <w:highlight w:val="none"/>
                <w:shd w:val="clear" w:color="auto" w:fill="auto"/>
              </w:rPr>
            </w:pPr>
            <w:r>
              <w:rPr>
                <w:rFonts w:hint="eastAsia" w:ascii="Calibri" w:hAnsi="Calibri" w:eastAsia="宋体" w:cs="Times New Roman"/>
                <w:color w:val="auto"/>
                <w:sz w:val="24"/>
                <w:highlight w:val="none"/>
                <w:shd w:val="clear" w:color="auto" w:fill="auto"/>
                <w:lang w:eastAsia="zh-CN"/>
              </w:rPr>
              <w:t>①</w:t>
            </w:r>
            <w:r>
              <w:rPr>
                <w:rFonts w:hint="eastAsia" w:ascii="宋体" w:hAnsi="宋体" w:cs="宋体"/>
                <w:color w:val="auto"/>
                <w:sz w:val="24"/>
                <w:szCs w:val="24"/>
                <w:highlight w:val="none"/>
                <w:lang w:eastAsia="zh-CN"/>
              </w:rPr>
              <w:t>白云石</w:t>
            </w:r>
            <w:r>
              <w:rPr>
                <w:rFonts w:hint="eastAsia" w:ascii="Calibri" w:hAnsi="Calibri" w:eastAsia="宋体" w:cs="Times New Roman"/>
                <w:color w:val="auto"/>
                <w:sz w:val="24"/>
                <w:highlight w:val="none"/>
                <w:shd w:val="clear" w:color="auto" w:fill="auto"/>
              </w:rPr>
              <w:t>：</w:t>
            </w:r>
            <w:r>
              <w:rPr>
                <w:rFonts w:hint="eastAsia" w:ascii="宋体" w:hAnsi="宋体" w:cs="宋体"/>
                <w:color w:val="auto"/>
                <w:sz w:val="24"/>
                <w:szCs w:val="24"/>
                <w:highlight w:val="none"/>
                <w:lang w:eastAsia="zh-CN"/>
              </w:rPr>
              <w:t>白云石</w:t>
            </w:r>
            <w:r>
              <w:rPr>
                <w:rFonts w:hint="eastAsia" w:ascii="Calibri" w:hAnsi="Calibri" w:eastAsia="宋体" w:cs="Times New Roman"/>
                <w:color w:val="auto"/>
                <w:sz w:val="24"/>
                <w:highlight w:val="none"/>
                <w:shd w:val="clear" w:color="auto" w:fill="auto"/>
                <w:lang w:val="en-US" w:eastAsia="zh-CN"/>
              </w:rPr>
              <w:t>晶体属三方晶系的</w:t>
            </w:r>
            <w:r>
              <w:rPr>
                <w:rFonts w:hint="eastAsia" w:ascii="Calibri" w:hAnsi="Calibri" w:eastAsia="宋体" w:cs="Times New Roman"/>
                <w:color w:val="auto"/>
                <w:sz w:val="24"/>
                <w:highlight w:val="none"/>
                <w:shd w:val="clear" w:color="auto" w:fill="auto"/>
                <w:lang w:val="en-US" w:eastAsia="zh-CN"/>
              </w:rPr>
              <w:fldChar w:fldCharType="begin"/>
            </w:r>
            <w:r>
              <w:rPr>
                <w:rFonts w:hint="eastAsia" w:ascii="Calibri" w:hAnsi="Calibri" w:eastAsia="宋体" w:cs="Times New Roman"/>
                <w:color w:val="auto"/>
                <w:sz w:val="24"/>
                <w:highlight w:val="none"/>
                <w:shd w:val="clear" w:color="auto" w:fill="auto"/>
                <w:lang w:val="en-US" w:eastAsia="zh-CN"/>
              </w:rPr>
              <w:instrText xml:space="preserve"> HYPERLINK "https://baike.so.com/doc/2303091-2436291.html" \t "_blank" </w:instrText>
            </w:r>
            <w:r>
              <w:rPr>
                <w:rFonts w:hint="eastAsia" w:ascii="Calibri" w:hAnsi="Calibri" w:eastAsia="宋体" w:cs="Times New Roman"/>
                <w:color w:val="auto"/>
                <w:sz w:val="24"/>
                <w:highlight w:val="none"/>
                <w:shd w:val="clear" w:color="auto" w:fill="auto"/>
                <w:lang w:val="en-US" w:eastAsia="zh-CN"/>
              </w:rPr>
              <w:fldChar w:fldCharType="separate"/>
            </w:r>
            <w:r>
              <w:rPr>
                <w:rFonts w:hint="eastAsia" w:ascii="Calibri" w:hAnsi="Calibri" w:eastAsia="宋体" w:cs="Times New Roman"/>
                <w:color w:val="auto"/>
                <w:sz w:val="24"/>
                <w:highlight w:val="none"/>
                <w:shd w:val="clear" w:color="auto" w:fill="auto"/>
                <w:lang w:val="en-US" w:eastAsia="zh-CN"/>
              </w:rPr>
              <w:t>碳酸盐矿物</w:t>
            </w:r>
            <w:r>
              <w:rPr>
                <w:rFonts w:hint="eastAsia" w:ascii="Calibri" w:hAnsi="Calibri" w:eastAsia="宋体" w:cs="Times New Roman"/>
                <w:color w:val="auto"/>
                <w:sz w:val="24"/>
                <w:highlight w:val="none"/>
                <w:shd w:val="clear" w:color="auto" w:fill="auto"/>
                <w:lang w:val="en-US" w:eastAsia="zh-CN"/>
              </w:rPr>
              <w:fldChar w:fldCharType="end"/>
            </w:r>
            <w:r>
              <w:rPr>
                <w:rFonts w:hint="eastAsia" w:ascii="Calibri" w:hAnsi="Calibri" w:eastAsia="宋体" w:cs="Times New Roman"/>
                <w:color w:val="auto"/>
                <w:sz w:val="24"/>
                <w:highlight w:val="none"/>
                <w:shd w:val="clear" w:color="auto" w:fill="auto"/>
                <w:lang w:val="en-US" w:eastAsia="zh-CN"/>
              </w:rPr>
              <w:t>。化学成分为</w:t>
            </w:r>
            <w:r>
              <w:rPr>
                <w:rFonts w:hint="default" w:ascii="Times New Roman" w:hAnsi="Times New Roman" w:eastAsia="宋体" w:cs="Times New Roman"/>
                <w:color w:val="auto"/>
                <w:sz w:val="24"/>
                <w:highlight w:val="none"/>
                <w:shd w:val="clear" w:color="auto" w:fill="auto"/>
                <w:lang w:val="en-US" w:eastAsia="zh-CN"/>
              </w:rPr>
              <w:t>CaMg(CO</w:t>
            </w:r>
            <w:r>
              <w:rPr>
                <w:rFonts w:hint="default" w:ascii="Times New Roman" w:hAnsi="Times New Roman" w:eastAsia="宋体" w:cs="Times New Roman"/>
                <w:color w:val="auto"/>
                <w:sz w:val="24"/>
                <w:highlight w:val="none"/>
                <w:shd w:val="clear" w:color="auto" w:fill="auto"/>
                <w:vertAlign w:val="subscript"/>
                <w:lang w:val="en-US" w:eastAsia="zh-CN"/>
              </w:rPr>
              <w:t>3</w:t>
            </w:r>
            <w:r>
              <w:rPr>
                <w:rFonts w:hint="default" w:ascii="Times New Roman" w:hAnsi="Times New Roman" w:eastAsia="宋体" w:cs="Times New Roman"/>
                <w:color w:val="auto"/>
                <w:sz w:val="24"/>
                <w:highlight w:val="none"/>
                <w:shd w:val="clear" w:color="auto" w:fill="auto"/>
                <w:lang w:val="en-US" w:eastAsia="zh-CN"/>
              </w:rPr>
              <w:t>)</w:t>
            </w:r>
            <w:r>
              <w:rPr>
                <w:rFonts w:hint="default" w:ascii="Times New Roman" w:hAnsi="Times New Roman" w:eastAsia="宋体" w:cs="Times New Roman"/>
                <w:color w:val="auto"/>
                <w:sz w:val="24"/>
                <w:highlight w:val="none"/>
                <w:shd w:val="clear" w:color="auto" w:fill="auto"/>
                <w:vertAlign w:val="subscript"/>
                <w:lang w:val="en-US" w:eastAsia="zh-CN"/>
              </w:rPr>
              <w:t>2</w:t>
            </w:r>
            <w:r>
              <w:rPr>
                <w:rFonts w:hint="eastAsia" w:ascii="Calibri" w:hAnsi="Calibri" w:eastAsia="宋体" w:cs="Times New Roman"/>
                <w:color w:val="auto"/>
                <w:sz w:val="24"/>
                <w:highlight w:val="none"/>
                <w:shd w:val="clear" w:color="auto" w:fill="auto"/>
                <w:lang w:val="en-US" w:eastAsia="zh-CN"/>
              </w:rPr>
              <w:t>。常有</w:t>
            </w:r>
            <w:r>
              <w:rPr>
                <w:rFonts w:hint="eastAsia" w:ascii="Calibri" w:hAnsi="Calibri" w:eastAsia="宋体" w:cs="Times New Roman"/>
                <w:color w:val="auto"/>
                <w:sz w:val="24"/>
                <w:highlight w:val="none"/>
                <w:shd w:val="clear" w:color="auto" w:fill="auto"/>
                <w:lang w:val="en-US" w:eastAsia="zh-CN"/>
              </w:rPr>
              <w:fldChar w:fldCharType="begin"/>
            </w:r>
            <w:r>
              <w:rPr>
                <w:rFonts w:hint="eastAsia" w:ascii="Calibri" w:hAnsi="Calibri" w:eastAsia="宋体" w:cs="Times New Roman"/>
                <w:color w:val="auto"/>
                <w:sz w:val="24"/>
                <w:highlight w:val="none"/>
                <w:shd w:val="clear" w:color="auto" w:fill="auto"/>
                <w:lang w:val="en-US" w:eastAsia="zh-CN"/>
              </w:rPr>
              <w:instrText xml:space="preserve"> HYPERLINK "https://baike.so.com/doc/5098422-5326779.html" \t "_blank" </w:instrText>
            </w:r>
            <w:r>
              <w:rPr>
                <w:rFonts w:hint="eastAsia" w:ascii="Calibri" w:hAnsi="Calibri" w:eastAsia="宋体" w:cs="Times New Roman"/>
                <w:color w:val="auto"/>
                <w:sz w:val="24"/>
                <w:highlight w:val="none"/>
                <w:shd w:val="clear" w:color="auto" w:fill="auto"/>
                <w:lang w:val="en-US" w:eastAsia="zh-CN"/>
              </w:rPr>
              <w:fldChar w:fldCharType="separate"/>
            </w:r>
            <w:r>
              <w:rPr>
                <w:rFonts w:hint="eastAsia" w:ascii="Calibri" w:hAnsi="Calibri" w:eastAsia="宋体" w:cs="Times New Roman"/>
                <w:color w:val="auto"/>
                <w:sz w:val="24"/>
                <w:highlight w:val="none"/>
                <w:shd w:val="clear" w:color="auto" w:fill="auto"/>
                <w:lang w:val="en-US" w:eastAsia="zh-CN"/>
              </w:rPr>
              <w:t>铁</w:t>
            </w:r>
            <w:r>
              <w:rPr>
                <w:rFonts w:hint="eastAsia" w:ascii="Calibri" w:hAnsi="Calibri" w:eastAsia="宋体" w:cs="Times New Roman"/>
                <w:color w:val="auto"/>
                <w:sz w:val="24"/>
                <w:highlight w:val="none"/>
                <w:shd w:val="clear" w:color="auto" w:fill="auto"/>
                <w:lang w:val="en-US" w:eastAsia="zh-CN"/>
              </w:rPr>
              <w:fldChar w:fldCharType="end"/>
            </w:r>
            <w:r>
              <w:rPr>
                <w:rFonts w:hint="eastAsia" w:ascii="Calibri" w:hAnsi="Calibri" w:eastAsia="宋体" w:cs="Times New Roman"/>
                <w:color w:val="auto"/>
                <w:sz w:val="24"/>
                <w:highlight w:val="none"/>
                <w:shd w:val="clear" w:color="auto" w:fill="auto"/>
                <w:lang w:val="en-US" w:eastAsia="zh-CN"/>
              </w:rPr>
              <w:t>、</w:t>
            </w:r>
            <w:r>
              <w:rPr>
                <w:rFonts w:hint="eastAsia" w:ascii="Calibri" w:hAnsi="Calibri" w:eastAsia="宋体" w:cs="Times New Roman"/>
                <w:color w:val="auto"/>
                <w:sz w:val="24"/>
                <w:highlight w:val="none"/>
                <w:shd w:val="clear" w:color="auto" w:fill="auto"/>
                <w:lang w:val="en-US" w:eastAsia="zh-CN"/>
              </w:rPr>
              <w:fldChar w:fldCharType="begin"/>
            </w:r>
            <w:r>
              <w:rPr>
                <w:rFonts w:hint="eastAsia" w:ascii="Calibri" w:hAnsi="Calibri" w:eastAsia="宋体" w:cs="Times New Roman"/>
                <w:color w:val="auto"/>
                <w:sz w:val="24"/>
                <w:highlight w:val="none"/>
                <w:shd w:val="clear" w:color="auto" w:fill="auto"/>
                <w:lang w:val="en-US" w:eastAsia="zh-CN"/>
              </w:rPr>
              <w:instrText xml:space="preserve"> HYPERLINK "https://baike.so.com/doc/4052075-4250279.html" \t "_blank" </w:instrText>
            </w:r>
            <w:r>
              <w:rPr>
                <w:rFonts w:hint="eastAsia" w:ascii="Calibri" w:hAnsi="Calibri" w:eastAsia="宋体" w:cs="Times New Roman"/>
                <w:color w:val="auto"/>
                <w:sz w:val="24"/>
                <w:highlight w:val="none"/>
                <w:shd w:val="clear" w:color="auto" w:fill="auto"/>
                <w:lang w:val="en-US" w:eastAsia="zh-CN"/>
              </w:rPr>
              <w:fldChar w:fldCharType="separate"/>
            </w:r>
            <w:r>
              <w:rPr>
                <w:rFonts w:hint="eastAsia" w:ascii="Calibri" w:hAnsi="Calibri" w:eastAsia="宋体" w:cs="Times New Roman"/>
                <w:color w:val="auto"/>
                <w:sz w:val="24"/>
                <w:highlight w:val="none"/>
                <w:shd w:val="clear" w:color="auto" w:fill="auto"/>
                <w:lang w:val="en-US" w:eastAsia="zh-CN"/>
              </w:rPr>
              <w:t>锰</w:t>
            </w:r>
            <w:r>
              <w:rPr>
                <w:rFonts w:hint="eastAsia" w:ascii="Calibri" w:hAnsi="Calibri" w:eastAsia="宋体" w:cs="Times New Roman"/>
                <w:color w:val="auto"/>
                <w:sz w:val="24"/>
                <w:highlight w:val="none"/>
                <w:shd w:val="clear" w:color="auto" w:fill="auto"/>
                <w:lang w:val="en-US" w:eastAsia="zh-CN"/>
              </w:rPr>
              <w:fldChar w:fldCharType="end"/>
            </w:r>
            <w:r>
              <w:rPr>
                <w:rFonts w:hint="eastAsia" w:ascii="Calibri" w:hAnsi="Calibri" w:eastAsia="宋体" w:cs="Times New Roman"/>
                <w:color w:val="auto"/>
                <w:sz w:val="24"/>
                <w:highlight w:val="none"/>
                <w:shd w:val="clear" w:color="auto" w:fill="auto"/>
                <w:lang w:val="en-US" w:eastAsia="zh-CN"/>
              </w:rPr>
              <w:t>等</w:t>
            </w:r>
            <w:r>
              <w:rPr>
                <w:rFonts w:hint="eastAsia" w:ascii="Calibri" w:hAnsi="Calibri" w:eastAsia="宋体" w:cs="Times New Roman"/>
                <w:color w:val="auto"/>
                <w:sz w:val="24"/>
                <w:highlight w:val="none"/>
                <w:shd w:val="clear" w:color="auto" w:fill="auto"/>
                <w:lang w:val="en-US" w:eastAsia="zh-CN"/>
              </w:rPr>
              <w:fldChar w:fldCharType="begin"/>
            </w:r>
            <w:r>
              <w:rPr>
                <w:rFonts w:hint="eastAsia" w:ascii="Calibri" w:hAnsi="Calibri" w:eastAsia="宋体" w:cs="Times New Roman"/>
                <w:color w:val="auto"/>
                <w:sz w:val="24"/>
                <w:highlight w:val="none"/>
                <w:shd w:val="clear" w:color="auto" w:fill="auto"/>
                <w:lang w:val="en-US" w:eastAsia="zh-CN"/>
              </w:rPr>
              <w:instrText xml:space="preserve"> HYPERLINK "https://baike.so.com/doc/6043897-6256911.html" \t "_blank" </w:instrText>
            </w:r>
            <w:r>
              <w:rPr>
                <w:rFonts w:hint="eastAsia" w:ascii="Calibri" w:hAnsi="Calibri" w:eastAsia="宋体" w:cs="Times New Roman"/>
                <w:color w:val="auto"/>
                <w:sz w:val="24"/>
                <w:highlight w:val="none"/>
                <w:shd w:val="clear" w:color="auto" w:fill="auto"/>
                <w:lang w:val="en-US" w:eastAsia="zh-CN"/>
              </w:rPr>
              <w:fldChar w:fldCharType="separate"/>
            </w:r>
            <w:r>
              <w:rPr>
                <w:rFonts w:hint="eastAsia" w:ascii="Calibri" w:hAnsi="Calibri" w:eastAsia="宋体" w:cs="Times New Roman"/>
                <w:color w:val="auto"/>
                <w:sz w:val="24"/>
                <w:highlight w:val="none"/>
                <w:shd w:val="clear" w:color="auto" w:fill="auto"/>
                <w:lang w:val="en-US" w:eastAsia="zh-CN"/>
              </w:rPr>
              <w:t>类质同象</w:t>
            </w:r>
            <w:r>
              <w:rPr>
                <w:rFonts w:hint="eastAsia" w:ascii="Calibri" w:hAnsi="Calibri" w:eastAsia="宋体" w:cs="Times New Roman"/>
                <w:color w:val="auto"/>
                <w:sz w:val="24"/>
                <w:highlight w:val="none"/>
                <w:shd w:val="clear" w:color="auto" w:fill="auto"/>
                <w:lang w:val="en-US" w:eastAsia="zh-CN"/>
              </w:rPr>
              <w:fldChar w:fldCharType="end"/>
            </w:r>
            <w:r>
              <w:rPr>
                <w:rFonts w:hint="eastAsia" w:ascii="Calibri" w:hAnsi="Calibri" w:eastAsia="宋体" w:cs="Times New Roman"/>
                <w:color w:val="auto"/>
                <w:sz w:val="24"/>
                <w:highlight w:val="none"/>
                <w:shd w:val="clear" w:color="auto" w:fill="auto"/>
                <w:lang w:val="en-US" w:eastAsia="zh-CN"/>
              </w:rPr>
              <w:t>(代替镁)。当铁或锰</w:t>
            </w:r>
            <w:r>
              <w:rPr>
                <w:rFonts w:hint="eastAsia" w:ascii="Calibri" w:hAnsi="Calibri" w:eastAsia="宋体" w:cs="Times New Roman"/>
                <w:color w:val="auto"/>
                <w:sz w:val="24"/>
                <w:highlight w:val="none"/>
                <w:shd w:val="clear" w:color="auto" w:fill="auto"/>
                <w:lang w:val="en-US" w:eastAsia="zh-CN"/>
              </w:rPr>
              <w:fldChar w:fldCharType="begin"/>
            </w:r>
            <w:r>
              <w:rPr>
                <w:rFonts w:hint="eastAsia" w:ascii="Calibri" w:hAnsi="Calibri" w:eastAsia="宋体" w:cs="Times New Roman"/>
                <w:color w:val="auto"/>
                <w:sz w:val="24"/>
                <w:highlight w:val="none"/>
                <w:shd w:val="clear" w:color="auto" w:fill="auto"/>
                <w:lang w:val="en-US" w:eastAsia="zh-CN"/>
              </w:rPr>
              <w:instrText xml:space="preserve"> HYPERLINK "https://baike.so.com/doc/63715-67204.html" \t "_blank" </w:instrText>
            </w:r>
            <w:r>
              <w:rPr>
                <w:rFonts w:hint="eastAsia" w:ascii="Calibri" w:hAnsi="Calibri" w:eastAsia="宋体" w:cs="Times New Roman"/>
                <w:color w:val="auto"/>
                <w:sz w:val="24"/>
                <w:highlight w:val="none"/>
                <w:shd w:val="clear" w:color="auto" w:fill="auto"/>
                <w:lang w:val="en-US" w:eastAsia="zh-CN"/>
              </w:rPr>
              <w:fldChar w:fldCharType="separate"/>
            </w:r>
            <w:r>
              <w:rPr>
                <w:rFonts w:hint="eastAsia" w:ascii="Calibri" w:hAnsi="Calibri" w:eastAsia="宋体" w:cs="Times New Roman"/>
                <w:color w:val="auto"/>
                <w:sz w:val="24"/>
                <w:highlight w:val="none"/>
                <w:shd w:val="clear" w:color="auto" w:fill="auto"/>
                <w:lang w:val="en-US" w:eastAsia="zh-CN"/>
              </w:rPr>
              <w:t>原子数</w:t>
            </w:r>
            <w:r>
              <w:rPr>
                <w:rFonts w:hint="eastAsia" w:ascii="Calibri" w:hAnsi="Calibri" w:eastAsia="宋体" w:cs="Times New Roman"/>
                <w:color w:val="auto"/>
                <w:sz w:val="24"/>
                <w:highlight w:val="none"/>
                <w:shd w:val="clear" w:color="auto" w:fill="auto"/>
                <w:lang w:val="en-US" w:eastAsia="zh-CN"/>
              </w:rPr>
              <w:fldChar w:fldCharType="end"/>
            </w:r>
            <w:r>
              <w:rPr>
                <w:rFonts w:hint="eastAsia" w:ascii="Calibri" w:hAnsi="Calibri" w:eastAsia="宋体" w:cs="Times New Roman"/>
                <w:color w:val="auto"/>
                <w:sz w:val="24"/>
                <w:highlight w:val="none"/>
                <w:shd w:val="clear" w:color="auto" w:fill="auto"/>
                <w:lang w:val="en-US" w:eastAsia="zh-CN"/>
              </w:rPr>
              <w:t>超过镁时，称为</w:t>
            </w:r>
            <w:r>
              <w:rPr>
                <w:rFonts w:hint="eastAsia" w:ascii="Calibri" w:hAnsi="Calibri" w:eastAsia="宋体" w:cs="Times New Roman"/>
                <w:color w:val="auto"/>
                <w:sz w:val="24"/>
                <w:highlight w:val="none"/>
                <w:shd w:val="clear" w:color="auto" w:fill="auto"/>
                <w:lang w:val="en-US" w:eastAsia="zh-CN"/>
              </w:rPr>
              <w:fldChar w:fldCharType="begin"/>
            </w:r>
            <w:r>
              <w:rPr>
                <w:rFonts w:hint="eastAsia" w:ascii="Calibri" w:hAnsi="Calibri" w:eastAsia="宋体" w:cs="Times New Roman"/>
                <w:color w:val="auto"/>
                <w:sz w:val="24"/>
                <w:highlight w:val="none"/>
                <w:shd w:val="clear" w:color="auto" w:fill="auto"/>
                <w:lang w:val="en-US" w:eastAsia="zh-CN"/>
              </w:rPr>
              <w:instrText xml:space="preserve"> HYPERLINK "https://baike.so.com/doc/7896055-8170150.html" \t "_blank" </w:instrText>
            </w:r>
            <w:r>
              <w:rPr>
                <w:rFonts w:hint="eastAsia" w:ascii="Calibri" w:hAnsi="Calibri" w:eastAsia="宋体" w:cs="Times New Roman"/>
                <w:color w:val="auto"/>
                <w:sz w:val="24"/>
                <w:highlight w:val="none"/>
                <w:shd w:val="clear" w:color="auto" w:fill="auto"/>
                <w:lang w:val="en-US" w:eastAsia="zh-CN"/>
              </w:rPr>
              <w:fldChar w:fldCharType="separate"/>
            </w:r>
            <w:r>
              <w:rPr>
                <w:rFonts w:hint="eastAsia" w:ascii="Calibri" w:hAnsi="Calibri" w:eastAsia="宋体" w:cs="Times New Roman"/>
                <w:color w:val="auto"/>
                <w:sz w:val="24"/>
                <w:highlight w:val="none"/>
                <w:shd w:val="clear" w:color="auto" w:fill="auto"/>
                <w:lang w:val="en-US" w:eastAsia="zh-CN"/>
              </w:rPr>
              <w:t>铁</w:t>
            </w:r>
            <w:r>
              <w:rPr>
                <w:rFonts w:hint="eastAsia" w:ascii="宋体" w:hAnsi="宋体" w:cs="宋体"/>
                <w:color w:val="auto"/>
                <w:sz w:val="24"/>
                <w:szCs w:val="24"/>
                <w:highlight w:val="none"/>
                <w:lang w:eastAsia="zh-CN"/>
              </w:rPr>
              <w:t>白云石</w:t>
            </w:r>
            <w:r>
              <w:rPr>
                <w:rFonts w:hint="eastAsia" w:ascii="Calibri" w:hAnsi="Calibri" w:eastAsia="宋体" w:cs="Times New Roman"/>
                <w:color w:val="auto"/>
                <w:sz w:val="24"/>
                <w:highlight w:val="none"/>
                <w:shd w:val="clear" w:color="auto" w:fill="auto"/>
                <w:lang w:val="en-US" w:eastAsia="zh-CN"/>
              </w:rPr>
              <w:fldChar w:fldCharType="end"/>
            </w:r>
            <w:r>
              <w:rPr>
                <w:rFonts w:hint="eastAsia" w:ascii="Calibri" w:hAnsi="Calibri" w:eastAsia="宋体" w:cs="Times New Roman"/>
                <w:color w:val="auto"/>
                <w:sz w:val="24"/>
                <w:highlight w:val="none"/>
                <w:shd w:val="clear" w:color="auto" w:fill="auto"/>
                <w:lang w:val="en-US" w:eastAsia="zh-CN"/>
              </w:rPr>
              <w:t>或锰</w:t>
            </w:r>
            <w:r>
              <w:rPr>
                <w:rFonts w:hint="eastAsia" w:ascii="宋体" w:hAnsi="宋体" w:cs="宋体"/>
                <w:color w:val="auto"/>
                <w:sz w:val="24"/>
                <w:szCs w:val="24"/>
                <w:highlight w:val="none"/>
                <w:lang w:eastAsia="zh-CN"/>
              </w:rPr>
              <w:t>白云石</w:t>
            </w:r>
            <w:r>
              <w:rPr>
                <w:rFonts w:hint="eastAsia" w:ascii="Calibri" w:hAnsi="Calibri" w:eastAsia="宋体" w:cs="Times New Roman"/>
                <w:color w:val="auto"/>
                <w:sz w:val="24"/>
                <w:highlight w:val="none"/>
                <w:shd w:val="clear" w:color="auto" w:fill="auto"/>
                <w:lang w:val="en-US" w:eastAsia="zh-CN"/>
              </w:rPr>
              <w:t>。三方晶系，晶体呈</w:t>
            </w:r>
            <w:r>
              <w:rPr>
                <w:rFonts w:hint="eastAsia" w:ascii="Calibri" w:hAnsi="Calibri" w:eastAsia="宋体" w:cs="Times New Roman"/>
                <w:color w:val="auto"/>
                <w:sz w:val="24"/>
                <w:highlight w:val="none"/>
                <w:shd w:val="clear" w:color="auto" w:fill="auto"/>
                <w:lang w:val="en-US" w:eastAsia="zh-CN"/>
              </w:rPr>
              <w:fldChar w:fldCharType="begin"/>
            </w:r>
            <w:r>
              <w:rPr>
                <w:rFonts w:hint="eastAsia" w:ascii="Calibri" w:hAnsi="Calibri" w:eastAsia="宋体" w:cs="Times New Roman"/>
                <w:color w:val="auto"/>
                <w:sz w:val="24"/>
                <w:highlight w:val="none"/>
                <w:shd w:val="clear" w:color="auto" w:fill="auto"/>
                <w:lang w:val="en-US" w:eastAsia="zh-CN"/>
              </w:rPr>
              <w:instrText xml:space="preserve"> HYPERLINK "https://baike.so.com/doc/2235494-2365338.html" \t "_blank" </w:instrText>
            </w:r>
            <w:r>
              <w:rPr>
                <w:rFonts w:hint="eastAsia" w:ascii="Calibri" w:hAnsi="Calibri" w:eastAsia="宋体" w:cs="Times New Roman"/>
                <w:color w:val="auto"/>
                <w:sz w:val="24"/>
                <w:highlight w:val="none"/>
                <w:shd w:val="clear" w:color="auto" w:fill="auto"/>
                <w:lang w:val="en-US" w:eastAsia="zh-CN"/>
              </w:rPr>
              <w:fldChar w:fldCharType="separate"/>
            </w:r>
            <w:r>
              <w:rPr>
                <w:rFonts w:hint="eastAsia" w:ascii="Calibri" w:hAnsi="Calibri" w:eastAsia="宋体" w:cs="Times New Roman"/>
                <w:color w:val="auto"/>
                <w:sz w:val="24"/>
                <w:highlight w:val="none"/>
                <w:shd w:val="clear" w:color="auto" w:fill="auto"/>
                <w:lang w:val="en-US" w:eastAsia="zh-CN"/>
              </w:rPr>
              <w:t>菱面体</w:t>
            </w:r>
            <w:r>
              <w:rPr>
                <w:rFonts w:hint="eastAsia" w:ascii="Calibri" w:hAnsi="Calibri" w:eastAsia="宋体" w:cs="Times New Roman"/>
                <w:color w:val="auto"/>
                <w:sz w:val="24"/>
                <w:highlight w:val="none"/>
                <w:shd w:val="clear" w:color="auto" w:fill="auto"/>
                <w:lang w:val="en-US" w:eastAsia="zh-CN"/>
              </w:rPr>
              <w:fldChar w:fldCharType="end"/>
            </w:r>
            <w:r>
              <w:rPr>
                <w:rFonts w:hint="eastAsia" w:ascii="Calibri" w:hAnsi="Calibri" w:eastAsia="宋体" w:cs="Times New Roman"/>
                <w:color w:val="auto"/>
                <w:sz w:val="24"/>
                <w:highlight w:val="none"/>
                <w:shd w:val="clear" w:color="auto" w:fill="auto"/>
                <w:lang w:val="en-US" w:eastAsia="zh-CN"/>
              </w:rPr>
              <w:t>，晶面常弯曲成马鞍状，</w:t>
            </w:r>
            <w:r>
              <w:rPr>
                <w:rFonts w:hint="eastAsia" w:ascii="Calibri" w:hAnsi="Calibri" w:eastAsia="宋体" w:cs="Times New Roman"/>
                <w:color w:val="auto"/>
                <w:sz w:val="24"/>
                <w:highlight w:val="none"/>
                <w:shd w:val="clear" w:color="auto" w:fill="auto"/>
                <w:lang w:val="en-US" w:eastAsia="zh-CN"/>
              </w:rPr>
              <w:fldChar w:fldCharType="begin"/>
            </w:r>
            <w:r>
              <w:rPr>
                <w:rFonts w:hint="eastAsia" w:ascii="Calibri" w:hAnsi="Calibri" w:eastAsia="宋体" w:cs="Times New Roman"/>
                <w:color w:val="auto"/>
                <w:sz w:val="24"/>
                <w:highlight w:val="none"/>
                <w:shd w:val="clear" w:color="auto" w:fill="auto"/>
                <w:lang w:val="en-US" w:eastAsia="zh-CN"/>
              </w:rPr>
              <w:instrText xml:space="preserve"> HYPERLINK "https://baike.so.com/doc/2232958-2362715.html" \t "_blank" </w:instrText>
            </w:r>
            <w:r>
              <w:rPr>
                <w:rFonts w:hint="eastAsia" w:ascii="Calibri" w:hAnsi="Calibri" w:eastAsia="宋体" w:cs="Times New Roman"/>
                <w:color w:val="auto"/>
                <w:sz w:val="24"/>
                <w:highlight w:val="none"/>
                <w:shd w:val="clear" w:color="auto" w:fill="auto"/>
                <w:lang w:val="en-US" w:eastAsia="zh-CN"/>
              </w:rPr>
              <w:fldChar w:fldCharType="separate"/>
            </w:r>
            <w:r>
              <w:rPr>
                <w:rFonts w:hint="eastAsia" w:ascii="Calibri" w:hAnsi="Calibri" w:eastAsia="宋体" w:cs="Times New Roman"/>
                <w:color w:val="auto"/>
                <w:sz w:val="24"/>
                <w:highlight w:val="none"/>
                <w:shd w:val="clear" w:color="auto" w:fill="auto"/>
                <w:lang w:val="en-US" w:eastAsia="zh-CN"/>
              </w:rPr>
              <w:t>聚片双晶</w:t>
            </w:r>
            <w:r>
              <w:rPr>
                <w:rFonts w:hint="eastAsia" w:ascii="Calibri" w:hAnsi="Calibri" w:eastAsia="宋体" w:cs="Times New Roman"/>
                <w:color w:val="auto"/>
                <w:sz w:val="24"/>
                <w:highlight w:val="none"/>
                <w:shd w:val="clear" w:color="auto" w:fill="auto"/>
                <w:lang w:val="en-US" w:eastAsia="zh-CN"/>
              </w:rPr>
              <w:fldChar w:fldCharType="end"/>
            </w:r>
            <w:r>
              <w:rPr>
                <w:rFonts w:hint="eastAsia" w:ascii="Calibri" w:hAnsi="Calibri" w:eastAsia="宋体" w:cs="Times New Roman"/>
                <w:color w:val="auto"/>
                <w:sz w:val="24"/>
                <w:highlight w:val="none"/>
                <w:shd w:val="clear" w:color="auto" w:fill="auto"/>
                <w:lang w:val="en-US" w:eastAsia="zh-CN"/>
              </w:rPr>
              <w:t>常见。集合体通常呈粒状。纯者为白色;含铁时呈灰色;风化后呈褐色。玻璃光泽。是组成白云岩的主要矿物。</w:t>
            </w:r>
            <w:r>
              <w:rPr>
                <w:rFonts w:hint="eastAsia" w:ascii="Calibri" w:hAnsi="Calibri" w:eastAsia="宋体" w:cs="Times New Roman"/>
                <w:color w:val="auto"/>
                <w:sz w:val="24"/>
                <w:highlight w:val="none"/>
                <w:shd w:val="clear" w:color="auto" w:fill="auto"/>
                <w:lang w:val="en-US" w:eastAsia="zh-CN"/>
              </w:rPr>
              <w:fldChar w:fldCharType="begin"/>
            </w:r>
            <w:r>
              <w:rPr>
                <w:rFonts w:hint="eastAsia" w:ascii="Calibri" w:hAnsi="Calibri" w:eastAsia="宋体" w:cs="Times New Roman"/>
                <w:color w:val="auto"/>
                <w:sz w:val="24"/>
                <w:highlight w:val="none"/>
                <w:shd w:val="clear" w:color="auto" w:fill="auto"/>
                <w:lang w:val="en-US" w:eastAsia="zh-CN"/>
              </w:rPr>
              <w:instrText xml:space="preserve"> HYPERLINK "https://baike.so.com/doc/5791787-6004579.html" \t "_blank" </w:instrText>
            </w:r>
            <w:r>
              <w:rPr>
                <w:rFonts w:hint="eastAsia" w:ascii="Calibri" w:hAnsi="Calibri" w:eastAsia="宋体" w:cs="Times New Roman"/>
                <w:color w:val="auto"/>
                <w:sz w:val="24"/>
                <w:highlight w:val="none"/>
                <w:shd w:val="clear" w:color="auto" w:fill="auto"/>
                <w:lang w:val="en-US" w:eastAsia="zh-CN"/>
              </w:rPr>
              <w:fldChar w:fldCharType="separate"/>
            </w:r>
            <w:r>
              <w:rPr>
                <w:rFonts w:hint="eastAsia" w:ascii="Calibri" w:hAnsi="Calibri" w:eastAsia="宋体" w:cs="Times New Roman"/>
                <w:color w:val="auto"/>
                <w:sz w:val="24"/>
                <w:highlight w:val="none"/>
                <w:shd w:val="clear" w:color="auto" w:fill="auto"/>
                <w:lang w:val="en-US" w:eastAsia="zh-CN"/>
              </w:rPr>
              <w:t>海相沉积</w:t>
            </w:r>
            <w:r>
              <w:rPr>
                <w:rFonts w:hint="eastAsia" w:ascii="Calibri" w:hAnsi="Calibri" w:eastAsia="宋体" w:cs="Times New Roman"/>
                <w:color w:val="auto"/>
                <w:sz w:val="24"/>
                <w:highlight w:val="none"/>
                <w:shd w:val="clear" w:color="auto" w:fill="auto"/>
                <w:lang w:val="en-US" w:eastAsia="zh-CN"/>
              </w:rPr>
              <w:fldChar w:fldCharType="end"/>
            </w:r>
            <w:r>
              <w:rPr>
                <w:rFonts w:hint="eastAsia" w:ascii="Calibri" w:hAnsi="Calibri" w:eastAsia="宋体" w:cs="Times New Roman"/>
                <w:color w:val="auto"/>
                <w:sz w:val="24"/>
                <w:highlight w:val="none"/>
                <w:shd w:val="clear" w:color="auto" w:fill="auto"/>
                <w:lang w:val="en-US" w:eastAsia="zh-CN"/>
              </w:rPr>
              <w:t>成因的白云岩常与菱铁矿层、石灰岩层成互层产出。在</w:t>
            </w:r>
            <w:r>
              <w:rPr>
                <w:rFonts w:hint="eastAsia" w:ascii="Calibri" w:hAnsi="Calibri" w:eastAsia="宋体" w:cs="Times New Roman"/>
                <w:color w:val="auto"/>
                <w:sz w:val="24"/>
                <w:highlight w:val="none"/>
                <w:shd w:val="clear" w:color="auto" w:fill="auto"/>
                <w:lang w:val="en-US" w:eastAsia="zh-CN"/>
              </w:rPr>
              <w:fldChar w:fldCharType="begin"/>
            </w:r>
            <w:r>
              <w:rPr>
                <w:rFonts w:hint="eastAsia" w:ascii="Calibri" w:hAnsi="Calibri" w:eastAsia="宋体" w:cs="Times New Roman"/>
                <w:color w:val="auto"/>
                <w:sz w:val="24"/>
                <w:highlight w:val="none"/>
                <w:shd w:val="clear" w:color="auto" w:fill="auto"/>
                <w:lang w:val="en-US" w:eastAsia="zh-CN"/>
              </w:rPr>
              <w:instrText xml:space="preserve"> HYPERLINK "https://baike.so.com/doc/3682146-3869934.html" \t "_blank" </w:instrText>
            </w:r>
            <w:r>
              <w:rPr>
                <w:rFonts w:hint="eastAsia" w:ascii="Calibri" w:hAnsi="Calibri" w:eastAsia="宋体" w:cs="Times New Roman"/>
                <w:color w:val="auto"/>
                <w:sz w:val="24"/>
                <w:highlight w:val="none"/>
                <w:shd w:val="clear" w:color="auto" w:fill="auto"/>
                <w:lang w:val="en-US" w:eastAsia="zh-CN"/>
              </w:rPr>
              <w:fldChar w:fldCharType="separate"/>
            </w:r>
            <w:r>
              <w:rPr>
                <w:rFonts w:hint="eastAsia" w:ascii="Calibri" w:hAnsi="Calibri" w:eastAsia="宋体" w:cs="Times New Roman"/>
                <w:color w:val="auto"/>
                <w:sz w:val="24"/>
                <w:highlight w:val="none"/>
                <w:shd w:val="clear" w:color="auto" w:fill="auto"/>
                <w:lang w:val="en-US" w:eastAsia="zh-CN"/>
              </w:rPr>
              <w:t>湖相沉积</w:t>
            </w:r>
            <w:r>
              <w:rPr>
                <w:rFonts w:hint="eastAsia" w:ascii="Calibri" w:hAnsi="Calibri" w:eastAsia="宋体" w:cs="Times New Roman"/>
                <w:color w:val="auto"/>
                <w:sz w:val="24"/>
                <w:highlight w:val="none"/>
                <w:shd w:val="clear" w:color="auto" w:fill="auto"/>
                <w:lang w:val="en-US" w:eastAsia="zh-CN"/>
              </w:rPr>
              <w:fldChar w:fldCharType="end"/>
            </w:r>
            <w:r>
              <w:rPr>
                <w:rFonts w:hint="eastAsia" w:ascii="Calibri" w:hAnsi="Calibri" w:eastAsia="宋体" w:cs="Times New Roman"/>
                <w:color w:val="auto"/>
                <w:sz w:val="24"/>
                <w:highlight w:val="none"/>
                <w:shd w:val="clear" w:color="auto" w:fill="auto"/>
                <w:lang w:val="en-US" w:eastAsia="zh-CN"/>
              </w:rPr>
              <w:t>物中，</w:t>
            </w:r>
            <w:r>
              <w:rPr>
                <w:rFonts w:hint="eastAsia" w:ascii="宋体" w:hAnsi="宋体" w:cs="宋体"/>
                <w:color w:val="auto"/>
                <w:sz w:val="24"/>
                <w:szCs w:val="24"/>
                <w:highlight w:val="none"/>
                <w:lang w:eastAsia="zh-CN"/>
              </w:rPr>
              <w:t>白云石</w:t>
            </w:r>
            <w:r>
              <w:rPr>
                <w:rFonts w:hint="eastAsia" w:ascii="Calibri" w:hAnsi="Calibri" w:eastAsia="宋体" w:cs="Times New Roman"/>
                <w:color w:val="auto"/>
                <w:sz w:val="24"/>
                <w:highlight w:val="none"/>
                <w:shd w:val="clear" w:color="auto" w:fill="auto"/>
                <w:lang w:val="en-US" w:eastAsia="zh-CN"/>
              </w:rPr>
              <w:t>与石膏、硬石膏、石盐</w:t>
            </w:r>
            <w:r>
              <w:rPr>
                <w:rFonts w:hint="eastAsia" w:ascii="Calibri" w:hAnsi="Calibri" w:cs="Times New Roman"/>
                <w:color w:val="auto"/>
                <w:sz w:val="24"/>
                <w:highlight w:val="none"/>
                <w:shd w:val="clear" w:color="auto" w:fill="auto"/>
                <w:lang w:val="en-US" w:eastAsia="zh-CN"/>
              </w:rPr>
              <w:t>、</w:t>
            </w:r>
            <w:r>
              <w:rPr>
                <w:rFonts w:hint="eastAsia" w:ascii="Calibri" w:hAnsi="Calibri" w:eastAsia="宋体" w:cs="Times New Roman"/>
                <w:color w:val="auto"/>
                <w:sz w:val="24"/>
                <w:highlight w:val="none"/>
                <w:shd w:val="clear" w:color="auto" w:fill="auto"/>
                <w:lang w:val="en-US" w:eastAsia="zh-CN"/>
              </w:rPr>
              <w:fldChar w:fldCharType="begin"/>
            </w:r>
            <w:r>
              <w:rPr>
                <w:rFonts w:hint="eastAsia" w:ascii="Calibri" w:hAnsi="Calibri" w:eastAsia="宋体" w:cs="Times New Roman"/>
                <w:color w:val="auto"/>
                <w:sz w:val="24"/>
                <w:highlight w:val="none"/>
                <w:shd w:val="clear" w:color="auto" w:fill="auto"/>
                <w:lang w:val="en-US" w:eastAsia="zh-CN"/>
              </w:rPr>
              <w:instrText xml:space="preserve"> HYPERLINK "https://baike.so.com/doc/7545869-7819962.html" \t "_blank" </w:instrText>
            </w:r>
            <w:r>
              <w:rPr>
                <w:rFonts w:hint="eastAsia" w:ascii="Calibri" w:hAnsi="Calibri" w:eastAsia="宋体" w:cs="Times New Roman"/>
                <w:color w:val="auto"/>
                <w:sz w:val="24"/>
                <w:highlight w:val="none"/>
                <w:shd w:val="clear" w:color="auto" w:fill="auto"/>
                <w:lang w:val="en-US" w:eastAsia="zh-CN"/>
              </w:rPr>
              <w:fldChar w:fldCharType="separate"/>
            </w:r>
            <w:r>
              <w:rPr>
                <w:rFonts w:hint="eastAsia" w:ascii="Calibri" w:hAnsi="Calibri" w:eastAsia="宋体" w:cs="Times New Roman"/>
                <w:color w:val="auto"/>
                <w:sz w:val="24"/>
                <w:highlight w:val="none"/>
                <w:shd w:val="clear" w:color="auto" w:fill="auto"/>
                <w:lang w:val="en-US" w:eastAsia="zh-CN"/>
              </w:rPr>
              <w:t>钾石盐</w:t>
            </w:r>
            <w:r>
              <w:rPr>
                <w:rFonts w:hint="eastAsia" w:ascii="Calibri" w:hAnsi="Calibri" w:eastAsia="宋体" w:cs="Times New Roman"/>
                <w:color w:val="auto"/>
                <w:sz w:val="24"/>
                <w:highlight w:val="none"/>
                <w:shd w:val="clear" w:color="auto" w:fill="auto"/>
                <w:lang w:val="en-US" w:eastAsia="zh-CN"/>
              </w:rPr>
              <w:fldChar w:fldCharType="end"/>
            </w:r>
            <w:r>
              <w:rPr>
                <w:rFonts w:hint="eastAsia" w:ascii="Calibri" w:hAnsi="Calibri" w:eastAsia="宋体" w:cs="Times New Roman"/>
                <w:color w:val="auto"/>
                <w:sz w:val="24"/>
                <w:highlight w:val="none"/>
                <w:shd w:val="clear" w:color="auto" w:fill="auto"/>
                <w:lang w:val="en-US" w:eastAsia="zh-CN"/>
              </w:rPr>
              <w:t>等共生</w:t>
            </w:r>
            <w:r>
              <w:rPr>
                <w:rFonts w:hint="eastAsia" w:ascii="Calibri" w:hAnsi="Calibri" w:eastAsia="宋体" w:cs="Times New Roman"/>
                <w:color w:val="auto"/>
                <w:sz w:val="24"/>
                <w:highlight w:val="none"/>
                <w:shd w:val="clear" w:color="auto" w:fill="auto"/>
              </w:rPr>
              <w:t>。</w:t>
            </w:r>
          </w:p>
          <w:p w14:paraId="22A25E8F">
            <w:pPr>
              <w:keepNext w:val="0"/>
              <w:keepLines w:val="0"/>
              <w:numPr>
                <w:ilvl w:val="0"/>
                <w:numId w:val="0"/>
              </w:numPr>
              <w:suppressLineNumbers w:val="0"/>
              <w:spacing w:before="0" w:beforeAutospacing="0" w:after="0" w:afterAutospacing="0" w:line="360" w:lineRule="auto"/>
              <w:ind w:left="0" w:right="151" w:rightChars="72"/>
              <w:rPr>
                <w:rFonts w:ascii="Calibri" w:hAnsi="Calibri" w:eastAsia="宋体" w:cs="Times New Roman"/>
                <w:b/>
                <w:bCs/>
                <w:color w:val="auto"/>
                <w:sz w:val="24"/>
                <w:highlight w:val="none"/>
                <w:shd w:val="clear" w:color="auto" w:fill="auto"/>
              </w:rPr>
            </w:pPr>
            <w:r>
              <w:rPr>
                <w:rFonts w:hint="eastAsia" w:ascii="Calibri" w:hAnsi="Calibri" w:eastAsia="宋体" w:cs="Times New Roman"/>
                <w:b/>
                <w:bCs/>
                <w:color w:val="auto"/>
                <w:sz w:val="24"/>
                <w:highlight w:val="none"/>
                <w:shd w:val="clear" w:color="auto" w:fill="auto"/>
                <w:lang w:val="en-US" w:eastAsia="zh-CN"/>
              </w:rPr>
              <w:t>6、</w:t>
            </w:r>
            <w:r>
              <w:rPr>
                <w:rFonts w:ascii="Calibri" w:hAnsi="Calibri" w:eastAsia="宋体" w:cs="Times New Roman"/>
                <w:b/>
                <w:bCs/>
                <w:color w:val="auto"/>
                <w:sz w:val="24"/>
                <w:highlight w:val="none"/>
                <w:shd w:val="clear" w:color="auto" w:fill="auto"/>
              </w:rPr>
              <w:t>主要生产设备</w:t>
            </w:r>
          </w:p>
          <w:p w14:paraId="7AC0ECFB">
            <w:pPr>
              <w:keepNext w:val="0"/>
              <w:keepLines w:val="0"/>
              <w:suppressLineNumbers w:val="0"/>
              <w:spacing w:before="0" w:beforeAutospacing="0" w:after="0" w:afterAutospacing="0" w:line="360" w:lineRule="auto"/>
              <w:ind w:left="0" w:right="151" w:rightChars="72" w:firstLine="480" w:firstLineChars="200"/>
              <w:rPr>
                <w:rFonts w:ascii="Calibri" w:hAnsi="Calibri" w:eastAsia="宋体" w:cs="Times New Roman"/>
                <w:bCs/>
                <w:color w:val="auto"/>
                <w:sz w:val="24"/>
                <w:highlight w:val="none"/>
                <w:shd w:val="clear" w:color="auto" w:fill="auto"/>
              </w:rPr>
            </w:pPr>
            <w:r>
              <w:rPr>
                <w:rFonts w:hint="eastAsia" w:ascii="Calibri" w:hAnsi="Calibri" w:eastAsia="宋体" w:cs="Times New Roman"/>
                <w:bCs/>
                <w:color w:val="auto"/>
                <w:sz w:val="24"/>
                <w:highlight w:val="none"/>
                <w:shd w:val="clear" w:color="auto" w:fill="auto"/>
                <w:lang w:eastAsia="zh-CN"/>
              </w:rPr>
              <w:t>本项目</w:t>
            </w:r>
            <w:r>
              <w:rPr>
                <w:rFonts w:ascii="Calibri" w:hAnsi="Calibri" w:eastAsia="宋体" w:cs="Times New Roman"/>
                <w:bCs/>
                <w:color w:val="auto"/>
                <w:sz w:val="24"/>
                <w:highlight w:val="none"/>
                <w:shd w:val="clear" w:color="auto" w:fill="auto"/>
              </w:rPr>
              <w:t>生产设备情况见表</w:t>
            </w:r>
            <w:r>
              <w:rPr>
                <w:rFonts w:hint="eastAsia" w:ascii="Calibri" w:hAnsi="Calibri" w:cs="Times New Roman"/>
                <w:bCs/>
                <w:color w:val="auto"/>
                <w:sz w:val="24"/>
                <w:highlight w:val="none"/>
                <w:shd w:val="clear" w:color="auto" w:fill="auto"/>
                <w:lang w:val="en-US" w:eastAsia="zh-CN"/>
              </w:rPr>
              <w:t>2-5</w:t>
            </w:r>
            <w:r>
              <w:rPr>
                <w:rFonts w:ascii="Calibri" w:hAnsi="Calibri" w:eastAsia="宋体" w:cs="Times New Roman"/>
                <w:bCs/>
                <w:color w:val="auto"/>
                <w:sz w:val="24"/>
                <w:highlight w:val="none"/>
                <w:shd w:val="clear" w:color="auto" w:fill="auto"/>
              </w:rPr>
              <w:t>。</w:t>
            </w:r>
          </w:p>
          <w:p w14:paraId="00EB1D66">
            <w:pPr>
              <w:keepNext w:val="0"/>
              <w:keepLines w:val="0"/>
              <w:suppressLineNumbers w:val="0"/>
              <w:spacing w:before="0" w:beforeAutospacing="0" w:after="0" w:afterAutospacing="0" w:line="360" w:lineRule="auto"/>
              <w:ind w:left="0" w:right="151" w:rightChars="72"/>
              <w:jc w:val="center"/>
              <w:rPr>
                <w:rFonts w:hint="eastAsia" w:ascii="Calibri" w:hAnsi="Calibri" w:eastAsia="宋体" w:cs="Times New Roman"/>
                <w:bCs/>
                <w:color w:val="auto"/>
                <w:sz w:val="24"/>
                <w:highlight w:val="none"/>
                <w:shd w:val="clear" w:color="auto" w:fill="auto"/>
              </w:rPr>
            </w:pPr>
            <w:r>
              <w:rPr>
                <w:rFonts w:ascii="Calibri" w:hAnsi="Calibri" w:eastAsia="宋体" w:cs="Times New Roman"/>
                <w:bCs/>
                <w:color w:val="auto"/>
                <w:sz w:val="24"/>
                <w:highlight w:val="none"/>
                <w:shd w:val="clear" w:color="auto" w:fill="auto"/>
              </w:rPr>
              <w:t>表</w:t>
            </w:r>
            <w:r>
              <w:rPr>
                <w:rFonts w:hint="eastAsia" w:ascii="Calibri" w:hAnsi="Calibri" w:cs="Times New Roman"/>
                <w:bCs/>
                <w:color w:val="auto"/>
                <w:sz w:val="24"/>
                <w:highlight w:val="none"/>
                <w:shd w:val="clear" w:color="auto" w:fill="auto"/>
                <w:lang w:val="en-US" w:eastAsia="zh-CN"/>
              </w:rPr>
              <w:t>2-5</w:t>
            </w:r>
            <w:r>
              <w:rPr>
                <w:rFonts w:ascii="Calibri" w:hAnsi="Calibri" w:eastAsia="宋体" w:cs="Times New Roman"/>
                <w:bCs/>
                <w:color w:val="auto"/>
                <w:sz w:val="24"/>
                <w:highlight w:val="none"/>
                <w:shd w:val="clear" w:color="auto" w:fill="auto"/>
              </w:rPr>
              <w:t xml:space="preserve">  </w:t>
            </w:r>
            <w:r>
              <w:rPr>
                <w:rFonts w:hint="eastAsia" w:ascii="Calibri" w:hAnsi="Calibri" w:eastAsia="宋体" w:cs="Times New Roman"/>
                <w:bCs/>
                <w:color w:val="auto"/>
                <w:sz w:val="24"/>
                <w:highlight w:val="none"/>
                <w:shd w:val="clear" w:color="auto" w:fill="auto"/>
                <w:lang w:eastAsia="zh-CN"/>
              </w:rPr>
              <w:t>本项目</w:t>
            </w:r>
            <w:r>
              <w:rPr>
                <w:rFonts w:ascii="Calibri" w:hAnsi="Calibri" w:eastAsia="宋体" w:cs="Times New Roman"/>
                <w:bCs/>
                <w:color w:val="auto"/>
                <w:sz w:val="24"/>
                <w:highlight w:val="none"/>
                <w:shd w:val="clear" w:color="auto" w:fill="auto"/>
              </w:rPr>
              <w:t>主要设备明细表</w:t>
            </w:r>
          </w:p>
          <w:tbl>
            <w:tblPr>
              <w:tblStyle w:val="25"/>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7"/>
              <w:gridCol w:w="2168"/>
              <w:gridCol w:w="1876"/>
              <w:gridCol w:w="1486"/>
              <w:gridCol w:w="1206"/>
              <w:gridCol w:w="1005"/>
            </w:tblGrid>
            <w:tr w14:paraId="04237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391" w:type="pct"/>
                  <w:noWrap w:val="0"/>
                  <w:vAlign w:val="center"/>
                </w:tcPr>
                <w:p w14:paraId="1D6C9B5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rPr>
                  </w:pPr>
                  <w:r>
                    <w:rPr>
                      <w:rFonts w:hint="default" w:ascii="Times New Roman" w:hAnsi="Times New Roman" w:eastAsia="宋体" w:cs="Times New Roman"/>
                      <w:color w:val="auto"/>
                      <w:sz w:val="21"/>
                      <w:szCs w:val="21"/>
                      <w:highlight w:val="none"/>
                      <w:shd w:val="clear" w:color="auto" w:fill="auto"/>
                    </w:rPr>
                    <w:t>序号</w:t>
                  </w:r>
                </w:p>
              </w:tc>
              <w:tc>
                <w:tcPr>
                  <w:tcW w:w="1291" w:type="pct"/>
                  <w:noWrap w:val="0"/>
                  <w:vAlign w:val="center"/>
                </w:tcPr>
                <w:p w14:paraId="15C53C3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rPr>
                  </w:pPr>
                  <w:r>
                    <w:rPr>
                      <w:rFonts w:hint="default" w:ascii="Times New Roman" w:hAnsi="Times New Roman" w:eastAsia="宋体" w:cs="Times New Roman"/>
                      <w:color w:val="auto"/>
                      <w:sz w:val="21"/>
                      <w:szCs w:val="21"/>
                      <w:highlight w:val="none"/>
                      <w:shd w:val="clear" w:color="auto" w:fill="auto"/>
                    </w:rPr>
                    <w:t>设 备 名 称</w:t>
                  </w:r>
                </w:p>
              </w:tc>
              <w:tc>
                <w:tcPr>
                  <w:tcW w:w="1117" w:type="pct"/>
                  <w:noWrap w:val="0"/>
                  <w:vAlign w:val="center"/>
                </w:tcPr>
                <w:p w14:paraId="24747E9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rPr>
                  </w:pPr>
                  <w:r>
                    <w:rPr>
                      <w:rFonts w:hint="default" w:ascii="Times New Roman" w:hAnsi="Times New Roman" w:eastAsia="宋体" w:cs="Times New Roman"/>
                      <w:color w:val="auto"/>
                      <w:sz w:val="21"/>
                      <w:szCs w:val="21"/>
                      <w:highlight w:val="none"/>
                      <w:shd w:val="clear" w:color="auto" w:fill="auto"/>
                      <w:lang w:eastAsia="zh-CN"/>
                    </w:rPr>
                    <w:t>规格</w:t>
                  </w:r>
                  <w:r>
                    <w:rPr>
                      <w:rFonts w:hint="default" w:ascii="Times New Roman" w:hAnsi="Times New Roman" w:eastAsia="宋体" w:cs="Times New Roman"/>
                      <w:color w:val="auto"/>
                      <w:sz w:val="21"/>
                      <w:szCs w:val="21"/>
                      <w:highlight w:val="none"/>
                      <w:shd w:val="clear" w:color="auto" w:fill="auto"/>
                    </w:rPr>
                    <w:t>、型号</w:t>
                  </w:r>
                </w:p>
              </w:tc>
              <w:tc>
                <w:tcPr>
                  <w:tcW w:w="885" w:type="pct"/>
                  <w:noWrap w:val="0"/>
                  <w:vAlign w:val="center"/>
                </w:tcPr>
                <w:p w14:paraId="4527C1D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rPr>
                  </w:pPr>
                  <w:r>
                    <w:rPr>
                      <w:rFonts w:hint="default" w:ascii="Times New Roman" w:hAnsi="Times New Roman" w:eastAsia="宋体" w:cs="Times New Roman"/>
                      <w:color w:val="auto"/>
                      <w:sz w:val="21"/>
                      <w:szCs w:val="21"/>
                      <w:highlight w:val="none"/>
                      <w:shd w:val="clear" w:color="auto" w:fill="auto"/>
                    </w:rPr>
                    <w:t>数量（台）</w:t>
                  </w:r>
                </w:p>
              </w:tc>
              <w:tc>
                <w:tcPr>
                  <w:tcW w:w="718" w:type="pct"/>
                  <w:noWrap w:val="0"/>
                  <w:vAlign w:val="center"/>
                </w:tcPr>
                <w:p w14:paraId="163762D8">
                  <w:pPr>
                    <w:keepNext w:val="0"/>
                    <w:keepLines w:val="0"/>
                    <w:suppressLineNumbers w:val="0"/>
                    <w:spacing w:before="0" w:beforeAutospacing="0" w:after="0" w:afterAutospacing="0"/>
                    <w:ind w:left="126"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sz w:val="21"/>
                      <w:szCs w:val="21"/>
                      <w:highlight w:val="none"/>
                      <w:shd w:val="clear" w:color="auto" w:fill="auto"/>
                      <w:lang w:eastAsia="zh-CN"/>
                    </w:rPr>
                    <w:t>年工作小时数</w:t>
                  </w:r>
                </w:p>
              </w:tc>
              <w:tc>
                <w:tcPr>
                  <w:tcW w:w="595" w:type="pct"/>
                  <w:noWrap w:val="0"/>
                  <w:vAlign w:val="center"/>
                </w:tcPr>
                <w:p w14:paraId="79298D5B">
                  <w:pPr>
                    <w:keepNext w:val="0"/>
                    <w:keepLines w:val="0"/>
                    <w:suppressLineNumbers w:val="0"/>
                    <w:spacing w:before="0" w:beforeAutospacing="0" w:after="0" w:afterAutospacing="0"/>
                    <w:ind w:left="126" w:right="0"/>
                    <w:jc w:val="center"/>
                    <w:rPr>
                      <w:rFonts w:hint="default" w:ascii="Times New Roman" w:hAnsi="Times New Roman" w:eastAsia="宋体" w:cs="Times New Roman"/>
                      <w:color w:val="auto"/>
                      <w:sz w:val="21"/>
                      <w:szCs w:val="21"/>
                      <w:highlight w:val="none"/>
                      <w:shd w:val="clear" w:color="auto" w:fill="auto"/>
                      <w:lang w:eastAsia="zh-CN"/>
                    </w:rPr>
                  </w:pPr>
                  <w:r>
                    <w:rPr>
                      <w:rFonts w:hint="default" w:ascii="Times New Roman" w:hAnsi="Times New Roman" w:eastAsia="宋体" w:cs="Times New Roman"/>
                      <w:color w:val="auto"/>
                      <w:sz w:val="21"/>
                      <w:szCs w:val="21"/>
                      <w:highlight w:val="none"/>
                      <w:shd w:val="clear" w:color="auto" w:fill="auto"/>
                      <w:lang w:eastAsia="zh-CN"/>
                    </w:rPr>
                    <w:t>备注</w:t>
                  </w:r>
                </w:p>
              </w:tc>
            </w:tr>
            <w:tr w14:paraId="2CFC3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5000" w:type="pct"/>
                  <w:gridSpan w:val="6"/>
                  <w:noWrap w:val="0"/>
                  <w:vAlign w:val="center"/>
                </w:tcPr>
                <w:p w14:paraId="5174E6B8">
                  <w:pPr>
                    <w:keepNext w:val="0"/>
                    <w:keepLines w:val="0"/>
                    <w:suppressLineNumbers w:val="0"/>
                    <w:spacing w:before="0" w:beforeAutospacing="0" w:after="0" w:afterAutospacing="0"/>
                    <w:ind w:left="126" w:right="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lang w:val="en-US" w:eastAsia="zh-CN"/>
                    </w:rPr>
                    <w:t>水洗</w:t>
                  </w:r>
                  <w:r>
                    <w:rPr>
                      <w:rFonts w:hint="eastAsia" w:cs="Times New Roman"/>
                      <w:color w:val="auto"/>
                      <w:sz w:val="21"/>
                      <w:szCs w:val="21"/>
                      <w:highlight w:val="none"/>
                      <w:lang w:val="en-US" w:eastAsia="zh-CN"/>
                    </w:rPr>
                    <w:t>白云石</w:t>
                  </w:r>
                  <w:r>
                    <w:rPr>
                      <w:rFonts w:hint="default" w:ascii="Times New Roman" w:hAnsi="Times New Roman" w:eastAsia="宋体" w:cs="Times New Roman"/>
                      <w:color w:val="auto"/>
                      <w:sz w:val="21"/>
                      <w:szCs w:val="21"/>
                      <w:highlight w:val="none"/>
                      <w:lang w:eastAsia="zh-CN"/>
                    </w:rPr>
                    <w:t>生产线</w:t>
                  </w:r>
                  <w:r>
                    <w:rPr>
                      <w:rFonts w:hint="eastAsia" w:ascii="Times New Roman" w:hAnsi="Times New Roman" w:eastAsia="宋体" w:cs="Times New Roman"/>
                      <w:color w:val="auto"/>
                      <w:sz w:val="21"/>
                      <w:szCs w:val="21"/>
                      <w:highlight w:val="none"/>
                      <w:lang w:eastAsia="zh-CN"/>
                    </w:rPr>
                    <w:t>（位于</w:t>
                  </w:r>
                  <w:r>
                    <w:rPr>
                      <w:rFonts w:hint="eastAsia" w:ascii="Times New Roman" w:hAnsi="Times New Roman" w:eastAsia="宋体" w:cs="Times New Roman"/>
                      <w:color w:val="auto"/>
                      <w:sz w:val="21"/>
                      <w:szCs w:val="21"/>
                      <w:highlight w:val="none"/>
                      <w:lang w:val="en-US" w:eastAsia="zh-CN"/>
                    </w:rPr>
                    <w:t>1#厂房</w:t>
                  </w:r>
                  <w:r>
                    <w:rPr>
                      <w:rFonts w:hint="eastAsia" w:ascii="Times New Roman" w:hAnsi="Times New Roman" w:eastAsia="宋体" w:cs="Times New Roman"/>
                      <w:color w:val="auto"/>
                      <w:sz w:val="21"/>
                      <w:szCs w:val="21"/>
                      <w:highlight w:val="none"/>
                      <w:lang w:eastAsia="zh-CN"/>
                    </w:rPr>
                    <w:t>）</w:t>
                  </w:r>
                  <w:r>
                    <w:rPr>
                      <w:rFonts w:hint="eastAsia" w:cs="Times New Roman"/>
                      <w:color w:val="auto"/>
                      <w:sz w:val="21"/>
                      <w:szCs w:val="21"/>
                      <w:highlight w:val="none"/>
                      <w:lang w:val="en-US" w:eastAsia="zh-CN"/>
                    </w:rPr>
                    <w:t>20万t/a；26t/h</w:t>
                  </w:r>
                </w:p>
              </w:tc>
            </w:tr>
            <w:tr w14:paraId="5FC18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391" w:type="pct"/>
                  <w:noWrap w:val="0"/>
                  <w:vAlign w:val="center"/>
                </w:tcPr>
                <w:p w14:paraId="256F3BCB">
                  <w:pPr>
                    <w:keepNext w:val="0"/>
                    <w:keepLines w:val="0"/>
                    <w:numPr>
                      <w:ilvl w:val="0"/>
                      <w:numId w:val="8"/>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6977175F">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提升机</w:t>
                  </w:r>
                </w:p>
              </w:tc>
              <w:tc>
                <w:tcPr>
                  <w:tcW w:w="1117" w:type="pct"/>
                  <w:noWrap w:val="0"/>
                  <w:vAlign w:val="center"/>
                </w:tcPr>
                <w:p w14:paraId="2F40153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eastAsia" w:ascii="Times New Roman" w:hAnsi="Times New Roman" w:eastAsia="宋体" w:cs="Times New Roman"/>
                      <w:color w:val="auto"/>
                      <w:sz w:val="21"/>
                      <w:szCs w:val="21"/>
                      <w:highlight w:val="none"/>
                      <w:shd w:val="clear" w:color="auto" w:fill="auto"/>
                      <w:lang w:val="en-US" w:eastAsia="zh-CN"/>
                    </w:rPr>
                    <w:t>TD350</w:t>
                  </w:r>
                </w:p>
              </w:tc>
              <w:tc>
                <w:tcPr>
                  <w:tcW w:w="885" w:type="pct"/>
                  <w:noWrap w:val="0"/>
                  <w:vAlign w:val="center"/>
                </w:tcPr>
                <w:p w14:paraId="2F5DDA3B">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eastAsia" w:ascii="Times New Roman" w:hAnsi="Times New Roman" w:eastAsia="宋体" w:cs="Times New Roman"/>
                      <w:color w:val="auto"/>
                      <w:kern w:val="0"/>
                      <w:sz w:val="21"/>
                      <w:szCs w:val="21"/>
                      <w:highlight w:val="none"/>
                      <w:shd w:val="clear" w:color="auto" w:fill="auto"/>
                      <w:lang w:val="en-US" w:eastAsia="zh-CN"/>
                    </w:rPr>
                    <w:t>1台</w:t>
                  </w:r>
                </w:p>
              </w:tc>
              <w:tc>
                <w:tcPr>
                  <w:tcW w:w="718" w:type="pct"/>
                  <w:noWrap w:val="0"/>
                  <w:vAlign w:val="center"/>
                </w:tcPr>
                <w:p w14:paraId="7A93700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eastAsia" w:ascii="Times New Roman" w:hAnsi="Times New Roman" w:eastAsia="宋体" w:cs="Times New Roman"/>
                      <w:color w:val="auto"/>
                      <w:sz w:val="21"/>
                      <w:szCs w:val="21"/>
                      <w:highlight w:val="none"/>
                      <w:shd w:val="clear" w:color="auto" w:fill="auto"/>
                      <w:lang w:val="en-US" w:eastAsia="zh-CN"/>
                    </w:rPr>
                    <w:t>4800h</w:t>
                  </w:r>
                </w:p>
              </w:tc>
              <w:tc>
                <w:tcPr>
                  <w:tcW w:w="595" w:type="pct"/>
                  <w:noWrap w:val="0"/>
                  <w:vAlign w:val="center"/>
                </w:tcPr>
                <w:p w14:paraId="2E82862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54E04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391" w:type="pct"/>
                  <w:noWrap w:val="0"/>
                  <w:vAlign w:val="center"/>
                </w:tcPr>
                <w:p w14:paraId="3C37F1BC">
                  <w:pPr>
                    <w:keepNext w:val="0"/>
                    <w:keepLines w:val="0"/>
                    <w:numPr>
                      <w:ilvl w:val="0"/>
                      <w:numId w:val="8"/>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072D46C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eastAsia="宋体" w:cs="Times New Roman"/>
                      <w:color w:val="auto"/>
                      <w:sz w:val="21"/>
                      <w:szCs w:val="21"/>
                      <w:highlight w:val="none"/>
                      <w:lang w:eastAsia="zh-CN"/>
                    </w:rPr>
                    <w:t>原料仓</w:t>
                  </w:r>
                </w:p>
              </w:tc>
              <w:tc>
                <w:tcPr>
                  <w:tcW w:w="1117" w:type="pct"/>
                  <w:noWrap w:val="0"/>
                  <w:vAlign w:val="center"/>
                </w:tcPr>
                <w:p w14:paraId="58A9B9B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eastAsia" w:ascii="Times New Roman" w:hAnsi="Times New Roman" w:eastAsia="宋体" w:cs="Times New Roman"/>
                      <w:color w:val="auto"/>
                      <w:sz w:val="21"/>
                      <w:szCs w:val="21"/>
                      <w:highlight w:val="none"/>
                      <w:shd w:val="clear" w:color="auto" w:fill="auto"/>
                      <w:lang w:val="en-US" w:eastAsia="zh-CN"/>
                    </w:rPr>
                    <w:t>200m³</w:t>
                  </w:r>
                </w:p>
              </w:tc>
              <w:tc>
                <w:tcPr>
                  <w:tcW w:w="885" w:type="pct"/>
                  <w:noWrap w:val="0"/>
                  <w:vAlign w:val="center"/>
                </w:tcPr>
                <w:p w14:paraId="3A98F019">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eastAsia" w:ascii="Times New Roman" w:hAnsi="Times New Roman" w:eastAsia="宋体" w:cs="Times New Roman"/>
                      <w:color w:val="auto"/>
                      <w:kern w:val="0"/>
                      <w:sz w:val="21"/>
                      <w:szCs w:val="21"/>
                      <w:highlight w:val="none"/>
                      <w:shd w:val="clear" w:color="auto" w:fill="auto"/>
                      <w:lang w:val="en-US" w:eastAsia="zh-CN"/>
                    </w:rPr>
                    <w:t>1座</w:t>
                  </w:r>
                </w:p>
              </w:tc>
              <w:tc>
                <w:tcPr>
                  <w:tcW w:w="718" w:type="pct"/>
                  <w:noWrap w:val="0"/>
                  <w:vAlign w:val="center"/>
                </w:tcPr>
                <w:p w14:paraId="4E2C781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7C41B88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55687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391" w:type="pct"/>
                  <w:noWrap w:val="0"/>
                  <w:vAlign w:val="center"/>
                </w:tcPr>
                <w:p w14:paraId="6B3524AB">
                  <w:pPr>
                    <w:keepNext w:val="0"/>
                    <w:keepLines w:val="0"/>
                    <w:numPr>
                      <w:ilvl w:val="0"/>
                      <w:numId w:val="8"/>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4C185674">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eastAsia="宋体" w:cs="Times New Roman"/>
                      <w:color w:val="auto"/>
                      <w:kern w:val="2"/>
                      <w:sz w:val="21"/>
                      <w:szCs w:val="21"/>
                      <w:highlight w:val="none"/>
                      <w:u w:val="none"/>
                      <w:shd w:val="clear" w:color="auto" w:fill="auto"/>
                      <w:lang w:val="en-US" w:eastAsia="zh-CN" w:bidi="ar-SA"/>
                    </w:rPr>
                    <w:t>输送皮带</w:t>
                  </w:r>
                </w:p>
              </w:tc>
              <w:tc>
                <w:tcPr>
                  <w:tcW w:w="1117" w:type="pct"/>
                  <w:noWrap w:val="0"/>
                  <w:vAlign w:val="center"/>
                </w:tcPr>
                <w:p w14:paraId="42C62CB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eastAsia" w:ascii="Times New Roman" w:hAnsi="Times New Roman" w:eastAsia="宋体" w:cs="Times New Roman"/>
                      <w:color w:val="auto"/>
                      <w:sz w:val="21"/>
                      <w:szCs w:val="21"/>
                      <w:highlight w:val="none"/>
                      <w:shd w:val="clear" w:color="auto" w:fill="auto"/>
                      <w:lang w:val="en-US" w:eastAsia="zh-CN"/>
                    </w:rPr>
                    <w:t>2m*6m</w:t>
                  </w:r>
                </w:p>
              </w:tc>
              <w:tc>
                <w:tcPr>
                  <w:tcW w:w="885" w:type="pct"/>
                  <w:noWrap w:val="0"/>
                  <w:vAlign w:val="center"/>
                </w:tcPr>
                <w:p w14:paraId="4F3E871A">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eastAsia" w:ascii="Times New Roman" w:hAnsi="Times New Roman" w:eastAsia="宋体" w:cs="Times New Roman"/>
                      <w:color w:val="auto"/>
                      <w:kern w:val="0"/>
                      <w:sz w:val="21"/>
                      <w:szCs w:val="21"/>
                      <w:highlight w:val="none"/>
                      <w:shd w:val="clear" w:color="auto" w:fill="auto"/>
                      <w:lang w:val="en-US" w:eastAsia="zh-CN"/>
                    </w:rPr>
                    <w:t>1条</w:t>
                  </w:r>
                </w:p>
              </w:tc>
              <w:tc>
                <w:tcPr>
                  <w:tcW w:w="718" w:type="pct"/>
                  <w:noWrap w:val="0"/>
                  <w:vAlign w:val="center"/>
                </w:tcPr>
                <w:p w14:paraId="7FEE787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2917463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4F7A1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391" w:type="pct"/>
                  <w:noWrap w:val="0"/>
                  <w:vAlign w:val="center"/>
                </w:tcPr>
                <w:p w14:paraId="380787DE">
                  <w:pPr>
                    <w:keepNext w:val="0"/>
                    <w:keepLines w:val="0"/>
                    <w:numPr>
                      <w:ilvl w:val="0"/>
                      <w:numId w:val="8"/>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5BC9FC0B">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eastAsia="宋体" w:cs="Times New Roman"/>
                      <w:color w:val="auto"/>
                      <w:kern w:val="2"/>
                      <w:sz w:val="21"/>
                      <w:szCs w:val="21"/>
                      <w:highlight w:val="none"/>
                      <w:u w:val="none"/>
                      <w:shd w:val="clear" w:color="auto" w:fill="auto"/>
                      <w:lang w:val="en-US" w:eastAsia="zh-CN" w:bidi="ar-SA"/>
                    </w:rPr>
                    <w:t>清洗槽</w:t>
                  </w:r>
                </w:p>
              </w:tc>
              <w:tc>
                <w:tcPr>
                  <w:tcW w:w="1117" w:type="pct"/>
                  <w:noWrap w:val="0"/>
                  <w:vAlign w:val="center"/>
                </w:tcPr>
                <w:p w14:paraId="47F433B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10m*3m*1m</w:t>
                  </w:r>
                </w:p>
              </w:tc>
              <w:tc>
                <w:tcPr>
                  <w:tcW w:w="885" w:type="pct"/>
                  <w:noWrap w:val="0"/>
                  <w:vAlign w:val="center"/>
                </w:tcPr>
                <w:p w14:paraId="39E0D472">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eastAsia" w:ascii="Times New Roman" w:hAnsi="Times New Roman" w:eastAsia="宋体" w:cs="Times New Roman"/>
                      <w:color w:val="auto"/>
                      <w:kern w:val="0"/>
                      <w:sz w:val="21"/>
                      <w:szCs w:val="21"/>
                      <w:highlight w:val="none"/>
                      <w:shd w:val="clear" w:color="auto" w:fill="auto"/>
                      <w:lang w:val="en-US" w:eastAsia="zh-CN"/>
                    </w:rPr>
                    <w:t>1座</w:t>
                  </w:r>
                </w:p>
              </w:tc>
              <w:tc>
                <w:tcPr>
                  <w:tcW w:w="718" w:type="pct"/>
                  <w:noWrap w:val="0"/>
                  <w:vAlign w:val="center"/>
                </w:tcPr>
                <w:p w14:paraId="477CD73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1CDF79D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32B62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000" w:type="pct"/>
                  <w:gridSpan w:val="6"/>
                  <w:noWrap w:val="0"/>
                  <w:vAlign w:val="center"/>
                </w:tcPr>
                <w:p w14:paraId="0985843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eastAsia" w:ascii="Times New Roman" w:hAnsi="Times New Roman" w:eastAsia="宋体" w:cs="Times New Roman"/>
                      <w:color w:val="auto"/>
                      <w:sz w:val="21"/>
                      <w:szCs w:val="21"/>
                      <w:highlight w:val="none"/>
                      <w:lang w:val="en-US" w:eastAsia="zh-CN"/>
                    </w:rPr>
                    <w:t>1#</w:t>
                  </w:r>
                  <w:r>
                    <w:rPr>
                      <w:rFonts w:hint="eastAsia" w:cs="Times New Roman"/>
                      <w:color w:val="auto"/>
                      <w:sz w:val="21"/>
                      <w:szCs w:val="21"/>
                      <w:highlight w:val="none"/>
                      <w:lang w:val="en-US" w:eastAsia="zh-CN"/>
                    </w:rPr>
                    <w:t>白云石粉</w:t>
                  </w:r>
                  <w:r>
                    <w:rPr>
                      <w:rFonts w:hint="eastAsia" w:ascii="Times New Roman" w:hAnsi="Times New Roman" w:eastAsia="宋体" w:cs="Times New Roman"/>
                      <w:color w:val="auto"/>
                      <w:sz w:val="21"/>
                      <w:szCs w:val="21"/>
                      <w:highlight w:val="none"/>
                      <w:lang w:val="en-US" w:eastAsia="zh-CN"/>
                    </w:rPr>
                    <w:t>生</w:t>
                  </w:r>
                  <w:r>
                    <w:rPr>
                      <w:rFonts w:hint="default" w:ascii="Times New Roman" w:hAnsi="Times New Roman" w:eastAsia="宋体" w:cs="Times New Roman"/>
                      <w:color w:val="auto"/>
                      <w:sz w:val="21"/>
                      <w:szCs w:val="21"/>
                      <w:highlight w:val="none"/>
                      <w:lang w:eastAsia="zh-CN"/>
                    </w:rPr>
                    <w:t>产线</w:t>
                  </w:r>
                  <w:r>
                    <w:rPr>
                      <w:rFonts w:hint="eastAsia" w:ascii="Times New Roman" w:hAnsi="Times New Roman" w:eastAsia="宋体" w:cs="Times New Roman"/>
                      <w:color w:val="auto"/>
                      <w:sz w:val="21"/>
                      <w:szCs w:val="21"/>
                      <w:highlight w:val="none"/>
                      <w:lang w:eastAsia="zh-CN"/>
                    </w:rPr>
                    <w:t>（位于</w:t>
                  </w:r>
                  <w:r>
                    <w:rPr>
                      <w:rFonts w:hint="eastAsia" w:ascii="Times New Roman" w:hAnsi="Times New Roman" w:eastAsia="宋体" w:cs="Times New Roman"/>
                      <w:color w:val="auto"/>
                      <w:sz w:val="21"/>
                      <w:szCs w:val="21"/>
                      <w:highlight w:val="none"/>
                      <w:lang w:val="en-US" w:eastAsia="zh-CN"/>
                    </w:rPr>
                    <w:t>1#厂房</w:t>
                  </w:r>
                  <w:r>
                    <w:rPr>
                      <w:rFonts w:hint="eastAsia" w:ascii="Times New Roman" w:hAnsi="Times New Roman" w:eastAsia="宋体" w:cs="Times New Roman"/>
                      <w:color w:val="auto"/>
                      <w:sz w:val="21"/>
                      <w:szCs w:val="21"/>
                      <w:highlight w:val="none"/>
                      <w:lang w:eastAsia="zh-CN"/>
                    </w:rPr>
                    <w:t>）</w:t>
                  </w:r>
                  <w:r>
                    <w:rPr>
                      <w:rFonts w:hint="eastAsia" w:cs="Times New Roman"/>
                      <w:color w:val="auto"/>
                      <w:sz w:val="21"/>
                      <w:szCs w:val="21"/>
                      <w:highlight w:val="none"/>
                      <w:lang w:val="en-US" w:eastAsia="zh-CN"/>
                    </w:rPr>
                    <w:t>10万t/a；13t/h</w:t>
                  </w:r>
                </w:p>
              </w:tc>
            </w:tr>
            <w:tr w14:paraId="2385E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159B8F3E">
                  <w:pPr>
                    <w:keepNext w:val="0"/>
                    <w:keepLines w:val="0"/>
                    <w:numPr>
                      <w:ilvl w:val="0"/>
                      <w:numId w:val="9"/>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299051C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eastAsia="zh-CN"/>
                    </w:rPr>
                  </w:pPr>
                  <w:r>
                    <w:rPr>
                      <w:rFonts w:hint="default" w:ascii="Times New Roman" w:hAnsi="Times New Roman" w:eastAsia="宋体" w:cs="Times New Roman"/>
                      <w:color w:val="auto"/>
                      <w:sz w:val="21"/>
                      <w:szCs w:val="21"/>
                      <w:highlight w:val="none"/>
                      <w:lang w:eastAsia="zh-CN"/>
                    </w:rPr>
                    <w:t>颚式破碎机</w:t>
                  </w:r>
                </w:p>
              </w:tc>
              <w:tc>
                <w:tcPr>
                  <w:tcW w:w="1117" w:type="pct"/>
                  <w:noWrap w:val="0"/>
                  <w:vAlign w:val="center"/>
                </w:tcPr>
                <w:p w14:paraId="67F79B6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100</w:t>
                  </w:r>
                  <w:r>
                    <w:rPr>
                      <w:rFonts w:hint="eastAsia" w:ascii="Times New Roman" w:hAnsi="Times New Roman" w:eastAsia="宋体" w:cs="Times New Roman"/>
                      <w:color w:val="auto"/>
                      <w:sz w:val="21"/>
                      <w:szCs w:val="21"/>
                      <w:highlight w:val="none"/>
                      <w:shd w:val="clear" w:color="auto" w:fill="auto"/>
                      <w:lang w:val="en-US" w:eastAsia="zh-CN"/>
                    </w:rPr>
                    <w:t>cm*</w:t>
                  </w:r>
                  <w:r>
                    <w:rPr>
                      <w:rFonts w:hint="eastAsia" w:cs="Times New Roman"/>
                      <w:color w:val="auto"/>
                      <w:sz w:val="21"/>
                      <w:szCs w:val="21"/>
                      <w:highlight w:val="none"/>
                      <w:shd w:val="clear" w:color="auto" w:fill="auto"/>
                      <w:lang w:val="en-US" w:eastAsia="zh-CN"/>
                    </w:rPr>
                    <w:t>80</w:t>
                  </w:r>
                  <w:r>
                    <w:rPr>
                      <w:rFonts w:hint="eastAsia" w:ascii="Times New Roman" w:hAnsi="Times New Roman" w:eastAsia="宋体" w:cs="Times New Roman"/>
                      <w:color w:val="auto"/>
                      <w:sz w:val="21"/>
                      <w:szCs w:val="21"/>
                      <w:highlight w:val="none"/>
                      <w:shd w:val="clear" w:color="auto" w:fill="auto"/>
                      <w:lang w:val="en-US" w:eastAsia="zh-CN"/>
                    </w:rPr>
                    <w:t>cm</w:t>
                  </w:r>
                </w:p>
              </w:tc>
              <w:tc>
                <w:tcPr>
                  <w:tcW w:w="885" w:type="pct"/>
                  <w:noWrap w:val="0"/>
                  <w:vAlign w:val="center"/>
                </w:tcPr>
                <w:p w14:paraId="307FA656">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1台</w:t>
                  </w:r>
                </w:p>
              </w:tc>
              <w:tc>
                <w:tcPr>
                  <w:tcW w:w="718" w:type="pct"/>
                  <w:noWrap w:val="0"/>
                  <w:vAlign w:val="center"/>
                </w:tcPr>
                <w:p w14:paraId="540A21A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4800h</w:t>
                  </w:r>
                </w:p>
              </w:tc>
              <w:tc>
                <w:tcPr>
                  <w:tcW w:w="595" w:type="pct"/>
                  <w:noWrap w:val="0"/>
                  <w:vAlign w:val="center"/>
                </w:tcPr>
                <w:p w14:paraId="199776D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0875A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214D298B">
                  <w:pPr>
                    <w:keepNext w:val="0"/>
                    <w:keepLines w:val="0"/>
                    <w:numPr>
                      <w:ilvl w:val="0"/>
                      <w:numId w:val="9"/>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39E1D75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提升机</w:t>
                  </w:r>
                </w:p>
              </w:tc>
              <w:tc>
                <w:tcPr>
                  <w:tcW w:w="1117" w:type="pct"/>
                  <w:noWrap w:val="0"/>
                  <w:vAlign w:val="center"/>
                </w:tcPr>
                <w:p w14:paraId="54DE990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TD350</w:t>
                  </w:r>
                </w:p>
              </w:tc>
              <w:tc>
                <w:tcPr>
                  <w:tcW w:w="885" w:type="pct"/>
                  <w:noWrap w:val="0"/>
                  <w:vAlign w:val="center"/>
                </w:tcPr>
                <w:p w14:paraId="77051BCA">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1台</w:t>
                  </w:r>
                </w:p>
              </w:tc>
              <w:tc>
                <w:tcPr>
                  <w:tcW w:w="718" w:type="pct"/>
                  <w:noWrap w:val="0"/>
                  <w:vAlign w:val="center"/>
                </w:tcPr>
                <w:p w14:paraId="45DF61F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4800h</w:t>
                  </w:r>
                </w:p>
              </w:tc>
              <w:tc>
                <w:tcPr>
                  <w:tcW w:w="595" w:type="pct"/>
                  <w:noWrap w:val="0"/>
                  <w:vAlign w:val="center"/>
                </w:tcPr>
                <w:p w14:paraId="6512063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500A9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6D32FB27">
                  <w:pPr>
                    <w:keepNext w:val="0"/>
                    <w:keepLines w:val="0"/>
                    <w:numPr>
                      <w:ilvl w:val="0"/>
                      <w:numId w:val="9"/>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0709713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中间仓</w:t>
                  </w:r>
                </w:p>
              </w:tc>
              <w:tc>
                <w:tcPr>
                  <w:tcW w:w="1117" w:type="pct"/>
                  <w:noWrap w:val="0"/>
                  <w:vAlign w:val="center"/>
                </w:tcPr>
                <w:p w14:paraId="44B65DC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200m³</w:t>
                  </w:r>
                </w:p>
              </w:tc>
              <w:tc>
                <w:tcPr>
                  <w:tcW w:w="885" w:type="pct"/>
                  <w:noWrap w:val="0"/>
                  <w:vAlign w:val="center"/>
                </w:tcPr>
                <w:p w14:paraId="6F81E21B">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1座</w:t>
                  </w:r>
                </w:p>
              </w:tc>
              <w:tc>
                <w:tcPr>
                  <w:tcW w:w="718" w:type="pct"/>
                  <w:noWrap w:val="0"/>
                  <w:vAlign w:val="center"/>
                </w:tcPr>
                <w:p w14:paraId="661409C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3F30460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04CF8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1" w:type="pct"/>
                  <w:noWrap w:val="0"/>
                  <w:vAlign w:val="center"/>
                </w:tcPr>
                <w:p w14:paraId="3715ED6B">
                  <w:pPr>
                    <w:keepNext w:val="0"/>
                    <w:keepLines w:val="0"/>
                    <w:numPr>
                      <w:ilvl w:val="0"/>
                      <w:numId w:val="9"/>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72DB89AA">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封闭皮带</w:t>
                  </w:r>
                </w:p>
              </w:tc>
              <w:tc>
                <w:tcPr>
                  <w:tcW w:w="1117" w:type="pct"/>
                  <w:noWrap w:val="0"/>
                  <w:vAlign w:val="center"/>
                </w:tcPr>
                <w:p w14:paraId="166FA60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1.5m*6m</w:t>
                  </w:r>
                </w:p>
              </w:tc>
              <w:tc>
                <w:tcPr>
                  <w:tcW w:w="885" w:type="pct"/>
                  <w:noWrap w:val="0"/>
                  <w:vAlign w:val="center"/>
                </w:tcPr>
                <w:p w14:paraId="37DF85F9">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1条</w:t>
                  </w:r>
                </w:p>
              </w:tc>
              <w:tc>
                <w:tcPr>
                  <w:tcW w:w="718" w:type="pct"/>
                  <w:noWrap w:val="0"/>
                  <w:vAlign w:val="center"/>
                </w:tcPr>
                <w:p w14:paraId="062C47E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4BF1EE4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26BC74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1237D02B">
                  <w:pPr>
                    <w:keepNext w:val="0"/>
                    <w:keepLines w:val="0"/>
                    <w:numPr>
                      <w:ilvl w:val="0"/>
                      <w:numId w:val="9"/>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694DFDCD">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shd w:val="clear" w:color="auto" w:fill="auto"/>
                      <w:lang w:eastAsia="zh-CN"/>
                    </w:rPr>
                  </w:pPr>
                  <w:r>
                    <w:rPr>
                      <w:rFonts w:hint="default" w:ascii="Times New Roman" w:hAnsi="Times New Roman" w:eastAsia="宋体" w:cs="Times New Roman"/>
                      <w:color w:val="auto"/>
                      <w:kern w:val="2"/>
                      <w:sz w:val="21"/>
                      <w:szCs w:val="21"/>
                      <w:highlight w:val="none"/>
                      <w:u w:val="none"/>
                      <w:shd w:val="clear" w:color="auto" w:fill="auto"/>
                      <w:lang w:val="en-US" w:eastAsia="zh-CN" w:bidi="ar-SA"/>
                    </w:rPr>
                    <w:t>锤式破碎机</w:t>
                  </w:r>
                </w:p>
              </w:tc>
              <w:tc>
                <w:tcPr>
                  <w:tcW w:w="1117" w:type="pct"/>
                  <w:noWrap w:val="0"/>
                  <w:vAlign w:val="center"/>
                </w:tcPr>
                <w:p w14:paraId="1FA6ADB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D700</w:t>
                  </w:r>
                </w:p>
              </w:tc>
              <w:tc>
                <w:tcPr>
                  <w:tcW w:w="885" w:type="pct"/>
                  <w:noWrap w:val="0"/>
                  <w:vAlign w:val="center"/>
                </w:tcPr>
                <w:p w14:paraId="1BECAFA3">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1台</w:t>
                  </w:r>
                </w:p>
              </w:tc>
              <w:tc>
                <w:tcPr>
                  <w:tcW w:w="718" w:type="pct"/>
                  <w:noWrap w:val="0"/>
                  <w:vAlign w:val="center"/>
                </w:tcPr>
                <w:p w14:paraId="47F4ACC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2F39CA7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43539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4165E5DA">
                  <w:pPr>
                    <w:keepNext w:val="0"/>
                    <w:keepLines w:val="0"/>
                    <w:numPr>
                      <w:ilvl w:val="0"/>
                      <w:numId w:val="9"/>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32F1AA88">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eastAsia="宋体" w:cs="Times New Roman"/>
                      <w:color w:val="auto"/>
                      <w:sz w:val="21"/>
                      <w:szCs w:val="21"/>
                      <w:highlight w:val="none"/>
                      <w:lang w:eastAsia="zh-CN"/>
                    </w:rPr>
                    <w:t>封闭皮带</w:t>
                  </w:r>
                </w:p>
              </w:tc>
              <w:tc>
                <w:tcPr>
                  <w:tcW w:w="1117" w:type="pct"/>
                  <w:noWrap w:val="0"/>
                  <w:vAlign w:val="center"/>
                </w:tcPr>
                <w:p w14:paraId="76E9E99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1.5m*12m</w:t>
                  </w:r>
                </w:p>
              </w:tc>
              <w:tc>
                <w:tcPr>
                  <w:tcW w:w="885" w:type="pct"/>
                  <w:noWrap w:val="0"/>
                  <w:vAlign w:val="center"/>
                </w:tcPr>
                <w:p w14:paraId="0D8A27A3">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2条</w:t>
                  </w:r>
                </w:p>
              </w:tc>
              <w:tc>
                <w:tcPr>
                  <w:tcW w:w="718" w:type="pct"/>
                  <w:noWrap w:val="0"/>
                  <w:vAlign w:val="center"/>
                </w:tcPr>
                <w:p w14:paraId="2F27D53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751BC39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5AA50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62E881E5">
                  <w:pPr>
                    <w:keepNext w:val="0"/>
                    <w:keepLines w:val="0"/>
                    <w:numPr>
                      <w:ilvl w:val="0"/>
                      <w:numId w:val="9"/>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6D15A6AB">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shd w:val="clear" w:color="auto" w:fill="auto"/>
                      <w:lang w:eastAsia="zh-CN"/>
                    </w:rPr>
                  </w:pPr>
                  <w:r>
                    <w:rPr>
                      <w:rFonts w:hint="default" w:ascii="Times New Roman" w:hAnsi="Times New Roman" w:eastAsia="宋体" w:cs="Times New Roman"/>
                      <w:color w:val="auto"/>
                      <w:kern w:val="2"/>
                      <w:sz w:val="21"/>
                      <w:szCs w:val="21"/>
                      <w:highlight w:val="none"/>
                      <w:u w:val="none"/>
                      <w:shd w:val="clear" w:color="auto" w:fill="auto"/>
                      <w:lang w:val="en-US" w:eastAsia="zh-CN" w:bidi="ar-SA"/>
                    </w:rPr>
                    <w:t>筛分机</w:t>
                  </w:r>
                </w:p>
              </w:tc>
              <w:tc>
                <w:tcPr>
                  <w:tcW w:w="1117" w:type="pct"/>
                  <w:noWrap w:val="0"/>
                  <w:vAlign w:val="center"/>
                </w:tcPr>
                <w:p w14:paraId="3079605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1040*5000</w:t>
                  </w:r>
                </w:p>
              </w:tc>
              <w:tc>
                <w:tcPr>
                  <w:tcW w:w="885" w:type="pct"/>
                  <w:noWrap w:val="0"/>
                  <w:vAlign w:val="center"/>
                </w:tcPr>
                <w:p w14:paraId="47CDF339">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1台</w:t>
                  </w:r>
                </w:p>
              </w:tc>
              <w:tc>
                <w:tcPr>
                  <w:tcW w:w="718" w:type="pct"/>
                  <w:noWrap w:val="0"/>
                  <w:vAlign w:val="center"/>
                </w:tcPr>
                <w:p w14:paraId="357141E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2E8DBFC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6E1524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1FEB73EB">
                  <w:pPr>
                    <w:keepNext w:val="0"/>
                    <w:keepLines w:val="0"/>
                    <w:numPr>
                      <w:ilvl w:val="0"/>
                      <w:numId w:val="9"/>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1A0BCACE">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eastAsia="宋体" w:cs="Times New Roman"/>
                      <w:color w:val="auto"/>
                      <w:sz w:val="21"/>
                      <w:szCs w:val="21"/>
                      <w:highlight w:val="none"/>
                      <w:lang w:eastAsia="zh-CN"/>
                    </w:rPr>
                    <w:t>封闭皮带</w:t>
                  </w:r>
                </w:p>
              </w:tc>
              <w:tc>
                <w:tcPr>
                  <w:tcW w:w="1117" w:type="pct"/>
                  <w:noWrap w:val="0"/>
                  <w:vAlign w:val="center"/>
                </w:tcPr>
                <w:p w14:paraId="2DC5F73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1.5m*6m</w:t>
                  </w:r>
                </w:p>
              </w:tc>
              <w:tc>
                <w:tcPr>
                  <w:tcW w:w="885" w:type="pct"/>
                  <w:noWrap w:val="0"/>
                  <w:vAlign w:val="center"/>
                </w:tcPr>
                <w:p w14:paraId="78333258">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1条</w:t>
                  </w:r>
                </w:p>
              </w:tc>
              <w:tc>
                <w:tcPr>
                  <w:tcW w:w="718" w:type="pct"/>
                  <w:noWrap w:val="0"/>
                  <w:vAlign w:val="center"/>
                </w:tcPr>
                <w:p w14:paraId="56BCB16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30CE2D6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6BA3F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4A9CFB6D">
                  <w:pPr>
                    <w:keepNext w:val="0"/>
                    <w:keepLines w:val="0"/>
                    <w:numPr>
                      <w:ilvl w:val="0"/>
                      <w:numId w:val="9"/>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2C873348">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default" w:ascii="Times New Roman" w:hAnsi="Times New Roman" w:eastAsia="宋体" w:cs="Times New Roman"/>
                      <w:color w:val="auto"/>
                      <w:kern w:val="2"/>
                      <w:sz w:val="21"/>
                      <w:szCs w:val="21"/>
                      <w:highlight w:val="none"/>
                      <w:u w:val="none"/>
                      <w:shd w:val="clear" w:color="auto" w:fill="auto"/>
                      <w:lang w:val="en-US" w:eastAsia="zh-CN" w:bidi="ar-SA"/>
                    </w:rPr>
                    <w:t>雷蒙及配套除尘器</w:t>
                  </w:r>
                </w:p>
              </w:tc>
              <w:tc>
                <w:tcPr>
                  <w:tcW w:w="1117" w:type="pct"/>
                  <w:noWrap w:val="0"/>
                  <w:vAlign w:val="center"/>
                </w:tcPr>
                <w:p w14:paraId="4B90F99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13t/h</w:t>
                  </w:r>
                </w:p>
              </w:tc>
              <w:tc>
                <w:tcPr>
                  <w:tcW w:w="885" w:type="pct"/>
                  <w:noWrap w:val="0"/>
                  <w:vAlign w:val="center"/>
                </w:tcPr>
                <w:p w14:paraId="5D7530E5">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eastAsia" w:ascii="Times New Roman" w:hAnsi="Times New Roman" w:eastAsia="宋体" w:cs="Times New Roman"/>
                      <w:color w:val="auto"/>
                      <w:kern w:val="0"/>
                      <w:sz w:val="21"/>
                      <w:szCs w:val="21"/>
                      <w:highlight w:val="none"/>
                      <w:shd w:val="clear" w:color="auto" w:fill="auto"/>
                      <w:lang w:val="en-US" w:eastAsia="zh-CN"/>
                    </w:rPr>
                    <w:t>1台</w:t>
                  </w:r>
                </w:p>
              </w:tc>
              <w:tc>
                <w:tcPr>
                  <w:tcW w:w="718" w:type="pct"/>
                  <w:noWrap w:val="0"/>
                  <w:vAlign w:val="center"/>
                </w:tcPr>
                <w:p w14:paraId="29EBDC4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3103FAB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29E4D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3CC0063A">
                  <w:pPr>
                    <w:keepNext w:val="0"/>
                    <w:keepLines w:val="0"/>
                    <w:numPr>
                      <w:ilvl w:val="0"/>
                      <w:numId w:val="9"/>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3A6E6FDE">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eastAsia="宋体" w:cs="Times New Roman"/>
                      <w:color w:val="auto"/>
                      <w:sz w:val="21"/>
                      <w:szCs w:val="21"/>
                      <w:highlight w:val="none"/>
                      <w:lang w:eastAsia="zh-CN"/>
                    </w:rPr>
                    <w:t>封闭皮带</w:t>
                  </w:r>
                </w:p>
              </w:tc>
              <w:tc>
                <w:tcPr>
                  <w:tcW w:w="1117" w:type="pct"/>
                  <w:noWrap w:val="0"/>
                  <w:vAlign w:val="center"/>
                </w:tcPr>
                <w:p w14:paraId="08CF5E9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shd w:val="clear" w:color="auto" w:fill="auto"/>
                      <w:lang w:val="en-US" w:eastAsia="zh-CN"/>
                    </w:rPr>
                    <w:t>1.5m*6m</w:t>
                  </w:r>
                </w:p>
              </w:tc>
              <w:tc>
                <w:tcPr>
                  <w:tcW w:w="885" w:type="pct"/>
                  <w:noWrap w:val="0"/>
                  <w:vAlign w:val="center"/>
                </w:tcPr>
                <w:p w14:paraId="41E51E87">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eastAsia" w:ascii="Times New Roman" w:hAnsi="Times New Roman" w:eastAsia="宋体" w:cs="Times New Roman"/>
                      <w:color w:val="auto"/>
                      <w:kern w:val="0"/>
                      <w:sz w:val="21"/>
                      <w:szCs w:val="21"/>
                      <w:highlight w:val="none"/>
                      <w:shd w:val="clear" w:color="auto" w:fill="auto"/>
                      <w:lang w:val="en-US" w:eastAsia="zh-CN"/>
                    </w:rPr>
                    <w:t>1条</w:t>
                  </w:r>
                </w:p>
              </w:tc>
              <w:tc>
                <w:tcPr>
                  <w:tcW w:w="718" w:type="pct"/>
                  <w:noWrap w:val="0"/>
                  <w:vAlign w:val="center"/>
                </w:tcPr>
                <w:p w14:paraId="66933A8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4A8CD6E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2CC42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10FDB64B">
                  <w:pPr>
                    <w:keepNext w:val="0"/>
                    <w:keepLines w:val="0"/>
                    <w:numPr>
                      <w:ilvl w:val="0"/>
                      <w:numId w:val="9"/>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31F7BC70">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shd w:val="clear" w:color="auto" w:fill="auto"/>
                      <w:lang w:eastAsia="zh-CN"/>
                    </w:rPr>
                  </w:pPr>
                  <w:r>
                    <w:rPr>
                      <w:rFonts w:hint="eastAsia" w:ascii="Times New Roman" w:hAnsi="Times New Roman" w:eastAsia="宋体" w:cs="Times New Roman"/>
                      <w:color w:val="auto"/>
                      <w:kern w:val="2"/>
                      <w:sz w:val="21"/>
                      <w:szCs w:val="21"/>
                      <w:highlight w:val="none"/>
                      <w:u w:val="none"/>
                      <w:shd w:val="clear" w:color="auto" w:fill="auto"/>
                      <w:lang w:val="en-US" w:eastAsia="zh-CN" w:bidi="ar-SA"/>
                    </w:rPr>
                    <w:t>产品仓</w:t>
                  </w:r>
                </w:p>
              </w:tc>
              <w:tc>
                <w:tcPr>
                  <w:tcW w:w="1117" w:type="pct"/>
                  <w:noWrap w:val="0"/>
                  <w:vAlign w:val="center"/>
                </w:tcPr>
                <w:p w14:paraId="39E3AC37">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200m³</w:t>
                  </w:r>
                </w:p>
              </w:tc>
              <w:tc>
                <w:tcPr>
                  <w:tcW w:w="885" w:type="pct"/>
                  <w:noWrap w:val="0"/>
                  <w:vAlign w:val="center"/>
                </w:tcPr>
                <w:p w14:paraId="45322672">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1座</w:t>
                  </w:r>
                </w:p>
              </w:tc>
              <w:tc>
                <w:tcPr>
                  <w:tcW w:w="718" w:type="pct"/>
                  <w:noWrap w:val="0"/>
                  <w:vAlign w:val="center"/>
                </w:tcPr>
                <w:p w14:paraId="2876281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775F988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0AF64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05842802">
                  <w:pPr>
                    <w:keepNext w:val="0"/>
                    <w:keepLines w:val="0"/>
                    <w:numPr>
                      <w:ilvl w:val="0"/>
                      <w:numId w:val="9"/>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239DBC23">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eastAsia" w:ascii="Times New Roman" w:hAnsi="Times New Roman"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布袋除尘器</w:t>
                  </w:r>
                </w:p>
              </w:tc>
              <w:tc>
                <w:tcPr>
                  <w:tcW w:w="1117" w:type="pct"/>
                  <w:shd w:val="clear" w:color="auto" w:fill="auto"/>
                  <w:noWrap w:val="0"/>
                  <w:vAlign w:val="center"/>
                </w:tcPr>
                <w:p w14:paraId="0166888C">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直径160mm；长度2m；网眼密度＞500g/㎡；净化效率≥99.5%</w:t>
                  </w:r>
                </w:p>
              </w:tc>
              <w:tc>
                <w:tcPr>
                  <w:tcW w:w="885" w:type="pct"/>
                  <w:noWrap w:val="0"/>
                  <w:vAlign w:val="center"/>
                </w:tcPr>
                <w:p w14:paraId="58A29C43">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eastAsia" w:ascii="Times New Roman" w:hAnsi="Times New Roman"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1台</w:t>
                  </w:r>
                </w:p>
              </w:tc>
              <w:tc>
                <w:tcPr>
                  <w:tcW w:w="718" w:type="pct"/>
                  <w:noWrap w:val="0"/>
                  <w:vAlign w:val="center"/>
                </w:tcPr>
                <w:p w14:paraId="4B04A480">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eastAsia" w:ascii="Times New Roman" w:hAnsi="Times New Roman"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7920h</w:t>
                  </w:r>
                </w:p>
              </w:tc>
              <w:tc>
                <w:tcPr>
                  <w:tcW w:w="595" w:type="pct"/>
                  <w:noWrap w:val="0"/>
                  <w:vAlign w:val="center"/>
                </w:tcPr>
                <w:p w14:paraId="41036BB2">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kern w:val="2"/>
                      <w:sz w:val="21"/>
                      <w:szCs w:val="21"/>
                      <w:highlight w:val="none"/>
                      <w:u w:val="none"/>
                      <w:shd w:val="clear" w:color="auto" w:fill="auto"/>
                      <w:lang w:val="en-US" w:eastAsia="zh-CN" w:bidi="ar-SA"/>
                    </w:rPr>
                  </w:pPr>
                  <w:r>
                    <w:rPr>
                      <w:rFonts w:hint="default" w:ascii="Times New Roman" w:hAnsi="Times New Roman" w:cs="Times New Roman"/>
                      <w:color w:val="auto"/>
                      <w:kern w:val="2"/>
                      <w:sz w:val="21"/>
                      <w:szCs w:val="21"/>
                      <w:highlight w:val="none"/>
                      <w:u w:val="none"/>
                      <w:shd w:val="clear" w:color="auto" w:fill="auto"/>
                      <w:lang w:val="en-US" w:eastAsia="zh-CN" w:bidi="ar-SA"/>
                    </w:rPr>
                    <w:t>新增</w:t>
                  </w:r>
                </w:p>
              </w:tc>
            </w:tr>
            <w:tr w14:paraId="7E60D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148D5DAC">
                  <w:pPr>
                    <w:keepNext w:val="0"/>
                    <w:keepLines w:val="0"/>
                    <w:numPr>
                      <w:ilvl w:val="0"/>
                      <w:numId w:val="9"/>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237D40D7">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eastAsia" w:ascii="Times New Roman" w:hAnsi="Times New Roman"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除尘器风机</w:t>
                  </w:r>
                </w:p>
              </w:tc>
              <w:tc>
                <w:tcPr>
                  <w:tcW w:w="1117" w:type="pct"/>
                  <w:noWrap w:val="0"/>
                  <w:vAlign w:val="center"/>
                </w:tcPr>
                <w:p w14:paraId="0C971557">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20000m³/h</w:t>
                  </w:r>
                </w:p>
              </w:tc>
              <w:tc>
                <w:tcPr>
                  <w:tcW w:w="885" w:type="pct"/>
                  <w:noWrap w:val="0"/>
                  <w:vAlign w:val="center"/>
                </w:tcPr>
                <w:p w14:paraId="26EA2C32">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eastAsia" w:ascii="Times New Roman" w:hAnsi="Times New Roman"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1台</w:t>
                  </w:r>
                </w:p>
              </w:tc>
              <w:tc>
                <w:tcPr>
                  <w:tcW w:w="718" w:type="pct"/>
                  <w:noWrap w:val="0"/>
                  <w:vAlign w:val="center"/>
                </w:tcPr>
                <w:p w14:paraId="5E71CBAF">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eastAsia" w:ascii="Times New Roman" w:hAnsi="Times New Roman"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7920h</w:t>
                  </w:r>
                </w:p>
              </w:tc>
              <w:tc>
                <w:tcPr>
                  <w:tcW w:w="595" w:type="pct"/>
                  <w:noWrap w:val="0"/>
                  <w:vAlign w:val="center"/>
                </w:tcPr>
                <w:p w14:paraId="75C3033A">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kern w:val="2"/>
                      <w:sz w:val="21"/>
                      <w:szCs w:val="21"/>
                      <w:highlight w:val="none"/>
                      <w:u w:val="none"/>
                      <w:shd w:val="clear" w:color="auto" w:fill="auto"/>
                      <w:lang w:val="en-US" w:eastAsia="zh-CN" w:bidi="ar-SA"/>
                    </w:rPr>
                  </w:pPr>
                  <w:r>
                    <w:rPr>
                      <w:rFonts w:hint="default" w:ascii="Times New Roman" w:hAnsi="Times New Roman" w:cs="Times New Roman"/>
                      <w:color w:val="auto"/>
                      <w:kern w:val="2"/>
                      <w:sz w:val="21"/>
                      <w:szCs w:val="21"/>
                      <w:highlight w:val="none"/>
                      <w:u w:val="none"/>
                      <w:shd w:val="clear" w:color="auto" w:fill="auto"/>
                      <w:lang w:val="en-US" w:eastAsia="zh-CN" w:bidi="ar-SA"/>
                    </w:rPr>
                    <w:t>新增</w:t>
                  </w:r>
                </w:p>
              </w:tc>
            </w:tr>
            <w:tr w14:paraId="69EF0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000" w:type="pct"/>
                  <w:gridSpan w:val="6"/>
                  <w:noWrap w:val="0"/>
                  <w:vAlign w:val="center"/>
                </w:tcPr>
                <w:p w14:paraId="2E4D811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eastAsia" w:ascii="Times New Roman" w:hAnsi="Times New Roman" w:eastAsia="宋体" w:cs="Times New Roman"/>
                      <w:color w:val="auto"/>
                      <w:sz w:val="21"/>
                      <w:szCs w:val="21"/>
                      <w:highlight w:val="none"/>
                      <w:lang w:val="en-US" w:eastAsia="zh-CN"/>
                    </w:rPr>
                    <w:t>2#</w:t>
                  </w:r>
                  <w:r>
                    <w:rPr>
                      <w:rFonts w:hint="eastAsia" w:cs="Times New Roman"/>
                      <w:color w:val="auto"/>
                      <w:sz w:val="21"/>
                      <w:szCs w:val="21"/>
                      <w:highlight w:val="none"/>
                      <w:lang w:val="en-US" w:eastAsia="zh-CN"/>
                    </w:rPr>
                    <w:t>白云石粉</w:t>
                  </w:r>
                  <w:r>
                    <w:rPr>
                      <w:rFonts w:hint="eastAsia" w:ascii="Times New Roman" w:hAnsi="Times New Roman" w:eastAsia="宋体" w:cs="Times New Roman"/>
                      <w:color w:val="auto"/>
                      <w:sz w:val="21"/>
                      <w:szCs w:val="21"/>
                      <w:highlight w:val="none"/>
                      <w:lang w:val="en-US" w:eastAsia="zh-CN"/>
                    </w:rPr>
                    <w:t>生</w:t>
                  </w:r>
                  <w:r>
                    <w:rPr>
                      <w:rFonts w:hint="default" w:ascii="Times New Roman" w:hAnsi="Times New Roman" w:eastAsia="宋体" w:cs="Times New Roman"/>
                      <w:color w:val="auto"/>
                      <w:sz w:val="21"/>
                      <w:szCs w:val="21"/>
                      <w:highlight w:val="none"/>
                      <w:lang w:eastAsia="zh-CN"/>
                    </w:rPr>
                    <w:t>产线</w:t>
                  </w:r>
                  <w:r>
                    <w:rPr>
                      <w:rFonts w:hint="eastAsia" w:ascii="Times New Roman" w:hAnsi="Times New Roman" w:eastAsia="宋体" w:cs="Times New Roman"/>
                      <w:color w:val="auto"/>
                      <w:sz w:val="21"/>
                      <w:szCs w:val="21"/>
                      <w:highlight w:val="none"/>
                      <w:lang w:eastAsia="zh-CN"/>
                    </w:rPr>
                    <w:t>（位于</w:t>
                  </w:r>
                  <w:r>
                    <w:rPr>
                      <w:rFonts w:hint="eastAsia" w:ascii="Times New Roman" w:hAnsi="Times New Roman" w:eastAsia="宋体" w:cs="Times New Roman"/>
                      <w:color w:val="auto"/>
                      <w:sz w:val="21"/>
                      <w:szCs w:val="21"/>
                      <w:highlight w:val="none"/>
                      <w:lang w:val="en-US" w:eastAsia="zh-CN"/>
                    </w:rPr>
                    <w:t>2#厂房</w:t>
                  </w:r>
                  <w:r>
                    <w:rPr>
                      <w:rFonts w:hint="eastAsia" w:ascii="Times New Roman" w:hAnsi="Times New Roman" w:eastAsia="宋体" w:cs="Times New Roman"/>
                      <w:color w:val="auto"/>
                      <w:sz w:val="21"/>
                      <w:szCs w:val="21"/>
                      <w:highlight w:val="none"/>
                      <w:lang w:eastAsia="zh-CN"/>
                    </w:rPr>
                    <w:t>）</w:t>
                  </w:r>
                  <w:r>
                    <w:rPr>
                      <w:rFonts w:hint="eastAsia" w:cs="Times New Roman"/>
                      <w:color w:val="auto"/>
                      <w:sz w:val="21"/>
                      <w:szCs w:val="21"/>
                      <w:highlight w:val="none"/>
                      <w:lang w:val="en-US" w:eastAsia="zh-CN"/>
                    </w:rPr>
                    <w:t>10万t/a；13t/h</w:t>
                  </w:r>
                </w:p>
              </w:tc>
            </w:tr>
            <w:tr w14:paraId="4B68ED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0B60D190">
                  <w:pPr>
                    <w:keepNext w:val="0"/>
                    <w:keepLines w:val="0"/>
                    <w:numPr>
                      <w:ilvl w:val="0"/>
                      <w:numId w:val="10"/>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6D52BED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default" w:ascii="Times New Roman" w:hAnsi="Times New Roman" w:eastAsia="宋体" w:cs="Times New Roman"/>
                      <w:color w:val="auto"/>
                      <w:sz w:val="21"/>
                      <w:szCs w:val="21"/>
                      <w:highlight w:val="none"/>
                      <w:lang w:eastAsia="zh-CN"/>
                    </w:rPr>
                    <w:t>颚式破碎机</w:t>
                  </w:r>
                </w:p>
              </w:tc>
              <w:tc>
                <w:tcPr>
                  <w:tcW w:w="1117" w:type="pct"/>
                  <w:noWrap w:val="0"/>
                  <w:vAlign w:val="center"/>
                </w:tcPr>
                <w:p w14:paraId="29EF4E5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color w:val="auto"/>
                      <w:kern w:val="2"/>
                      <w:sz w:val="21"/>
                      <w:szCs w:val="21"/>
                      <w:highlight w:val="none"/>
                      <w:u w:val="none"/>
                      <w:shd w:val="clear" w:color="auto" w:fill="auto"/>
                      <w:lang w:val="en-US" w:eastAsia="zh-CN" w:bidi="ar-SA"/>
                    </w:rPr>
                    <w:t>100cm*80cm</w:t>
                  </w:r>
                </w:p>
              </w:tc>
              <w:tc>
                <w:tcPr>
                  <w:tcW w:w="885" w:type="pct"/>
                  <w:noWrap w:val="0"/>
                  <w:vAlign w:val="center"/>
                </w:tcPr>
                <w:p w14:paraId="2EBDA90D">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1台</w:t>
                  </w:r>
                </w:p>
              </w:tc>
              <w:tc>
                <w:tcPr>
                  <w:tcW w:w="718" w:type="pct"/>
                  <w:noWrap w:val="0"/>
                  <w:vAlign w:val="center"/>
                </w:tcPr>
                <w:p w14:paraId="33DA730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4800h</w:t>
                  </w:r>
                </w:p>
              </w:tc>
              <w:tc>
                <w:tcPr>
                  <w:tcW w:w="595" w:type="pct"/>
                  <w:noWrap w:val="0"/>
                  <w:vAlign w:val="center"/>
                </w:tcPr>
                <w:p w14:paraId="21F60BD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294C4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1E3B08DC">
                  <w:pPr>
                    <w:keepNext w:val="0"/>
                    <w:keepLines w:val="0"/>
                    <w:numPr>
                      <w:ilvl w:val="0"/>
                      <w:numId w:val="10"/>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6CF4D3D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eastAsia="宋体" w:cs="Times New Roman"/>
                      <w:color w:val="auto"/>
                      <w:sz w:val="21"/>
                      <w:szCs w:val="21"/>
                      <w:highlight w:val="none"/>
                      <w:lang w:eastAsia="zh-CN"/>
                    </w:rPr>
                    <w:t>提升机</w:t>
                  </w:r>
                </w:p>
              </w:tc>
              <w:tc>
                <w:tcPr>
                  <w:tcW w:w="1117" w:type="pct"/>
                  <w:noWrap w:val="0"/>
                  <w:vAlign w:val="center"/>
                </w:tcPr>
                <w:p w14:paraId="07F2DAA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TD350</w:t>
                  </w:r>
                </w:p>
              </w:tc>
              <w:tc>
                <w:tcPr>
                  <w:tcW w:w="885" w:type="pct"/>
                  <w:noWrap w:val="0"/>
                  <w:vAlign w:val="center"/>
                </w:tcPr>
                <w:p w14:paraId="45F5CAD7">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1台</w:t>
                  </w:r>
                </w:p>
              </w:tc>
              <w:tc>
                <w:tcPr>
                  <w:tcW w:w="718" w:type="pct"/>
                  <w:noWrap w:val="0"/>
                  <w:vAlign w:val="center"/>
                </w:tcPr>
                <w:p w14:paraId="78D268B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4800h</w:t>
                  </w:r>
                </w:p>
              </w:tc>
              <w:tc>
                <w:tcPr>
                  <w:tcW w:w="595" w:type="pct"/>
                  <w:noWrap w:val="0"/>
                  <w:vAlign w:val="center"/>
                </w:tcPr>
                <w:p w14:paraId="573C67F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5E90F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1629AE91">
                  <w:pPr>
                    <w:keepNext w:val="0"/>
                    <w:keepLines w:val="0"/>
                    <w:numPr>
                      <w:ilvl w:val="0"/>
                      <w:numId w:val="10"/>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50CD05D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eastAsia="宋体" w:cs="Times New Roman"/>
                      <w:color w:val="auto"/>
                      <w:sz w:val="21"/>
                      <w:szCs w:val="21"/>
                      <w:highlight w:val="none"/>
                      <w:lang w:eastAsia="zh-CN"/>
                    </w:rPr>
                    <w:t>中间仓</w:t>
                  </w:r>
                </w:p>
              </w:tc>
              <w:tc>
                <w:tcPr>
                  <w:tcW w:w="1117" w:type="pct"/>
                  <w:noWrap w:val="0"/>
                  <w:vAlign w:val="center"/>
                </w:tcPr>
                <w:p w14:paraId="5628811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200m³</w:t>
                  </w:r>
                </w:p>
              </w:tc>
              <w:tc>
                <w:tcPr>
                  <w:tcW w:w="885" w:type="pct"/>
                  <w:noWrap w:val="0"/>
                  <w:vAlign w:val="center"/>
                </w:tcPr>
                <w:p w14:paraId="536369A6">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1座</w:t>
                  </w:r>
                </w:p>
              </w:tc>
              <w:tc>
                <w:tcPr>
                  <w:tcW w:w="718" w:type="pct"/>
                  <w:noWrap w:val="0"/>
                  <w:vAlign w:val="center"/>
                </w:tcPr>
                <w:p w14:paraId="6F5C814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5D11802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23EB9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0B588AB8">
                  <w:pPr>
                    <w:keepNext w:val="0"/>
                    <w:keepLines w:val="0"/>
                    <w:numPr>
                      <w:ilvl w:val="0"/>
                      <w:numId w:val="10"/>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73EA9EB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eastAsia="宋体" w:cs="Times New Roman"/>
                      <w:color w:val="auto"/>
                      <w:sz w:val="21"/>
                      <w:szCs w:val="21"/>
                      <w:highlight w:val="none"/>
                      <w:lang w:eastAsia="zh-CN"/>
                    </w:rPr>
                    <w:t>封闭皮带</w:t>
                  </w:r>
                </w:p>
              </w:tc>
              <w:tc>
                <w:tcPr>
                  <w:tcW w:w="1117" w:type="pct"/>
                  <w:noWrap w:val="0"/>
                  <w:vAlign w:val="center"/>
                </w:tcPr>
                <w:p w14:paraId="2431658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1.5m*6m</w:t>
                  </w:r>
                </w:p>
              </w:tc>
              <w:tc>
                <w:tcPr>
                  <w:tcW w:w="885" w:type="pct"/>
                  <w:noWrap w:val="0"/>
                  <w:vAlign w:val="center"/>
                </w:tcPr>
                <w:p w14:paraId="2411B038">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1条</w:t>
                  </w:r>
                </w:p>
              </w:tc>
              <w:tc>
                <w:tcPr>
                  <w:tcW w:w="718" w:type="pct"/>
                  <w:noWrap w:val="0"/>
                  <w:vAlign w:val="center"/>
                </w:tcPr>
                <w:p w14:paraId="27B6556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68E78D1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12AE0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196354A8">
                  <w:pPr>
                    <w:keepNext w:val="0"/>
                    <w:keepLines w:val="0"/>
                    <w:numPr>
                      <w:ilvl w:val="0"/>
                      <w:numId w:val="10"/>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1AD01640">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default" w:ascii="Times New Roman" w:hAnsi="Times New Roman" w:eastAsia="宋体" w:cs="Times New Roman"/>
                      <w:color w:val="auto"/>
                      <w:kern w:val="2"/>
                      <w:sz w:val="21"/>
                      <w:szCs w:val="21"/>
                      <w:highlight w:val="none"/>
                      <w:u w:val="none"/>
                      <w:shd w:val="clear" w:color="auto" w:fill="auto"/>
                      <w:lang w:val="en-US" w:eastAsia="zh-CN" w:bidi="ar-SA"/>
                    </w:rPr>
                    <w:t>锤式破碎机</w:t>
                  </w:r>
                </w:p>
              </w:tc>
              <w:tc>
                <w:tcPr>
                  <w:tcW w:w="1117" w:type="pct"/>
                  <w:noWrap w:val="0"/>
                  <w:vAlign w:val="center"/>
                </w:tcPr>
                <w:p w14:paraId="312DC2B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D700</w:t>
                  </w:r>
                </w:p>
              </w:tc>
              <w:tc>
                <w:tcPr>
                  <w:tcW w:w="885" w:type="pct"/>
                  <w:noWrap w:val="0"/>
                  <w:vAlign w:val="center"/>
                </w:tcPr>
                <w:p w14:paraId="33F9FF88">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1台</w:t>
                  </w:r>
                </w:p>
              </w:tc>
              <w:tc>
                <w:tcPr>
                  <w:tcW w:w="718" w:type="pct"/>
                  <w:noWrap w:val="0"/>
                  <w:vAlign w:val="center"/>
                </w:tcPr>
                <w:p w14:paraId="78234317">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5CAE54D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6FD07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03322D3A">
                  <w:pPr>
                    <w:keepNext w:val="0"/>
                    <w:keepLines w:val="0"/>
                    <w:numPr>
                      <w:ilvl w:val="0"/>
                      <w:numId w:val="10"/>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150134F6">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eastAsia="宋体" w:cs="Times New Roman"/>
                      <w:color w:val="auto"/>
                      <w:sz w:val="21"/>
                      <w:szCs w:val="21"/>
                      <w:highlight w:val="none"/>
                      <w:lang w:eastAsia="zh-CN"/>
                    </w:rPr>
                    <w:t>封闭皮带</w:t>
                  </w:r>
                </w:p>
              </w:tc>
              <w:tc>
                <w:tcPr>
                  <w:tcW w:w="1117" w:type="pct"/>
                  <w:noWrap w:val="0"/>
                  <w:vAlign w:val="center"/>
                </w:tcPr>
                <w:p w14:paraId="2AF3FAC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1.5m*12m</w:t>
                  </w:r>
                </w:p>
              </w:tc>
              <w:tc>
                <w:tcPr>
                  <w:tcW w:w="885" w:type="pct"/>
                  <w:noWrap w:val="0"/>
                  <w:vAlign w:val="center"/>
                </w:tcPr>
                <w:p w14:paraId="0628E90F">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2条</w:t>
                  </w:r>
                </w:p>
              </w:tc>
              <w:tc>
                <w:tcPr>
                  <w:tcW w:w="718" w:type="pct"/>
                  <w:noWrap w:val="0"/>
                  <w:vAlign w:val="center"/>
                </w:tcPr>
                <w:p w14:paraId="4628B5D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1D71E5B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6AA93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23FA2213">
                  <w:pPr>
                    <w:keepNext w:val="0"/>
                    <w:keepLines w:val="0"/>
                    <w:numPr>
                      <w:ilvl w:val="0"/>
                      <w:numId w:val="10"/>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2B309312">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default" w:ascii="Times New Roman" w:hAnsi="Times New Roman" w:eastAsia="宋体" w:cs="Times New Roman"/>
                      <w:color w:val="auto"/>
                      <w:kern w:val="2"/>
                      <w:sz w:val="21"/>
                      <w:szCs w:val="21"/>
                      <w:highlight w:val="none"/>
                      <w:u w:val="none"/>
                      <w:shd w:val="clear" w:color="auto" w:fill="auto"/>
                      <w:lang w:val="en-US" w:eastAsia="zh-CN" w:bidi="ar-SA"/>
                    </w:rPr>
                    <w:t>筛分机</w:t>
                  </w:r>
                </w:p>
              </w:tc>
              <w:tc>
                <w:tcPr>
                  <w:tcW w:w="1117" w:type="pct"/>
                  <w:noWrap w:val="0"/>
                  <w:vAlign w:val="center"/>
                </w:tcPr>
                <w:p w14:paraId="561C2A2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1040*5000</w:t>
                  </w:r>
                </w:p>
              </w:tc>
              <w:tc>
                <w:tcPr>
                  <w:tcW w:w="885" w:type="pct"/>
                  <w:noWrap w:val="0"/>
                  <w:vAlign w:val="center"/>
                </w:tcPr>
                <w:p w14:paraId="264F2E2A">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1台</w:t>
                  </w:r>
                </w:p>
              </w:tc>
              <w:tc>
                <w:tcPr>
                  <w:tcW w:w="718" w:type="pct"/>
                  <w:noWrap w:val="0"/>
                  <w:vAlign w:val="center"/>
                </w:tcPr>
                <w:p w14:paraId="5B438AF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1CFA34F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4CB6B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107E0598">
                  <w:pPr>
                    <w:keepNext w:val="0"/>
                    <w:keepLines w:val="0"/>
                    <w:numPr>
                      <w:ilvl w:val="0"/>
                      <w:numId w:val="10"/>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01F601A7">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eastAsia="宋体" w:cs="Times New Roman"/>
                      <w:color w:val="auto"/>
                      <w:sz w:val="21"/>
                      <w:szCs w:val="21"/>
                      <w:highlight w:val="none"/>
                      <w:lang w:eastAsia="zh-CN"/>
                    </w:rPr>
                    <w:t>封闭皮带</w:t>
                  </w:r>
                </w:p>
              </w:tc>
              <w:tc>
                <w:tcPr>
                  <w:tcW w:w="1117" w:type="pct"/>
                  <w:noWrap w:val="0"/>
                  <w:vAlign w:val="center"/>
                </w:tcPr>
                <w:p w14:paraId="27D21BC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1.5m*6m</w:t>
                  </w:r>
                </w:p>
              </w:tc>
              <w:tc>
                <w:tcPr>
                  <w:tcW w:w="885" w:type="pct"/>
                  <w:noWrap w:val="0"/>
                  <w:vAlign w:val="center"/>
                </w:tcPr>
                <w:p w14:paraId="078D2EFF">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1条</w:t>
                  </w:r>
                </w:p>
              </w:tc>
              <w:tc>
                <w:tcPr>
                  <w:tcW w:w="718" w:type="pct"/>
                  <w:noWrap w:val="0"/>
                  <w:vAlign w:val="center"/>
                </w:tcPr>
                <w:p w14:paraId="2C26F23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17DB50A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7A099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7F776EB8">
                  <w:pPr>
                    <w:keepNext w:val="0"/>
                    <w:keepLines w:val="0"/>
                    <w:numPr>
                      <w:ilvl w:val="0"/>
                      <w:numId w:val="10"/>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609712CA">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环辊磨</w:t>
                  </w:r>
                  <w:r>
                    <w:rPr>
                      <w:rFonts w:hint="default" w:ascii="Times New Roman" w:hAnsi="Times New Roman" w:eastAsia="宋体" w:cs="Times New Roman"/>
                      <w:color w:val="auto"/>
                      <w:kern w:val="2"/>
                      <w:sz w:val="21"/>
                      <w:szCs w:val="21"/>
                      <w:highlight w:val="none"/>
                      <w:u w:val="none"/>
                      <w:shd w:val="clear" w:color="auto" w:fill="auto"/>
                      <w:lang w:val="en-US" w:eastAsia="zh-CN" w:bidi="ar-SA"/>
                    </w:rPr>
                    <w:t>及配套除尘器</w:t>
                  </w:r>
                </w:p>
              </w:tc>
              <w:tc>
                <w:tcPr>
                  <w:tcW w:w="1117" w:type="pct"/>
                  <w:noWrap w:val="0"/>
                  <w:vAlign w:val="center"/>
                </w:tcPr>
                <w:p w14:paraId="2104DDE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kern w:val="0"/>
                      <w:sz w:val="21"/>
                      <w:szCs w:val="21"/>
                      <w:highlight w:val="none"/>
                      <w:u w:val="none"/>
                      <w:lang w:val="en-US" w:eastAsia="zh-CN" w:bidi="ar"/>
                    </w:rPr>
                    <w:t>6.5</w:t>
                  </w:r>
                  <w:r>
                    <w:rPr>
                      <w:rFonts w:hint="eastAsia" w:ascii="Times New Roman" w:hAnsi="Times New Roman" w:eastAsia="宋体" w:cs="Times New Roman"/>
                      <w:i w:val="0"/>
                      <w:iCs w:val="0"/>
                      <w:color w:val="auto"/>
                      <w:kern w:val="0"/>
                      <w:sz w:val="21"/>
                      <w:szCs w:val="21"/>
                      <w:highlight w:val="none"/>
                      <w:u w:val="none"/>
                      <w:lang w:val="en-US" w:eastAsia="zh-CN" w:bidi="ar"/>
                    </w:rPr>
                    <w:t>t/h</w:t>
                  </w:r>
                </w:p>
              </w:tc>
              <w:tc>
                <w:tcPr>
                  <w:tcW w:w="885" w:type="pct"/>
                  <w:noWrap w:val="0"/>
                  <w:vAlign w:val="center"/>
                </w:tcPr>
                <w:p w14:paraId="27458535">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2</w:t>
                  </w:r>
                  <w:r>
                    <w:rPr>
                      <w:rFonts w:hint="eastAsia" w:ascii="Times New Roman" w:hAnsi="Times New Roman" w:eastAsia="宋体" w:cs="Times New Roman"/>
                      <w:color w:val="auto"/>
                      <w:kern w:val="0"/>
                      <w:sz w:val="21"/>
                      <w:szCs w:val="21"/>
                      <w:highlight w:val="none"/>
                      <w:shd w:val="clear" w:color="auto" w:fill="auto"/>
                      <w:lang w:val="en-US" w:eastAsia="zh-CN"/>
                    </w:rPr>
                    <w:t>台</w:t>
                  </w:r>
                </w:p>
              </w:tc>
              <w:tc>
                <w:tcPr>
                  <w:tcW w:w="718" w:type="pct"/>
                  <w:noWrap w:val="0"/>
                  <w:vAlign w:val="center"/>
                </w:tcPr>
                <w:p w14:paraId="20CC76E7">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30E9656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7CF2B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63A9CF4A">
                  <w:pPr>
                    <w:keepNext w:val="0"/>
                    <w:keepLines w:val="0"/>
                    <w:numPr>
                      <w:ilvl w:val="0"/>
                      <w:numId w:val="10"/>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2F6C8D6A">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eastAsia="宋体" w:cs="Times New Roman"/>
                      <w:color w:val="auto"/>
                      <w:sz w:val="21"/>
                      <w:szCs w:val="21"/>
                      <w:highlight w:val="none"/>
                      <w:lang w:eastAsia="zh-CN"/>
                    </w:rPr>
                    <w:t>封闭皮带</w:t>
                  </w:r>
                </w:p>
              </w:tc>
              <w:tc>
                <w:tcPr>
                  <w:tcW w:w="1117" w:type="pct"/>
                  <w:noWrap w:val="0"/>
                  <w:vAlign w:val="center"/>
                </w:tcPr>
                <w:p w14:paraId="03D92FC7">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1.5m*6m</w:t>
                  </w:r>
                </w:p>
              </w:tc>
              <w:tc>
                <w:tcPr>
                  <w:tcW w:w="885" w:type="pct"/>
                  <w:noWrap w:val="0"/>
                  <w:vAlign w:val="center"/>
                </w:tcPr>
                <w:p w14:paraId="2CA27072">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1条</w:t>
                  </w:r>
                </w:p>
              </w:tc>
              <w:tc>
                <w:tcPr>
                  <w:tcW w:w="718" w:type="pct"/>
                  <w:noWrap w:val="0"/>
                  <w:vAlign w:val="center"/>
                </w:tcPr>
                <w:p w14:paraId="7BA422E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47676AB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52CFE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53D3BA59">
                  <w:pPr>
                    <w:keepNext w:val="0"/>
                    <w:keepLines w:val="0"/>
                    <w:numPr>
                      <w:ilvl w:val="0"/>
                      <w:numId w:val="10"/>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6D6D21B6">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eastAsia="宋体" w:cs="Times New Roman"/>
                      <w:color w:val="auto"/>
                      <w:kern w:val="2"/>
                      <w:sz w:val="21"/>
                      <w:szCs w:val="21"/>
                      <w:highlight w:val="none"/>
                      <w:u w:val="none"/>
                      <w:shd w:val="clear" w:color="auto" w:fill="auto"/>
                      <w:lang w:val="en-US" w:eastAsia="zh-CN" w:bidi="ar-SA"/>
                    </w:rPr>
                    <w:t>产品仓</w:t>
                  </w:r>
                </w:p>
              </w:tc>
              <w:tc>
                <w:tcPr>
                  <w:tcW w:w="1117" w:type="pct"/>
                  <w:noWrap w:val="0"/>
                  <w:vAlign w:val="center"/>
                </w:tcPr>
                <w:p w14:paraId="2134B61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200m³</w:t>
                  </w:r>
                </w:p>
              </w:tc>
              <w:tc>
                <w:tcPr>
                  <w:tcW w:w="885" w:type="pct"/>
                  <w:noWrap w:val="0"/>
                  <w:vAlign w:val="center"/>
                </w:tcPr>
                <w:p w14:paraId="2CAFC1AD">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1座</w:t>
                  </w:r>
                </w:p>
              </w:tc>
              <w:tc>
                <w:tcPr>
                  <w:tcW w:w="718" w:type="pct"/>
                  <w:noWrap w:val="0"/>
                  <w:vAlign w:val="center"/>
                </w:tcPr>
                <w:p w14:paraId="1EABFB2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3E0141F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4CFC2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0F1D1B4E">
                  <w:pPr>
                    <w:keepNext w:val="0"/>
                    <w:keepLines w:val="0"/>
                    <w:numPr>
                      <w:ilvl w:val="0"/>
                      <w:numId w:val="10"/>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48D0C9ED">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eastAsia" w:ascii="Times New Roman" w:hAnsi="Times New Roman"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布袋除尘器</w:t>
                  </w:r>
                </w:p>
              </w:tc>
              <w:tc>
                <w:tcPr>
                  <w:tcW w:w="1117" w:type="pct"/>
                  <w:shd w:val="clear" w:color="auto" w:fill="auto"/>
                  <w:noWrap w:val="0"/>
                  <w:vAlign w:val="center"/>
                </w:tcPr>
                <w:p w14:paraId="6D63EABD">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直径160mm；长度2m；网眼密度＞500g/㎡；净化效率≥99.5%</w:t>
                  </w:r>
                </w:p>
              </w:tc>
              <w:tc>
                <w:tcPr>
                  <w:tcW w:w="885" w:type="pct"/>
                  <w:noWrap w:val="0"/>
                  <w:vAlign w:val="center"/>
                </w:tcPr>
                <w:p w14:paraId="1CCF2FE3">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eastAsia" w:ascii="Times New Roman" w:hAnsi="Times New Roman"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1台</w:t>
                  </w:r>
                </w:p>
              </w:tc>
              <w:tc>
                <w:tcPr>
                  <w:tcW w:w="718" w:type="pct"/>
                  <w:noWrap w:val="0"/>
                  <w:vAlign w:val="center"/>
                </w:tcPr>
                <w:p w14:paraId="0091AB96">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eastAsia" w:ascii="Times New Roman" w:hAnsi="Times New Roman"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7920h</w:t>
                  </w:r>
                </w:p>
              </w:tc>
              <w:tc>
                <w:tcPr>
                  <w:tcW w:w="595" w:type="pct"/>
                  <w:noWrap w:val="0"/>
                  <w:vAlign w:val="center"/>
                </w:tcPr>
                <w:p w14:paraId="5DAD1FD8">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kern w:val="2"/>
                      <w:sz w:val="21"/>
                      <w:szCs w:val="21"/>
                      <w:highlight w:val="none"/>
                      <w:u w:val="none"/>
                      <w:shd w:val="clear" w:color="auto" w:fill="auto"/>
                      <w:lang w:val="en-US" w:eastAsia="zh-CN" w:bidi="ar-SA"/>
                    </w:rPr>
                  </w:pPr>
                  <w:r>
                    <w:rPr>
                      <w:rFonts w:hint="default" w:ascii="Times New Roman" w:hAnsi="Times New Roman" w:cs="Times New Roman"/>
                      <w:color w:val="auto"/>
                      <w:kern w:val="2"/>
                      <w:sz w:val="21"/>
                      <w:szCs w:val="21"/>
                      <w:highlight w:val="none"/>
                      <w:u w:val="none"/>
                      <w:shd w:val="clear" w:color="auto" w:fill="auto"/>
                      <w:lang w:val="en-US" w:eastAsia="zh-CN" w:bidi="ar-SA"/>
                    </w:rPr>
                    <w:t>新增</w:t>
                  </w:r>
                </w:p>
              </w:tc>
            </w:tr>
            <w:tr w14:paraId="0315E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2FF948AB">
                  <w:pPr>
                    <w:keepNext w:val="0"/>
                    <w:keepLines w:val="0"/>
                    <w:numPr>
                      <w:ilvl w:val="0"/>
                      <w:numId w:val="10"/>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4079CE1A">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eastAsia" w:ascii="Times New Roman" w:hAnsi="Times New Roman"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除尘器风机</w:t>
                  </w:r>
                </w:p>
              </w:tc>
              <w:tc>
                <w:tcPr>
                  <w:tcW w:w="1117" w:type="pct"/>
                  <w:noWrap w:val="0"/>
                  <w:vAlign w:val="center"/>
                </w:tcPr>
                <w:p w14:paraId="7CAECC8F">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eastAsia" w:ascii="Times New Roman" w:hAnsi="Times New Roman"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20000m³/h</w:t>
                  </w:r>
                </w:p>
              </w:tc>
              <w:tc>
                <w:tcPr>
                  <w:tcW w:w="885" w:type="pct"/>
                  <w:noWrap w:val="0"/>
                  <w:vAlign w:val="center"/>
                </w:tcPr>
                <w:p w14:paraId="5CE4AB03">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eastAsia" w:ascii="Times New Roman" w:hAnsi="Times New Roman"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1台</w:t>
                  </w:r>
                </w:p>
              </w:tc>
              <w:tc>
                <w:tcPr>
                  <w:tcW w:w="718" w:type="pct"/>
                  <w:noWrap w:val="0"/>
                  <w:vAlign w:val="center"/>
                </w:tcPr>
                <w:p w14:paraId="558E01F9">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eastAsia" w:ascii="Times New Roman" w:hAnsi="Times New Roman"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7920h</w:t>
                  </w:r>
                </w:p>
              </w:tc>
              <w:tc>
                <w:tcPr>
                  <w:tcW w:w="595" w:type="pct"/>
                  <w:noWrap w:val="0"/>
                  <w:vAlign w:val="center"/>
                </w:tcPr>
                <w:p w14:paraId="51112DC6">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kern w:val="2"/>
                      <w:sz w:val="21"/>
                      <w:szCs w:val="21"/>
                      <w:highlight w:val="none"/>
                      <w:u w:val="none"/>
                      <w:shd w:val="clear" w:color="auto" w:fill="auto"/>
                      <w:lang w:val="en-US" w:eastAsia="zh-CN" w:bidi="ar-SA"/>
                    </w:rPr>
                  </w:pPr>
                  <w:r>
                    <w:rPr>
                      <w:rFonts w:hint="default" w:ascii="Times New Roman" w:hAnsi="Times New Roman" w:cs="Times New Roman"/>
                      <w:color w:val="auto"/>
                      <w:kern w:val="2"/>
                      <w:sz w:val="21"/>
                      <w:szCs w:val="21"/>
                      <w:highlight w:val="none"/>
                      <w:u w:val="none"/>
                      <w:shd w:val="clear" w:color="auto" w:fill="auto"/>
                      <w:lang w:val="en-US" w:eastAsia="zh-CN" w:bidi="ar-SA"/>
                    </w:rPr>
                    <w:t>新增</w:t>
                  </w:r>
                </w:p>
              </w:tc>
            </w:tr>
            <w:tr w14:paraId="57193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000" w:type="pct"/>
                  <w:gridSpan w:val="6"/>
                  <w:noWrap w:val="0"/>
                  <w:vAlign w:val="center"/>
                </w:tcPr>
                <w:p w14:paraId="4C8CB14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eastAsia" w:ascii="Times New Roman" w:hAnsi="Times New Roman" w:eastAsia="宋体" w:cs="Times New Roman"/>
                      <w:color w:val="auto"/>
                      <w:sz w:val="21"/>
                      <w:szCs w:val="21"/>
                      <w:highlight w:val="none"/>
                      <w:lang w:val="en-US" w:eastAsia="zh-CN"/>
                    </w:rPr>
                    <w:t>3#</w:t>
                  </w:r>
                  <w:r>
                    <w:rPr>
                      <w:rFonts w:hint="eastAsia" w:cs="Times New Roman"/>
                      <w:color w:val="auto"/>
                      <w:sz w:val="21"/>
                      <w:szCs w:val="21"/>
                      <w:highlight w:val="none"/>
                      <w:lang w:val="en-US" w:eastAsia="zh-CN"/>
                    </w:rPr>
                    <w:t>白云石粉</w:t>
                  </w:r>
                  <w:r>
                    <w:rPr>
                      <w:rFonts w:hint="eastAsia" w:ascii="Times New Roman" w:hAnsi="Times New Roman" w:eastAsia="宋体" w:cs="Times New Roman"/>
                      <w:color w:val="auto"/>
                      <w:sz w:val="21"/>
                      <w:szCs w:val="21"/>
                      <w:highlight w:val="none"/>
                      <w:lang w:val="en-US" w:eastAsia="zh-CN"/>
                    </w:rPr>
                    <w:t>生</w:t>
                  </w:r>
                  <w:r>
                    <w:rPr>
                      <w:rFonts w:hint="default" w:ascii="Times New Roman" w:hAnsi="Times New Roman" w:eastAsia="宋体" w:cs="Times New Roman"/>
                      <w:color w:val="auto"/>
                      <w:sz w:val="21"/>
                      <w:szCs w:val="21"/>
                      <w:highlight w:val="none"/>
                      <w:lang w:eastAsia="zh-CN"/>
                    </w:rPr>
                    <w:t>产线</w:t>
                  </w:r>
                  <w:r>
                    <w:rPr>
                      <w:rFonts w:hint="eastAsia" w:ascii="Times New Roman" w:hAnsi="Times New Roman" w:eastAsia="宋体" w:cs="Times New Roman"/>
                      <w:color w:val="auto"/>
                      <w:sz w:val="21"/>
                      <w:szCs w:val="21"/>
                      <w:highlight w:val="none"/>
                      <w:lang w:eastAsia="zh-CN"/>
                    </w:rPr>
                    <w:t>（位于</w:t>
                  </w:r>
                  <w:r>
                    <w:rPr>
                      <w:rFonts w:hint="eastAsia" w:ascii="Times New Roman" w:hAnsi="Times New Roman" w:eastAsia="宋体" w:cs="Times New Roman"/>
                      <w:color w:val="auto"/>
                      <w:sz w:val="21"/>
                      <w:szCs w:val="21"/>
                      <w:highlight w:val="none"/>
                      <w:lang w:val="en-US" w:eastAsia="zh-CN"/>
                    </w:rPr>
                    <w:t>2#厂房</w:t>
                  </w:r>
                  <w:r>
                    <w:rPr>
                      <w:rFonts w:hint="eastAsia" w:ascii="Times New Roman" w:hAnsi="Times New Roman" w:eastAsia="宋体" w:cs="Times New Roman"/>
                      <w:color w:val="auto"/>
                      <w:sz w:val="21"/>
                      <w:szCs w:val="21"/>
                      <w:highlight w:val="none"/>
                      <w:lang w:eastAsia="zh-CN"/>
                    </w:rPr>
                    <w:t>）</w:t>
                  </w:r>
                  <w:r>
                    <w:rPr>
                      <w:rFonts w:hint="eastAsia" w:cs="Times New Roman"/>
                      <w:color w:val="auto"/>
                      <w:sz w:val="21"/>
                      <w:szCs w:val="21"/>
                      <w:highlight w:val="none"/>
                      <w:lang w:val="en-US" w:eastAsia="zh-CN"/>
                    </w:rPr>
                    <w:t>10万t/a；13t/h</w:t>
                  </w:r>
                </w:p>
              </w:tc>
            </w:tr>
            <w:tr w14:paraId="677F1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5CC3F582">
                  <w:pPr>
                    <w:keepNext w:val="0"/>
                    <w:keepLines w:val="0"/>
                    <w:numPr>
                      <w:ilvl w:val="0"/>
                      <w:numId w:val="11"/>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622217D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default" w:ascii="Times New Roman" w:hAnsi="Times New Roman" w:eastAsia="宋体" w:cs="Times New Roman"/>
                      <w:color w:val="auto"/>
                      <w:sz w:val="21"/>
                      <w:szCs w:val="21"/>
                      <w:highlight w:val="none"/>
                      <w:lang w:eastAsia="zh-CN"/>
                    </w:rPr>
                    <w:t>颚式破碎机</w:t>
                  </w:r>
                </w:p>
              </w:tc>
              <w:tc>
                <w:tcPr>
                  <w:tcW w:w="1117" w:type="pct"/>
                  <w:noWrap w:val="0"/>
                  <w:vAlign w:val="center"/>
                </w:tcPr>
                <w:p w14:paraId="4CE0926C">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cs="Times New Roman"/>
                      <w:color w:val="auto"/>
                      <w:kern w:val="2"/>
                      <w:sz w:val="21"/>
                      <w:szCs w:val="21"/>
                      <w:highlight w:val="none"/>
                      <w:u w:val="none"/>
                      <w:shd w:val="clear" w:color="auto" w:fill="auto"/>
                      <w:lang w:val="en-US" w:eastAsia="zh-CN" w:bidi="ar-SA"/>
                    </w:rPr>
                    <w:t>100cm*80cm</w:t>
                  </w:r>
                </w:p>
              </w:tc>
              <w:tc>
                <w:tcPr>
                  <w:tcW w:w="885" w:type="pct"/>
                  <w:noWrap w:val="0"/>
                  <w:vAlign w:val="center"/>
                </w:tcPr>
                <w:p w14:paraId="37350315">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1台</w:t>
                  </w:r>
                </w:p>
              </w:tc>
              <w:tc>
                <w:tcPr>
                  <w:tcW w:w="718" w:type="pct"/>
                  <w:noWrap w:val="0"/>
                  <w:vAlign w:val="center"/>
                </w:tcPr>
                <w:p w14:paraId="3116710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4800h</w:t>
                  </w:r>
                </w:p>
              </w:tc>
              <w:tc>
                <w:tcPr>
                  <w:tcW w:w="595" w:type="pct"/>
                  <w:noWrap w:val="0"/>
                  <w:vAlign w:val="center"/>
                </w:tcPr>
                <w:p w14:paraId="00B4D657">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36937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20DDC393">
                  <w:pPr>
                    <w:keepNext w:val="0"/>
                    <w:keepLines w:val="0"/>
                    <w:numPr>
                      <w:ilvl w:val="0"/>
                      <w:numId w:val="11"/>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6E8E921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eastAsia="宋体" w:cs="Times New Roman"/>
                      <w:color w:val="auto"/>
                      <w:sz w:val="21"/>
                      <w:szCs w:val="21"/>
                      <w:highlight w:val="none"/>
                      <w:lang w:eastAsia="zh-CN"/>
                    </w:rPr>
                    <w:t>提升机</w:t>
                  </w:r>
                </w:p>
              </w:tc>
              <w:tc>
                <w:tcPr>
                  <w:tcW w:w="1117" w:type="pct"/>
                  <w:noWrap w:val="0"/>
                  <w:vAlign w:val="center"/>
                </w:tcPr>
                <w:p w14:paraId="438086E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TD350</w:t>
                  </w:r>
                </w:p>
              </w:tc>
              <w:tc>
                <w:tcPr>
                  <w:tcW w:w="885" w:type="pct"/>
                  <w:noWrap w:val="0"/>
                  <w:vAlign w:val="center"/>
                </w:tcPr>
                <w:p w14:paraId="3B62649C">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1台</w:t>
                  </w:r>
                </w:p>
              </w:tc>
              <w:tc>
                <w:tcPr>
                  <w:tcW w:w="718" w:type="pct"/>
                  <w:noWrap w:val="0"/>
                  <w:vAlign w:val="center"/>
                </w:tcPr>
                <w:p w14:paraId="2320590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4800h</w:t>
                  </w:r>
                </w:p>
              </w:tc>
              <w:tc>
                <w:tcPr>
                  <w:tcW w:w="595" w:type="pct"/>
                  <w:noWrap w:val="0"/>
                  <w:vAlign w:val="center"/>
                </w:tcPr>
                <w:p w14:paraId="2B7099A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63090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676C659F">
                  <w:pPr>
                    <w:keepNext w:val="0"/>
                    <w:keepLines w:val="0"/>
                    <w:numPr>
                      <w:ilvl w:val="0"/>
                      <w:numId w:val="11"/>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3EFB1AD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eastAsia="宋体" w:cs="Times New Roman"/>
                      <w:color w:val="auto"/>
                      <w:sz w:val="21"/>
                      <w:szCs w:val="21"/>
                      <w:highlight w:val="none"/>
                      <w:lang w:eastAsia="zh-CN"/>
                    </w:rPr>
                    <w:t>中间仓</w:t>
                  </w:r>
                </w:p>
              </w:tc>
              <w:tc>
                <w:tcPr>
                  <w:tcW w:w="1117" w:type="pct"/>
                  <w:noWrap w:val="0"/>
                  <w:vAlign w:val="center"/>
                </w:tcPr>
                <w:p w14:paraId="22BE2B0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200m³</w:t>
                  </w:r>
                </w:p>
              </w:tc>
              <w:tc>
                <w:tcPr>
                  <w:tcW w:w="885" w:type="pct"/>
                  <w:noWrap w:val="0"/>
                  <w:vAlign w:val="center"/>
                </w:tcPr>
                <w:p w14:paraId="015AD6A2">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1座</w:t>
                  </w:r>
                </w:p>
              </w:tc>
              <w:tc>
                <w:tcPr>
                  <w:tcW w:w="718" w:type="pct"/>
                  <w:noWrap w:val="0"/>
                  <w:vAlign w:val="center"/>
                </w:tcPr>
                <w:p w14:paraId="360DCE1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18E582F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5CE228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4EACD6AF">
                  <w:pPr>
                    <w:keepNext w:val="0"/>
                    <w:keepLines w:val="0"/>
                    <w:numPr>
                      <w:ilvl w:val="0"/>
                      <w:numId w:val="11"/>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6C852A0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eastAsia="宋体" w:cs="Times New Roman"/>
                      <w:color w:val="auto"/>
                      <w:sz w:val="21"/>
                      <w:szCs w:val="21"/>
                      <w:highlight w:val="none"/>
                      <w:lang w:eastAsia="zh-CN"/>
                    </w:rPr>
                    <w:t>封闭皮带</w:t>
                  </w:r>
                </w:p>
              </w:tc>
              <w:tc>
                <w:tcPr>
                  <w:tcW w:w="1117" w:type="pct"/>
                  <w:noWrap w:val="0"/>
                  <w:vAlign w:val="center"/>
                </w:tcPr>
                <w:p w14:paraId="369EE99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1.5m*6m</w:t>
                  </w:r>
                </w:p>
              </w:tc>
              <w:tc>
                <w:tcPr>
                  <w:tcW w:w="885" w:type="pct"/>
                  <w:noWrap w:val="0"/>
                  <w:vAlign w:val="center"/>
                </w:tcPr>
                <w:p w14:paraId="64CCB89A">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1条</w:t>
                  </w:r>
                </w:p>
              </w:tc>
              <w:tc>
                <w:tcPr>
                  <w:tcW w:w="718" w:type="pct"/>
                  <w:noWrap w:val="0"/>
                  <w:vAlign w:val="center"/>
                </w:tcPr>
                <w:p w14:paraId="3AEFD03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41330FB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1D0C8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7F914476">
                  <w:pPr>
                    <w:keepNext w:val="0"/>
                    <w:keepLines w:val="0"/>
                    <w:numPr>
                      <w:ilvl w:val="0"/>
                      <w:numId w:val="11"/>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116201E2">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default" w:ascii="Times New Roman" w:hAnsi="Times New Roman" w:eastAsia="宋体" w:cs="Times New Roman"/>
                      <w:color w:val="auto"/>
                      <w:kern w:val="2"/>
                      <w:sz w:val="21"/>
                      <w:szCs w:val="21"/>
                      <w:highlight w:val="none"/>
                      <w:u w:val="none"/>
                      <w:shd w:val="clear" w:color="auto" w:fill="auto"/>
                      <w:lang w:val="en-US" w:eastAsia="zh-CN" w:bidi="ar-SA"/>
                    </w:rPr>
                    <w:t>锤式破碎机</w:t>
                  </w:r>
                </w:p>
              </w:tc>
              <w:tc>
                <w:tcPr>
                  <w:tcW w:w="1117" w:type="pct"/>
                  <w:noWrap w:val="0"/>
                  <w:vAlign w:val="center"/>
                </w:tcPr>
                <w:p w14:paraId="16FDB79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D700</w:t>
                  </w:r>
                </w:p>
              </w:tc>
              <w:tc>
                <w:tcPr>
                  <w:tcW w:w="885" w:type="pct"/>
                  <w:noWrap w:val="0"/>
                  <w:vAlign w:val="center"/>
                </w:tcPr>
                <w:p w14:paraId="2D4CAE74">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1台</w:t>
                  </w:r>
                </w:p>
              </w:tc>
              <w:tc>
                <w:tcPr>
                  <w:tcW w:w="718" w:type="pct"/>
                  <w:noWrap w:val="0"/>
                  <w:vAlign w:val="center"/>
                </w:tcPr>
                <w:p w14:paraId="4D5F7D6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2B7B32D7">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49324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40915FB0">
                  <w:pPr>
                    <w:keepNext w:val="0"/>
                    <w:keepLines w:val="0"/>
                    <w:numPr>
                      <w:ilvl w:val="0"/>
                      <w:numId w:val="11"/>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068A4BD3">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eastAsia="宋体" w:cs="Times New Roman"/>
                      <w:color w:val="auto"/>
                      <w:sz w:val="21"/>
                      <w:szCs w:val="21"/>
                      <w:highlight w:val="none"/>
                      <w:lang w:eastAsia="zh-CN"/>
                    </w:rPr>
                    <w:t>封闭皮带</w:t>
                  </w:r>
                </w:p>
              </w:tc>
              <w:tc>
                <w:tcPr>
                  <w:tcW w:w="1117" w:type="pct"/>
                  <w:noWrap w:val="0"/>
                  <w:vAlign w:val="center"/>
                </w:tcPr>
                <w:p w14:paraId="504ED7D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1.5m*12m</w:t>
                  </w:r>
                </w:p>
              </w:tc>
              <w:tc>
                <w:tcPr>
                  <w:tcW w:w="885" w:type="pct"/>
                  <w:noWrap w:val="0"/>
                  <w:vAlign w:val="center"/>
                </w:tcPr>
                <w:p w14:paraId="5F1F746C">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2条</w:t>
                  </w:r>
                </w:p>
              </w:tc>
              <w:tc>
                <w:tcPr>
                  <w:tcW w:w="718" w:type="pct"/>
                  <w:noWrap w:val="0"/>
                  <w:vAlign w:val="center"/>
                </w:tcPr>
                <w:p w14:paraId="7CD201E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3A69280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40AA1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4901A800">
                  <w:pPr>
                    <w:keepNext w:val="0"/>
                    <w:keepLines w:val="0"/>
                    <w:numPr>
                      <w:ilvl w:val="0"/>
                      <w:numId w:val="11"/>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62398373">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default" w:ascii="Times New Roman" w:hAnsi="Times New Roman" w:eastAsia="宋体" w:cs="Times New Roman"/>
                      <w:color w:val="auto"/>
                      <w:kern w:val="2"/>
                      <w:sz w:val="21"/>
                      <w:szCs w:val="21"/>
                      <w:highlight w:val="none"/>
                      <w:u w:val="none"/>
                      <w:shd w:val="clear" w:color="auto" w:fill="auto"/>
                      <w:lang w:val="en-US" w:eastAsia="zh-CN" w:bidi="ar-SA"/>
                    </w:rPr>
                    <w:t>筛分机</w:t>
                  </w:r>
                </w:p>
              </w:tc>
              <w:tc>
                <w:tcPr>
                  <w:tcW w:w="1117" w:type="pct"/>
                  <w:noWrap w:val="0"/>
                  <w:vAlign w:val="center"/>
                </w:tcPr>
                <w:p w14:paraId="25B91F6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1040*5000</w:t>
                  </w:r>
                </w:p>
              </w:tc>
              <w:tc>
                <w:tcPr>
                  <w:tcW w:w="885" w:type="pct"/>
                  <w:noWrap w:val="0"/>
                  <w:vAlign w:val="center"/>
                </w:tcPr>
                <w:p w14:paraId="4E3EFBA7">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1台</w:t>
                  </w:r>
                </w:p>
              </w:tc>
              <w:tc>
                <w:tcPr>
                  <w:tcW w:w="718" w:type="pct"/>
                  <w:noWrap w:val="0"/>
                  <w:vAlign w:val="center"/>
                </w:tcPr>
                <w:p w14:paraId="056AEFE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3F238C5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70248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2DDF9828">
                  <w:pPr>
                    <w:keepNext w:val="0"/>
                    <w:keepLines w:val="0"/>
                    <w:numPr>
                      <w:ilvl w:val="0"/>
                      <w:numId w:val="11"/>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0EF724F7">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eastAsia="宋体" w:cs="Times New Roman"/>
                      <w:color w:val="auto"/>
                      <w:sz w:val="21"/>
                      <w:szCs w:val="21"/>
                      <w:highlight w:val="none"/>
                      <w:lang w:eastAsia="zh-CN"/>
                    </w:rPr>
                    <w:t>封闭皮带</w:t>
                  </w:r>
                </w:p>
              </w:tc>
              <w:tc>
                <w:tcPr>
                  <w:tcW w:w="1117" w:type="pct"/>
                  <w:noWrap w:val="0"/>
                  <w:vAlign w:val="center"/>
                </w:tcPr>
                <w:p w14:paraId="139E603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1.5m*6m</w:t>
                  </w:r>
                </w:p>
              </w:tc>
              <w:tc>
                <w:tcPr>
                  <w:tcW w:w="885" w:type="pct"/>
                  <w:noWrap w:val="0"/>
                  <w:vAlign w:val="center"/>
                </w:tcPr>
                <w:p w14:paraId="72B9E513">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1条</w:t>
                  </w:r>
                </w:p>
              </w:tc>
              <w:tc>
                <w:tcPr>
                  <w:tcW w:w="718" w:type="pct"/>
                  <w:noWrap w:val="0"/>
                  <w:vAlign w:val="center"/>
                </w:tcPr>
                <w:p w14:paraId="5A80ABE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6DBD41E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14C689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61A7EEB2">
                  <w:pPr>
                    <w:keepNext w:val="0"/>
                    <w:keepLines w:val="0"/>
                    <w:numPr>
                      <w:ilvl w:val="0"/>
                      <w:numId w:val="11"/>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1AE5C162">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default" w:ascii="Times New Roman" w:hAnsi="Times New Roman" w:eastAsia="宋体" w:cs="Times New Roman"/>
                      <w:color w:val="auto"/>
                      <w:kern w:val="2"/>
                      <w:sz w:val="21"/>
                      <w:szCs w:val="21"/>
                      <w:highlight w:val="none"/>
                      <w:u w:val="none"/>
                      <w:shd w:val="clear" w:color="auto" w:fill="auto"/>
                      <w:lang w:val="en-US" w:eastAsia="zh-CN" w:bidi="ar-SA"/>
                    </w:rPr>
                    <w:t>雷蒙及配套除尘器</w:t>
                  </w:r>
                </w:p>
              </w:tc>
              <w:tc>
                <w:tcPr>
                  <w:tcW w:w="1117" w:type="pct"/>
                  <w:noWrap w:val="0"/>
                  <w:vAlign w:val="center"/>
                </w:tcPr>
                <w:p w14:paraId="613A839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bidi="ar"/>
                    </w:rPr>
                    <w:t>13t/h</w:t>
                  </w:r>
                </w:p>
              </w:tc>
              <w:tc>
                <w:tcPr>
                  <w:tcW w:w="885" w:type="pct"/>
                  <w:noWrap w:val="0"/>
                  <w:vAlign w:val="center"/>
                </w:tcPr>
                <w:p w14:paraId="6A97C328">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1台</w:t>
                  </w:r>
                </w:p>
              </w:tc>
              <w:tc>
                <w:tcPr>
                  <w:tcW w:w="718" w:type="pct"/>
                  <w:noWrap w:val="0"/>
                  <w:vAlign w:val="center"/>
                </w:tcPr>
                <w:p w14:paraId="5609DB9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5D3CD1A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0B75B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391" w:type="pct"/>
                  <w:noWrap w:val="0"/>
                  <w:vAlign w:val="center"/>
                </w:tcPr>
                <w:p w14:paraId="2CB293C5">
                  <w:pPr>
                    <w:keepNext w:val="0"/>
                    <w:keepLines w:val="0"/>
                    <w:numPr>
                      <w:ilvl w:val="0"/>
                      <w:numId w:val="11"/>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54C0DCDF">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eastAsia="宋体" w:cs="Times New Roman"/>
                      <w:color w:val="auto"/>
                      <w:sz w:val="21"/>
                      <w:szCs w:val="21"/>
                      <w:highlight w:val="none"/>
                      <w:lang w:eastAsia="zh-CN"/>
                    </w:rPr>
                    <w:t>封闭皮带</w:t>
                  </w:r>
                </w:p>
              </w:tc>
              <w:tc>
                <w:tcPr>
                  <w:tcW w:w="1117" w:type="pct"/>
                  <w:noWrap w:val="0"/>
                  <w:vAlign w:val="center"/>
                </w:tcPr>
                <w:p w14:paraId="646F6A07">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1.5m*6m</w:t>
                  </w:r>
                </w:p>
              </w:tc>
              <w:tc>
                <w:tcPr>
                  <w:tcW w:w="885" w:type="pct"/>
                  <w:noWrap w:val="0"/>
                  <w:vAlign w:val="center"/>
                </w:tcPr>
                <w:p w14:paraId="54211EAA">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1条</w:t>
                  </w:r>
                </w:p>
              </w:tc>
              <w:tc>
                <w:tcPr>
                  <w:tcW w:w="718" w:type="pct"/>
                  <w:noWrap w:val="0"/>
                  <w:vAlign w:val="center"/>
                </w:tcPr>
                <w:p w14:paraId="6D9CD9B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68E9C68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5E15F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36A69CF9">
                  <w:pPr>
                    <w:keepNext w:val="0"/>
                    <w:keepLines w:val="0"/>
                    <w:numPr>
                      <w:ilvl w:val="0"/>
                      <w:numId w:val="11"/>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008C0F5C">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eastAsia="宋体" w:cs="Times New Roman"/>
                      <w:color w:val="auto"/>
                      <w:kern w:val="2"/>
                      <w:sz w:val="21"/>
                      <w:szCs w:val="21"/>
                      <w:highlight w:val="none"/>
                      <w:u w:val="none"/>
                      <w:shd w:val="clear" w:color="auto" w:fill="auto"/>
                      <w:lang w:val="en-US" w:eastAsia="zh-CN" w:bidi="ar-SA"/>
                    </w:rPr>
                    <w:t>产品仓</w:t>
                  </w:r>
                </w:p>
              </w:tc>
              <w:tc>
                <w:tcPr>
                  <w:tcW w:w="1117" w:type="pct"/>
                  <w:noWrap w:val="0"/>
                  <w:vAlign w:val="center"/>
                </w:tcPr>
                <w:p w14:paraId="471C2B7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200m³</w:t>
                  </w:r>
                </w:p>
              </w:tc>
              <w:tc>
                <w:tcPr>
                  <w:tcW w:w="885" w:type="pct"/>
                  <w:noWrap w:val="0"/>
                  <w:vAlign w:val="center"/>
                </w:tcPr>
                <w:p w14:paraId="48C0FCE9">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1座</w:t>
                  </w:r>
                </w:p>
              </w:tc>
              <w:tc>
                <w:tcPr>
                  <w:tcW w:w="718" w:type="pct"/>
                  <w:noWrap w:val="0"/>
                  <w:vAlign w:val="center"/>
                </w:tcPr>
                <w:p w14:paraId="6F56548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186C34A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3609B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17C187E2">
                  <w:pPr>
                    <w:keepNext w:val="0"/>
                    <w:keepLines w:val="0"/>
                    <w:numPr>
                      <w:ilvl w:val="0"/>
                      <w:numId w:val="11"/>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shd w:val="clear" w:color="auto" w:fill="auto"/>
                  <w:noWrap w:val="0"/>
                  <w:vAlign w:val="center"/>
                </w:tcPr>
                <w:p w14:paraId="171689D5">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eastAsia" w:ascii="Times New Roman" w:hAnsi="Times New Roman"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布袋除尘器</w:t>
                  </w:r>
                </w:p>
              </w:tc>
              <w:tc>
                <w:tcPr>
                  <w:tcW w:w="1117" w:type="pct"/>
                  <w:shd w:val="clear" w:color="auto" w:fill="auto"/>
                  <w:noWrap w:val="0"/>
                  <w:vAlign w:val="center"/>
                </w:tcPr>
                <w:p w14:paraId="57F0AD4A">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eastAsia" w:ascii="Times New Roman" w:hAnsi="Times New Roman"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直径160mm；长度2m；网眼密度＞500g/㎡；净化效率≥99.5%</w:t>
                  </w:r>
                </w:p>
              </w:tc>
              <w:tc>
                <w:tcPr>
                  <w:tcW w:w="885" w:type="pct"/>
                  <w:shd w:val="clear" w:color="auto" w:fill="auto"/>
                  <w:noWrap w:val="0"/>
                  <w:vAlign w:val="center"/>
                </w:tcPr>
                <w:p w14:paraId="49F16CE1">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eastAsia" w:ascii="Times New Roman" w:hAnsi="Times New Roman"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1台</w:t>
                  </w:r>
                </w:p>
              </w:tc>
              <w:tc>
                <w:tcPr>
                  <w:tcW w:w="718" w:type="pct"/>
                  <w:shd w:val="clear" w:color="auto" w:fill="auto"/>
                  <w:noWrap w:val="0"/>
                  <w:vAlign w:val="center"/>
                </w:tcPr>
                <w:p w14:paraId="2D06B740">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eastAsia" w:ascii="Times New Roman" w:hAnsi="Times New Roman"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7920h</w:t>
                  </w:r>
                </w:p>
              </w:tc>
              <w:tc>
                <w:tcPr>
                  <w:tcW w:w="595" w:type="pct"/>
                  <w:shd w:val="clear" w:color="auto" w:fill="auto"/>
                  <w:noWrap w:val="0"/>
                  <w:vAlign w:val="center"/>
                </w:tcPr>
                <w:p w14:paraId="2B615B18">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kern w:val="2"/>
                      <w:sz w:val="21"/>
                      <w:szCs w:val="21"/>
                      <w:highlight w:val="none"/>
                      <w:u w:val="none"/>
                      <w:shd w:val="clear" w:color="auto" w:fill="auto"/>
                      <w:lang w:val="en-US" w:eastAsia="zh-CN" w:bidi="ar-SA"/>
                    </w:rPr>
                  </w:pPr>
                  <w:r>
                    <w:rPr>
                      <w:rFonts w:hint="default" w:ascii="Times New Roman" w:hAnsi="Times New Roman" w:cs="Times New Roman"/>
                      <w:color w:val="auto"/>
                      <w:kern w:val="2"/>
                      <w:sz w:val="21"/>
                      <w:szCs w:val="21"/>
                      <w:highlight w:val="none"/>
                      <w:u w:val="none"/>
                      <w:shd w:val="clear" w:color="auto" w:fill="auto"/>
                      <w:lang w:val="en-US" w:eastAsia="zh-CN" w:bidi="ar-SA"/>
                    </w:rPr>
                    <w:t>新增</w:t>
                  </w:r>
                </w:p>
              </w:tc>
            </w:tr>
            <w:tr w14:paraId="7DD38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4982470E">
                  <w:pPr>
                    <w:keepNext w:val="0"/>
                    <w:keepLines w:val="0"/>
                    <w:numPr>
                      <w:ilvl w:val="0"/>
                      <w:numId w:val="11"/>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shd w:val="clear" w:color="auto" w:fill="auto"/>
                  <w:noWrap w:val="0"/>
                  <w:vAlign w:val="center"/>
                </w:tcPr>
                <w:p w14:paraId="03528DBE">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除尘器风机</w:t>
                  </w:r>
                </w:p>
              </w:tc>
              <w:tc>
                <w:tcPr>
                  <w:tcW w:w="1117" w:type="pct"/>
                  <w:shd w:val="clear" w:color="auto" w:fill="auto"/>
                  <w:noWrap w:val="0"/>
                  <w:vAlign w:val="center"/>
                </w:tcPr>
                <w:p w14:paraId="2F8A3F84">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20000m³/h</w:t>
                  </w:r>
                </w:p>
              </w:tc>
              <w:tc>
                <w:tcPr>
                  <w:tcW w:w="885" w:type="pct"/>
                  <w:shd w:val="clear" w:color="auto" w:fill="auto"/>
                  <w:noWrap w:val="0"/>
                  <w:vAlign w:val="center"/>
                </w:tcPr>
                <w:p w14:paraId="7234CC3B">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1台</w:t>
                  </w:r>
                </w:p>
              </w:tc>
              <w:tc>
                <w:tcPr>
                  <w:tcW w:w="718" w:type="pct"/>
                  <w:shd w:val="clear" w:color="auto" w:fill="auto"/>
                  <w:noWrap w:val="0"/>
                  <w:vAlign w:val="center"/>
                </w:tcPr>
                <w:p w14:paraId="680762F5">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7920h</w:t>
                  </w:r>
                </w:p>
              </w:tc>
              <w:tc>
                <w:tcPr>
                  <w:tcW w:w="595" w:type="pct"/>
                  <w:shd w:val="clear" w:color="auto" w:fill="auto"/>
                  <w:noWrap w:val="0"/>
                  <w:vAlign w:val="center"/>
                </w:tcPr>
                <w:p w14:paraId="1E66E59F">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default" w:ascii="Times New Roman" w:hAnsi="Times New Roman" w:cs="Times New Roman"/>
                      <w:color w:val="auto"/>
                      <w:kern w:val="2"/>
                      <w:sz w:val="21"/>
                      <w:szCs w:val="21"/>
                      <w:highlight w:val="none"/>
                      <w:u w:val="none"/>
                      <w:shd w:val="clear" w:color="auto" w:fill="auto"/>
                      <w:lang w:val="en-US" w:eastAsia="zh-CN" w:bidi="ar-SA"/>
                    </w:rPr>
                    <w:t>新增</w:t>
                  </w:r>
                </w:p>
              </w:tc>
            </w:tr>
            <w:tr w14:paraId="5858D2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000" w:type="pct"/>
                  <w:gridSpan w:val="6"/>
                  <w:noWrap w:val="0"/>
                  <w:vAlign w:val="center"/>
                </w:tcPr>
                <w:p w14:paraId="0A01FF97">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eastAsia" w:cs="Times New Roman"/>
                      <w:color w:val="auto"/>
                      <w:sz w:val="21"/>
                      <w:szCs w:val="21"/>
                      <w:highlight w:val="none"/>
                      <w:lang w:val="en-US" w:eastAsia="zh-CN"/>
                    </w:rPr>
                    <w:t>白云砂</w:t>
                  </w:r>
                  <w:r>
                    <w:rPr>
                      <w:rFonts w:hint="default" w:ascii="Times New Roman" w:hAnsi="Times New Roman" w:eastAsia="宋体" w:cs="Times New Roman"/>
                      <w:color w:val="auto"/>
                      <w:sz w:val="21"/>
                      <w:szCs w:val="21"/>
                      <w:highlight w:val="none"/>
                      <w:lang w:eastAsia="zh-CN"/>
                    </w:rPr>
                    <w:t>生产线</w:t>
                  </w:r>
                  <w:r>
                    <w:rPr>
                      <w:rFonts w:hint="eastAsia" w:ascii="Times New Roman" w:hAnsi="Times New Roman" w:eastAsia="宋体" w:cs="Times New Roman"/>
                      <w:color w:val="auto"/>
                      <w:sz w:val="21"/>
                      <w:szCs w:val="21"/>
                      <w:highlight w:val="none"/>
                      <w:lang w:eastAsia="zh-CN"/>
                    </w:rPr>
                    <w:t>（位于</w:t>
                  </w:r>
                  <w:r>
                    <w:rPr>
                      <w:rFonts w:hint="eastAsia" w:ascii="Times New Roman" w:hAnsi="Times New Roman" w:eastAsia="宋体" w:cs="Times New Roman"/>
                      <w:color w:val="auto"/>
                      <w:sz w:val="21"/>
                      <w:szCs w:val="21"/>
                      <w:highlight w:val="none"/>
                      <w:lang w:val="en-US" w:eastAsia="zh-CN"/>
                    </w:rPr>
                    <w:t>2#厂房</w:t>
                  </w:r>
                  <w:r>
                    <w:rPr>
                      <w:rFonts w:hint="eastAsia" w:ascii="Times New Roman" w:hAnsi="Times New Roman" w:eastAsia="宋体" w:cs="Times New Roman"/>
                      <w:color w:val="auto"/>
                      <w:sz w:val="21"/>
                      <w:szCs w:val="21"/>
                      <w:highlight w:val="none"/>
                      <w:lang w:eastAsia="zh-CN"/>
                    </w:rPr>
                    <w:t>）</w:t>
                  </w:r>
                  <w:r>
                    <w:rPr>
                      <w:rFonts w:hint="eastAsia" w:cs="Times New Roman"/>
                      <w:color w:val="auto"/>
                      <w:sz w:val="21"/>
                      <w:szCs w:val="21"/>
                      <w:highlight w:val="none"/>
                      <w:lang w:val="en-US" w:eastAsia="zh-CN"/>
                    </w:rPr>
                    <w:t>10万t/a；13t/h</w:t>
                  </w:r>
                </w:p>
              </w:tc>
            </w:tr>
            <w:tr w14:paraId="4F06E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5C3A887C">
                  <w:pPr>
                    <w:keepNext w:val="0"/>
                    <w:keepLines w:val="0"/>
                    <w:numPr>
                      <w:ilvl w:val="0"/>
                      <w:numId w:val="12"/>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11AB9A9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default" w:ascii="Times New Roman" w:hAnsi="Times New Roman" w:eastAsia="宋体" w:cs="Times New Roman"/>
                      <w:color w:val="auto"/>
                      <w:sz w:val="21"/>
                      <w:szCs w:val="21"/>
                      <w:highlight w:val="none"/>
                      <w:lang w:eastAsia="zh-CN"/>
                    </w:rPr>
                    <w:t>颚式破碎机</w:t>
                  </w:r>
                </w:p>
              </w:tc>
              <w:tc>
                <w:tcPr>
                  <w:tcW w:w="1117" w:type="pct"/>
                  <w:noWrap w:val="0"/>
                  <w:vAlign w:val="center"/>
                </w:tcPr>
                <w:p w14:paraId="6E282AB8">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cs="Times New Roman"/>
                      <w:color w:val="auto"/>
                      <w:kern w:val="2"/>
                      <w:sz w:val="21"/>
                      <w:szCs w:val="21"/>
                      <w:highlight w:val="none"/>
                      <w:u w:val="none"/>
                      <w:shd w:val="clear" w:color="auto" w:fill="auto"/>
                      <w:lang w:val="en-US" w:eastAsia="zh-CN" w:bidi="ar-SA"/>
                    </w:rPr>
                    <w:t>100cm*80cm</w:t>
                  </w:r>
                </w:p>
              </w:tc>
              <w:tc>
                <w:tcPr>
                  <w:tcW w:w="885" w:type="pct"/>
                  <w:noWrap w:val="0"/>
                  <w:vAlign w:val="center"/>
                </w:tcPr>
                <w:p w14:paraId="7AA8589B">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1台</w:t>
                  </w:r>
                </w:p>
              </w:tc>
              <w:tc>
                <w:tcPr>
                  <w:tcW w:w="718" w:type="pct"/>
                  <w:noWrap w:val="0"/>
                  <w:vAlign w:val="center"/>
                </w:tcPr>
                <w:p w14:paraId="01AE8F8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4800h</w:t>
                  </w:r>
                </w:p>
              </w:tc>
              <w:tc>
                <w:tcPr>
                  <w:tcW w:w="595" w:type="pct"/>
                  <w:noWrap w:val="0"/>
                  <w:vAlign w:val="center"/>
                </w:tcPr>
                <w:p w14:paraId="50070B3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6AE0A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7DE8670A">
                  <w:pPr>
                    <w:keepNext w:val="0"/>
                    <w:keepLines w:val="0"/>
                    <w:numPr>
                      <w:ilvl w:val="0"/>
                      <w:numId w:val="12"/>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0880AF2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eastAsia="宋体" w:cs="Times New Roman"/>
                      <w:color w:val="auto"/>
                      <w:sz w:val="21"/>
                      <w:szCs w:val="21"/>
                      <w:highlight w:val="none"/>
                      <w:lang w:eastAsia="zh-CN"/>
                    </w:rPr>
                    <w:t>提升机</w:t>
                  </w:r>
                </w:p>
              </w:tc>
              <w:tc>
                <w:tcPr>
                  <w:tcW w:w="1117" w:type="pct"/>
                  <w:noWrap w:val="0"/>
                  <w:vAlign w:val="center"/>
                </w:tcPr>
                <w:p w14:paraId="7826EA8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TD350</w:t>
                  </w:r>
                </w:p>
              </w:tc>
              <w:tc>
                <w:tcPr>
                  <w:tcW w:w="885" w:type="pct"/>
                  <w:noWrap w:val="0"/>
                  <w:vAlign w:val="center"/>
                </w:tcPr>
                <w:p w14:paraId="752326A3">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1台</w:t>
                  </w:r>
                </w:p>
              </w:tc>
              <w:tc>
                <w:tcPr>
                  <w:tcW w:w="718" w:type="pct"/>
                  <w:noWrap w:val="0"/>
                  <w:vAlign w:val="center"/>
                </w:tcPr>
                <w:p w14:paraId="380A69B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4800h</w:t>
                  </w:r>
                </w:p>
              </w:tc>
              <w:tc>
                <w:tcPr>
                  <w:tcW w:w="595" w:type="pct"/>
                  <w:noWrap w:val="0"/>
                  <w:vAlign w:val="center"/>
                </w:tcPr>
                <w:p w14:paraId="480E776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75605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637CF9CA">
                  <w:pPr>
                    <w:keepNext w:val="0"/>
                    <w:keepLines w:val="0"/>
                    <w:numPr>
                      <w:ilvl w:val="0"/>
                      <w:numId w:val="12"/>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5CAEB1C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eastAsia="宋体" w:cs="Times New Roman"/>
                      <w:color w:val="auto"/>
                      <w:sz w:val="21"/>
                      <w:szCs w:val="21"/>
                      <w:highlight w:val="none"/>
                      <w:lang w:eastAsia="zh-CN"/>
                    </w:rPr>
                    <w:t>中间仓</w:t>
                  </w:r>
                </w:p>
              </w:tc>
              <w:tc>
                <w:tcPr>
                  <w:tcW w:w="1117" w:type="pct"/>
                  <w:noWrap w:val="0"/>
                  <w:vAlign w:val="center"/>
                </w:tcPr>
                <w:p w14:paraId="701EE71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200m³</w:t>
                  </w:r>
                </w:p>
              </w:tc>
              <w:tc>
                <w:tcPr>
                  <w:tcW w:w="885" w:type="pct"/>
                  <w:noWrap w:val="0"/>
                  <w:vAlign w:val="center"/>
                </w:tcPr>
                <w:p w14:paraId="5B9AD852">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1座</w:t>
                  </w:r>
                </w:p>
              </w:tc>
              <w:tc>
                <w:tcPr>
                  <w:tcW w:w="718" w:type="pct"/>
                  <w:noWrap w:val="0"/>
                  <w:vAlign w:val="center"/>
                </w:tcPr>
                <w:p w14:paraId="448180D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0C0AC20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6F009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715DFF2B">
                  <w:pPr>
                    <w:keepNext w:val="0"/>
                    <w:keepLines w:val="0"/>
                    <w:numPr>
                      <w:ilvl w:val="0"/>
                      <w:numId w:val="12"/>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2708EBE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eastAsia="宋体" w:cs="Times New Roman"/>
                      <w:color w:val="auto"/>
                      <w:sz w:val="21"/>
                      <w:szCs w:val="21"/>
                      <w:highlight w:val="none"/>
                      <w:lang w:eastAsia="zh-CN"/>
                    </w:rPr>
                    <w:t>封闭皮带</w:t>
                  </w:r>
                </w:p>
              </w:tc>
              <w:tc>
                <w:tcPr>
                  <w:tcW w:w="1117" w:type="pct"/>
                  <w:noWrap w:val="0"/>
                  <w:vAlign w:val="center"/>
                </w:tcPr>
                <w:p w14:paraId="1828BC9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1.5m*6m</w:t>
                  </w:r>
                </w:p>
              </w:tc>
              <w:tc>
                <w:tcPr>
                  <w:tcW w:w="885" w:type="pct"/>
                  <w:noWrap w:val="0"/>
                  <w:vAlign w:val="center"/>
                </w:tcPr>
                <w:p w14:paraId="0E78CBD3">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1条</w:t>
                  </w:r>
                </w:p>
              </w:tc>
              <w:tc>
                <w:tcPr>
                  <w:tcW w:w="718" w:type="pct"/>
                  <w:noWrap w:val="0"/>
                  <w:vAlign w:val="center"/>
                </w:tcPr>
                <w:p w14:paraId="269E27B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7AD923B7">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37CC7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4B00D119">
                  <w:pPr>
                    <w:keepNext w:val="0"/>
                    <w:keepLines w:val="0"/>
                    <w:numPr>
                      <w:ilvl w:val="0"/>
                      <w:numId w:val="12"/>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23484F38">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default" w:ascii="Times New Roman" w:hAnsi="Times New Roman" w:eastAsia="宋体" w:cs="Times New Roman"/>
                      <w:color w:val="auto"/>
                      <w:kern w:val="2"/>
                      <w:sz w:val="21"/>
                      <w:szCs w:val="21"/>
                      <w:highlight w:val="none"/>
                      <w:u w:val="none"/>
                      <w:shd w:val="clear" w:color="auto" w:fill="auto"/>
                      <w:lang w:val="en-US" w:eastAsia="zh-CN" w:bidi="ar-SA"/>
                    </w:rPr>
                    <w:t>锤式破碎机</w:t>
                  </w:r>
                </w:p>
              </w:tc>
              <w:tc>
                <w:tcPr>
                  <w:tcW w:w="1117" w:type="pct"/>
                  <w:noWrap w:val="0"/>
                  <w:vAlign w:val="center"/>
                </w:tcPr>
                <w:p w14:paraId="55D562D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D700</w:t>
                  </w:r>
                </w:p>
              </w:tc>
              <w:tc>
                <w:tcPr>
                  <w:tcW w:w="885" w:type="pct"/>
                  <w:noWrap w:val="0"/>
                  <w:vAlign w:val="center"/>
                </w:tcPr>
                <w:p w14:paraId="01AF7F63">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1台</w:t>
                  </w:r>
                </w:p>
              </w:tc>
              <w:tc>
                <w:tcPr>
                  <w:tcW w:w="718" w:type="pct"/>
                  <w:noWrap w:val="0"/>
                  <w:vAlign w:val="center"/>
                </w:tcPr>
                <w:p w14:paraId="1F71724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3599A740">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68ACCF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79012713">
                  <w:pPr>
                    <w:keepNext w:val="0"/>
                    <w:keepLines w:val="0"/>
                    <w:numPr>
                      <w:ilvl w:val="0"/>
                      <w:numId w:val="12"/>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3A6B1571">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eastAsia="宋体" w:cs="Times New Roman"/>
                      <w:color w:val="auto"/>
                      <w:sz w:val="21"/>
                      <w:szCs w:val="21"/>
                      <w:highlight w:val="none"/>
                      <w:lang w:eastAsia="zh-CN"/>
                    </w:rPr>
                    <w:t>封闭皮带</w:t>
                  </w:r>
                </w:p>
              </w:tc>
              <w:tc>
                <w:tcPr>
                  <w:tcW w:w="1117" w:type="pct"/>
                  <w:noWrap w:val="0"/>
                  <w:vAlign w:val="center"/>
                </w:tcPr>
                <w:p w14:paraId="673F4D0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1.5m*12m</w:t>
                  </w:r>
                </w:p>
              </w:tc>
              <w:tc>
                <w:tcPr>
                  <w:tcW w:w="885" w:type="pct"/>
                  <w:noWrap w:val="0"/>
                  <w:vAlign w:val="center"/>
                </w:tcPr>
                <w:p w14:paraId="74CB348F">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2条</w:t>
                  </w:r>
                </w:p>
              </w:tc>
              <w:tc>
                <w:tcPr>
                  <w:tcW w:w="718" w:type="pct"/>
                  <w:noWrap w:val="0"/>
                  <w:vAlign w:val="center"/>
                </w:tcPr>
                <w:p w14:paraId="4B76CDF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0B140F0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5BCE3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72ECD495">
                  <w:pPr>
                    <w:keepNext w:val="0"/>
                    <w:keepLines w:val="0"/>
                    <w:numPr>
                      <w:ilvl w:val="0"/>
                      <w:numId w:val="12"/>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199A6CE1">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default" w:ascii="Times New Roman" w:hAnsi="Times New Roman" w:eastAsia="宋体" w:cs="Times New Roman"/>
                      <w:color w:val="auto"/>
                      <w:kern w:val="2"/>
                      <w:sz w:val="21"/>
                      <w:szCs w:val="21"/>
                      <w:highlight w:val="none"/>
                      <w:u w:val="none"/>
                      <w:shd w:val="clear" w:color="auto" w:fill="auto"/>
                      <w:lang w:val="en-US" w:eastAsia="zh-CN" w:bidi="ar-SA"/>
                    </w:rPr>
                    <w:t>筛分机</w:t>
                  </w:r>
                </w:p>
              </w:tc>
              <w:tc>
                <w:tcPr>
                  <w:tcW w:w="1117" w:type="pct"/>
                  <w:noWrap w:val="0"/>
                  <w:vAlign w:val="center"/>
                </w:tcPr>
                <w:p w14:paraId="00D14C10">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1040*5000</w:t>
                  </w:r>
                </w:p>
              </w:tc>
              <w:tc>
                <w:tcPr>
                  <w:tcW w:w="885" w:type="pct"/>
                  <w:noWrap w:val="0"/>
                  <w:vAlign w:val="center"/>
                </w:tcPr>
                <w:p w14:paraId="689DBF2F">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1台</w:t>
                  </w:r>
                </w:p>
              </w:tc>
              <w:tc>
                <w:tcPr>
                  <w:tcW w:w="718" w:type="pct"/>
                  <w:noWrap w:val="0"/>
                  <w:vAlign w:val="center"/>
                </w:tcPr>
                <w:p w14:paraId="5CE9119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4F8D64B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40771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4154ECA5">
                  <w:pPr>
                    <w:keepNext w:val="0"/>
                    <w:keepLines w:val="0"/>
                    <w:numPr>
                      <w:ilvl w:val="0"/>
                      <w:numId w:val="12"/>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327D6B41">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eastAsia="宋体" w:cs="Times New Roman"/>
                      <w:color w:val="auto"/>
                      <w:sz w:val="21"/>
                      <w:szCs w:val="21"/>
                      <w:highlight w:val="none"/>
                      <w:lang w:eastAsia="zh-CN"/>
                    </w:rPr>
                    <w:t>封闭皮带</w:t>
                  </w:r>
                </w:p>
              </w:tc>
              <w:tc>
                <w:tcPr>
                  <w:tcW w:w="1117" w:type="pct"/>
                  <w:noWrap w:val="0"/>
                  <w:vAlign w:val="center"/>
                </w:tcPr>
                <w:p w14:paraId="57855B20">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1.5m*6m</w:t>
                  </w:r>
                </w:p>
              </w:tc>
              <w:tc>
                <w:tcPr>
                  <w:tcW w:w="885" w:type="pct"/>
                  <w:noWrap w:val="0"/>
                  <w:vAlign w:val="center"/>
                </w:tcPr>
                <w:p w14:paraId="62C068E0">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6</w:t>
                  </w:r>
                  <w:r>
                    <w:rPr>
                      <w:rFonts w:hint="eastAsia" w:ascii="Times New Roman" w:hAnsi="Times New Roman" w:eastAsia="宋体" w:cs="Times New Roman"/>
                      <w:color w:val="auto"/>
                      <w:kern w:val="0"/>
                      <w:sz w:val="21"/>
                      <w:szCs w:val="21"/>
                      <w:highlight w:val="none"/>
                      <w:shd w:val="clear" w:color="auto" w:fill="auto"/>
                      <w:lang w:val="en-US" w:eastAsia="zh-CN"/>
                    </w:rPr>
                    <w:t>条</w:t>
                  </w:r>
                </w:p>
              </w:tc>
              <w:tc>
                <w:tcPr>
                  <w:tcW w:w="718" w:type="pct"/>
                  <w:noWrap w:val="0"/>
                  <w:vAlign w:val="center"/>
                </w:tcPr>
                <w:p w14:paraId="1A365DF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1E3070D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347B4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330774A1">
                  <w:pPr>
                    <w:keepNext w:val="0"/>
                    <w:keepLines w:val="0"/>
                    <w:numPr>
                      <w:ilvl w:val="0"/>
                      <w:numId w:val="12"/>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39C0D566">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色选机</w:t>
                  </w:r>
                </w:p>
              </w:tc>
              <w:tc>
                <w:tcPr>
                  <w:tcW w:w="1117" w:type="pct"/>
                  <w:noWrap w:val="0"/>
                  <w:vAlign w:val="center"/>
                </w:tcPr>
                <w:p w14:paraId="69BCCDD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2.5t/h</w:t>
                  </w:r>
                </w:p>
              </w:tc>
              <w:tc>
                <w:tcPr>
                  <w:tcW w:w="885" w:type="pct"/>
                  <w:noWrap w:val="0"/>
                  <w:vAlign w:val="center"/>
                </w:tcPr>
                <w:p w14:paraId="73AA0C3F">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1台</w:t>
                  </w:r>
                </w:p>
              </w:tc>
              <w:tc>
                <w:tcPr>
                  <w:tcW w:w="718" w:type="pct"/>
                  <w:noWrap w:val="0"/>
                  <w:vAlign w:val="center"/>
                </w:tcPr>
                <w:p w14:paraId="4279430E">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753D8AA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797D9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62C51147">
                  <w:pPr>
                    <w:keepNext w:val="0"/>
                    <w:keepLines w:val="0"/>
                    <w:numPr>
                      <w:ilvl w:val="0"/>
                      <w:numId w:val="12"/>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noWrap w:val="0"/>
                  <w:vAlign w:val="center"/>
                </w:tcPr>
                <w:p w14:paraId="5CD4D6E0">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eastAsia="宋体" w:cs="Times New Roman"/>
                      <w:color w:val="auto"/>
                      <w:kern w:val="2"/>
                      <w:sz w:val="21"/>
                      <w:szCs w:val="21"/>
                      <w:highlight w:val="none"/>
                      <w:u w:val="none"/>
                      <w:shd w:val="clear" w:color="auto" w:fill="auto"/>
                      <w:lang w:val="en-US" w:eastAsia="zh-CN" w:bidi="ar-SA"/>
                    </w:rPr>
                    <w:t>产品仓</w:t>
                  </w:r>
                </w:p>
              </w:tc>
              <w:tc>
                <w:tcPr>
                  <w:tcW w:w="1117" w:type="pct"/>
                  <w:noWrap w:val="0"/>
                  <w:vAlign w:val="center"/>
                </w:tcPr>
                <w:p w14:paraId="44B0527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30m³</w:t>
                  </w:r>
                </w:p>
              </w:tc>
              <w:tc>
                <w:tcPr>
                  <w:tcW w:w="885" w:type="pct"/>
                  <w:noWrap w:val="0"/>
                  <w:vAlign w:val="center"/>
                </w:tcPr>
                <w:p w14:paraId="7B9F1817">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5座</w:t>
                  </w:r>
                </w:p>
              </w:tc>
              <w:tc>
                <w:tcPr>
                  <w:tcW w:w="718" w:type="pct"/>
                  <w:noWrap w:val="0"/>
                  <w:vAlign w:val="center"/>
                </w:tcPr>
                <w:p w14:paraId="3D9AF47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107E66F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66830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48918C45">
                  <w:pPr>
                    <w:keepNext w:val="0"/>
                    <w:keepLines w:val="0"/>
                    <w:numPr>
                      <w:ilvl w:val="0"/>
                      <w:numId w:val="12"/>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shd w:val="clear" w:color="auto" w:fill="auto"/>
                  <w:noWrap w:val="0"/>
                  <w:vAlign w:val="center"/>
                </w:tcPr>
                <w:p w14:paraId="03EB75DC">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布袋除尘器</w:t>
                  </w:r>
                </w:p>
              </w:tc>
              <w:tc>
                <w:tcPr>
                  <w:tcW w:w="1117" w:type="pct"/>
                  <w:shd w:val="clear" w:color="auto" w:fill="auto"/>
                  <w:noWrap w:val="0"/>
                  <w:vAlign w:val="center"/>
                </w:tcPr>
                <w:p w14:paraId="1496CBF9">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直径160mm；长度2m；网眼密度＞500g/㎡；净化效率≥99.5%</w:t>
                  </w:r>
                </w:p>
              </w:tc>
              <w:tc>
                <w:tcPr>
                  <w:tcW w:w="885" w:type="pct"/>
                  <w:shd w:val="clear" w:color="auto" w:fill="auto"/>
                  <w:noWrap w:val="0"/>
                  <w:vAlign w:val="center"/>
                </w:tcPr>
                <w:p w14:paraId="6F218943">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highlight w:val="none"/>
                      <w:shd w:val="clear" w:color="auto" w:fill="auto"/>
                      <w:lang w:val="en-US" w:eastAsia="zh-CN" w:bidi="ar-SA"/>
                    </w:rPr>
                  </w:pPr>
                  <w:r>
                    <w:rPr>
                      <w:rFonts w:hint="eastAsia" w:ascii="Times New Roman" w:hAnsi="Times New Roman" w:eastAsia="宋体" w:cs="Times New Roman"/>
                      <w:color w:val="auto"/>
                      <w:kern w:val="0"/>
                      <w:sz w:val="21"/>
                      <w:szCs w:val="21"/>
                      <w:highlight w:val="none"/>
                      <w:shd w:val="clear" w:color="auto" w:fill="auto"/>
                      <w:lang w:val="en-US" w:eastAsia="zh-CN"/>
                    </w:rPr>
                    <w:t>1台</w:t>
                  </w:r>
                </w:p>
              </w:tc>
              <w:tc>
                <w:tcPr>
                  <w:tcW w:w="718" w:type="pct"/>
                  <w:shd w:val="clear" w:color="auto" w:fill="auto"/>
                  <w:noWrap w:val="0"/>
                  <w:vAlign w:val="center"/>
                </w:tcPr>
                <w:p w14:paraId="47330EB2">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shd w:val="clear" w:color="auto" w:fill="auto"/>
                      <w:lang w:val="en-US" w:eastAsia="zh-CN" w:bidi="ar-SA"/>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shd w:val="clear" w:color="auto" w:fill="auto"/>
                  <w:noWrap w:val="0"/>
                  <w:vAlign w:val="center"/>
                </w:tcPr>
                <w:p w14:paraId="57EFD77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35027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604224AE">
                  <w:pPr>
                    <w:keepNext w:val="0"/>
                    <w:keepLines w:val="0"/>
                    <w:numPr>
                      <w:ilvl w:val="0"/>
                      <w:numId w:val="12"/>
                    </w:numPr>
                    <w:suppressLineNumbers w:val="0"/>
                    <w:spacing w:before="0" w:beforeAutospacing="0" w:after="0" w:afterAutospacing="0"/>
                    <w:ind w:right="0"/>
                    <w:jc w:val="center"/>
                    <w:rPr>
                      <w:rFonts w:hint="default" w:ascii="Times New Roman" w:hAnsi="Times New Roman" w:eastAsia="宋体" w:cs="Times New Roman"/>
                      <w:color w:val="auto"/>
                      <w:sz w:val="21"/>
                      <w:szCs w:val="21"/>
                      <w:highlight w:val="none"/>
                      <w:shd w:val="clear" w:color="auto" w:fill="auto"/>
                    </w:rPr>
                  </w:pPr>
                </w:p>
              </w:tc>
              <w:tc>
                <w:tcPr>
                  <w:tcW w:w="1291" w:type="pct"/>
                  <w:shd w:val="clear" w:color="auto" w:fill="auto"/>
                  <w:noWrap w:val="0"/>
                  <w:vAlign w:val="center"/>
                </w:tcPr>
                <w:p w14:paraId="2535B969">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除尘器风机</w:t>
                  </w:r>
                </w:p>
              </w:tc>
              <w:tc>
                <w:tcPr>
                  <w:tcW w:w="1117" w:type="pct"/>
                  <w:shd w:val="clear" w:color="auto" w:fill="auto"/>
                  <w:noWrap w:val="0"/>
                  <w:vAlign w:val="center"/>
                </w:tcPr>
                <w:p w14:paraId="493CC58F">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15000m³/h</w:t>
                  </w:r>
                </w:p>
              </w:tc>
              <w:tc>
                <w:tcPr>
                  <w:tcW w:w="885" w:type="pct"/>
                  <w:shd w:val="clear" w:color="auto" w:fill="auto"/>
                  <w:noWrap w:val="0"/>
                  <w:vAlign w:val="center"/>
                </w:tcPr>
                <w:p w14:paraId="732AD95B">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1台</w:t>
                  </w:r>
                </w:p>
              </w:tc>
              <w:tc>
                <w:tcPr>
                  <w:tcW w:w="718" w:type="pct"/>
                  <w:shd w:val="clear" w:color="auto" w:fill="auto"/>
                  <w:noWrap w:val="0"/>
                  <w:vAlign w:val="center"/>
                </w:tcPr>
                <w:p w14:paraId="3061A31A">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7920h</w:t>
                  </w:r>
                </w:p>
              </w:tc>
              <w:tc>
                <w:tcPr>
                  <w:tcW w:w="595" w:type="pct"/>
                  <w:shd w:val="clear" w:color="auto" w:fill="auto"/>
                  <w:noWrap w:val="0"/>
                  <w:vAlign w:val="center"/>
                </w:tcPr>
                <w:p w14:paraId="06D4E1B6">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default" w:ascii="Times New Roman" w:hAnsi="Times New Roman" w:cs="Times New Roman"/>
                      <w:color w:val="auto"/>
                      <w:kern w:val="2"/>
                      <w:sz w:val="21"/>
                      <w:szCs w:val="21"/>
                      <w:highlight w:val="none"/>
                      <w:u w:val="none"/>
                      <w:shd w:val="clear" w:color="auto" w:fill="auto"/>
                      <w:lang w:val="en-US" w:eastAsia="zh-CN" w:bidi="ar-SA"/>
                    </w:rPr>
                    <w:t>新增</w:t>
                  </w:r>
                </w:p>
              </w:tc>
            </w:tr>
            <w:tr w14:paraId="73684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000" w:type="pct"/>
                  <w:gridSpan w:val="6"/>
                  <w:noWrap w:val="0"/>
                  <w:vAlign w:val="center"/>
                </w:tcPr>
                <w:p w14:paraId="35094D7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共用设备</w:t>
                  </w:r>
                </w:p>
              </w:tc>
            </w:tr>
            <w:tr w14:paraId="7F99C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2CE6D707">
                  <w:pPr>
                    <w:keepNext w:val="0"/>
                    <w:keepLines w:val="0"/>
                    <w:numPr>
                      <w:ilvl w:val="0"/>
                      <w:numId w:val="13"/>
                    </w:numPr>
                    <w:suppressLineNumbers w:val="0"/>
                    <w:spacing w:before="0" w:beforeAutospacing="0" w:after="0" w:afterAutospacing="0"/>
                    <w:ind w:left="420" w:leftChars="0" w:right="0" w:rightChars="0" w:hanging="420" w:firstLine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p>
              </w:tc>
              <w:tc>
                <w:tcPr>
                  <w:tcW w:w="1291" w:type="pct"/>
                  <w:noWrap w:val="0"/>
                  <w:vAlign w:val="center"/>
                </w:tcPr>
                <w:p w14:paraId="15DFF575">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default" w:ascii="Times New Roman" w:hAnsi="Times New Roman" w:eastAsia="宋体" w:cs="Times New Roman"/>
                      <w:color w:val="auto"/>
                      <w:kern w:val="2"/>
                      <w:sz w:val="21"/>
                      <w:szCs w:val="21"/>
                      <w:highlight w:val="none"/>
                      <w:u w:val="none"/>
                      <w:shd w:val="clear" w:color="auto" w:fill="auto"/>
                      <w:lang w:val="en-US" w:eastAsia="zh-CN" w:bidi="ar-SA"/>
                    </w:rPr>
                    <w:t>吸尘车</w:t>
                  </w:r>
                </w:p>
              </w:tc>
              <w:tc>
                <w:tcPr>
                  <w:tcW w:w="1117" w:type="pct"/>
                  <w:noWrap w:val="0"/>
                  <w:vAlign w:val="center"/>
                </w:tcPr>
                <w:p w14:paraId="26C76AD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885" w:type="pct"/>
                  <w:noWrap w:val="0"/>
                  <w:vAlign w:val="center"/>
                </w:tcPr>
                <w:p w14:paraId="6B700610">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eastAsia" w:ascii="Times New Roman" w:hAnsi="Times New Roman" w:eastAsia="宋体" w:cs="Times New Roman"/>
                      <w:color w:val="auto"/>
                      <w:kern w:val="0"/>
                      <w:sz w:val="21"/>
                      <w:szCs w:val="21"/>
                      <w:highlight w:val="none"/>
                      <w:shd w:val="clear" w:color="auto" w:fill="auto"/>
                      <w:lang w:val="en-US" w:eastAsia="zh-CN" w:bidi="ar-SA"/>
                    </w:rPr>
                    <w:t>2台</w:t>
                  </w:r>
                </w:p>
              </w:tc>
              <w:tc>
                <w:tcPr>
                  <w:tcW w:w="718" w:type="pct"/>
                  <w:noWrap w:val="0"/>
                  <w:vAlign w:val="center"/>
                </w:tcPr>
                <w:p w14:paraId="30B0E5C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0411823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0C338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798ACBEF">
                  <w:pPr>
                    <w:keepNext w:val="0"/>
                    <w:keepLines w:val="0"/>
                    <w:numPr>
                      <w:ilvl w:val="0"/>
                      <w:numId w:val="13"/>
                    </w:numPr>
                    <w:suppressLineNumbers w:val="0"/>
                    <w:spacing w:before="0" w:beforeAutospacing="0" w:after="0" w:afterAutospacing="0"/>
                    <w:ind w:left="420" w:leftChars="0" w:right="0" w:rightChars="0" w:hanging="420" w:firstLine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p>
              </w:tc>
              <w:tc>
                <w:tcPr>
                  <w:tcW w:w="1291" w:type="pct"/>
                  <w:noWrap w:val="0"/>
                  <w:vAlign w:val="center"/>
                </w:tcPr>
                <w:p w14:paraId="1ED14D40">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default" w:ascii="Times New Roman" w:hAnsi="Times New Roman" w:eastAsia="宋体" w:cs="Times New Roman"/>
                      <w:color w:val="auto"/>
                      <w:kern w:val="2"/>
                      <w:sz w:val="21"/>
                      <w:szCs w:val="21"/>
                      <w:highlight w:val="none"/>
                      <w:u w:val="none"/>
                      <w:shd w:val="clear" w:color="auto" w:fill="auto"/>
                      <w:lang w:val="en-US" w:eastAsia="zh-CN" w:bidi="ar-SA"/>
                    </w:rPr>
                    <w:t>洒水车</w:t>
                  </w:r>
                </w:p>
              </w:tc>
              <w:tc>
                <w:tcPr>
                  <w:tcW w:w="1117" w:type="pct"/>
                  <w:noWrap w:val="0"/>
                  <w:vAlign w:val="center"/>
                </w:tcPr>
                <w:p w14:paraId="01C1ED0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885" w:type="pct"/>
                  <w:noWrap w:val="0"/>
                  <w:vAlign w:val="center"/>
                </w:tcPr>
                <w:p w14:paraId="494432E4">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eastAsia" w:ascii="Times New Roman" w:hAnsi="Times New Roman" w:eastAsia="宋体" w:cs="Times New Roman"/>
                      <w:color w:val="auto"/>
                      <w:kern w:val="0"/>
                      <w:sz w:val="21"/>
                      <w:szCs w:val="21"/>
                      <w:highlight w:val="none"/>
                      <w:shd w:val="clear" w:color="auto" w:fill="auto"/>
                      <w:lang w:val="en-US" w:eastAsia="zh-CN" w:bidi="ar-SA"/>
                    </w:rPr>
                    <w:t>2台</w:t>
                  </w:r>
                </w:p>
              </w:tc>
              <w:tc>
                <w:tcPr>
                  <w:tcW w:w="718" w:type="pct"/>
                  <w:noWrap w:val="0"/>
                  <w:vAlign w:val="center"/>
                </w:tcPr>
                <w:p w14:paraId="5567136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5036A7C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16A42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033FAF64">
                  <w:pPr>
                    <w:keepNext w:val="0"/>
                    <w:keepLines w:val="0"/>
                    <w:numPr>
                      <w:ilvl w:val="0"/>
                      <w:numId w:val="13"/>
                    </w:numPr>
                    <w:suppressLineNumbers w:val="0"/>
                    <w:spacing w:before="0" w:beforeAutospacing="0" w:after="0" w:afterAutospacing="0"/>
                    <w:ind w:left="420" w:leftChars="0" w:right="0" w:rightChars="0" w:hanging="420" w:firstLine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p>
              </w:tc>
              <w:tc>
                <w:tcPr>
                  <w:tcW w:w="1291" w:type="pct"/>
                  <w:noWrap w:val="0"/>
                  <w:vAlign w:val="center"/>
                </w:tcPr>
                <w:p w14:paraId="38900CFE">
                  <w:pPr>
                    <w:pStyle w:val="64"/>
                    <w:keepNext w:val="0"/>
                    <w:keepLines w:val="0"/>
                    <w:widowControl w:val="0"/>
                    <w:suppressLineNumbers w:val="0"/>
                    <w:shd w:val="clear" w:color="auto" w:fill="auto"/>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default" w:ascii="Times New Roman" w:hAnsi="Times New Roman" w:eastAsia="宋体" w:cs="Times New Roman"/>
                      <w:color w:val="auto"/>
                      <w:kern w:val="2"/>
                      <w:sz w:val="21"/>
                      <w:szCs w:val="21"/>
                      <w:highlight w:val="none"/>
                      <w:u w:val="none"/>
                      <w:shd w:val="clear" w:color="auto" w:fill="auto"/>
                      <w:lang w:val="en-US" w:eastAsia="zh-CN" w:bidi="ar-SA"/>
                    </w:rPr>
                    <w:t>洗车平台</w:t>
                  </w:r>
                </w:p>
              </w:tc>
              <w:tc>
                <w:tcPr>
                  <w:tcW w:w="1117" w:type="pct"/>
                  <w:noWrap w:val="0"/>
                  <w:vAlign w:val="center"/>
                </w:tcPr>
                <w:p w14:paraId="796C11B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占地面积</w:t>
                  </w:r>
                  <w:r>
                    <w:rPr>
                      <w:rFonts w:hint="eastAsia"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0㎡；用水量</w:t>
                  </w:r>
                  <w:r>
                    <w:rPr>
                      <w:rFonts w:hint="eastAsia" w:ascii="Times New Roman" w:hAnsi="Times New Roman" w:eastAsia="宋体" w:cs="Times New Roman"/>
                      <w:color w:val="auto"/>
                      <w:sz w:val="21"/>
                      <w:szCs w:val="21"/>
                      <w:highlight w:val="none"/>
                      <w:lang w:val="en-US" w:eastAsia="zh-CN"/>
                    </w:rPr>
                    <w:t>20</w:t>
                  </w:r>
                  <w:r>
                    <w:rPr>
                      <w:rFonts w:hint="default" w:ascii="Times New Roman" w:hAnsi="Times New Roman" w:eastAsia="宋体" w:cs="Times New Roman"/>
                      <w:color w:val="auto"/>
                      <w:sz w:val="21"/>
                      <w:szCs w:val="21"/>
                      <w:highlight w:val="none"/>
                      <w:lang w:val="en-US" w:eastAsia="zh-CN"/>
                    </w:rPr>
                    <w:t>L/min</w:t>
                  </w:r>
                </w:p>
              </w:tc>
              <w:tc>
                <w:tcPr>
                  <w:tcW w:w="885" w:type="pct"/>
                  <w:noWrap w:val="0"/>
                  <w:vAlign w:val="center"/>
                </w:tcPr>
                <w:p w14:paraId="60E85475">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1座</w:t>
                  </w:r>
                </w:p>
              </w:tc>
              <w:tc>
                <w:tcPr>
                  <w:tcW w:w="718" w:type="pct"/>
                  <w:noWrap w:val="0"/>
                  <w:vAlign w:val="center"/>
                </w:tcPr>
                <w:p w14:paraId="2FC40E8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3A6B4AA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5AF0F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03FBBF80">
                  <w:pPr>
                    <w:keepNext w:val="0"/>
                    <w:keepLines w:val="0"/>
                    <w:numPr>
                      <w:ilvl w:val="0"/>
                      <w:numId w:val="13"/>
                    </w:numPr>
                    <w:suppressLineNumbers w:val="0"/>
                    <w:spacing w:before="0" w:beforeAutospacing="0" w:after="0" w:afterAutospacing="0"/>
                    <w:ind w:left="420" w:leftChars="0" w:right="0" w:rightChars="0" w:hanging="420" w:firstLine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p>
              </w:tc>
              <w:tc>
                <w:tcPr>
                  <w:tcW w:w="1291" w:type="pct"/>
                  <w:noWrap w:val="0"/>
                  <w:vAlign w:val="center"/>
                </w:tcPr>
                <w:p w14:paraId="38D7BCC6">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sz w:val="21"/>
                      <w:szCs w:val="21"/>
                      <w:highlight w:val="none"/>
                      <w:shd w:val="clear" w:color="auto" w:fill="auto"/>
                      <w:lang w:eastAsia="zh-CN"/>
                    </w:rPr>
                    <w:t>叉车</w:t>
                  </w:r>
                </w:p>
              </w:tc>
              <w:tc>
                <w:tcPr>
                  <w:tcW w:w="1117" w:type="pct"/>
                  <w:noWrap w:val="0"/>
                  <w:vAlign w:val="center"/>
                </w:tcPr>
                <w:p w14:paraId="2B170FE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sz w:val="21"/>
                      <w:szCs w:val="21"/>
                      <w:highlight w:val="none"/>
                      <w:shd w:val="clear" w:color="auto" w:fill="auto"/>
                      <w:lang w:val="en-US" w:eastAsia="zh-CN"/>
                    </w:rPr>
                    <w:t>/</w:t>
                  </w:r>
                </w:p>
              </w:tc>
              <w:tc>
                <w:tcPr>
                  <w:tcW w:w="885" w:type="pct"/>
                  <w:noWrap w:val="0"/>
                  <w:vAlign w:val="center"/>
                </w:tcPr>
                <w:p w14:paraId="38B40BB6">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eastAsia" w:ascii="Times New Roman" w:hAnsi="Times New Roman" w:eastAsia="宋体" w:cs="Times New Roman"/>
                      <w:color w:val="auto"/>
                      <w:kern w:val="0"/>
                      <w:sz w:val="21"/>
                      <w:szCs w:val="21"/>
                      <w:highlight w:val="none"/>
                      <w:shd w:val="clear" w:color="auto" w:fill="auto"/>
                      <w:lang w:val="en-US" w:eastAsia="zh-CN" w:bidi="ar-SA"/>
                    </w:rPr>
                    <w:t>5台</w:t>
                  </w:r>
                </w:p>
              </w:tc>
              <w:tc>
                <w:tcPr>
                  <w:tcW w:w="718" w:type="pct"/>
                  <w:noWrap w:val="0"/>
                  <w:vAlign w:val="center"/>
                </w:tcPr>
                <w:p w14:paraId="78186B3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6CA88E2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r w14:paraId="00B6E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391" w:type="pct"/>
                  <w:noWrap w:val="0"/>
                  <w:vAlign w:val="center"/>
                </w:tcPr>
                <w:p w14:paraId="7197F961">
                  <w:pPr>
                    <w:keepNext w:val="0"/>
                    <w:keepLines w:val="0"/>
                    <w:numPr>
                      <w:ilvl w:val="0"/>
                      <w:numId w:val="13"/>
                    </w:numPr>
                    <w:suppressLineNumbers w:val="0"/>
                    <w:spacing w:before="0" w:beforeAutospacing="0" w:after="0" w:afterAutospacing="0"/>
                    <w:ind w:left="420" w:leftChars="0" w:right="0" w:rightChars="0" w:hanging="420" w:firstLine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p>
              </w:tc>
              <w:tc>
                <w:tcPr>
                  <w:tcW w:w="1291" w:type="pct"/>
                  <w:noWrap w:val="0"/>
                  <w:vAlign w:val="center"/>
                </w:tcPr>
                <w:p w14:paraId="5FF02AAE">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eastAsia="zh-CN"/>
                    </w:rPr>
                  </w:pPr>
                  <w:r>
                    <w:rPr>
                      <w:rFonts w:hint="default" w:ascii="Times New Roman" w:hAnsi="Times New Roman" w:eastAsia="宋体" w:cs="Times New Roman"/>
                      <w:color w:val="auto"/>
                      <w:sz w:val="21"/>
                      <w:szCs w:val="21"/>
                      <w:highlight w:val="none"/>
                      <w:shd w:val="clear" w:color="auto" w:fill="auto"/>
                      <w:lang w:eastAsia="zh-CN"/>
                    </w:rPr>
                    <w:t>铲车</w:t>
                  </w:r>
                </w:p>
              </w:tc>
              <w:tc>
                <w:tcPr>
                  <w:tcW w:w="1117" w:type="pct"/>
                  <w:noWrap w:val="0"/>
                  <w:vAlign w:val="center"/>
                </w:tcPr>
                <w:p w14:paraId="2100E89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w:t>
                  </w:r>
                </w:p>
              </w:tc>
              <w:tc>
                <w:tcPr>
                  <w:tcW w:w="885" w:type="pct"/>
                  <w:noWrap w:val="0"/>
                  <w:vAlign w:val="center"/>
                </w:tcPr>
                <w:p w14:paraId="63F732DE">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3台</w:t>
                  </w:r>
                </w:p>
              </w:tc>
              <w:tc>
                <w:tcPr>
                  <w:tcW w:w="718" w:type="pct"/>
                  <w:noWrap w:val="0"/>
                  <w:vAlign w:val="center"/>
                </w:tcPr>
                <w:p w14:paraId="2242142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shd w:val="clear" w:color="auto" w:fill="auto"/>
                      <w:lang w:val="en-US" w:eastAsia="zh-CN"/>
                    </w:rPr>
                    <w:t>7920h</w:t>
                  </w:r>
                </w:p>
              </w:tc>
              <w:tc>
                <w:tcPr>
                  <w:tcW w:w="595" w:type="pct"/>
                  <w:noWrap w:val="0"/>
                  <w:vAlign w:val="center"/>
                </w:tcPr>
                <w:p w14:paraId="346F60C7">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kern w:val="2"/>
                      <w:sz w:val="21"/>
                      <w:szCs w:val="21"/>
                      <w:highlight w:val="none"/>
                      <w:shd w:val="clear" w:color="auto" w:fill="auto"/>
                      <w:lang w:val="en-US" w:eastAsia="zh-CN" w:bidi="ar-SA"/>
                    </w:rPr>
                    <w:t>新增</w:t>
                  </w:r>
                </w:p>
              </w:tc>
            </w:tr>
          </w:tbl>
          <w:p w14:paraId="0C45F319">
            <w:pPr>
              <w:keepNext w:val="0"/>
              <w:keepLines w:val="0"/>
              <w:numPr>
                <w:ilvl w:val="0"/>
                <w:numId w:val="0"/>
              </w:numPr>
              <w:suppressLineNumbers w:val="0"/>
              <w:spacing w:before="0" w:beforeAutospacing="0" w:after="0" w:afterAutospacing="0" w:line="360" w:lineRule="auto"/>
              <w:ind w:left="0" w:right="151" w:rightChars="72"/>
              <w:rPr>
                <w:rFonts w:hint="eastAsia" w:ascii="Calibri" w:hAnsi="Calibri" w:eastAsia="宋体" w:cs="Times New Roman"/>
                <w:b/>
                <w:bCs/>
                <w:color w:val="auto"/>
                <w:sz w:val="24"/>
                <w:highlight w:val="none"/>
                <w:shd w:val="clear" w:color="auto" w:fill="auto"/>
                <w:lang w:val="en-US" w:eastAsia="zh-CN"/>
              </w:rPr>
            </w:pPr>
          </w:p>
          <w:p w14:paraId="263E2AFB">
            <w:pPr>
              <w:keepNext w:val="0"/>
              <w:keepLines w:val="0"/>
              <w:numPr>
                <w:ilvl w:val="0"/>
                <w:numId w:val="0"/>
              </w:numPr>
              <w:suppressLineNumbers w:val="0"/>
              <w:spacing w:before="0" w:beforeAutospacing="0" w:after="0" w:afterAutospacing="0" w:line="360" w:lineRule="auto"/>
              <w:ind w:left="0" w:right="151" w:rightChars="72"/>
              <w:rPr>
                <w:rFonts w:ascii="Calibri" w:hAnsi="Calibri" w:eastAsia="宋体" w:cs="Times New Roman"/>
                <w:b/>
                <w:bCs/>
                <w:color w:val="auto"/>
                <w:sz w:val="24"/>
                <w:highlight w:val="none"/>
                <w:shd w:val="clear" w:color="auto" w:fill="auto"/>
              </w:rPr>
            </w:pPr>
            <w:r>
              <w:rPr>
                <w:rFonts w:hint="eastAsia" w:ascii="Calibri" w:hAnsi="Calibri" w:eastAsia="宋体" w:cs="Times New Roman"/>
                <w:b/>
                <w:bCs/>
                <w:color w:val="auto"/>
                <w:sz w:val="24"/>
                <w:highlight w:val="none"/>
                <w:shd w:val="clear" w:color="auto" w:fill="auto"/>
                <w:lang w:val="en-US" w:eastAsia="zh-CN"/>
              </w:rPr>
              <w:t>7、</w:t>
            </w:r>
            <w:r>
              <w:rPr>
                <w:rFonts w:ascii="Calibri" w:hAnsi="Calibri" w:eastAsia="宋体" w:cs="Times New Roman"/>
                <w:b/>
                <w:bCs/>
                <w:color w:val="auto"/>
                <w:sz w:val="24"/>
                <w:highlight w:val="none"/>
                <w:shd w:val="clear" w:color="auto" w:fill="auto"/>
              </w:rPr>
              <w:t>职工定员及工作制度</w:t>
            </w:r>
          </w:p>
          <w:p w14:paraId="53C53390">
            <w:pPr>
              <w:keepNext w:val="0"/>
              <w:keepLines w:val="0"/>
              <w:suppressLineNumbers w:val="0"/>
              <w:spacing w:before="0" w:beforeAutospacing="0" w:after="0" w:afterAutospacing="0" w:line="360" w:lineRule="auto"/>
              <w:ind w:left="0" w:right="0" w:firstLine="480" w:firstLineChars="200"/>
              <w:rPr>
                <w:rFonts w:ascii="Calibri" w:hAnsi="Calibri" w:eastAsia="宋体" w:cs="Times New Roman"/>
                <w:color w:val="auto"/>
                <w:sz w:val="24"/>
                <w:highlight w:val="none"/>
                <w:shd w:val="clear" w:color="auto" w:fill="auto"/>
              </w:rPr>
            </w:pPr>
            <w:r>
              <w:rPr>
                <w:rFonts w:ascii="Calibri" w:hAnsi="Calibri" w:eastAsia="宋体" w:cs="Times New Roman"/>
                <w:color w:val="auto"/>
                <w:sz w:val="24"/>
                <w:highlight w:val="none"/>
                <w:shd w:val="clear" w:color="auto" w:fill="auto"/>
              </w:rPr>
              <w:t>职工定员：</w:t>
            </w:r>
            <w:r>
              <w:rPr>
                <w:rFonts w:hint="eastAsia" w:ascii="Calibri" w:hAnsi="Calibri" w:eastAsia="宋体" w:cs="Times New Roman"/>
                <w:color w:val="auto"/>
                <w:sz w:val="24"/>
                <w:highlight w:val="none"/>
                <w:shd w:val="clear" w:color="auto" w:fill="auto"/>
                <w:lang w:eastAsia="zh-CN"/>
              </w:rPr>
              <w:t>本项目</w:t>
            </w:r>
            <w:r>
              <w:rPr>
                <w:rFonts w:hint="eastAsia" w:ascii="Calibri" w:hAnsi="Calibri" w:cs="Times New Roman"/>
                <w:color w:val="auto"/>
                <w:sz w:val="24"/>
                <w:highlight w:val="none"/>
                <w:shd w:val="clear" w:color="auto" w:fill="auto"/>
                <w:lang w:eastAsia="zh-CN"/>
              </w:rPr>
              <w:t>设有工作人员</w:t>
            </w:r>
            <w:r>
              <w:rPr>
                <w:rFonts w:hint="eastAsia" w:ascii="Calibri" w:hAnsi="Calibri" w:cs="Times New Roman"/>
                <w:color w:val="auto"/>
                <w:sz w:val="24"/>
                <w:highlight w:val="none"/>
                <w:shd w:val="clear" w:color="auto" w:fill="auto"/>
                <w:lang w:val="en-US" w:eastAsia="zh-CN"/>
              </w:rPr>
              <w:t>50人，其中管理人员5名，技术人员5名，工人40名，采用昼夜生产、两班工作制，</w:t>
            </w:r>
            <w:r>
              <w:rPr>
                <w:rFonts w:hint="eastAsia" w:ascii="Calibri" w:hAnsi="Calibri" w:cs="Times New Roman"/>
                <w:color w:val="auto"/>
                <w:sz w:val="24"/>
                <w:highlight w:val="none"/>
                <w:shd w:val="clear" w:color="auto" w:fill="auto"/>
                <w:lang w:eastAsia="zh-CN"/>
              </w:rPr>
              <w:t>每班</w:t>
            </w:r>
            <w:r>
              <w:rPr>
                <w:rFonts w:hint="eastAsia" w:ascii="Calibri" w:hAnsi="Calibri" w:cs="Times New Roman"/>
                <w:color w:val="auto"/>
                <w:sz w:val="24"/>
                <w:highlight w:val="none"/>
                <w:shd w:val="clear" w:color="auto" w:fill="auto"/>
                <w:lang w:val="en-US" w:eastAsia="zh-CN"/>
              </w:rPr>
              <w:t>12h</w:t>
            </w:r>
            <w:r>
              <w:rPr>
                <w:rFonts w:hint="eastAsia" w:ascii="Calibri" w:hAnsi="Calibri" w:eastAsia="宋体" w:cs="Times New Roman"/>
                <w:color w:val="auto"/>
                <w:sz w:val="24"/>
                <w:highlight w:val="none"/>
                <w:shd w:val="clear" w:color="auto" w:fill="auto"/>
                <w:lang w:eastAsia="zh-CN"/>
              </w:rPr>
              <w:t>，</w:t>
            </w:r>
            <w:r>
              <w:rPr>
                <w:rFonts w:hint="eastAsia" w:ascii="Calibri" w:hAnsi="Calibri" w:eastAsia="宋体" w:cs="Times New Roman"/>
                <w:color w:val="auto"/>
                <w:sz w:val="24"/>
                <w:highlight w:val="none"/>
                <w:shd w:val="clear" w:color="auto" w:fill="auto"/>
                <w:lang w:val="en-US" w:eastAsia="zh-CN"/>
              </w:rPr>
              <w:t>年生产3</w:t>
            </w:r>
            <w:r>
              <w:rPr>
                <w:rFonts w:hint="eastAsia" w:ascii="Calibri" w:hAnsi="Calibri" w:cs="Times New Roman"/>
                <w:color w:val="auto"/>
                <w:sz w:val="24"/>
                <w:highlight w:val="none"/>
                <w:shd w:val="clear" w:color="auto" w:fill="auto"/>
                <w:lang w:val="en-US" w:eastAsia="zh-CN"/>
              </w:rPr>
              <w:t>3</w:t>
            </w:r>
            <w:r>
              <w:rPr>
                <w:rFonts w:hint="eastAsia" w:ascii="Calibri" w:hAnsi="Calibri" w:eastAsia="宋体" w:cs="Times New Roman"/>
                <w:color w:val="auto"/>
                <w:sz w:val="24"/>
                <w:highlight w:val="none"/>
                <w:shd w:val="clear" w:color="auto" w:fill="auto"/>
                <w:lang w:val="en-US" w:eastAsia="zh-CN"/>
              </w:rPr>
              <w:t>0天</w:t>
            </w:r>
            <w:r>
              <w:rPr>
                <w:rFonts w:ascii="Calibri" w:hAnsi="Calibri" w:eastAsia="宋体" w:cs="Times New Roman"/>
                <w:color w:val="auto"/>
                <w:sz w:val="24"/>
                <w:highlight w:val="none"/>
                <w:shd w:val="clear" w:color="auto" w:fill="auto"/>
              </w:rPr>
              <w:t>。</w:t>
            </w:r>
          </w:p>
          <w:p w14:paraId="098C0F5F">
            <w:pPr>
              <w:keepNext w:val="0"/>
              <w:keepLines w:val="0"/>
              <w:suppressLineNumbers w:val="0"/>
              <w:spacing w:before="0" w:beforeAutospacing="0" w:after="0" w:afterAutospacing="0" w:line="360" w:lineRule="auto"/>
              <w:ind w:left="0" w:right="0"/>
              <w:rPr>
                <w:rFonts w:ascii="Calibri" w:hAnsi="Calibri" w:eastAsia="宋体" w:cs="Times New Roman"/>
                <w:b/>
                <w:color w:val="auto"/>
                <w:sz w:val="24"/>
                <w:szCs w:val="28"/>
                <w:highlight w:val="none"/>
                <w:shd w:val="clear" w:color="auto" w:fill="auto"/>
              </w:rPr>
            </w:pPr>
            <w:r>
              <w:rPr>
                <w:rFonts w:hint="eastAsia" w:ascii="Calibri" w:hAnsi="Calibri" w:eastAsia="宋体" w:cs="Times New Roman"/>
                <w:b/>
                <w:color w:val="auto"/>
                <w:sz w:val="24"/>
                <w:szCs w:val="28"/>
                <w:highlight w:val="none"/>
                <w:shd w:val="clear" w:color="auto" w:fill="auto"/>
                <w:lang w:val="en-US" w:eastAsia="zh-CN"/>
              </w:rPr>
              <w:t>8、</w:t>
            </w:r>
            <w:r>
              <w:rPr>
                <w:rFonts w:ascii="Calibri" w:hAnsi="Calibri" w:eastAsia="宋体" w:cs="Times New Roman"/>
                <w:b/>
                <w:color w:val="auto"/>
                <w:sz w:val="24"/>
                <w:szCs w:val="28"/>
                <w:highlight w:val="none"/>
                <w:shd w:val="clear" w:color="auto" w:fill="auto"/>
              </w:rPr>
              <w:t>公用工程</w:t>
            </w:r>
          </w:p>
          <w:p w14:paraId="38BBBC08">
            <w:pPr>
              <w:pStyle w:val="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Calibri" w:hAnsi="Calibri" w:eastAsia="宋体" w:cs="Times New Roman"/>
                <w:color w:val="auto"/>
                <w:sz w:val="24"/>
                <w:szCs w:val="24"/>
                <w:highlight w:val="none"/>
                <w:shd w:val="clear" w:color="auto" w:fill="auto"/>
                <w:lang w:val="en-US" w:eastAsia="zh-CN"/>
              </w:rPr>
            </w:pPr>
            <w:r>
              <w:rPr>
                <w:rFonts w:ascii="Calibri" w:hAnsi="Calibri" w:eastAsia="宋体" w:cs="Times New Roman"/>
                <w:color w:val="auto"/>
                <w:sz w:val="24"/>
                <w:szCs w:val="28"/>
                <w:highlight w:val="none"/>
                <w:shd w:val="clear" w:color="auto" w:fill="auto"/>
              </w:rPr>
              <w:t>给水：</w:t>
            </w:r>
            <w:r>
              <w:rPr>
                <w:rFonts w:hint="eastAsia" w:ascii="Calibri" w:hAnsi="Calibri" w:eastAsia="宋体" w:cs="Times New Roman"/>
                <w:color w:val="auto"/>
                <w:sz w:val="24"/>
                <w:szCs w:val="28"/>
                <w:highlight w:val="none"/>
                <w:shd w:val="clear" w:color="auto" w:fill="auto"/>
                <w:lang w:eastAsia="zh-CN"/>
              </w:rPr>
              <w:t>本项目</w:t>
            </w:r>
            <w:r>
              <w:rPr>
                <w:rFonts w:hint="eastAsia" w:ascii="Calibri" w:hAnsi="Calibri" w:cs="Times New Roman"/>
                <w:color w:val="auto"/>
                <w:sz w:val="24"/>
                <w:highlight w:val="none"/>
                <w:shd w:val="clear" w:color="auto" w:fill="auto"/>
                <w:lang w:eastAsia="zh-CN"/>
              </w:rPr>
              <w:t>用水来自地下水，依托佳合鹏程地下水井，经调查佳合鹏程公司用水来自地下水，年许可取水量</w:t>
            </w:r>
            <w:r>
              <w:rPr>
                <w:rFonts w:hint="eastAsia" w:ascii="Calibri" w:hAnsi="Calibri" w:cs="Times New Roman"/>
                <w:color w:val="auto"/>
                <w:sz w:val="24"/>
                <w:highlight w:val="none"/>
                <w:shd w:val="clear" w:color="auto" w:fill="auto"/>
                <w:lang w:val="en-US" w:eastAsia="zh-CN"/>
              </w:rPr>
              <w:t>1.113万m³/a，</w:t>
            </w:r>
            <w:r>
              <w:rPr>
                <w:rFonts w:hint="eastAsia" w:ascii="Calibri" w:hAnsi="Calibri" w:cs="Times New Roman"/>
                <w:color w:val="auto"/>
                <w:sz w:val="24"/>
                <w:highlight w:val="none"/>
                <w:shd w:val="clear" w:color="auto" w:fill="auto"/>
                <w:lang w:eastAsia="zh-CN"/>
              </w:rPr>
              <w:t>取水证见附件</w:t>
            </w:r>
            <w:r>
              <w:rPr>
                <w:rFonts w:hint="eastAsia" w:ascii="Calibri" w:hAnsi="Calibri" w:cs="Times New Roman"/>
                <w:color w:val="auto"/>
                <w:sz w:val="24"/>
                <w:highlight w:val="none"/>
                <w:shd w:val="clear" w:color="auto" w:fill="auto"/>
                <w:lang w:val="en-US" w:eastAsia="zh-CN"/>
              </w:rPr>
              <w:t>6</w:t>
            </w:r>
            <w:r>
              <w:rPr>
                <w:rFonts w:hint="eastAsia" w:ascii="Calibri" w:hAnsi="Calibri" w:cs="Times New Roman"/>
                <w:color w:val="auto"/>
                <w:sz w:val="24"/>
                <w:highlight w:val="none"/>
                <w:shd w:val="clear" w:color="auto" w:fill="auto"/>
                <w:lang w:eastAsia="zh-CN"/>
              </w:rPr>
              <w:t>。生产产品为改性重质碳酸钙超细粉、改性氢氧化镁超细粉、白砂、硅微粉、彩砂，生产不使用水，仅有生活用水，年用水量</w:t>
            </w:r>
            <w:r>
              <w:rPr>
                <w:rFonts w:hint="eastAsia" w:ascii="Calibri" w:hAnsi="Calibri" w:cs="Times New Roman"/>
                <w:color w:val="auto"/>
                <w:sz w:val="24"/>
                <w:highlight w:val="none"/>
                <w:shd w:val="clear" w:color="auto" w:fill="auto"/>
                <w:lang w:val="en-US" w:eastAsia="zh-CN"/>
              </w:rPr>
              <w:t>48m³/a，尚有余量1.182万m³/a，</w:t>
            </w:r>
            <w:r>
              <w:rPr>
                <w:rFonts w:hint="eastAsia" w:ascii="Calibri" w:hAnsi="Calibri" w:cs="Times New Roman"/>
                <w:color w:val="auto"/>
                <w:sz w:val="24"/>
                <w:highlight w:val="none"/>
                <w:shd w:val="clear" w:color="auto" w:fill="auto"/>
                <w:lang w:eastAsia="zh-CN"/>
              </w:rPr>
              <w:t>本项目</w:t>
            </w:r>
            <w:r>
              <w:rPr>
                <w:rFonts w:hint="eastAsia" w:ascii="Calibri" w:hAnsi="Calibri" w:cs="Times New Roman"/>
                <w:color w:val="auto"/>
                <w:sz w:val="24"/>
                <w:szCs w:val="24"/>
                <w:highlight w:val="none"/>
                <w:shd w:val="clear" w:color="auto" w:fill="auto"/>
                <w:lang w:eastAsia="zh-CN"/>
              </w:rPr>
              <w:t>建成后全厂用水</w:t>
            </w:r>
            <w:r>
              <w:rPr>
                <w:rFonts w:hint="eastAsia" w:cs="Times New Roman"/>
                <w:color w:val="auto"/>
                <w:sz w:val="24"/>
                <w:szCs w:val="24"/>
                <w:highlight w:val="none"/>
                <w:shd w:val="clear" w:color="auto" w:fill="auto"/>
                <w:lang w:val="en-US" w:eastAsia="zh-CN"/>
              </w:rPr>
              <w:t>5290.504</w:t>
            </w:r>
            <w:r>
              <w:rPr>
                <w:rFonts w:hint="eastAsia" w:ascii="Calibri" w:hAnsi="Calibri" w:cs="Times New Roman"/>
                <w:color w:val="auto"/>
                <w:sz w:val="24"/>
                <w:highlight w:val="none"/>
                <w:shd w:val="clear" w:color="auto" w:fill="auto"/>
                <w:lang w:val="en-US" w:eastAsia="zh-CN"/>
              </w:rPr>
              <w:t>m³</w:t>
            </w:r>
            <w:r>
              <w:rPr>
                <w:rFonts w:hint="default" w:ascii="Times New Roman" w:hAnsi="Times New Roman" w:eastAsia="宋体" w:cs="Times New Roman"/>
                <w:color w:val="auto"/>
                <w:sz w:val="24"/>
                <w:szCs w:val="24"/>
                <w:highlight w:val="none"/>
                <w:shd w:val="clear" w:color="auto" w:fill="auto"/>
                <w:lang w:val="en-US" w:eastAsia="zh-CN"/>
              </w:rPr>
              <w:t>/a</w:t>
            </w:r>
            <w:r>
              <w:rPr>
                <w:rFonts w:hint="eastAsia" w:ascii="Calibri" w:hAnsi="Calibri" w:cs="Times New Roman"/>
                <w:color w:val="auto"/>
                <w:sz w:val="24"/>
                <w:highlight w:val="none"/>
                <w:shd w:val="clear" w:color="auto" w:fill="auto"/>
                <w:lang w:eastAsia="zh-CN"/>
              </w:rPr>
              <w:t>，</w:t>
            </w:r>
            <w:r>
              <w:rPr>
                <w:rFonts w:hint="eastAsia" w:ascii="Times New Roman" w:hAnsi="Times New Roman" w:eastAsia="宋体" w:cs="Times New Roman"/>
                <w:color w:val="auto"/>
                <w:sz w:val="24"/>
                <w:szCs w:val="24"/>
                <w:highlight w:val="none"/>
                <w:shd w:val="clear" w:color="auto" w:fill="auto"/>
                <w:lang w:val="en-US" w:eastAsia="zh-CN"/>
              </w:rPr>
              <w:t>其中</w:t>
            </w:r>
            <w:r>
              <w:rPr>
                <w:rFonts w:hint="eastAsia" w:cs="Times New Roman"/>
                <w:color w:val="auto"/>
                <w:sz w:val="24"/>
                <w:szCs w:val="24"/>
                <w:highlight w:val="none"/>
                <w:shd w:val="clear" w:color="auto" w:fill="auto"/>
                <w:lang w:val="en-US" w:eastAsia="zh-CN"/>
              </w:rPr>
              <w:t>水洗白云石生产线用水3600</w:t>
            </w:r>
            <w:r>
              <w:rPr>
                <w:rFonts w:hint="eastAsia" w:ascii="Calibri" w:hAnsi="Calibri" w:cs="Times New Roman"/>
                <w:color w:val="auto"/>
                <w:sz w:val="24"/>
                <w:highlight w:val="none"/>
                <w:shd w:val="clear" w:color="auto" w:fill="auto"/>
                <w:lang w:val="en-US" w:eastAsia="zh-CN"/>
              </w:rPr>
              <w:t>m³</w:t>
            </w:r>
            <w:r>
              <w:rPr>
                <w:rFonts w:hint="eastAsia" w:cs="Times New Roman"/>
                <w:color w:val="auto"/>
                <w:sz w:val="24"/>
                <w:szCs w:val="24"/>
                <w:highlight w:val="none"/>
                <w:shd w:val="clear" w:color="auto" w:fill="auto"/>
                <w:lang w:val="en-US" w:eastAsia="zh-CN"/>
              </w:rPr>
              <w:t>/a；</w:t>
            </w:r>
            <w:r>
              <w:rPr>
                <w:rFonts w:hint="eastAsia" w:ascii="Times New Roman" w:hAnsi="Times New Roman" w:eastAsia="宋体" w:cs="Times New Roman"/>
                <w:color w:val="auto"/>
                <w:sz w:val="24"/>
                <w:szCs w:val="24"/>
                <w:highlight w:val="none"/>
                <w:shd w:val="clear" w:color="auto" w:fill="auto"/>
                <w:lang w:val="en-US" w:eastAsia="zh-CN"/>
              </w:rPr>
              <w:t>生活用水</w:t>
            </w:r>
            <w:r>
              <w:rPr>
                <w:rFonts w:hint="eastAsia" w:cs="Times New Roman"/>
                <w:color w:val="auto"/>
                <w:sz w:val="24"/>
                <w:szCs w:val="24"/>
                <w:highlight w:val="none"/>
                <w:shd w:val="clear" w:color="auto" w:fill="auto"/>
                <w:lang w:val="en-US" w:eastAsia="zh-CN"/>
              </w:rPr>
              <w:t>990</w:t>
            </w:r>
            <w:r>
              <w:rPr>
                <w:rFonts w:hint="eastAsia" w:ascii="Calibri" w:hAnsi="Calibri" w:cs="Times New Roman"/>
                <w:color w:val="auto"/>
                <w:sz w:val="24"/>
                <w:highlight w:val="none"/>
                <w:shd w:val="clear" w:color="auto" w:fill="auto"/>
                <w:lang w:val="en-US" w:eastAsia="zh-CN"/>
              </w:rPr>
              <w:t>m³</w:t>
            </w:r>
            <w:r>
              <w:rPr>
                <w:rFonts w:hint="eastAsia" w:ascii="Times New Roman" w:hAnsi="Times New Roman" w:eastAsia="宋体" w:cs="Times New Roman"/>
                <w:color w:val="auto"/>
                <w:sz w:val="24"/>
                <w:szCs w:val="24"/>
                <w:highlight w:val="none"/>
                <w:shd w:val="clear" w:color="auto" w:fill="auto"/>
                <w:lang w:val="en-US" w:eastAsia="zh-CN"/>
              </w:rPr>
              <w:t>/a；轮胎清洗</w:t>
            </w:r>
            <w:r>
              <w:rPr>
                <w:rFonts w:hint="eastAsia" w:cs="Times New Roman"/>
                <w:color w:val="auto"/>
                <w:sz w:val="24"/>
                <w:szCs w:val="24"/>
                <w:highlight w:val="none"/>
                <w:shd w:val="clear" w:color="auto" w:fill="auto"/>
                <w:lang w:val="en-US" w:eastAsia="zh-CN"/>
              </w:rPr>
              <w:t>补</w:t>
            </w:r>
            <w:r>
              <w:rPr>
                <w:rFonts w:hint="eastAsia" w:ascii="Times New Roman" w:hAnsi="Times New Roman" w:eastAsia="宋体" w:cs="Times New Roman"/>
                <w:color w:val="auto"/>
                <w:sz w:val="24"/>
                <w:szCs w:val="24"/>
                <w:highlight w:val="none"/>
                <w:shd w:val="clear" w:color="auto" w:fill="auto"/>
                <w:lang w:val="en-US" w:eastAsia="zh-CN"/>
              </w:rPr>
              <w:t>水</w:t>
            </w:r>
            <w:r>
              <w:rPr>
                <w:rFonts w:hint="eastAsia" w:cs="Times New Roman"/>
                <w:color w:val="auto"/>
                <w:sz w:val="24"/>
                <w:szCs w:val="24"/>
                <w:highlight w:val="none"/>
                <w:shd w:val="clear" w:color="auto" w:fill="auto"/>
                <w:lang w:val="en-US" w:eastAsia="zh-CN"/>
              </w:rPr>
              <w:t>160.504</w:t>
            </w:r>
            <w:r>
              <w:rPr>
                <w:rFonts w:hint="eastAsia" w:ascii="Calibri" w:hAnsi="Calibri" w:cs="Times New Roman"/>
                <w:color w:val="auto"/>
                <w:sz w:val="24"/>
                <w:highlight w:val="none"/>
                <w:shd w:val="clear" w:color="auto" w:fill="auto"/>
                <w:lang w:val="en-US" w:eastAsia="zh-CN"/>
              </w:rPr>
              <w:t>m³</w:t>
            </w:r>
            <w:r>
              <w:rPr>
                <w:rFonts w:hint="eastAsia" w:ascii="Times New Roman" w:hAnsi="Times New Roman" w:eastAsia="宋体" w:cs="Times New Roman"/>
                <w:color w:val="auto"/>
                <w:sz w:val="24"/>
                <w:szCs w:val="24"/>
                <w:highlight w:val="none"/>
                <w:shd w:val="clear" w:color="auto" w:fill="auto"/>
                <w:lang w:val="en-US" w:eastAsia="zh-CN"/>
              </w:rPr>
              <w:t>/a</w:t>
            </w:r>
            <w:r>
              <w:rPr>
                <w:rFonts w:hint="eastAsia" w:cs="Times New Roman"/>
                <w:color w:val="auto"/>
                <w:sz w:val="24"/>
                <w:szCs w:val="24"/>
                <w:highlight w:val="none"/>
                <w:shd w:val="clear" w:color="auto" w:fill="auto"/>
                <w:lang w:val="en-US" w:eastAsia="zh-CN"/>
              </w:rPr>
              <w:t>；洒水抑尘540</w:t>
            </w:r>
            <w:r>
              <w:rPr>
                <w:rFonts w:hint="eastAsia" w:ascii="Calibri" w:hAnsi="Calibri" w:cs="Times New Roman"/>
                <w:color w:val="auto"/>
                <w:sz w:val="24"/>
                <w:highlight w:val="none"/>
                <w:shd w:val="clear" w:color="auto" w:fill="auto"/>
                <w:lang w:val="en-US" w:eastAsia="zh-CN"/>
              </w:rPr>
              <w:t>m³</w:t>
            </w:r>
            <w:r>
              <w:rPr>
                <w:rFonts w:hint="eastAsia" w:ascii="Times New Roman" w:hAnsi="Times New Roman" w:eastAsia="宋体" w:cs="Times New Roman"/>
                <w:color w:val="auto"/>
                <w:sz w:val="24"/>
                <w:szCs w:val="24"/>
                <w:highlight w:val="none"/>
                <w:shd w:val="clear" w:color="auto" w:fill="auto"/>
                <w:lang w:val="en-US" w:eastAsia="zh-CN"/>
              </w:rPr>
              <w:t>/a</w:t>
            </w:r>
            <w:r>
              <w:rPr>
                <w:rFonts w:hint="eastAsia" w:cs="Times New Roman"/>
                <w:color w:val="auto"/>
                <w:sz w:val="24"/>
                <w:szCs w:val="24"/>
                <w:highlight w:val="none"/>
                <w:shd w:val="clear" w:color="auto" w:fill="auto"/>
                <w:lang w:val="en-US" w:eastAsia="zh-CN"/>
              </w:rPr>
              <w:t>，剩余余量满足本项目所需。</w:t>
            </w:r>
          </w:p>
          <w:p w14:paraId="08F6186D">
            <w:pPr>
              <w:keepNext w:val="0"/>
              <w:keepLines w:val="0"/>
              <w:suppressLineNumbers w:val="0"/>
              <w:spacing w:before="0" w:beforeAutospacing="0" w:after="0" w:afterAutospacing="0" w:line="360" w:lineRule="auto"/>
              <w:ind w:left="0" w:right="0" w:firstLine="480" w:firstLineChars="200"/>
              <w:rPr>
                <w:rFonts w:hint="eastAsia" w:ascii="Calibri" w:hAnsi="Calibri" w:eastAsia="宋体" w:cs="Times New Roman"/>
                <w:color w:val="auto"/>
                <w:sz w:val="24"/>
                <w:highlight w:val="none"/>
                <w:shd w:val="clear" w:color="auto" w:fill="auto"/>
              </w:rPr>
            </w:pPr>
            <w:r>
              <w:rPr>
                <w:rFonts w:ascii="Calibri" w:hAnsi="Calibri" w:eastAsia="宋体" w:cs="Times New Roman"/>
                <w:color w:val="auto"/>
                <w:sz w:val="24"/>
                <w:highlight w:val="none"/>
                <w:shd w:val="clear" w:color="auto" w:fill="auto"/>
              </w:rPr>
              <w:t>排水：</w:t>
            </w:r>
            <w:r>
              <w:rPr>
                <w:rFonts w:hint="eastAsia" w:ascii="Calibri" w:hAnsi="Calibri" w:eastAsia="宋体" w:cs="Times New Roman"/>
                <w:color w:val="auto"/>
                <w:sz w:val="24"/>
                <w:highlight w:val="none"/>
                <w:shd w:val="clear" w:color="auto" w:fill="auto"/>
              </w:rPr>
              <w:t>本项目</w:t>
            </w:r>
            <w:r>
              <w:rPr>
                <w:rFonts w:hint="eastAsia" w:ascii="Calibri" w:hAnsi="Calibri" w:cs="Times New Roman"/>
                <w:color w:val="auto"/>
                <w:sz w:val="24"/>
                <w:highlight w:val="none"/>
                <w:shd w:val="clear" w:color="auto" w:fill="auto"/>
                <w:lang w:eastAsia="zh-CN"/>
              </w:rPr>
              <w:t>水洗白云石生产线废水排入佳合鹏程沉淀池，循环使用，定期补水不外排；轮胎清洗水排入沉淀池，循环使用，定期补水不外排；洒水抑尘水全部蒸发；生活污水排入防渗化粪池，定期清掏用于农田施肥，不外排</w:t>
            </w:r>
            <w:r>
              <w:rPr>
                <w:rFonts w:hint="eastAsia" w:ascii="Calibri" w:hAnsi="Calibri" w:eastAsia="宋体" w:cs="Times New Roman"/>
                <w:color w:val="auto"/>
                <w:sz w:val="24"/>
                <w:highlight w:val="none"/>
                <w:shd w:val="clear" w:color="auto" w:fill="auto"/>
              </w:rPr>
              <w:t>。</w:t>
            </w:r>
          </w:p>
          <w:p w14:paraId="60A2BF9E">
            <w:pPr>
              <w:keepNext w:val="0"/>
              <w:keepLines w:val="0"/>
              <w:suppressLineNumbers w:val="0"/>
              <w:spacing w:before="0" w:beforeAutospacing="0" w:after="0" w:afterAutospacing="0" w:line="360" w:lineRule="auto"/>
              <w:ind w:left="0" w:right="0" w:firstLine="480" w:firstLineChars="200"/>
              <w:rPr>
                <w:rFonts w:hint="eastAsia" w:ascii="Calibri" w:hAnsi="Calibri" w:cs="Times New Roman"/>
                <w:color w:val="auto"/>
                <w:sz w:val="24"/>
                <w:highlight w:val="none"/>
                <w:shd w:val="clear" w:color="auto" w:fill="auto"/>
                <w:lang w:val="en-US" w:eastAsia="zh-CN"/>
              </w:rPr>
            </w:pPr>
            <w:r>
              <w:rPr>
                <w:rFonts w:hint="eastAsia" w:ascii="Calibri" w:hAnsi="Calibri" w:cs="Times New Roman"/>
                <w:color w:val="auto"/>
                <w:sz w:val="24"/>
                <w:highlight w:val="none"/>
                <w:shd w:val="clear" w:color="auto" w:fill="auto"/>
                <w:lang w:eastAsia="zh-CN"/>
              </w:rPr>
              <w:t>项目建成后水平衡见图</w:t>
            </w:r>
            <w:r>
              <w:rPr>
                <w:rFonts w:hint="eastAsia" w:ascii="Calibri" w:hAnsi="Calibri" w:cs="Times New Roman"/>
                <w:color w:val="auto"/>
                <w:sz w:val="24"/>
                <w:highlight w:val="none"/>
                <w:shd w:val="clear" w:color="auto" w:fill="auto"/>
                <w:lang w:val="en-US" w:eastAsia="zh-CN"/>
              </w:rPr>
              <w:t>1。</w:t>
            </w:r>
          </w:p>
          <w:p w14:paraId="26073102">
            <w:pPr>
              <w:keepNext w:val="0"/>
              <w:keepLines w:val="0"/>
              <w:widowControl/>
              <w:suppressLineNumbers w:val="0"/>
              <w:spacing w:before="0" w:beforeAutospacing="0" w:after="0" w:afterAutospacing="0"/>
              <w:ind w:left="0" w:right="0"/>
              <w:jc w:val="left"/>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4747260" cy="3176905"/>
                  <wp:effectExtent l="0" t="0" r="0" b="0"/>
                  <wp:docPr id="110" name="ECB019B1-382A-4266-B25C-5B523AA43C14-1" descr="C:/Users/Administrator/AppData/Local/Temp/wps.yzNcex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ECB019B1-382A-4266-B25C-5B523AA43C14-1" descr="C:/Users/Administrator/AppData/Local/Temp/wps.yzNcexwps"/>
                          <pic:cNvPicPr>
                            <a:picLocks noChangeAspect="1"/>
                          </pic:cNvPicPr>
                        </pic:nvPicPr>
                        <pic:blipFill>
                          <a:blip r:embed="rId7"/>
                          <a:stretch>
                            <a:fillRect/>
                          </a:stretch>
                        </pic:blipFill>
                        <pic:spPr>
                          <a:xfrm>
                            <a:off x="0" y="0"/>
                            <a:ext cx="4747260" cy="3176905"/>
                          </a:xfrm>
                          <a:prstGeom prst="rect">
                            <a:avLst/>
                          </a:prstGeom>
                        </pic:spPr>
                      </pic:pic>
                    </a:graphicData>
                  </a:graphic>
                </wp:inline>
              </w:drawing>
            </w:r>
          </w:p>
          <w:p w14:paraId="7BD5374B">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aps w:val="0"/>
                <w:color w:val="auto"/>
                <w:sz w:val="24"/>
                <w:szCs w:val="24"/>
                <w:highlight w:val="none"/>
                <w:lang w:val="en-US" w:eastAsia="zh-CN"/>
              </w:rPr>
            </w:pPr>
            <w:r>
              <w:rPr>
                <w:rFonts w:hint="default"/>
                <w:b/>
                <w:bCs/>
                <w:color w:val="auto"/>
                <w:sz w:val="24"/>
                <w:szCs w:val="24"/>
                <w:highlight w:val="none"/>
                <w:lang w:eastAsia="zh-CN"/>
              </w:rPr>
              <w:t>图</w:t>
            </w:r>
            <w:r>
              <w:rPr>
                <w:rFonts w:hint="eastAsia"/>
                <w:b/>
                <w:bCs/>
                <w:color w:val="auto"/>
                <w:sz w:val="24"/>
                <w:szCs w:val="24"/>
                <w:highlight w:val="none"/>
                <w:lang w:val="en-US" w:eastAsia="zh-CN"/>
              </w:rPr>
              <w:t>1</w:t>
            </w:r>
            <w:r>
              <w:rPr>
                <w:rFonts w:hint="default"/>
                <w:b/>
                <w:bCs/>
                <w:color w:val="auto"/>
                <w:sz w:val="24"/>
                <w:szCs w:val="24"/>
                <w:highlight w:val="none"/>
                <w:lang w:val="en-US" w:eastAsia="zh-CN"/>
              </w:rPr>
              <w:t xml:space="preserve">  </w:t>
            </w:r>
            <w:r>
              <w:rPr>
                <w:rFonts w:hint="eastAsia"/>
                <w:b/>
                <w:bCs/>
                <w:color w:val="auto"/>
                <w:sz w:val="24"/>
                <w:szCs w:val="24"/>
                <w:highlight w:val="none"/>
                <w:lang w:val="en-US" w:eastAsia="zh-CN"/>
              </w:rPr>
              <w:t>全厂</w:t>
            </w:r>
            <w:r>
              <w:rPr>
                <w:b/>
                <w:bCs/>
                <w:color w:val="auto"/>
                <w:sz w:val="24"/>
                <w:highlight w:val="none"/>
              </w:rPr>
              <w:t>水平衡图  单位：</w:t>
            </w:r>
            <w:r>
              <w:rPr>
                <w:rFonts w:hint="eastAsia"/>
                <w:b/>
                <w:bCs/>
                <w:color w:val="auto"/>
                <w:sz w:val="24"/>
                <w:highlight w:val="none"/>
                <w:lang w:val="en-US" w:eastAsia="zh-CN"/>
              </w:rPr>
              <w:t>t/a</w:t>
            </w:r>
          </w:p>
          <w:p w14:paraId="7F8AC510">
            <w:pPr>
              <w:keepNext w:val="0"/>
              <w:keepLines w:val="0"/>
              <w:suppressLineNumbers w:val="0"/>
              <w:spacing w:before="0" w:beforeAutospacing="0" w:after="0" w:afterAutospacing="0" w:line="360" w:lineRule="auto"/>
              <w:ind w:left="-1" w:right="0" w:firstLine="480" w:firstLineChars="200"/>
              <w:rPr>
                <w:rFonts w:ascii="Calibri" w:hAnsi="Calibri" w:eastAsia="宋体" w:cs="Times New Roman"/>
                <w:color w:val="auto"/>
                <w:sz w:val="24"/>
                <w:highlight w:val="none"/>
                <w:shd w:val="clear" w:color="auto" w:fill="auto"/>
              </w:rPr>
            </w:pPr>
            <w:r>
              <w:rPr>
                <w:rFonts w:ascii="Calibri" w:hAnsi="Calibri" w:eastAsia="宋体" w:cs="Times New Roman"/>
                <w:color w:val="auto"/>
                <w:sz w:val="24"/>
                <w:highlight w:val="none"/>
                <w:shd w:val="clear" w:color="auto" w:fill="auto"/>
              </w:rPr>
              <w:t>采暖：本项目</w:t>
            </w:r>
            <w:r>
              <w:rPr>
                <w:rFonts w:hint="eastAsia" w:ascii="Calibri" w:hAnsi="Calibri" w:cs="Times New Roman"/>
                <w:color w:val="auto"/>
                <w:sz w:val="24"/>
                <w:highlight w:val="none"/>
                <w:shd w:val="clear" w:color="auto" w:fill="auto"/>
                <w:lang w:eastAsia="zh-CN"/>
              </w:rPr>
              <w:t>生产车间不</w:t>
            </w:r>
            <w:r>
              <w:rPr>
                <w:rFonts w:ascii="Calibri" w:hAnsi="Calibri" w:eastAsia="宋体" w:cs="Times New Roman"/>
                <w:color w:val="auto"/>
                <w:sz w:val="24"/>
                <w:highlight w:val="none"/>
                <w:shd w:val="clear" w:color="auto" w:fill="auto"/>
              </w:rPr>
              <w:t>供暖</w:t>
            </w:r>
            <w:r>
              <w:rPr>
                <w:rFonts w:hint="eastAsia" w:ascii="Calibri" w:hAnsi="Calibri" w:cs="Times New Roman"/>
                <w:color w:val="auto"/>
                <w:sz w:val="24"/>
                <w:highlight w:val="none"/>
                <w:shd w:val="clear" w:color="auto" w:fill="auto"/>
                <w:lang w:eastAsia="zh-CN"/>
              </w:rPr>
              <w:t>，办公室</w:t>
            </w:r>
            <w:r>
              <w:rPr>
                <w:rFonts w:hint="eastAsia" w:ascii="Calibri" w:hAnsi="Calibri" w:eastAsia="宋体" w:cs="Times New Roman"/>
                <w:color w:val="auto"/>
                <w:sz w:val="24"/>
                <w:highlight w:val="none"/>
                <w:shd w:val="clear" w:color="auto" w:fill="auto"/>
                <w:lang w:eastAsia="zh-CN"/>
              </w:rPr>
              <w:t>采用电</w:t>
            </w:r>
            <w:r>
              <w:rPr>
                <w:rFonts w:ascii="Calibri" w:hAnsi="Calibri" w:eastAsia="宋体" w:cs="Times New Roman"/>
                <w:color w:val="auto"/>
                <w:sz w:val="24"/>
                <w:highlight w:val="none"/>
                <w:shd w:val="clear" w:color="auto" w:fill="auto"/>
              </w:rPr>
              <w:t>供暖。</w:t>
            </w:r>
          </w:p>
          <w:p w14:paraId="745EEEAE">
            <w:pPr>
              <w:keepNext w:val="0"/>
              <w:keepLines w:val="0"/>
              <w:suppressLineNumbers w:val="0"/>
              <w:spacing w:before="0" w:beforeAutospacing="0" w:after="0" w:afterAutospacing="0" w:line="360" w:lineRule="auto"/>
              <w:ind w:left="0" w:right="0" w:firstLine="480" w:firstLineChars="200"/>
              <w:rPr>
                <w:rFonts w:ascii="Calibri" w:hAnsi="Calibri" w:eastAsia="宋体" w:cs="Times New Roman"/>
                <w:color w:val="auto"/>
                <w:sz w:val="24"/>
                <w:highlight w:val="none"/>
                <w:shd w:val="clear" w:color="auto" w:fill="auto"/>
              </w:rPr>
            </w:pPr>
            <w:r>
              <w:rPr>
                <w:rFonts w:ascii="Calibri" w:hAnsi="Calibri" w:eastAsia="宋体" w:cs="Times New Roman"/>
                <w:color w:val="auto"/>
                <w:sz w:val="24"/>
                <w:highlight w:val="none"/>
                <w:shd w:val="clear" w:color="auto" w:fill="auto"/>
              </w:rPr>
              <w:t>供电：由区域供电网供电，</w:t>
            </w:r>
            <w:r>
              <w:rPr>
                <w:rFonts w:hint="eastAsia" w:ascii="Calibri" w:hAnsi="Calibri" w:eastAsia="宋体" w:cs="Times New Roman"/>
                <w:color w:val="auto"/>
                <w:sz w:val="24"/>
                <w:highlight w:val="none"/>
                <w:shd w:val="clear" w:color="auto" w:fill="auto"/>
                <w:lang w:eastAsia="zh-CN"/>
              </w:rPr>
              <w:t>新增</w:t>
            </w:r>
            <w:r>
              <w:rPr>
                <w:rFonts w:ascii="Calibri" w:hAnsi="Calibri" w:eastAsia="宋体" w:cs="Times New Roman"/>
                <w:color w:val="auto"/>
                <w:sz w:val="24"/>
                <w:highlight w:val="none"/>
                <w:shd w:val="clear" w:color="auto" w:fill="auto"/>
              </w:rPr>
              <w:t>用电量约</w:t>
            </w:r>
            <w:r>
              <w:rPr>
                <w:rFonts w:hint="eastAsia" w:ascii="Calibri" w:hAnsi="Calibri" w:cs="Times New Roman"/>
                <w:color w:val="auto"/>
                <w:sz w:val="24"/>
                <w:highlight w:val="none"/>
                <w:shd w:val="clear" w:color="auto" w:fill="auto"/>
                <w:lang w:val="en-US" w:eastAsia="zh-CN"/>
              </w:rPr>
              <w:t>20</w:t>
            </w:r>
            <w:r>
              <w:rPr>
                <w:rFonts w:hint="eastAsia" w:ascii="Calibri" w:hAnsi="Calibri" w:eastAsia="宋体" w:cs="Times New Roman"/>
                <w:color w:val="auto"/>
                <w:sz w:val="24"/>
                <w:highlight w:val="none"/>
                <w:shd w:val="clear" w:color="auto" w:fill="auto"/>
                <w:lang w:val="en-US" w:eastAsia="zh-CN"/>
              </w:rPr>
              <w:t>0万</w:t>
            </w:r>
            <w:r>
              <w:rPr>
                <w:rFonts w:ascii="Calibri" w:hAnsi="Calibri" w:eastAsia="宋体" w:cs="Times New Roman"/>
                <w:color w:val="auto"/>
                <w:sz w:val="24"/>
                <w:highlight w:val="none"/>
                <w:shd w:val="clear" w:color="auto" w:fill="auto"/>
              </w:rPr>
              <w:t>kwh/a。</w:t>
            </w:r>
          </w:p>
          <w:p w14:paraId="52EE92D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480" w:firstLineChars="200"/>
              <w:jc w:val="both"/>
              <w:textAlignment w:val="auto"/>
              <w:rPr>
                <w:rFonts w:hint="eastAsia" w:ascii="宋体" w:hAnsi="宋体" w:eastAsia="宋体" w:cs="宋体"/>
                <w:bCs/>
                <w:color w:val="auto"/>
                <w:szCs w:val="21"/>
                <w:highlight w:val="none"/>
                <w:shd w:val="clear" w:color="auto" w:fill="auto"/>
              </w:rPr>
            </w:pPr>
            <w:r>
              <w:rPr>
                <w:rFonts w:hint="eastAsia" w:ascii="Times New Roman" w:hAnsi="Times New Roman" w:eastAsia="宋体" w:cs="Times New Roman"/>
                <w:color w:val="auto"/>
                <w:sz w:val="24"/>
                <w:highlight w:val="none"/>
                <w:shd w:val="clear" w:color="auto" w:fill="auto"/>
                <w:lang w:eastAsia="zh-CN"/>
              </w:rPr>
              <w:t>其他：本项目不</w:t>
            </w:r>
            <w:r>
              <w:rPr>
                <w:rFonts w:hint="eastAsia" w:cs="Times New Roman"/>
                <w:color w:val="auto"/>
                <w:sz w:val="24"/>
                <w:highlight w:val="none"/>
                <w:shd w:val="clear" w:color="auto" w:fill="auto"/>
                <w:lang w:eastAsia="zh-CN"/>
              </w:rPr>
              <w:t>设</w:t>
            </w:r>
            <w:r>
              <w:rPr>
                <w:rFonts w:hint="eastAsia" w:ascii="Times New Roman" w:hAnsi="Times New Roman" w:eastAsia="宋体" w:cs="Times New Roman"/>
                <w:color w:val="auto"/>
                <w:sz w:val="24"/>
                <w:highlight w:val="none"/>
                <w:shd w:val="clear" w:color="auto" w:fill="auto"/>
                <w:lang w:eastAsia="zh-CN"/>
              </w:rPr>
              <w:t>食堂和宿舍，不设洗浴设施</w:t>
            </w:r>
            <w:r>
              <w:rPr>
                <w:rFonts w:ascii="Times New Roman" w:hAnsi="Times New Roman" w:eastAsia="宋体" w:cs="Times New Roman"/>
                <w:color w:val="auto"/>
                <w:sz w:val="24"/>
                <w:highlight w:val="none"/>
                <w:shd w:val="clear" w:color="auto" w:fill="auto"/>
              </w:rPr>
              <w:t>。</w:t>
            </w:r>
          </w:p>
        </w:tc>
      </w:tr>
      <w:tr w14:paraId="555BCC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75" w:hRule="atLeast"/>
          <w:jc w:val="center"/>
        </w:trPr>
        <w:tc>
          <w:tcPr>
            <w:tcW w:w="823" w:type="dxa"/>
            <w:tcBorders>
              <w:top w:val="single" w:color="auto" w:sz="4" w:space="0"/>
              <w:left w:val="single" w:color="auto" w:sz="8" w:space="0"/>
              <w:bottom w:val="single" w:color="auto" w:sz="4" w:space="0"/>
              <w:right w:val="single" w:color="auto" w:sz="4" w:space="0"/>
            </w:tcBorders>
            <w:noWrap w:val="0"/>
            <w:vAlign w:val="center"/>
          </w:tcPr>
          <w:p w14:paraId="236108EA">
            <w:pPr>
              <w:pStyle w:val="22"/>
              <w:adjustRightInd w:val="0"/>
              <w:snapToGrid w:val="0"/>
              <w:spacing w:before="0" w:beforeAutospacing="0" w:after="0" w:afterAutospacing="0"/>
              <w:jc w:val="center"/>
              <w:rPr>
                <w:rFonts w:cs="宋体"/>
                <w:color w:val="auto"/>
                <w:kern w:val="2"/>
                <w:sz w:val="21"/>
                <w:szCs w:val="21"/>
                <w:highlight w:val="none"/>
                <w:shd w:val="clear" w:color="auto" w:fill="auto"/>
              </w:rPr>
            </w:pPr>
            <w:r>
              <w:rPr>
                <w:rFonts w:cs="宋体"/>
                <w:color w:val="auto"/>
                <w:kern w:val="2"/>
                <w:sz w:val="21"/>
                <w:szCs w:val="21"/>
                <w:highlight w:val="none"/>
                <w:shd w:val="clear" w:color="auto" w:fill="auto"/>
              </w:rPr>
              <w:t>工艺流程和产排污环节</w:t>
            </w:r>
          </w:p>
        </w:tc>
        <w:tc>
          <w:tcPr>
            <w:tcW w:w="8161" w:type="dxa"/>
            <w:tcBorders>
              <w:top w:val="single" w:color="auto" w:sz="4" w:space="0"/>
              <w:left w:val="single" w:color="auto" w:sz="4" w:space="0"/>
              <w:bottom w:val="single" w:color="auto" w:sz="4" w:space="0"/>
              <w:right w:val="single" w:color="auto" w:sz="8" w:space="0"/>
            </w:tcBorders>
            <w:noWrap w:val="0"/>
            <w:vAlign w:val="top"/>
          </w:tcPr>
          <w:p w14:paraId="6F7FDEDE">
            <w:pPr>
              <w:keepNext w:val="0"/>
              <w:keepLines w:val="0"/>
              <w:suppressLineNumbers w:val="0"/>
              <w:spacing w:before="0" w:beforeAutospacing="0" w:after="0" w:afterAutospacing="0" w:line="360" w:lineRule="auto"/>
              <w:ind w:left="0" w:right="0"/>
              <w:rPr>
                <w:bCs/>
                <w:color w:val="auto"/>
                <w:sz w:val="24"/>
                <w:highlight w:val="none"/>
              </w:rPr>
            </w:pPr>
            <w:r>
              <w:rPr>
                <w:rFonts w:hint="eastAsia"/>
                <w:bCs/>
                <w:color w:val="auto"/>
                <w:sz w:val="24"/>
                <w:highlight w:val="none"/>
              </w:rPr>
              <w:t>一、</w:t>
            </w:r>
            <w:r>
              <w:rPr>
                <w:bCs/>
                <w:color w:val="auto"/>
                <w:sz w:val="24"/>
                <w:highlight w:val="none"/>
              </w:rPr>
              <w:t>施工期</w:t>
            </w:r>
          </w:p>
          <w:p w14:paraId="0F6CF35E">
            <w:pPr>
              <w:keepNext w:val="0"/>
              <w:keepLines w:val="0"/>
              <w:suppressLineNumbers w:val="0"/>
              <w:tabs>
                <w:tab w:val="left" w:pos="2064"/>
                <w:tab w:val="left" w:pos="3284"/>
              </w:tabs>
              <w:spacing w:before="0" w:beforeAutospacing="0" w:after="0" w:afterAutospacing="0" w:line="360" w:lineRule="auto"/>
              <w:ind w:left="0" w:leftChars="0" w:right="0" w:firstLine="420" w:firstLineChars="175"/>
              <w:jc w:val="both"/>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本项目租用</w:t>
            </w:r>
            <w:r>
              <w:rPr>
                <w:rFonts w:hint="eastAsia"/>
                <w:color w:val="auto"/>
                <w:sz w:val="24"/>
                <w:highlight w:val="none"/>
                <w:lang w:eastAsia="zh-CN"/>
              </w:rPr>
              <w:t>佳合鹏程</w:t>
            </w:r>
            <w:r>
              <w:rPr>
                <w:rFonts w:hint="eastAsia" w:ascii="宋体" w:hAnsi="宋体" w:cs="宋体"/>
                <w:color w:val="auto"/>
                <w:sz w:val="24"/>
                <w:highlight w:val="none"/>
                <w:lang w:val="en-US" w:eastAsia="zh-CN"/>
              </w:rPr>
              <w:t>1#生产车间西侧4000㎡；2#生产车间东侧10000㎡以及4000㎡空地，租赁范围内涉及佳合鹏程1#车间2条8t/h（4.5万t/a）白砂生产线；2#车间1条13t/h（10万t/a）白砂生产线,由</w:t>
            </w:r>
            <w:r>
              <w:rPr>
                <w:rFonts w:hint="eastAsia"/>
                <w:color w:val="auto"/>
                <w:sz w:val="24"/>
                <w:highlight w:val="none"/>
                <w:lang w:eastAsia="zh-CN"/>
              </w:rPr>
              <w:t>佳合鹏程负责搬迁，不在本项目范围内</w:t>
            </w:r>
            <w:r>
              <w:rPr>
                <w:rFonts w:hint="eastAsia" w:ascii="宋体" w:hAnsi="宋体" w:cs="宋体"/>
                <w:color w:val="auto"/>
                <w:sz w:val="24"/>
                <w:highlight w:val="none"/>
                <w:lang w:val="en-US" w:eastAsia="zh-CN"/>
              </w:rPr>
              <w:t>。</w:t>
            </w:r>
          </w:p>
          <w:p w14:paraId="29917162">
            <w:pPr>
              <w:keepNext w:val="0"/>
              <w:keepLines w:val="0"/>
              <w:suppressLineNumbers w:val="0"/>
              <w:tabs>
                <w:tab w:val="left" w:pos="2064"/>
                <w:tab w:val="left" w:pos="3284"/>
              </w:tabs>
              <w:spacing w:before="0" w:beforeAutospacing="0" w:after="0" w:afterAutospacing="0" w:line="360" w:lineRule="auto"/>
              <w:ind w:left="0" w:leftChars="0" w:right="0" w:firstLine="420" w:firstLineChars="175"/>
              <w:jc w:val="both"/>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本项目仅对原有厂房内部进行改建，将4000㎡1#厂房分隔为1#原料库房及1#生产车间，在分隔后的1#生产车间建设年产20万吨水洗白云石生产线及年产10万吨白云石粉生产线各一条；将10000㎡2#厂房分隔为产品库房、2#原料库房、2#生产车间，在分隔后的2#生产车间建设两条年产10万吨白云石粉生产线、一条年产10万吨白云砂（含2万吨白度＞90的白云砂）生产线。项目施工期产污节点图如下：</w:t>
            </w:r>
          </w:p>
          <w:p w14:paraId="58410693">
            <w:pPr>
              <w:pStyle w:val="16"/>
              <w:keepNext w:val="0"/>
              <w:keepLines w:val="0"/>
              <w:suppressLineNumbers w:val="0"/>
              <w:spacing w:before="0" w:beforeAutospacing="0" w:after="0" w:afterAutospacing="0"/>
              <w:ind w:left="0" w:leftChars="0" w:right="0" w:firstLine="0" w:firstLineChars="0"/>
              <w:jc w:val="center"/>
              <w:rPr>
                <w:rFonts w:hint="default"/>
                <w:color w:val="auto"/>
                <w:highlight w:val="none"/>
                <w:lang w:val="en-US" w:eastAsia="zh-CN"/>
              </w:rPr>
            </w:pPr>
            <w:r>
              <w:rPr>
                <w:rFonts w:hint="default"/>
                <w:color w:val="auto"/>
                <w:highlight w:val="none"/>
                <w:lang w:val="en-US" w:eastAsia="zh-CN"/>
              </w:rPr>
              <w:drawing>
                <wp:inline distT="0" distB="0" distL="114300" distR="114300">
                  <wp:extent cx="4733925" cy="1217930"/>
                  <wp:effectExtent l="0" t="0" r="0" b="0"/>
                  <wp:docPr id="10" name="ECB019B1-382A-4266-B25C-5B523AA43C14-2" descr="C:/Users/Administrator/AppData/Local/Temp/wps.vegFMh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CB019B1-382A-4266-B25C-5B523AA43C14-2" descr="C:/Users/Administrator/AppData/Local/Temp/wps.vegFMhwps"/>
                          <pic:cNvPicPr>
                            <a:picLocks noChangeAspect="1"/>
                          </pic:cNvPicPr>
                        </pic:nvPicPr>
                        <pic:blipFill>
                          <a:blip r:embed="rId8"/>
                          <a:stretch>
                            <a:fillRect/>
                          </a:stretch>
                        </pic:blipFill>
                        <pic:spPr>
                          <a:xfrm>
                            <a:off x="0" y="0"/>
                            <a:ext cx="4733925" cy="1217930"/>
                          </a:xfrm>
                          <a:prstGeom prst="rect">
                            <a:avLst/>
                          </a:prstGeom>
                        </pic:spPr>
                      </pic:pic>
                    </a:graphicData>
                  </a:graphic>
                </wp:inline>
              </w:drawing>
            </w:r>
          </w:p>
          <w:p w14:paraId="59246986">
            <w:pPr>
              <w:keepNext w:val="0"/>
              <w:keepLines w:val="0"/>
              <w:suppressLineNumbers w:val="0"/>
              <w:spacing w:before="0" w:beforeAutospacing="0" w:after="0" w:afterAutospacing="0"/>
              <w:ind w:left="0" w:right="0"/>
              <w:jc w:val="center"/>
              <w:rPr>
                <w:rFonts w:hint="default"/>
                <w:color w:val="auto"/>
                <w:highlight w:val="none"/>
                <w:lang w:val="en-US" w:eastAsia="zh-CN"/>
              </w:rPr>
            </w:pPr>
            <w:r>
              <w:rPr>
                <w:rFonts w:hint="eastAsia" w:ascii="Calibri" w:hAnsi="Calibri" w:eastAsia="宋体" w:cs="Times New Roman"/>
                <w:color w:val="auto"/>
                <w:sz w:val="24"/>
                <w:szCs w:val="24"/>
                <w:highlight w:val="none"/>
                <w:shd w:val="clear" w:color="auto" w:fill="auto"/>
                <w:lang w:val="en-US" w:eastAsia="zh-CN"/>
              </w:rPr>
              <w:t>图</w:t>
            </w:r>
            <w:r>
              <w:rPr>
                <w:rFonts w:hint="eastAsia" w:ascii="Calibri" w:hAnsi="Calibri" w:cs="Times New Roman"/>
                <w:color w:val="auto"/>
                <w:sz w:val="24"/>
                <w:szCs w:val="24"/>
                <w:highlight w:val="none"/>
                <w:shd w:val="clear" w:color="auto" w:fill="auto"/>
                <w:lang w:val="en-US" w:eastAsia="zh-CN"/>
              </w:rPr>
              <w:t>1</w:t>
            </w:r>
            <w:r>
              <w:rPr>
                <w:rFonts w:hint="eastAsia" w:ascii="Calibri" w:hAnsi="Calibri" w:eastAsia="宋体" w:cs="Times New Roman"/>
                <w:color w:val="auto"/>
                <w:sz w:val="24"/>
                <w:szCs w:val="24"/>
                <w:highlight w:val="none"/>
                <w:shd w:val="clear" w:color="auto" w:fill="auto"/>
                <w:lang w:val="en-US" w:eastAsia="zh-CN"/>
              </w:rPr>
              <w:t xml:space="preserve"> </w:t>
            </w:r>
            <w:r>
              <w:rPr>
                <w:rFonts w:hint="eastAsia" w:ascii="Calibri" w:hAnsi="Calibri" w:cs="Times New Roman"/>
                <w:color w:val="auto"/>
                <w:sz w:val="24"/>
                <w:szCs w:val="24"/>
                <w:highlight w:val="none"/>
                <w:shd w:val="clear" w:color="auto" w:fill="auto"/>
                <w:lang w:val="en-US" w:eastAsia="zh-CN"/>
              </w:rPr>
              <w:t xml:space="preserve"> 施工期</w:t>
            </w:r>
            <w:r>
              <w:rPr>
                <w:rFonts w:ascii="Calibri" w:hAnsi="Calibri" w:eastAsia="宋体" w:cs="Times New Roman"/>
                <w:color w:val="auto"/>
                <w:sz w:val="24"/>
                <w:szCs w:val="24"/>
                <w:highlight w:val="none"/>
                <w:shd w:val="clear" w:color="auto" w:fill="auto"/>
              </w:rPr>
              <w:t>工艺流程图及</w:t>
            </w:r>
            <w:r>
              <w:rPr>
                <w:rFonts w:hint="eastAsia" w:ascii="Calibri" w:hAnsi="Calibri" w:eastAsia="宋体" w:cs="Times New Roman"/>
                <w:color w:val="auto"/>
                <w:sz w:val="24"/>
                <w:szCs w:val="24"/>
                <w:highlight w:val="none"/>
                <w:shd w:val="clear" w:color="auto" w:fill="auto"/>
                <w:lang w:eastAsia="zh-CN"/>
              </w:rPr>
              <w:t>产</w:t>
            </w:r>
            <w:r>
              <w:rPr>
                <w:rFonts w:ascii="Calibri" w:hAnsi="Calibri" w:eastAsia="宋体" w:cs="Times New Roman"/>
                <w:color w:val="auto"/>
                <w:sz w:val="24"/>
                <w:szCs w:val="24"/>
                <w:highlight w:val="none"/>
                <w:shd w:val="clear" w:color="auto" w:fill="auto"/>
              </w:rPr>
              <w:t>污节点图</w:t>
            </w:r>
          </w:p>
          <w:p w14:paraId="3FA9AD42">
            <w:pPr>
              <w:keepNext w:val="0"/>
              <w:keepLines w:val="0"/>
              <w:suppressLineNumbers w:val="0"/>
              <w:tabs>
                <w:tab w:val="left" w:pos="2064"/>
                <w:tab w:val="left" w:pos="3284"/>
              </w:tabs>
              <w:spacing w:before="0" w:beforeAutospacing="0" w:after="0" w:afterAutospacing="0" w:line="360" w:lineRule="auto"/>
              <w:ind w:left="0" w:right="0"/>
              <w:rPr>
                <w:color w:val="auto"/>
                <w:sz w:val="24"/>
                <w:highlight w:val="none"/>
              </w:rPr>
            </w:pPr>
            <w:r>
              <w:rPr>
                <w:rFonts w:hint="eastAsia"/>
                <w:color w:val="auto"/>
                <w:sz w:val="24"/>
                <w:highlight w:val="none"/>
              </w:rPr>
              <w:t>二、</w:t>
            </w:r>
            <w:r>
              <w:rPr>
                <w:color w:val="auto"/>
                <w:sz w:val="24"/>
                <w:highlight w:val="none"/>
              </w:rPr>
              <w:t>营运期</w:t>
            </w:r>
          </w:p>
          <w:p w14:paraId="2A7054BD">
            <w:pPr>
              <w:pStyle w:val="16"/>
              <w:keepNext w:val="0"/>
              <w:keepLines w:val="0"/>
              <w:suppressLineNumbers w:val="0"/>
              <w:spacing w:before="0" w:beforeAutospacing="0" w:after="0" w:afterAutospacing="0" w:line="360" w:lineRule="auto"/>
              <w:ind w:left="0" w:leftChars="0" w:right="0" w:firstLine="480" w:firstLineChars="200"/>
              <w:rPr>
                <w:rFonts w:hint="eastAsia" w:ascii="Times New Roman" w:hAnsi="Times New Roman" w:eastAsia="宋体" w:cs="Times New Roman"/>
                <w:color w:val="auto"/>
                <w:highlight w:val="none"/>
                <w:shd w:val="clear" w:color="auto" w:fill="auto"/>
                <w:lang w:val="en-US" w:eastAsia="zh-CN"/>
              </w:rPr>
            </w:pPr>
            <w:r>
              <w:rPr>
                <w:rFonts w:hint="eastAsia" w:cs="Times New Roman"/>
                <w:color w:val="auto"/>
                <w:highlight w:val="none"/>
                <w:shd w:val="clear" w:color="auto" w:fill="auto"/>
                <w:lang w:val="en-US" w:eastAsia="zh-CN"/>
              </w:rPr>
              <w:t>本项目设有两个生产车间，五条生产线，1#生产线（水洗白云石）2#生产线（白云石粉）位于一车间；3#生产线（白云石粉）、4#生产线（白云石粉）、5#生产线（白云砂）位于二车间，</w:t>
            </w:r>
            <w:r>
              <w:rPr>
                <w:rFonts w:hint="eastAsia" w:ascii="Times New Roman" w:hAnsi="Times New Roman" w:eastAsia="宋体" w:cs="Times New Roman"/>
                <w:color w:val="auto"/>
                <w:highlight w:val="none"/>
                <w:shd w:val="clear" w:color="auto" w:fill="auto"/>
                <w:lang w:val="en-US" w:eastAsia="zh-CN"/>
              </w:rPr>
              <w:t>工艺流程简述如下：</w:t>
            </w:r>
          </w:p>
          <w:p w14:paraId="6DB4EF65">
            <w:pPr>
              <w:keepNext w:val="0"/>
              <w:keepLines w:val="0"/>
              <w:suppressLineNumbers w:val="0"/>
              <w:spacing w:before="0" w:beforeAutospacing="0" w:after="0" w:afterAutospacing="0" w:line="360" w:lineRule="auto"/>
              <w:ind w:left="0" w:right="0"/>
              <w:rPr>
                <w:rFonts w:hint="eastAsia"/>
                <w:color w:val="auto"/>
                <w:sz w:val="24"/>
                <w:szCs w:val="24"/>
                <w:highlight w:val="none"/>
                <w:lang w:val="en-US" w:eastAsia="zh-CN"/>
              </w:rPr>
            </w:pPr>
            <w:r>
              <w:rPr>
                <w:rFonts w:hint="eastAsia" w:cs="Times New Roman"/>
                <w:color w:val="auto"/>
                <w:sz w:val="24"/>
                <w:szCs w:val="24"/>
                <w:highlight w:val="none"/>
                <w:shd w:val="clear" w:color="auto" w:fill="auto"/>
                <w:lang w:val="en-US" w:eastAsia="zh-CN"/>
              </w:rPr>
              <w:t>（1）1#生产线生产工艺流程简述：</w:t>
            </w:r>
          </w:p>
          <w:p w14:paraId="3810C1F2">
            <w:pPr>
              <w:pStyle w:val="16"/>
              <w:keepNext w:val="0"/>
              <w:keepLines w:val="0"/>
              <w:suppressLineNumbers w:val="0"/>
              <w:spacing w:before="0" w:beforeAutospacing="0" w:after="0" w:afterAutospacing="0" w:line="360" w:lineRule="auto"/>
              <w:ind w:left="0" w:right="0"/>
              <w:rPr>
                <w:rFonts w:hint="eastAsia" w:ascii="Times New Roman" w:hAnsi="Times New Roman" w:eastAsia="宋体" w:cs="Times New Roman"/>
                <w:color w:val="auto"/>
                <w:highlight w:val="none"/>
                <w:shd w:val="clear" w:color="auto" w:fill="auto"/>
                <w:lang w:val="en-US" w:eastAsia="zh-CN"/>
              </w:rPr>
            </w:pPr>
            <w:r>
              <w:rPr>
                <w:rFonts w:hint="eastAsia" w:ascii="Times New Roman" w:hAnsi="Times New Roman" w:eastAsia="宋体" w:cs="Times New Roman"/>
                <w:color w:val="auto"/>
                <w:highlight w:val="none"/>
                <w:shd w:val="clear" w:color="auto" w:fill="auto"/>
                <w:lang w:val="en-US" w:eastAsia="zh-CN"/>
              </w:rPr>
              <w:t>项目</w:t>
            </w:r>
            <w:r>
              <w:rPr>
                <w:rFonts w:hint="eastAsia" w:cs="Times New Roman"/>
                <w:color w:val="auto"/>
                <w:highlight w:val="none"/>
                <w:shd w:val="clear" w:color="auto" w:fill="auto"/>
                <w:lang w:val="en-US" w:eastAsia="zh-CN"/>
              </w:rPr>
              <w:t>采购规格为20cm的原料，在封闭的1#原料库房卸料，经提升机送入1#生产线原料仓，料仓出料口出料后经封闭的输送皮带送至清洗槽，清洗过后的石料在生产车间内自然晾晒去除</w:t>
            </w:r>
            <w:r>
              <w:rPr>
                <w:rFonts w:hint="eastAsia" w:ascii="Times New Roman" w:hAnsi="Times New Roman" w:eastAsia="宋体" w:cs="Times New Roman"/>
                <w:color w:val="auto"/>
                <w:highlight w:val="none"/>
                <w:shd w:val="clear" w:color="auto" w:fill="auto"/>
                <w:lang w:val="en-US" w:eastAsia="zh-CN"/>
              </w:rPr>
              <w:t>多余水分。</w:t>
            </w:r>
          </w:p>
          <w:p w14:paraId="1021F7AC">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2"/>
                <w:sz w:val="24"/>
                <w:szCs w:val="24"/>
                <w:highlight w:val="none"/>
                <w:shd w:val="clear" w:color="auto" w:fill="auto"/>
                <w:lang w:val="en-US" w:eastAsia="zh-CN" w:bidi="ar-SA"/>
              </w:rPr>
            </w:pPr>
            <w:r>
              <w:rPr>
                <w:rFonts w:hint="eastAsia" w:ascii="Times New Roman" w:hAnsi="Times New Roman" w:eastAsia="宋体" w:cs="Times New Roman"/>
                <w:color w:val="auto"/>
                <w:kern w:val="2"/>
                <w:sz w:val="24"/>
                <w:szCs w:val="24"/>
                <w:highlight w:val="none"/>
                <w:shd w:val="clear" w:color="auto" w:fill="auto"/>
                <w:lang w:val="en-US" w:eastAsia="zh-CN" w:bidi="ar-SA"/>
              </w:rPr>
              <w:t>在</w:t>
            </w:r>
            <w:r>
              <w:rPr>
                <w:rFonts w:hint="eastAsia" w:cs="Times New Roman"/>
                <w:color w:val="auto"/>
                <w:kern w:val="2"/>
                <w:sz w:val="24"/>
                <w:szCs w:val="24"/>
                <w:highlight w:val="none"/>
                <w:shd w:val="clear" w:color="auto" w:fill="auto"/>
                <w:lang w:val="en-US" w:eastAsia="zh-CN" w:bidi="ar-SA"/>
              </w:rPr>
              <w:t>1#原料库房卸料、</w:t>
            </w:r>
            <w:r>
              <w:rPr>
                <w:rFonts w:hint="eastAsia" w:ascii="Times New Roman" w:hAnsi="Times New Roman" w:eastAsia="宋体" w:cs="Times New Roman"/>
                <w:color w:val="auto"/>
                <w:kern w:val="2"/>
                <w:sz w:val="24"/>
                <w:szCs w:val="24"/>
                <w:highlight w:val="none"/>
                <w:shd w:val="clear" w:color="auto" w:fill="auto"/>
                <w:lang w:val="en-US" w:eastAsia="zh-CN" w:bidi="ar-SA"/>
              </w:rPr>
              <w:t>1#生产线上料工序各设置一个集气罩，废气经除尘器净化后由15m高排气筒DA001排放。</w:t>
            </w:r>
          </w:p>
          <w:p w14:paraId="22C8D1B8">
            <w:pPr>
              <w:pStyle w:val="16"/>
              <w:keepNext w:val="0"/>
              <w:keepLines w:val="0"/>
              <w:suppressLineNumbers w:val="0"/>
              <w:spacing w:before="0" w:beforeAutospacing="0" w:after="0" w:afterAutospacing="0" w:line="360" w:lineRule="auto"/>
              <w:ind w:left="0" w:leftChars="0" w:right="0" w:firstLine="0" w:firstLineChars="0"/>
              <w:rPr>
                <w:rFonts w:hint="default" w:ascii="Times New Roman" w:hAnsi="Times New Roman" w:eastAsia="宋体" w:cs="Times New Roman"/>
                <w:color w:val="auto"/>
                <w:highlight w:val="none"/>
                <w:shd w:val="clear" w:color="auto" w:fill="auto"/>
                <w:lang w:val="en-US" w:eastAsia="zh-CN"/>
              </w:rPr>
            </w:pPr>
            <w:r>
              <w:rPr>
                <w:rFonts w:hint="eastAsia" w:ascii="Times New Roman" w:hAnsi="Times New Roman" w:eastAsia="宋体" w:cs="Times New Roman"/>
                <w:color w:val="auto"/>
                <w:highlight w:val="none"/>
                <w:shd w:val="clear" w:color="auto" w:fill="auto"/>
                <w:lang w:val="en-US" w:eastAsia="zh-CN"/>
              </w:rPr>
              <w:t>（2）2#、3#、4#生产线</w:t>
            </w:r>
            <w:r>
              <w:rPr>
                <w:rFonts w:hint="eastAsia" w:cs="Times New Roman"/>
                <w:color w:val="auto"/>
                <w:sz w:val="24"/>
                <w:szCs w:val="24"/>
                <w:highlight w:val="none"/>
                <w:shd w:val="clear" w:color="auto" w:fill="auto"/>
                <w:lang w:val="en-US" w:eastAsia="zh-CN"/>
              </w:rPr>
              <w:t>生产工艺流程简述：</w:t>
            </w:r>
          </w:p>
          <w:p w14:paraId="0F1615EA">
            <w:pPr>
              <w:pStyle w:val="16"/>
              <w:keepNext w:val="0"/>
              <w:keepLines w:val="0"/>
              <w:suppressLineNumbers w:val="0"/>
              <w:spacing w:before="0" w:beforeAutospacing="0" w:after="0" w:afterAutospacing="0" w:line="360" w:lineRule="auto"/>
              <w:ind w:left="0" w:leftChars="0" w:right="0" w:firstLine="480" w:firstLineChars="200"/>
              <w:rPr>
                <w:rFonts w:hint="default" w:ascii="Times New Roman" w:hAnsi="Times New Roman" w:cs="Times New Roman" w:eastAsiaTheme="minorEastAsia"/>
                <w:color w:val="auto"/>
                <w:highlight w:val="none"/>
                <w:shd w:val="clear" w:color="auto" w:fill="auto"/>
                <w:lang w:val="en-US" w:eastAsia="zh-CN"/>
              </w:rPr>
            </w:pPr>
            <w:r>
              <w:rPr>
                <w:rFonts w:hint="eastAsia" w:cs="Times New Roman"/>
                <w:color w:val="auto"/>
                <w:highlight w:val="none"/>
                <w:shd w:val="clear" w:color="auto" w:fill="auto"/>
                <w:lang w:val="en-US" w:eastAsia="zh-CN"/>
              </w:rPr>
              <w:t>项目选用粒径小于60cm的原料，</w:t>
            </w:r>
            <w:r>
              <w:rPr>
                <w:rFonts w:hint="eastAsia" w:ascii="Times New Roman" w:hAnsi="Times New Roman" w:eastAsia="宋体" w:cs="Times New Roman"/>
                <w:color w:val="auto"/>
                <w:highlight w:val="none"/>
                <w:shd w:val="clear" w:color="auto" w:fill="auto"/>
                <w:lang w:val="en-US" w:eastAsia="zh-CN"/>
              </w:rPr>
              <w:t>经铲车上料，</w:t>
            </w:r>
            <w:r>
              <w:rPr>
                <w:rFonts w:hint="eastAsia" w:cs="Times New Roman"/>
                <w:color w:val="auto"/>
                <w:kern w:val="2"/>
                <w:sz w:val="24"/>
                <w:szCs w:val="24"/>
                <w:highlight w:val="none"/>
                <w:shd w:val="clear" w:color="auto" w:fill="auto"/>
                <w:lang w:val="en-US" w:eastAsia="zh-CN" w:bidi="ar-SA"/>
              </w:rPr>
              <w:t>颚式破碎机</w:t>
            </w:r>
            <w:r>
              <w:rPr>
                <w:rFonts w:hint="eastAsia" w:ascii="Times New Roman" w:hAnsi="Times New Roman" w:eastAsia="宋体" w:cs="Times New Roman"/>
                <w:color w:val="auto"/>
                <w:highlight w:val="none"/>
                <w:shd w:val="clear" w:color="auto" w:fill="auto"/>
                <w:lang w:val="en-US" w:eastAsia="zh-CN"/>
              </w:rPr>
              <w:t>破碎后由提升机输送至中间仓</w:t>
            </w:r>
            <w:r>
              <w:rPr>
                <w:rFonts w:hint="eastAsia" w:cs="Times New Roman"/>
                <w:color w:val="auto"/>
                <w:highlight w:val="none"/>
                <w:shd w:val="clear" w:color="auto" w:fill="auto"/>
                <w:lang w:val="en-US" w:eastAsia="zh-CN"/>
              </w:rPr>
              <w:t>暂存</w:t>
            </w:r>
            <w:r>
              <w:rPr>
                <w:rFonts w:hint="eastAsia" w:ascii="Times New Roman" w:hAnsi="Times New Roman" w:eastAsia="宋体" w:cs="Times New Roman"/>
                <w:color w:val="auto"/>
                <w:highlight w:val="none"/>
                <w:shd w:val="clear" w:color="auto" w:fill="auto"/>
                <w:lang w:val="en-US" w:eastAsia="zh-CN"/>
              </w:rPr>
              <w:t>，经封闭皮带送至锤式破碎机，破碎后的物料经封闭皮带送至筛分机，筛分后</w:t>
            </w:r>
            <w:r>
              <w:rPr>
                <w:rFonts w:hint="eastAsia" w:cs="Times New Roman"/>
                <w:color w:val="auto"/>
                <w:highlight w:val="none"/>
                <w:shd w:val="clear" w:color="auto" w:fill="auto"/>
                <w:lang w:val="en-US" w:eastAsia="zh-CN"/>
              </w:rPr>
              <w:t>筛上料</w:t>
            </w:r>
            <w:r>
              <w:rPr>
                <w:rFonts w:hint="eastAsia" w:ascii="Times New Roman" w:hAnsi="Times New Roman" w:eastAsia="宋体" w:cs="Times New Roman"/>
                <w:color w:val="auto"/>
                <w:highlight w:val="none"/>
                <w:shd w:val="clear" w:color="auto" w:fill="auto"/>
                <w:lang w:val="en-US" w:eastAsia="zh-CN"/>
              </w:rPr>
              <w:t>经封闭皮带送回锤式破碎机，</w:t>
            </w:r>
            <w:r>
              <w:rPr>
                <w:rFonts w:hint="eastAsia" w:cs="Times New Roman"/>
                <w:color w:val="auto"/>
                <w:highlight w:val="none"/>
                <w:shd w:val="clear" w:color="auto" w:fill="auto"/>
                <w:lang w:val="en-US" w:eastAsia="zh-CN"/>
              </w:rPr>
              <w:t>筛下料</w:t>
            </w:r>
            <w:r>
              <w:rPr>
                <w:rFonts w:hint="eastAsia" w:ascii="Times New Roman" w:hAnsi="Times New Roman" w:eastAsia="宋体" w:cs="Times New Roman"/>
                <w:color w:val="auto"/>
                <w:highlight w:val="none"/>
                <w:shd w:val="clear" w:color="auto" w:fill="auto"/>
                <w:lang w:val="en-US" w:eastAsia="zh-CN"/>
              </w:rPr>
              <w:t>经封闭皮带送至雷蒙机</w:t>
            </w:r>
            <w:r>
              <w:rPr>
                <w:rFonts w:hint="eastAsia" w:cs="Times New Roman"/>
                <w:color w:val="auto"/>
                <w:highlight w:val="none"/>
                <w:shd w:val="clear" w:color="auto" w:fill="auto"/>
                <w:lang w:val="en-US" w:eastAsia="zh-CN"/>
              </w:rPr>
              <w:t>（4#生产线为环辊磨）</w:t>
            </w:r>
            <w:r>
              <w:rPr>
                <w:rFonts w:hint="eastAsia" w:ascii="Times New Roman" w:hAnsi="Times New Roman" w:eastAsia="宋体" w:cs="Times New Roman"/>
                <w:color w:val="auto"/>
                <w:highlight w:val="none"/>
                <w:shd w:val="clear" w:color="auto" w:fill="auto"/>
                <w:lang w:val="en-US" w:eastAsia="zh-CN"/>
              </w:rPr>
              <w:t>，</w:t>
            </w:r>
            <w:r>
              <w:rPr>
                <w:rFonts w:hint="eastAsia" w:cs="Times New Roman"/>
                <w:color w:val="auto"/>
                <w:highlight w:val="none"/>
                <w:shd w:val="clear" w:color="auto" w:fill="auto"/>
                <w:lang w:val="en-US" w:eastAsia="zh-CN"/>
              </w:rPr>
              <w:t>加工</w:t>
            </w:r>
            <w:r>
              <w:rPr>
                <w:rFonts w:hint="eastAsia" w:ascii="Times New Roman" w:hAnsi="Times New Roman" w:eastAsia="宋体" w:cs="Times New Roman"/>
                <w:color w:val="auto"/>
                <w:highlight w:val="none"/>
                <w:shd w:val="clear" w:color="auto" w:fill="auto"/>
                <w:lang w:val="en-US" w:eastAsia="zh-CN"/>
              </w:rPr>
              <w:t>后的物料经封闭皮带送至产品仓，包装后外售。</w:t>
            </w:r>
          </w:p>
          <w:p w14:paraId="18318B5B">
            <w:pPr>
              <w:keepNext w:val="0"/>
              <w:keepLines w:val="0"/>
              <w:suppressLineNumbers w:val="0"/>
              <w:spacing w:before="0" w:beforeAutospacing="0" w:after="0" w:afterAutospacing="0" w:line="360" w:lineRule="auto"/>
              <w:ind w:left="0" w:right="0" w:firstLine="480" w:firstLineChars="200"/>
              <w:rPr>
                <w:rFonts w:hint="eastAsia" w:cs="Times New Roman"/>
                <w:color w:val="auto"/>
                <w:kern w:val="2"/>
                <w:sz w:val="24"/>
                <w:szCs w:val="24"/>
                <w:highlight w:val="none"/>
                <w:shd w:val="clear" w:color="auto" w:fill="auto"/>
                <w:lang w:val="en-US" w:eastAsia="zh-CN" w:bidi="ar-SA"/>
              </w:rPr>
            </w:pPr>
            <w:r>
              <w:rPr>
                <w:rFonts w:hint="default" w:ascii="Times New Roman" w:hAnsi="Times New Roman" w:cs="Times New Roman" w:eastAsiaTheme="minorEastAsia"/>
                <w:color w:val="auto"/>
                <w:kern w:val="2"/>
                <w:sz w:val="24"/>
                <w:szCs w:val="24"/>
                <w:highlight w:val="none"/>
                <w:shd w:val="clear" w:color="auto" w:fill="auto"/>
                <w:lang w:val="en-US" w:eastAsia="zh-CN" w:bidi="ar-SA"/>
              </w:rPr>
              <w:t>在</w:t>
            </w:r>
            <w:r>
              <w:rPr>
                <w:rFonts w:hint="eastAsia" w:cs="Times New Roman" w:eastAsiaTheme="minorEastAsia"/>
                <w:color w:val="auto"/>
                <w:kern w:val="2"/>
                <w:sz w:val="24"/>
                <w:szCs w:val="24"/>
                <w:highlight w:val="none"/>
                <w:shd w:val="clear" w:color="auto" w:fill="auto"/>
                <w:lang w:val="en-US" w:eastAsia="zh-CN" w:bidi="ar-SA"/>
              </w:rPr>
              <w:t>各</w:t>
            </w:r>
            <w:r>
              <w:rPr>
                <w:rFonts w:hint="default" w:ascii="Times New Roman" w:hAnsi="Times New Roman" w:cs="Times New Roman" w:eastAsiaTheme="minorEastAsia"/>
                <w:color w:val="auto"/>
                <w:kern w:val="2"/>
                <w:sz w:val="24"/>
                <w:szCs w:val="24"/>
                <w:highlight w:val="none"/>
                <w:shd w:val="clear" w:color="auto" w:fill="auto"/>
                <w:lang w:val="en-US" w:eastAsia="zh-CN" w:bidi="ar-SA"/>
              </w:rPr>
              <w:t>生产线上料、</w:t>
            </w:r>
            <w:r>
              <w:rPr>
                <w:rFonts w:hint="eastAsia" w:cs="Times New Roman" w:eastAsiaTheme="minorEastAsia"/>
                <w:color w:val="auto"/>
                <w:kern w:val="2"/>
                <w:sz w:val="24"/>
                <w:szCs w:val="24"/>
                <w:highlight w:val="none"/>
                <w:shd w:val="clear" w:color="auto" w:fill="auto"/>
                <w:lang w:val="en-US" w:eastAsia="zh-CN" w:bidi="ar-SA"/>
              </w:rPr>
              <w:t>颚破</w:t>
            </w:r>
            <w:r>
              <w:rPr>
                <w:rFonts w:hint="default" w:ascii="Times New Roman" w:hAnsi="Times New Roman" w:cs="Times New Roman" w:eastAsiaTheme="minorEastAsia"/>
                <w:color w:val="auto"/>
                <w:kern w:val="2"/>
                <w:sz w:val="24"/>
                <w:szCs w:val="24"/>
                <w:highlight w:val="none"/>
                <w:shd w:val="clear" w:color="auto" w:fill="auto"/>
                <w:lang w:val="en-US" w:eastAsia="zh-CN" w:bidi="ar-SA"/>
              </w:rPr>
              <w:t>、</w:t>
            </w:r>
            <w:r>
              <w:rPr>
                <w:rFonts w:hint="eastAsia" w:cs="Times New Roman" w:eastAsiaTheme="minorEastAsia"/>
                <w:color w:val="auto"/>
                <w:kern w:val="2"/>
                <w:sz w:val="24"/>
                <w:szCs w:val="24"/>
                <w:highlight w:val="none"/>
                <w:shd w:val="clear" w:color="auto" w:fill="auto"/>
                <w:lang w:val="en-US" w:eastAsia="zh-CN" w:bidi="ar-SA"/>
              </w:rPr>
              <w:t>中间仓、</w:t>
            </w:r>
            <w:r>
              <w:rPr>
                <w:rFonts w:hint="default" w:ascii="Times New Roman" w:hAnsi="Times New Roman" w:cs="Times New Roman" w:eastAsiaTheme="minorEastAsia"/>
                <w:color w:val="auto"/>
                <w:kern w:val="2"/>
                <w:sz w:val="24"/>
                <w:szCs w:val="24"/>
                <w:highlight w:val="none"/>
                <w:shd w:val="clear" w:color="auto" w:fill="auto"/>
                <w:lang w:val="en-US" w:eastAsia="zh-CN" w:bidi="ar-SA"/>
              </w:rPr>
              <w:t>锤破、筛分、</w:t>
            </w:r>
            <w:r>
              <w:rPr>
                <w:rFonts w:hint="eastAsia" w:cs="Times New Roman" w:eastAsiaTheme="minorEastAsia"/>
                <w:color w:val="auto"/>
                <w:kern w:val="2"/>
                <w:sz w:val="24"/>
                <w:szCs w:val="24"/>
                <w:highlight w:val="none"/>
                <w:shd w:val="clear" w:color="auto" w:fill="auto"/>
                <w:lang w:val="en-US" w:eastAsia="zh-CN" w:bidi="ar-SA"/>
              </w:rPr>
              <w:t>产品仓、</w:t>
            </w:r>
            <w:r>
              <w:rPr>
                <w:rFonts w:hint="default" w:ascii="Times New Roman" w:hAnsi="Times New Roman" w:cs="Times New Roman" w:eastAsiaTheme="minorEastAsia"/>
                <w:color w:val="auto"/>
                <w:kern w:val="2"/>
                <w:sz w:val="24"/>
                <w:szCs w:val="24"/>
                <w:highlight w:val="none"/>
                <w:shd w:val="clear" w:color="auto" w:fill="auto"/>
                <w:lang w:val="en-US" w:eastAsia="zh-CN" w:bidi="ar-SA"/>
              </w:rPr>
              <w:t>包装工序各设置一个集尘罩，废气经1套除尘设施净化</w:t>
            </w:r>
            <w:r>
              <w:rPr>
                <w:rFonts w:hint="eastAsia" w:cs="Times New Roman"/>
                <w:color w:val="auto"/>
                <w:kern w:val="2"/>
                <w:sz w:val="24"/>
                <w:szCs w:val="24"/>
                <w:highlight w:val="none"/>
                <w:shd w:val="clear" w:color="auto" w:fill="auto"/>
                <w:lang w:val="en-US" w:eastAsia="zh-CN" w:bidi="ar-SA"/>
              </w:rPr>
              <w:t>，净化后的废气经由各自生产线排气筒高空排放</w:t>
            </w:r>
            <w:r>
              <w:rPr>
                <w:rFonts w:hint="default" w:ascii="Times New Roman" w:hAnsi="Times New Roman" w:cs="Times New Roman" w:eastAsiaTheme="minorEastAsia"/>
                <w:color w:val="auto"/>
                <w:kern w:val="2"/>
                <w:sz w:val="24"/>
                <w:szCs w:val="24"/>
                <w:highlight w:val="none"/>
                <w:shd w:val="clear" w:color="auto" w:fill="auto"/>
                <w:lang w:val="en-US" w:eastAsia="zh-CN" w:bidi="ar-SA"/>
              </w:rPr>
              <w:t>；雷蒙</w:t>
            </w:r>
            <w:r>
              <w:rPr>
                <w:rFonts w:hint="eastAsia" w:cs="Times New Roman" w:eastAsiaTheme="minorEastAsia"/>
                <w:color w:val="auto"/>
                <w:kern w:val="2"/>
                <w:sz w:val="24"/>
                <w:szCs w:val="24"/>
                <w:highlight w:val="none"/>
                <w:shd w:val="clear" w:color="auto" w:fill="auto"/>
                <w:lang w:val="en-US" w:eastAsia="zh-CN" w:bidi="ar-SA"/>
              </w:rPr>
              <w:t>（4#生产线为环辊磨）</w:t>
            </w:r>
            <w:r>
              <w:rPr>
                <w:rFonts w:hint="default" w:ascii="Times New Roman" w:hAnsi="Times New Roman" w:cs="Times New Roman" w:eastAsiaTheme="minorEastAsia"/>
                <w:color w:val="auto"/>
                <w:kern w:val="2"/>
                <w:sz w:val="24"/>
                <w:szCs w:val="24"/>
                <w:highlight w:val="none"/>
                <w:shd w:val="clear" w:color="auto" w:fill="auto"/>
                <w:lang w:val="en-US" w:eastAsia="zh-CN" w:bidi="ar-SA"/>
              </w:rPr>
              <w:t>工序</w:t>
            </w:r>
            <w:r>
              <w:rPr>
                <w:rFonts w:hint="eastAsia" w:cs="Times New Roman"/>
                <w:color w:val="auto"/>
                <w:kern w:val="2"/>
                <w:sz w:val="24"/>
                <w:szCs w:val="24"/>
                <w:highlight w:val="none"/>
                <w:shd w:val="clear" w:color="auto" w:fill="auto"/>
                <w:lang w:val="en-US" w:eastAsia="zh-CN" w:bidi="ar-SA"/>
              </w:rPr>
              <w:t xml:space="preserve">产生的粉尘经自带布袋除尘器净化，净化后的废气由磨机余风送入各自生产线排气筒高空排放。 </w:t>
            </w:r>
          </w:p>
          <w:p w14:paraId="5648216B">
            <w:pPr>
              <w:keepNext w:val="0"/>
              <w:keepLines w:val="0"/>
              <w:suppressLineNumbers w:val="0"/>
              <w:spacing w:before="0" w:beforeAutospacing="0" w:after="0" w:afterAutospacing="0" w:line="360" w:lineRule="auto"/>
              <w:ind w:left="0" w:right="0"/>
              <w:rPr>
                <w:rFonts w:hint="eastAsia"/>
                <w:color w:val="auto"/>
                <w:sz w:val="24"/>
                <w:szCs w:val="24"/>
                <w:highlight w:val="none"/>
                <w:lang w:val="en-US" w:eastAsia="zh-CN"/>
              </w:rPr>
            </w:pPr>
            <w:r>
              <w:rPr>
                <w:rFonts w:hint="eastAsia" w:cs="Times New Roman"/>
                <w:color w:val="auto"/>
                <w:sz w:val="24"/>
                <w:szCs w:val="24"/>
                <w:highlight w:val="none"/>
                <w:shd w:val="clear" w:color="auto" w:fill="auto"/>
                <w:lang w:val="en-US" w:eastAsia="zh-CN"/>
              </w:rPr>
              <w:t>（3）</w:t>
            </w:r>
            <w:r>
              <w:rPr>
                <w:rFonts w:hint="eastAsia" w:cs="Times New Roman"/>
                <w:color w:val="auto"/>
                <w:kern w:val="2"/>
                <w:sz w:val="24"/>
                <w:szCs w:val="24"/>
                <w:highlight w:val="none"/>
                <w:shd w:val="clear" w:color="auto" w:fill="auto"/>
                <w:lang w:val="en-US" w:eastAsia="zh-CN" w:bidi="ar-SA"/>
              </w:rPr>
              <w:t>5#生产线</w:t>
            </w:r>
            <w:r>
              <w:rPr>
                <w:rFonts w:hint="eastAsia" w:cs="Times New Roman"/>
                <w:color w:val="auto"/>
                <w:sz w:val="24"/>
                <w:szCs w:val="24"/>
                <w:highlight w:val="none"/>
                <w:shd w:val="clear" w:color="auto" w:fill="auto"/>
                <w:lang w:val="en-US" w:eastAsia="zh-CN"/>
              </w:rPr>
              <w:t>生产工艺流程简述：</w:t>
            </w:r>
          </w:p>
          <w:p w14:paraId="443B1256">
            <w:pPr>
              <w:pStyle w:val="16"/>
              <w:keepNext w:val="0"/>
              <w:keepLines w:val="0"/>
              <w:suppressLineNumbers w:val="0"/>
              <w:spacing w:before="0" w:beforeAutospacing="0" w:after="0" w:afterAutospacing="0" w:line="360" w:lineRule="auto"/>
              <w:ind w:left="0" w:leftChars="0" w:right="0" w:firstLine="480" w:firstLineChars="200"/>
              <w:rPr>
                <w:rFonts w:hint="eastAsia" w:cs="Times New Roman"/>
                <w:color w:val="auto"/>
                <w:kern w:val="2"/>
                <w:sz w:val="24"/>
                <w:szCs w:val="24"/>
                <w:highlight w:val="none"/>
                <w:shd w:val="clear" w:color="auto" w:fill="auto"/>
                <w:lang w:val="en-US" w:eastAsia="zh-CN" w:bidi="ar-SA"/>
              </w:rPr>
            </w:pPr>
            <w:r>
              <w:rPr>
                <w:rFonts w:hint="eastAsia" w:ascii="Times New Roman" w:hAnsi="Times New Roman" w:eastAsia="宋体" w:cs="Times New Roman"/>
                <w:color w:val="auto"/>
                <w:highlight w:val="none"/>
                <w:shd w:val="clear" w:color="auto" w:fill="auto"/>
                <w:lang w:val="en-US" w:eastAsia="zh-CN"/>
              </w:rPr>
              <w:t>项目</w:t>
            </w:r>
            <w:r>
              <w:rPr>
                <w:rFonts w:hint="eastAsia" w:cs="Times New Roman"/>
                <w:color w:val="auto"/>
                <w:highlight w:val="none"/>
                <w:shd w:val="clear" w:color="auto" w:fill="auto"/>
                <w:lang w:val="en-US" w:eastAsia="zh-CN"/>
              </w:rPr>
              <w:t>购买规格小于60cm的原料，在封闭的2#原料库房卸料，</w:t>
            </w:r>
            <w:r>
              <w:rPr>
                <w:rFonts w:hint="eastAsia" w:cs="Times New Roman"/>
                <w:color w:val="auto"/>
                <w:kern w:val="2"/>
                <w:sz w:val="24"/>
                <w:szCs w:val="24"/>
                <w:highlight w:val="none"/>
                <w:shd w:val="clear" w:color="auto" w:fill="auto"/>
                <w:lang w:val="en-US" w:eastAsia="zh-CN" w:bidi="ar-SA"/>
              </w:rPr>
              <w:t>5#生产线位于2#车间，原料经铲车上料，颚式破碎机破碎后由提升机输送至中间仓，经封闭皮带送至锤式破碎机，破碎后的物料经封闭皮带送至筛分机，筛分后筛上料经封闭皮带送回锤式破碎机，筛下料根据项目需要经各自封闭皮带送入对应产品仓，</w:t>
            </w:r>
            <w:r>
              <w:rPr>
                <w:rFonts w:hint="eastAsia" w:ascii="Times New Roman" w:hAnsi="Times New Roman" w:eastAsia="宋体" w:cs="Times New Roman"/>
                <w:color w:val="auto"/>
                <w:highlight w:val="none"/>
                <w:shd w:val="clear" w:color="auto" w:fill="auto"/>
                <w:lang w:val="en-US" w:eastAsia="zh-CN"/>
              </w:rPr>
              <w:t>包装后外售</w:t>
            </w:r>
            <w:r>
              <w:rPr>
                <w:rFonts w:hint="eastAsia" w:cs="Times New Roman"/>
                <w:color w:val="auto"/>
                <w:highlight w:val="none"/>
                <w:shd w:val="clear" w:color="auto" w:fill="auto"/>
                <w:lang w:val="en-US" w:eastAsia="zh-CN"/>
              </w:rPr>
              <w:t>或经封闭皮带运送至色选机，色选出白度≥90的白云砂包装后外售；白度＜90的白云砂送至产品仓，包装后外售</w:t>
            </w:r>
            <w:r>
              <w:rPr>
                <w:rFonts w:hint="eastAsia" w:ascii="Times New Roman" w:hAnsi="Times New Roman" w:eastAsia="宋体" w:cs="Times New Roman"/>
                <w:color w:val="auto"/>
                <w:highlight w:val="none"/>
                <w:shd w:val="clear" w:color="auto" w:fill="auto"/>
                <w:lang w:val="en-US" w:eastAsia="zh-CN"/>
              </w:rPr>
              <w:t>。</w:t>
            </w:r>
          </w:p>
          <w:p w14:paraId="5B090A3B">
            <w:pPr>
              <w:pStyle w:val="17"/>
              <w:keepNext w:val="0"/>
              <w:keepLines w:val="0"/>
              <w:suppressLineNumbers w:val="0"/>
              <w:spacing w:before="0" w:beforeAutospacing="0" w:after="0" w:afterAutospacing="0" w:line="360" w:lineRule="auto"/>
              <w:ind w:left="0" w:right="0" w:firstLine="480" w:firstLineChars="200"/>
              <w:rPr>
                <w:rFonts w:hint="eastAsia"/>
                <w:color w:val="auto"/>
                <w:highlight w:val="none"/>
                <w:lang w:val="en-US" w:eastAsia="zh-CN"/>
              </w:rPr>
            </w:pPr>
            <w:r>
              <w:rPr>
                <w:rFonts w:hint="eastAsia" w:cs="Times New Roman"/>
                <w:color w:val="auto"/>
                <w:kern w:val="2"/>
                <w:sz w:val="24"/>
                <w:szCs w:val="24"/>
                <w:highlight w:val="none"/>
                <w:shd w:val="clear" w:color="auto" w:fill="auto"/>
                <w:lang w:val="en-US" w:eastAsia="zh-CN" w:bidi="ar-SA"/>
              </w:rPr>
              <w:t>在2#原料库房卸料、5#生产线上料、颚破、中间仓、锤破、筛分、色选、产品仓、包装工序各设置一个集尘罩，废气经1套除尘设施净化，净化后的废气送入15m高排气筒DA004排放。</w:t>
            </w:r>
          </w:p>
          <w:p w14:paraId="3FAAA448">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2"/>
                <w:sz w:val="24"/>
                <w:szCs w:val="24"/>
                <w:highlight w:val="none"/>
                <w:shd w:val="clear" w:color="auto" w:fill="auto"/>
                <w:lang w:val="en-US" w:eastAsia="zh-CN" w:bidi="ar-SA"/>
              </w:rPr>
            </w:pPr>
            <w:r>
              <w:rPr>
                <w:rFonts w:hint="eastAsia" w:cs="Times New Roman"/>
                <w:color w:val="auto"/>
                <w:kern w:val="2"/>
                <w:sz w:val="24"/>
                <w:szCs w:val="24"/>
                <w:highlight w:val="none"/>
                <w:shd w:val="clear" w:color="auto" w:fill="auto"/>
                <w:lang w:val="en-US" w:eastAsia="zh-CN" w:bidi="ar-SA"/>
              </w:rPr>
              <w:t>工艺流程详见图2、3、4，产污环节见表2-6</w:t>
            </w:r>
          </w:p>
          <w:p w14:paraId="32F3B2D5">
            <w:pPr>
              <w:keepNext w:val="0"/>
              <w:keepLines w:val="0"/>
              <w:suppressLineNumbers w:val="0"/>
              <w:spacing w:before="0" w:beforeAutospacing="0" w:after="0" w:afterAutospacing="0" w:line="360" w:lineRule="auto"/>
              <w:ind w:left="0" w:right="0"/>
              <w:jc w:val="center"/>
              <w:rPr>
                <w:color w:val="auto"/>
                <w:highlight w:val="none"/>
              </w:rPr>
            </w:pPr>
            <w:r>
              <w:rPr>
                <w:color w:val="auto"/>
                <w:highlight w:val="none"/>
              </w:rPr>
              <w:drawing>
                <wp:inline distT="0" distB="0" distL="114300" distR="114300">
                  <wp:extent cx="5022850" cy="2817495"/>
                  <wp:effectExtent l="12700" t="12700" r="12700" b="27305"/>
                  <wp:docPr id="113" name="ECB019B1-382A-4266-B25C-5B523AA43C14-3" descr="C:/Users/Administrator/AppData/Local/Temp/wps.eQmExM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ECB019B1-382A-4266-B25C-5B523AA43C14-3" descr="C:/Users/Administrator/AppData/Local/Temp/wps.eQmExMwps"/>
                          <pic:cNvPicPr>
                            <a:picLocks noChangeAspect="1"/>
                          </pic:cNvPicPr>
                        </pic:nvPicPr>
                        <pic:blipFill>
                          <a:blip r:embed="rId9"/>
                          <a:stretch>
                            <a:fillRect/>
                          </a:stretch>
                        </pic:blipFill>
                        <pic:spPr>
                          <a:xfrm>
                            <a:off x="0" y="0"/>
                            <a:ext cx="5022850" cy="2817495"/>
                          </a:xfrm>
                          <a:prstGeom prst="rect">
                            <a:avLst/>
                          </a:prstGeom>
                          <a:ln w="12700" cmpd="sng">
                            <a:solidFill>
                              <a:schemeClr val="tx1"/>
                            </a:solidFill>
                            <a:prstDash val="solid"/>
                          </a:ln>
                        </pic:spPr>
                      </pic:pic>
                    </a:graphicData>
                  </a:graphic>
                </wp:inline>
              </w:drawing>
            </w:r>
          </w:p>
          <w:p w14:paraId="1D9E0C1C">
            <w:pPr>
              <w:pStyle w:val="17"/>
              <w:keepNext w:val="0"/>
              <w:keepLines w:val="0"/>
              <w:suppressLineNumbers w:val="0"/>
              <w:spacing w:before="0" w:beforeAutospacing="0" w:after="0" w:afterAutospacing="0"/>
              <w:ind w:left="0" w:right="0"/>
              <w:jc w:val="center"/>
              <w:rPr>
                <w:rFonts w:hint="default" w:eastAsia="宋体"/>
                <w:color w:val="auto"/>
                <w:highlight w:val="none"/>
                <w:lang w:val="en-US" w:eastAsia="zh-CN"/>
              </w:rPr>
            </w:pPr>
            <w:r>
              <w:rPr>
                <w:rFonts w:hint="eastAsia" w:ascii="Calibri" w:hAnsi="Calibri" w:eastAsia="宋体" w:cs="Times New Roman"/>
                <w:color w:val="auto"/>
                <w:sz w:val="24"/>
                <w:szCs w:val="24"/>
                <w:highlight w:val="none"/>
                <w:shd w:val="clear" w:color="auto" w:fill="auto"/>
                <w:lang w:val="en-US" w:eastAsia="zh-CN"/>
              </w:rPr>
              <w:t>图2 水洗白云石生产</w:t>
            </w:r>
            <w:r>
              <w:rPr>
                <w:rFonts w:ascii="Calibri" w:hAnsi="Calibri" w:eastAsia="宋体" w:cs="Times New Roman"/>
                <w:color w:val="auto"/>
                <w:sz w:val="24"/>
                <w:szCs w:val="24"/>
                <w:highlight w:val="none"/>
                <w:shd w:val="clear" w:color="auto" w:fill="auto"/>
              </w:rPr>
              <w:t>工艺流程图及</w:t>
            </w:r>
            <w:r>
              <w:rPr>
                <w:rFonts w:hint="eastAsia" w:ascii="Calibri" w:hAnsi="Calibri" w:eastAsia="宋体" w:cs="Times New Roman"/>
                <w:color w:val="auto"/>
                <w:sz w:val="24"/>
                <w:szCs w:val="24"/>
                <w:highlight w:val="none"/>
                <w:shd w:val="clear" w:color="auto" w:fill="auto"/>
                <w:lang w:eastAsia="zh-CN"/>
              </w:rPr>
              <w:t>产</w:t>
            </w:r>
            <w:r>
              <w:rPr>
                <w:rFonts w:ascii="Calibri" w:hAnsi="Calibri" w:eastAsia="宋体" w:cs="Times New Roman"/>
                <w:color w:val="auto"/>
                <w:sz w:val="24"/>
                <w:szCs w:val="24"/>
                <w:highlight w:val="none"/>
                <w:shd w:val="clear" w:color="auto" w:fill="auto"/>
              </w:rPr>
              <w:t>污节点图</w:t>
            </w:r>
          </w:p>
          <w:p w14:paraId="5C3A3EB9">
            <w:pPr>
              <w:keepNext w:val="0"/>
              <w:keepLines w:val="0"/>
              <w:suppressLineNumbers w:val="0"/>
              <w:spacing w:before="0" w:beforeAutospacing="0" w:after="0" w:afterAutospacing="0" w:line="360" w:lineRule="auto"/>
              <w:ind w:left="0" w:right="0"/>
              <w:jc w:val="center"/>
              <w:rPr>
                <w:rFonts w:ascii="Calibri" w:hAnsi="Calibri" w:eastAsia="宋体" w:cs="Times New Roman"/>
                <w:color w:val="auto"/>
                <w:sz w:val="24"/>
                <w:szCs w:val="24"/>
                <w:highlight w:val="none"/>
                <w:shd w:val="clear" w:color="auto" w:fill="auto"/>
              </w:rPr>
            </w:pPr>
            <w:r>
              <w:rPr>
                <w:rFonts w:ascii="Calibri" w:hAnsi="Calibri" w:eastAsia="宋体" w:cs="Times New Roman"/>
                <w:color w:val="auto"/>
                <w:sz w:val="24"/>
                <w:szCs w:val="24"/>
                <w:highlight w:val="none"/>
                <w:shd w:val="clear" w:color="auto" w:fill="auto"/>
              </w:rPr>
              <w:drawing>
                <wp:inline distT="0" distB="0" distL="114300" distR="114300">
                  <wp:extent cx="5237480" cy="3957955"/>
                  <wp:effectExtent l="12700" t="12700" r="26670" b="29845"/>
                  <wp:docPr id="34" name="ECB019B1-382A-4266-B25C-5B523AA43C14-4" descr="C:/Users/Administrator/AppData/Local/Temp/wps.YXKsre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ECB019B1-382A-4266-B25C-5B523AA43C14-4" descr="C:/Users/Administrator/AppData/Local/Temp/wps.YXKsrewps"/>
                          <pic:cNvPicPr>
                            <a:picLocks noChangeAspect="1"/>
                          </pic:cNvPicPr>
                        </pic:nvPicPr>
                        <pic:blipFill>
                          <a:blip r:embed="rId10"/>
                          <a:stretch>
                            <a:fillRect/>
                          </a:stretch>
                        </pic:blipFill>
                        <pic:spPr>
                          <a:xfrm>
                            <a:off x="0" y="0"/>
                            <a:ext cx="5237480" cy="3957955"/>
                          </a:xfrm>
                          <a:prstGeom prst="rect">
                            <a:avLst/>
                          </a:prstGeom>
                          <a:ln w="12700">
                            <a:solidFill>
                              <a:schemeClr val="tx1"/>
                            </a:solidFill>
                          </a:ln>
                        </pic:spPr>
                      </pic:pic>
                    </a:graphicData>
                  </a:graphic>
                </wp:inline>
              </w:drawing>
            </w:r>
          </w:p>
          <w:p w14:paraId="7D84F17D">
            <w:pPr>
              <w:keepNext w:val="0"/>
              <w:keepLines w:val="0"/>
              <w:suppressLineNumbers w:val="0"/>
              <w:spacing w:before="0" w:beforeAutospacing="0" w:after="0" w:afterAutospacing="0" w:line="360" w:lineRule="auto"/>
              <w:ind w:left="0" w:right="0"/>
              <w:jc w:val="center"/>
              <w:rPr>
                <w:color w:val="auto"/>
                <w:highlight w:val="none"/>
              </w:rPr>
            </w:pPr>
            <w:r>
              <w:rPr>
                <w:rFonts w:ascii="Calibri" w:hAnsi="Calibri" w:eastAsia="宋体" w:cs="Times New Roman"/>
                <w:color w:val="auto"/>
                <w:sz w:val="24"/>
                <w:szCs w:val="24"/>
                <w:highlight w:val="none"/>
                <w:shd w:val="clear" w:color="auto" w:fill="auto"/>
              </w:rPr>
              <w:t>图</w:t>
            </w:r>
            <w:r>
              <w:rPr>
                <w:rFonts w:hint="eastAsia" w:ascii="Calibri" w:hAnsi="Calibri" w:cs="Times New Roman"/>
                <w:color w:val="auto"/>
                <w:sz w:val="24"/>
                <w:szCs w:val="24"/>
                <w:highlight w:val="none"/>
                <w:shd w:val="clear" w:color="auto" w:fill="auto"/>
                <w:lang w:val="en-US" w:eastAsia="zh-CN"/>
              </w:rPr>
              <w:t>3</w:t>
            </w:r>
            <w:r>
              <w:rPr>
                <w:rFonts w:ascii="Calibri" w:hAnsi="Calibri" w:eastAsia="宋体" w:cs="Times New Roman"/>
                <w:color w:val="auto"/>
                <w:sz w:val="24"/>
                <w:szCs w:val="24"/>
                <w:highlight w:val="none"/>
                <w:shd w:val="clear" w:color="auto" w:fill="auto"/>
              </w:rPr>
              <w:t xml:space="preserve">    </w:t>
            </w:r>
            <w:r>
              <w:rPr>
                <w:rFonts w:hint="eastAsia" w:ascii="Calibri" w:hAnsi="Calibri" w:cs="Times New Roman"/>
                <w:color w:val="auto"/>
                <w:sz w:val="24"/>
                <w:szCs w:val="24"/>
                <w:highlight w:val="none"/>
                <w:shd w:val="clear" w:color="auto" w:fill="auto"/>
                <w:lang w:eastAsia="zh-CN"/>
              </w:rPr>
              <w:t>白云石粉</w:t>
            </w:r>
            <w:r>
              <w:rPr>
                <w:rFonts w:hint="eastAsia" w:ascii="Calibri" w:hAnsi="Calibri" w:eastAsia="宋体" w:cs="Times New Roman"/>
                <w:color w:val="auto"/>
                <w:sz w:val="24"/>
                <w:szCs w:val="24"/>
                <w:highlight w:val="none"/>
                <w:shd w:val="clear" w:color="auto" w:fill="auto"/>
                <w:lang w:val="en-US" w:eastAsia="zh-CN"/>
              </w:rPr>
              <w:t>生产</w:t>
            </w:r>
            <w:r>
              <w:rPr>
                <w:rFonts w:ascii="Calibri" w:hAnsi="Calibri" w:eastAsia="宋体" w:cs="Times New Roman"/>
                <w:color w:val="auto"/>
                <w:sz w:val="24"/>
                <w:szCs w:val="24"/>
                <w:highlight w:val="none"/>
                <w:shd w:val="clear" w:color="auto" w:fill="auto"/>
              </w:rPr>
              <w:t>工艺流程图及</w:t>
            </w:r>
            <w:r>
              <w:rPr>
                <w:rFonts w:hint="eastAsia" w:ascii="Calibri" w:hAnsi="Calibri" w:eastAsia="宋体" w:cs="Times New Roman"/>
                <w:color w:val="auto"/>
                <w:sz w:val="24"/>
                <w:szCs w:val="24"/>
                <w:highlight w:val="none"/>
                <w:shd w:val="clear" w:color="auto" w:fill="auto"/>
                <w:lang w:eastAsia="zh-CN"/>
              </w:rPr>
              <w:t>产</w:t>
            </w:r>
            <w:r>
              <w:rPr>
                <w:rFonts w:ascii="Calibri" w:hAnsi="Calibri" w:eastAsia="宋体" w:cs="Times New Roman"/>
                <w:color w:val="auto"/>
                <w:sz w:val="24"/>
                <w:szCs w:val="24"/>
                <w:highlight w:val="none"/>
                <w:shd w:val="clear" w:color="auto" w:fill="auto"/>
              </w:rPr>
              <w:t>污节点图</w:t>
            </w:r>
          </w:p>
          <w:p w14:paraId="5BFE952B">
            <w:pPr>
              <w:pStyle w:val="17"/>
              <w:keepNext w:val="0"/>
              <w:keepLines w:val="0"/>
              <w:suppressLineNumbers w:val="0"/>
              <w:spacing w:before="0" w:beforeAutospacing="0" w:after="0" w:afterAutospacing="0"/>
              <w:ind w:left="0" w:right="0"/>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4977765" cy="4014470"/>
                  <wp:effectExtent l="12700" t="12700" r="19685" b="30480"/>
                  <wp:docPr id="35" name="ECB019B1-382A-4266-B25C-5B523AA43C14-5" descr="C:/Users/Administrator/AppData/Local/Temp/wps.oafBcp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ECB019B1-382A-4266-B25C-5B523AA43C14-5" descr="C:/Users/Administrator/AppData/Local/Temp/wps.oafBcpwps"/>
                          <pic:cNvPicPr>
                            <a:picLocks noChangeAspect="1"/>
                          </pic:cNvPicPr>
                        </pic:nvPicPr>
                        <pic:blipFill>
                          <a:blip r:embed="rId11"/>
                          <a:stretch>
                            <a:fillRect/>
                          </a:stretch>
                        </pic:blipFill>
                        <pic:spPr>
                          <a:xfrm>
                            <a:off x="0" y="0"/>
                            <a:ext cx="4977765" cy="4014470"/>
                          </a:xfrm>
                          <a:prstGeom prst="rect">
                            <a:avLst/>
                          </a:prstGeom>
                          <a:ln w="12700">
                            <a:solidFill>
                              <a:schemeClr val="tx1"/>
                            </a:solidFill>
                          </a:ln>
                        </pic:spPr>
                      </pic:pic>
                    </a:graphicData>
                  </a:graphic>
                </wp:inline>
              </w:drawing>
            </w:r>
          </w:p>
          <w:p w14:paraId="5BC8B155">
            <w:pPr>
              <w:keepNext w:val="0"/>
              <w:keepLines w:val="0"/>
              <w:suppressLineNumbers w:val="0"/>
              <w:spacing w:before="0" w:beforeAutospacing="0" w:after="0" w:afterAutospacing="0" w:line="360" w:lineRule="auto"/>
              <w:ind w:left="0" w:right="0"/>
              <w:jc w:val="center"/>
              <w:rPr>
                <w:rFonts w:ascii="Calibri" w:hAnsi="Calibri" w:eastAsia="宋体" w:cs="Times New Roman"/>
                <w:color w:val="auto"/>
                <w:sz w:val="24"/>
                <w:szCs w:val="24"/>
                <w:highlight w:val="none"/>
                <w:shd w:val="clear" w:color="auto" w:fill="auto"/>
              </w:rPr>
            </w:pPr>
            <w:r>
              <w:rPr>
                <w:rFonts w:ascii="Calibri" w:hAnsi="Calibri" w:eastAsia="宋体" w:cs="Times New Roman"/>
                <w:color w:val="auto"/>
                <w:sz w:val="24"/>
                <w:szCs w:val="24"/>
                <w:highlight w:val="none"/>
                <w:shd w:val="clear" w:color="auto" w:fill="auto"/>
              </w:rPr>
              <w:t>图</w:t>
            </w:r>
            <w:r>
              <w:rPr>
                <w:rFonts w:hint="eastAsia" w:ascii="Calibri" w:hAnsi="Calibri" w:cs="Times New Roman"/>
                <w:color w:val="auto"/>
                <w:sz w:val="24"/>
                <w:szCs w:val="24"/>
                <w:highlight w:val="none"/>
                <w:shd w:val="clear" w:color="auto" w:fill="auto"/>
                <w:lang w:val="en-US" w:eastAsia="zh-CN"/>
              </w:rPr>
              <w:t>4</w:t>
            </w:r>
            <w:r>
              <w:rPr>
                <w:rFonts w:ascii="Calibri" w:hAnsi="Calibri" w:eastAsia="宋体" w:cs="Times New Roman"/>
                <w:color w:val="auto"/>
                <w:sz w:val="24"/>
                <w:szCs w:val="24"/>
                <w:highlight w:val="none"/>
                <w:shd w:val="clear" w:color="auto" w:fill="auto"/>
              </w:rPr>
              <w:t xml:space="preserve">    </w:t>
            </w:r>
            <w:r>
              <w:rPr>
                <w:rFonts w:hint="eastAsia" w:ascii="Calibri" w:hAnsi="Calibri" w:cs="Times New Roman"/>
                <w:color w:val="auto"/>
                <w:sz w:val="24"/>
                <w:szCs w:val="24"/>
                <w:highlight w:val="none"/>
                <w:shd w:val="clear" w:color="auto" w:fill="auto"/>
                <w:lang w:eastAsia="zh-CN"/>
              </w:rPr>
              <w:t>白云砂</w:t>
            </w:r>
            <w:r>
              <w:rPr>
                <w:rFonts w:hint="eastAsia" w:ascii="Calibri" w:hAnsi="Calibri" w:eastAsia="宋体" w:cs="Times New Roman"/>
                <w:color w:val="auto"/>
                <w:sz w:val="24"/>
                <w:szCs w:val="24"/>
                <w:highlight w:val="none"/>
                <w:shd w:val="clear" w:color="auto" w:fill="auto"/>
                <w:lang w:val="en-US" w:eastAsia="zh-CN"/>
              </w:rPr>
              <w:t>生产</w:t>
            </w:r>
            <w:r>
              <w:rPr>
                <w:rFonts w:ascii="Calibri" w:hAnsi="Calibri" w:eastAsia="宋体" w:cs="Times New Roman"/>
                <w:color w:val="auto"/>
                <w:sz w:val="24"/>
                <w:szCs w:val="24"/>
                <w:highlight w:val="none"/>
                <w:shd w:val="clear" w:color="auto" w:fill="auto"/>
              </w:rPr>
              <w:t>工艺流程图及</w:t>
            </w:r>
            <w:r>
              <w:rPr>
                <w:rFonts w:hint="eastAsia" w:ascii="Calibri" w:hAnsi="Calibri" w:eastAsia="宋体" w:cs="Times New Roman"/>
                <w:color w:val="auto"/>
                <w:sz w:val="24"/>
                <w:szCs w:val="24"/>
                <w:highlight w:val="none"/>
                <w:shd w:val="clear" w:color="auto" w:fill="auto"/>
                <w:lang w:eastAsia="zh-CN"/>
              </w:rPr>
              <w:t>产</w:t>
            </w:r>
            <w:r>
              <w:rPr>
                <w:rFonts w:ascii="Calibri" w:hAnsi="Calibri" w:eastAsia="宋体" w:cs="Times New Roman"/>
                <w:color w:val="auto"/>
                <w:sz w:val="24"/>
                <w:szCs w:val="24"/>
                <w:highlight w:val="none"/>
                <w:shd w:val="clear" w:color="auto" w:fill="auto"/>
              </w:rPr>
              <w:t>污节点图</w:t>
            </w:r>
          </w:p>
          <w:p w14:paraId="2BB83407">
            <w:pPr>
              <w:pStyle w:val="4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ascii="Times New Roman" w:hAnsi="Times New Roman" w:eastAsia="宋体" w:cs="Times New Roman"/>
                <w:color w:val="auto"/>
                <w:sz w:val="24"/>
                <w:highlight w:val="none"/>
                <w:lang w:eastAsia="zh-CN"/>
              </w:rPr>
            </w:pPr>
            <w:r>
              <w:rPr>
                <w:rFonts w:hint="eastAsia" w:ascii="Times New Roman" w:hAnsi="Times New Roman" w:cs="Times New Roman"/>
                <w:color w:val="auto"/>
                <w:sz w:val="24"/>
                <w:highlight w:val="none"/>
                <w:lang w:val="en-US" w:eastAsia="zh-CN"/>
              </w:rPr>
              <w:t xml:space="preserve">表2-6  </w:t>
            </w:r>
            <w:r>
              <w:rPr>
                <w:rFonts w:hint="default" w:ascii="Times New Roman" w:hAnsi="Times New Roman" w:cs="Times New Roman"/>
                <w:color w:val="auto"/>
                <w:sz w:val="24"/>
                <w:highlight w:val="none"/>
                <w:lang w:eastAsia="zh-CN"/>
              </w:rPr>
              <w:t>生产工艺</w:t>
            </w:r>
            <w:r>
              <w:rPr>
                <w:rFonts w:hint="eastAsia" w:ascii="Times New Roman" w:hAnsi="Times New Roman" w:cs="Times New Roman"/>
                <w:color w:val="auto"/>
                <w:sz w:val="24"/>
                <w:highlight w:val="none"/>
                <w:lang w:eastAsia="zh-CN"/>
              </w:rPr>
              <w:t>运营期产</w:t>
            </w:r>
            <w:r>
              <w:rPr>
                <w:rFonts w:hint="default" w:ascii="Times New Roman" w:hAnsi="Times New Roman" w:cs="Times New Roman"/>
                <w:color w:val="auto"/>
                <w:sz w:val="24"/>
                <w:highlight w:val="none"/>
              </w:rPr>
              <w:t>污节点</w:t>
            </w:r>
            <w:r>
              <w:rPr>
                <w:rFonts w:hint="eastAsia" w:ascii="Times New Roman" w:hAnsi="Times New Roman" w:cs="Times New Roman"/>
                <w:color w:val="auto"/>
                <w:sz w:val="24"/>
                <w:highlight w:val="none"/>
                <w:lang w:eastAsia="zh-CN"/>
              </w:rPr>
              <w:t>分析表</w:t>
            </w:r>
          </w:p>
          <w:tbl>
            <w:tblPr>
              <w:tblStyle w:val="25"/>
              <w:tblW w:w="794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26"/>
              <w:gridCol w:w="649"/>
              <w:gridCol w:w="1248"/>
              <w:gridCol w:w="1620"/>
              <w:gridCol w:w="1715"/>
              <w:gridCol w:w="2286"/>
            </w:tblGrid>
            <w:tr w14:paraId="0896E8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5" w:hRule="atLeast"/>
                <w:jc w:val="center"/>
              </w:trPr>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2BD63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序号</w:t>
                  </w:r>
                </w:p>
              </w:tc>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75B63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污染类型</w:t>
                  </w:r>
                </w:p>
              </w:tc>
              <w:tc>
                <w:tcPr>
                  <w:tcW w:w="180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B57B8C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产污环节</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EFE57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污染因子</w:t>
                  </w:r>
                </w:p>
              </w:tc>
              <w:tc>
                <w:tcPr>
                  <w:tcW w:w="1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CB4F2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污染防治措施</w:t>
                  </w:r>
                </w:p>
              </w:tc>
            </w:tr>
            <w:tr w14:paraId="064BF7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5F91E9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40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EEA5B0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废气</w:t>
                  </w: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E8BC8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eastAsia" w:cs="Times New Roman"/>
                      <w:i w:val="0"/>
                      <w:iCs w:val="0"/>
                      <w:color w:val="auto"/>
                      <w:kern w:val="0"/>
                      <w:sz w:val="21"/>
                      <w:szCs w:val="21"/>
                      <w:highlight w:val="none"/>
                      <w:u w:val="none"/>
                      <w:lang w:val="en-US" w:eastAsia="zh-CN" w:bidi="ar"/>
                    </w:rPr>
                    <w:t>原料库房</w:t>
                  </w: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DBFC4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原料</w:t>
                  </w:r>
                  <w:r>
                    <w:rPr>
                      <w:rFonts w:hint="default" w:ascii="Times New Roman" w:hAnsi="Times New Roman" w:eastAsia="宋体" w:cs="Times New Roman"/>
                      <w:i w:val="0"/>
                      <w:iCs w:val="0"/>
                      <w:color w:val="auto"/>
                      <w:kern w:val="0"/>
                      <w:sz w:val="21"/>
                      <w:szCs w:val="21"/>
                      <w:highlight w:val="none"/>
                      <w:u w:val="none"/>
                      <w:lang w:val="en-US" w:eastAsia="zh-CN" w:bidi="ar"/>
                    </w:rPr>
                    <w:t>卸料</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F21D9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B39BC4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布袋除尘器+15m 高排气筒DA001</w:t>
                  </w:r>
                </w:p>
              </w:tc>
            </w:tr>
            <w:tr w14:paraId="2E8F77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6C370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5DE51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C18D9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1#生产线</w:t>
                  </w: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3C7E1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上料</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A161C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333D5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r>
            <w:tr w14:paraId="298E6C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E578A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70254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411D31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2#生产线</w:t>
                  </w: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2B507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上料</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CC057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5D7511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布袋除尘器+15m 高排气筒DA001</w:t>
                  </w:r>
                </w:p>
              </w:tc>
            </w:tr>
            <w:tr w14:paraId="0B4F45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7A763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64FCD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3D341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D9440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颚破</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7B7B1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DD3A9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r>
            <w:tr w14:paraId="203396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1516F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FC166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785CA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53327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中间仓</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C9848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A60CA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r>
            <w:tr w14:paraId="30AE33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24423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4D604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3B7CD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F4302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锤破</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EB5A1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E47D6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r>
            <w:tr w14:paraId="50C0CD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C38D5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A9683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56EB3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EF370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筛分</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A5730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941AC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r>
            <w:tr w14:paraId="143C55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C66AA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B1917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47B96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BBDCE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产品仓</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93FF0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23F7F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r>
            <w:tr w14:paraId="50CE4F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02A41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0B6D4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FEFC9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E6B60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包装</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1AC06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D39BB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r>
            <w:tr w14:paraId="43927A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A32FB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9F9D3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802B2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67943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雷蒙</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AA9AC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2C12F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自带布袋除尘器+15m 高排气筒DA001</w:t>
                  </w:r>
                </w:p>
              </w:tc>
            </w:tr>
            <w:tr w14:paraId="2A1D72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D003E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53E6D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7DAF1B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3#生产线</w:t>
                  </w: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42814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上料</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EC4E3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4050AC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布袋除尘器+15m 高排气筒DA002</w:t>
                  </w:r>
                </w:p>
              </w:tc>
            </w:tr>
            <w:tr w14:paraId="1CA8D1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6625A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6C3D3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A3013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02F51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颚破</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31A47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EF14B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r>
            <w:tr w14:paraId="4ECB6D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36E49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605B3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9FF61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F76A4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中间仓</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F5B10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28712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r>
            <w:tr w14:paraId="1674DC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05FFC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03B5A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0FD95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1E210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锤破</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E9BAA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2DC61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r>
            <w:tr w14:paraId="6F6450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4E74B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279C8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3C882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50574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筛分</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5CA1B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95963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r>
            <w:tr w14:paraId="5500AC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23838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5BE7A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80B1E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0B730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产品仓</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7184C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6E1A4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r>
            <w:tr w14:paraId="0F14AF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58428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8BB64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6B7E1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67CEB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包装</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0FBDE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5F3BA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r>
            <w:tr w14:paraId="440AD6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71B93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898E4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473A1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A6420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雷蒙</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1C160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C3079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自带布袋除尘器+15m 高排气筒DA002</w:t>
                  </w:r>
                </w:p>
              </w:tc>
            </w:tr>
            <w:tr w14:paraId="435A96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41060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8A801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A084B3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4#生产线</w:t>
                  </w: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D30B1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上料</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768D5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964B71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布袋除尘器+15m 高排气筒DA003</w:t>
                  </w:r>
                </w:p>
              </w:tc>
            </w:tr>
            <w:tr w14:paraId="3D8007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AEC46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7616E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77A3C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20BCA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颚破</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6BC67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21686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r>
            <w:tr w14:paraId="5C7133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73C5C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27675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175DD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5DCAC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中间仓</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6EE0E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791E0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r>
            <w:tr w14:paraId="580FFA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E6D1F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01EE7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53D64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0F7B3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锤破</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F7718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AB5C4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r>
            <w:tr w14:paraId="113441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79213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BB2C5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2D015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95196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筛分</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E2BD6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7A931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r>
            <w:tr w14:paraId="01C77A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07EDA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86F6B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814ED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35241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产品仓</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8C0F9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538D0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r>
            <w:tr w14:paraId="6DAEDD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2B713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BC67F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ADC5F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B79BC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包装</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5F262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1570B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r>
            <w:tr w14:paraId="064B7E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15280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0675E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D4923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ED9563">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环辊磨</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7770E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C1DE8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自带布袋除尘器+15m 高排气筒DA003</w:t>
                  </w:r>
                </w:p>
              </w:tc>
            </w:tr>
            <w:tr w14:paraId="316CD1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59283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FCBF2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CD268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2#原料库房</w:t>
                  </w: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F16E1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原料</w:t>
                  </w:r>
                  <w:r>
                    <w:rPr>
                      <w:rFonts w:hint="default" w:ascii="Times New Roman" w:hAnsi="Times New Roman" w:eastAsia="宋体" w:cs="Times New Roman"/>
                      <w:i w:val="0"/>
                      <w:iCs w:val="0"/>
                      <w:color w:val="auto"/>
                      <w:kern w:val="0"/>
                      <w:sz w:val="21"/>
                      <w:szCs w:val="21"/>
                      <w:highlight w:val="none"/>
                      <w:u w:val="none"/>
                      <w:lang w:val="en-US" w:eastAsia="zh-CN" w:bidi="ar"/>
                    </w:rPr>
                    <w:t>卸料</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BF0AC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1A3573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布袋除尘器+15m 高排气筒DA004</w:t>
                  </w:r>
                </w:p>
              </w:tc>
            </w:tr>
            <w:tr w14:paraId="180CA1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37B8B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9BC02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restart"/>
                  <w:tcBorders>
                    <w:top w:val="single" w:color="000000" w:sz="4" w:space="0"/>
                    <w:left w:val="single" w:color="000000" w:sz="4" w:space="0"/>
                    <w:right w:val="single" w:color="000000" w:sz="4" w:space="0"/>
                  </w:tcBorders>
                  <w:shd w:val="clear" w:color="auto" w:fill="auto"/>
                  <w:vAlign w:val="center"/>
                </w:tcPr>
                <w:p w14:paraId="4619EEA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5#生产线</w:t>
                  </w: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9C863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上料</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F91C1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14F24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r>
            <w:tr w14:paraId="7B4B50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D7E31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27344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continue"/>
                  <w:tcBorders>
                    <w:left w:val="single" w:color="000000" w:sz="4" w:space="0"/>
                    <w:right w:val="single" w:color="000000" w:sz="4" w:space="0"/>
                  </w:tcBorders>
                  <w:shd w:val="clear" w:color="auto" w:fill="auto"/>
                  <w:vAlign w:val="center"/>
                </w:tcPr>
                <w:p w14:paraId="71F353D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8BD27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颚破</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40950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6FF02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r>
            <w:tr w14:paraId="3C7AE5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60533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73FAC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continue"/>
                  <w:tcBorders>
                    <w:left w:val="single" w:color="000000" w:sz="4" w:space="0"/>
                    <w:right w:val="single" w:color="000000" w:sz="4" w:space="0"/>
                  </w:tcBorders>
                  <w:shd w:val="clear" w:color="auto" w:fill="auto"/>
                  <w:vAlign w:val="center"/>
                </w:tcPr>
                <w:p w14:paraId="4D2DF04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CAF0D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中间仓</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25D3F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A4B37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r>
            <w:tr w14:paraId="6784F7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2124E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AD8A5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continue"/>
                  <w:tcBorders>
                    <w:left w:val="single" w:color="000000" w:sz="4" w:space="0"/>
                    <w:right w:val="single" w:color="000000" w:sz="4" w:space="0"/>
                  </w:tcBorders>
                  <w:shd w:val="clear" w:color="auto" w:fill="auto"/>
                  <w:vAlign w:val="center"/>
                </w:tcPr>
                <w:p w14:paraId="294C96E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1AB1E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锤破</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1C204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1C42C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r>
            <w:tr w14:paraId="66E31F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E1612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D5B90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continue"/>
                  <w:tcBorders>
                    <w:left w:val="single" w:color="000000" w:sz="4" w:space="0"/>
                    <w:right w:val="single" w:color="000000" w:sz="4" w:space="0"/>
                  </w:tcBorders>
                  <w:shd w:val="clear" w:color="auto" w:fill="auto"/>
                  <w:vAlign w:val="center"/>
                </w:tcPr>
                <w:p w14:paraId="469048A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FB064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筛分</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D1884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3C2CB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r>
            <w:tr w14:paraId="4EC807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6D983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61C71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continue"/>
                  <w:tcBorders>
                    <w:left w:val="single" w:color="000000" w:sz="4" w:space="0"/>
                    <w:right w:val="single" w:color="000000" w:sz="4" w:space="0"/>
                  </w:tcBorders>
                  <w:shd w:val="clear" w:color="auto" w:fill="auto"/>
                  <w:vAlign w:val="center"/>
                </w:tcPr>
                <w:p w14:paraId="40A11F5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FBE1C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色选</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96052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52AE9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r>
            <w:tr w14:paraId="79B980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B57B9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23B2F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continue"/>
                  <w:tcBorders>
                    <w:left w:val="single" w:color="000000" w:sz="4" w:space="0"/>
                    <w:right w:val="single" w:color="000000" w:sz="4" w:space="0"/>
                  </w:tcBorders>
                  <w:shd w:val="clear" w:color="auto" w:fill="auto"/>
                  <w:vAlign w:val="center"/>
                </w:tcPr>
                <w:p w14:paraId="40083E4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3D773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产品仓</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7ED9D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288E3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r>
            <w:tr w14:paraId="036C82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91715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BA0B9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continue"/>
                  <w:tcBorders>
                    <w:left w:val="single" w:color="000000" w:sz="4" w:space="0"/>
                    <w:bottom w:val="single" w:color="000000" w:sz="4" w:space="0"/>
                    <w:right w:val="single" w:color="000000" w:sz="4" w:space="0"/>
                  </w:tcBorders>
                  <w:shd w:val="clear" w:color="auto" w:fill="auto"/>
                  <w:vAlign w:val="center"/>
                </w:tcPr>
                <w:p w14:paraId="7823599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69E8F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包装</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1ABF7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4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44517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r>
            <w:tr w14:paraId="43F262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jc w:val="center"/>
              </w:trPr>
              <w:tc>
                <w:tcPr>
                  <w:tcW w:w="26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CB1E76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40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28AE0E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废水</w:t>
                  </w:r>
                </w:p>
              </w:tc>
              <w:tc>
                <w:tcPr>
                  <w:tcW w:w="78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DAEFDD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降尘</w:t>
                  </w: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8AF27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厂区洒水抑尘</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1BD85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F0E9C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全部蒸发</w:t>
                  </w:r>
                </w:p>
              </w:tc>
            </w:tr>
            <w:tr w14:paraId="4F5CB3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0"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F3F57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8EED6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AC342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3C4A7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运输车辆轮胎冲洗</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6FE8D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043BD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循环使用，定期补水，不外排</w:t>
                  </w:r>
                </w:p>
              </w:tc>
            </w:tr>
            <w:tr w14:paraId="2E6E79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0"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2A69E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9D0A7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B932C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1#生产线</w:t>
                  </w: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58814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白云石清洗</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1E4D5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4B5E4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循环使用，定期补水，不外排</w:t>
                  </w:r>
                </w:p>
              </w:tc>
            </w:tr>
            <w:tr w14:paraId="37BAC2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B9966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88A4D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7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A9C2E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员工生活污水</w:t>
                  </w:r>
                </w:p>
              </w:tc>
              <w:tc>
                <w:tcPr>
                  <w:tcW w:w="10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4E571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生活污水</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DE0DF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COD、SS、NH</w:t>
                  </w:r>
                  <w:r>
                    <w:rPr>
                      <w:rFonts w:hint="default" w:ascii="Times New Roman" w:hAnsi="Times New Roman" w:eastAsia="宋体" w:cs="Times New Roman"/>
                      <w:i w:val="0"/>
                      <w:iCs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-N</w:t>
                  </w:r>
                </w:p>
              </w:tc>
              <w:tc>
                <w:tcPr>
                  <w:tcW w:w="1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1326E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排入化粪池定期清掏，不外排</w:t>
                  </w:r>
                </w:p>
              </w:tc>
            </w:tr>
            <w:tr w14:paraId="022B48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093AF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C09E8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噪声</w:t>
                  </w:r>
                </w:p>
              </w:tc>
              <w:tc>
                <w:tcPr>
                  <w:tcW w:w="180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771EC3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设备运行噪声</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52A4E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等效连续A声级</w:t>
                  </w:r>
                </w:p>
              </w:tc>
              <w:tc>
                <w:tcPr>
                  <w:tcW w:w="1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DF391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基础减振、厂房隔声</w:t>
                  </w:r>
                </w:p>
              </w:tc>
            </w:tr>
            <w:tr w14:paraId="61381A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0" w:hRule="atLeast"/>
                <w:jc w:val="center"/>
              </w:trPr>
              <w:tc>
                <w:tcPr>
                  <w:tcW w:w="26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6BA822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40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C16F01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固废</w:t>
                  </w:r>
                </w:p>
              </w:tc>
              <w:tc>
                <w:tcPr>
                  <w:tcW w:w="180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E80567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布袋除尘器</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545BC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除尘灰</w:t>
                  </w:r>
                </w:p>
              </w:tc>
              <w:tc>
                <w:tcPr>
                  <w:tcW w:w="1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D4388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外售综合利用</w:t>
                  </w:r>
                </w:p>
              </w:tc>
            </w:tr>
            <w:tr w14:paraId="628253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2C782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57761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80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0C5C39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厂房沉降</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05688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沉降粉尘</w:t>
                  </w:r>
                </w:p>
              </w:tc>
              <w:tc>
                <w:tcPr>
                  <w:tcW w:w="1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07031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外售综合利用</w:t>
                  </w:r>
                </w:p>
              </w:tc>
            </w:tr>
            <w:tr w14:paraId="5AF926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A6197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A7B3F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80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856532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洗车平台</w:t>
                  </w:r>
                  <w:r>
                    <w:rPr>
                      <w:rFonts w:hint="default" w:ascii="Times New Roman" w:hAnsi="Times New Roman" w:eastAsia="宋体" w:cs="Times New Roman"/>
                      <w:i w:val="0"/>
                      <w:iCs w:val="0"/>
                      <w:color w:val="auto"/>
                      <w:kern w:val="0"/>
                      <w:sz w:val="21"/>
                      <w:szCs w:val="21"/>
                      <w:highlight w:val="none"/>
                      <w:u w:val="none"/>
                      <w:lang w:val="en-US" w:eastAsia="zh-CN" w:bidi="ar"/>
                    </w:rPr>
                    <w:t>沉淀池</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08F82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污泥</w:t>
                  </w:r>
                </w:p>
              </w:tc>
              <w:tc>
                <w:tcPr>
                  <w:tcW w:w="1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CCAC5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定期清掏外售</w:t>
                  </w:r>
                </w:p>
              </w:tc>
            </w:tr>
            <w:tr w14:paraId="06EBBC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14AD0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1A7F4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80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CBD3F6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水洗白云石沉淀池</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A7324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沉淀渣</w:t>
                  </w:r>
                </w:p>
              </w:tc>
              <w:tc>
                <w:tcPr>
                  <w:tcW w:w="1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FE382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定期清掏外售</w:t>
                  </w:r>
                </w:p>
              </w:tc>
            </w:tr>
            <w:tr w14:paraId="62A292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41F0C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C03DE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80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B97F82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废气治理设施</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CB0AF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废布袋</w:t>
                  </w:r>
                </w:p>
              </w:tc>
              <w:tc>
                <w:tcPr>
                  <w:tcW w:w="1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2813C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厂家回收</w:t>
                  </w:r>
                </w:p>
              </w:tc>
            </w:tr>
            <w:tr w14:paraId="58A9C5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46CCE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4E87C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805" w:type="pct"/>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E9D093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设备维护</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3ED0A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废润滑油</w:t>
                  </w:r>
                </w:p>
              </w:tc>
              <w:tc>
                <w:tcPr>
                  <w:tcW w:w="1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58F6C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委托有资质单位处置</w:t>
                  </w:r>
                </w:p>
              </w:tc>
            </w:tr>
            <w:tr w14:paraId="1BBA6F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D30DB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3BB80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80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DB399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F3EDF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废油桶</w:t>
                  </w:r>
                </w:p>
              </w:tc>
              <w:tc>
                <w:tcPr>
                  <w:tcW w:w="1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C84A3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委托有资质单位处置</w:t>
                  </w:r>
                </w:p>
              </w:tc>
            </w:tr>
            <w:tr w14:paraId="614DA9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5"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3B204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7A7A3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80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46098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1592D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废油手套和抹布</w:t>
                  </w:r>
                </w:p>
              </w:tc>
              <w:tc>
                <w:tcPr>
                  <w:tcW w:w="1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8E380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委托有资质单位处置</w:t>
                  </w:r>
                </w:p>
              </w:tc>
            </w:tr>
            <w:tr w14:paraId="01E6FB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26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DE5D1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40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A76F5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80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E201C1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员工生活</w:t>
                  </w:r>
                </w:p>
              </w:tc>
              <w:tc>
                <w:tcPr>
                  <w:tcW w:w="107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33AF5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生活垃圾</w:t>
                  </w:r>
                </w:p>
              </w:tc>
              <w:tc>
                <w:tcPr>
                  <w:tcW w:w="14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54414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环卫部门定期处理</w:t>
                  </w:r>
                </w:p>
              </w:tc>
            </w:tr>
          </w:tbl>
          <w:p w14:paraId="4F34FD04">
            <w:pPr>
              <w:pStyle w:val="16"/>
              <w:keepNext w:val="0"/>
              <w:keepLines w:val="0"/>
              <w:suppressLineNumbers w:val="0"/>
              <w:spacing w:before="0" w:beforeAutospacing="0" w:after="0" w:afterAutospacing="0"/>
              <w:ind w:left="0" w:right="0"/>
              <w:jc w:val="left"/>
              <w:rPr>
                <w:rFonts w:hint="default" w:ascii="Calibri" w:hAnsi="Calibri" w:eastAsia="宋体" w:cs="Times New Roman"/>
                <w:color w:val="auto"/>
                <w:highlight w:val="none"/>
                <w:shd w:val="clear" w:color="auto" w:fill="auto"/>
                <w:lang w:val="en-US" w:eastAsia="zh-CN"/>
              </w:rPr>
            </w:pPr>
            <w:r>
              <w:rPr>
                <w:color w:val="auto"/>
                <w:spacing w:val="-4"/>
                <w:sz w:val="24"/>
                <w:szCs w:val="24"/>
                <w:highlight w:val="none"/>
              </w:rPr>
              <w:t>本项目物料平衡见表</w:t>
            </w:r>
            <w:r>
              <w:rPr>
                <w:rFonts w:hint="eastAsia" w:ascii="Times New Roman" w:hAnsi="Times New Roman" w:cs="Times New Roman"/>
                <w:color w:val="auto"/>
                <w:sz w:val="24"/>
                <w:highlight w:val="none"/>
                <w:lang w:val="en-US" w:eastAsia="zh-CN"/>
              </w:rPr>
              <w:t>2-</w:t>
            </w:r>
            <w:r>
              <w:rPr>
                <w:rFonts w:hint="eastAsia" w:cs="Times New Roman"/>
                <w:color w:val="auto"/>
                <w:sz w:val="24"/>
                <w:highlight w:val="none"/>
                <w:lang w:val="en-US" w:eastAsia="zh-CN"/>
              </w:rPr>
              <w:t>7</w:t>
            </w:r>
          </w:p>
          <w:p w14:paraId="333FD7A6">
            <w:pPr>
              <w:pStyle w:val="16"/>
              <w:keepNext w:val="0"/>
              <w:keepLines w:val="0"/>
              <w:suppressLineNumbers w:val="0"/>
              <w:spacing w:before="0" w:beforeAutospacing="0" w:after="0" w:afterAutospacing="0"/>
              <w:ind w:left="0" w:right="0"/>
              <w:jc w:val="center"/>
              <w:rPr>
                <w:rFonts w:hint="eastAsia" w:ascii="Calibri" w:hAnsi="Calibri" w:eastAsia="宋体" w:cs="Times New Roman"/>
                <w:color w:val="auto"/>
                <w:highlight w:val="none"/>
                <w:shd w:val="clear" w:color="auto" w:fill="auto"/>
                <w:lang w:val="en-US" w:eastAsia="zh-CN"/>
              </w:rPr>
            </w:pPr>
            <w:r>
              <w:rPr>
                <w:rFonts w:hint="eastAsia" w:ascii="Calibri" w:hAnsi="Calibri" w:eastAsia="宋体" w:cs="Times New Roman"/>
                <w:color w:val="auto"/>
                <w:highlight w:val="none"/>
                <w:shd w:val="clear" w:color="auto" w:fill="auto"/>
                <w:lang w:val="en-US" w:eastAsia="zh-CN"/>
              </w:rPr>
              <w:t>表</w:t>
            </w:r>
            <w:r>
              <w:rPr>
                <w:rFonts w:hint="eastAsia" w:ascii="Times New Roman" w:hAnsi="Times New Roman" w:cs="Times New Roman"/>
                <w:color w:val="auto"/>
                <w:sz w:val="24"/>
                <w:highlight w:val="none"/>
                <w:lang w:val="en-US" w:eastAsia="zh-CN"/>
              </w:rPr>
              <w:t>2-</w:t>
            </w:r>
            <w:r>
              <w:rPr>
                <w:rFonts w:hint="eastAsia" w:cs="Times New Roman"/>
                <w:color w:val="auto"/>
                <w:sz w:val="24"/>
                <w:highlight w:val="none"/>
                <w:lang w:val="en-US" w:eastAsia="zh-CN"/>
              </w:rPr>
              <w:t>7</w:t>
            </w:r>
            <w:r>
              <w:rPr>
                <w:rFonts w:hint="eastAsia" w:ascii="Calibri" w:hAnsi="Calibri" w:eastAsia="宋体" w:cs="Times New Roman"/>
                <w:color w:val="auto"/>
                <w:highlight w:val="none"/>
                <w:shd w:val="clear" w:color="auto" w:fill="auto"/>
                <w:lang w:val="en-US" w:eastAsia="zh-CN"/>
              </w:rPr>
              <w:t xml:space="preserve">  </w:t>
            </w:r>
            <w:r>
              <w:rPr>
                <w:color w:val="auto"/>
                <w:spacing w:val="-4"/>
                <w:sz w:val="24"/>
                <w:szCs w:val="24"/>
                <w:highlight w:val="none"/>
              </w:rPr>
              <w:t>本项目物料平衡</w:t>
            </w:r>
            <w:r>
              <w:rPr>
                <w:rFonts w:hint="eastAsia" w:ascii="Calibri" w:hAnsi="Calibri" w:eastAsia="宋体" w:cs="Times New Roman"/>
                <w:color w:val="auto"/>
                <w:highlight w:val="none"/>
                <w:shd w:val="clear" w:color="auto" w:fill="auto"/>
                <w:lang w:val="en-US" w:eastAsia="zh-CN"/>
              </w:rPr>
              <w:t>表</w:t>
            </w:r>
          </w:p>
          <w:tbl>
            <w:tblPr>
              <w:tblStyle w:val="25"/>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674"/>
              <w:gridCol w:w="2030"/>
              <w:gridCol w:w="2353"/>
              <w:gridCol w:w="2356"/>
            </w:tblGrid>
            <w:tr w14:paraId="5124B0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7" w:hRule="atLeast"/>
              </w:trPr>
              <w:tc>
                <w:tcPr>
                  <w:tcW w:w="2201" w:type="pct"/>
                  <w:gridSpan w:val="2"/>
                  <w:tcBorders>
                    <w:top w:val="single" w:color="000000" w:sz="8" w:space="0"/>
                    <w:left w:val="single" w:color="000000" w:sz="8" w:space="0"/>
                    <w:bottom w:val="single" w:color="000000" w:sz="8" w:space="0"/>
                    <w:right w:val="single" w:color="000000" w:sz="8" w:space="0"/>
                  </w:tcBorders>
                  <w:shd w:val="clear" w:color="auto" w:fill="auto"/>
                  <w:vAlign w:val="center"/>
                </w:tcPr>
                <w:p w14:paraId="4DA03BC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输入（</w:t>
                  </w:r>
                  <w:r>
                    <w:rPr>
                      <w:rFonts w:hint="default" w:ascii="Times New Roman" w:hAnsi="Times New Roman" w:eastAsia="宋体" w:cs="Times New Roman"/>
                      <w:i w:val="0"/>
                      <w:iCs w:val="0"/>
                      <w:color w:val="auto"/>
                      <w:kern w:val="0"/>
                      <w:sz w:val="21"/>
                      <w:szCs w:val="21"/>
                      <w:highlight w:val="none"/>
                      <w:u w:val="none"/>
                      <w:lang w:val="en-US" w:eastAsia="zh-CN" w:bidi="ar"/>
                    </w:rPr>
                    <w:t>t/a</w:t>
                  </w:r>
                  <w:r>
                    <w:rPr>
                      <w:rFonts w:hint="eastAsia" w:ascii="宋体" w:hAnsi="宋体" w:eastAsia="宋体" w:cs="宋体"/>
                      <w:i w:val="0"/>
                      <w:iCs w:val="0"/>
                      <w:color w:val="auto"/>
                      <w:kern w:val="0"/>
                      <w:sz w:val="21"/>
                      <w:szCs w:val="21"/>
                      <w:highlight w:val="none"/>
                      <w:u w:val="none"/>
                      <w:lang w:val="en-US" w:eastAsia="zh-CN" w:bidi="ar"/>
                    </w:rPr>
                    <w:t>）</w:t>
                  </w:r>
                </w:p>
              </w:tc>
              <w:tc>
                <w:tcPr>
                  <w:tcW w:w="2798" w:type="pct"/>
                  <w:gridSpan w:val="2"/>
                  <w:tcBorders>
                    <w:top w:val="single" w:color="000000" w:sz="8" w:space="0"/>
                    <w:left w:val="single" w:color="000000" w:sz="8" w:space="0"/>
                    <w:bottom w:val="single" w:color="000000" w:sz="8" w:space="0"/>
                    <w:right w:val="single" w:color="000000" w:sz="8" w:space="0"/>
                  </w:tcBorders>
                  <w:shd w:val="clear" w:color="auto" w:fill="auto"/>
                  <w:vAlign w:val="center"/>
                </w:tcPr>
                <w:p w14:paraId="3AEF7FF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输出（</w:t>
                  </w:r>
                  <w:r>
                    <w:rPr>
                      <w:rFonts w:hint="default" w:ascii="Times New Roman" w:hAnsi="Times New Roman" w:eastAsia="宋体" w:cs="Times New Roman"/>
                      <w:i w:val="0"/>
                      <w:iCs w:val="0"/>
                      <w:color w:val="auto"/>
                      <w:kern w:val="0"/>
                      <w:sz w:val="21"/>
                      <w:szCs w:val="21"/>
                      <w:highlight w:val="none"/>
                      <w:u w:val="none"/>
                      <w:lang w:val="en-US" w:eastAsia="zh-CN" w:bidi="ar"/>
                    </w:rPr>
                    <w:t>t/a</w:t>
                  </w:r>
                  <w:r>
                    <w:rPr>
                      <w:rFonts w:hint="eastAsia" w:ascii="宋体" w:hAnsi="宋体" w:eastAsia="宋体" w:cs="宋体"/>
                      <w:i w:val="0"/>
                      <w:iCs w:val="0"/>
                      <w:color w:val="auto"/>
                      <w:kern w:val="0"/>
                      <w:sz w:val="21"/>
                      <w:szCs w:val="21"/>
                      <w:highlight w:val="none"/>
                      <w:u w:val="none"/>
                      <w:lang w:val="en-US" w:eastAsia="zh-CN" w:bidi="ar"/>
                    </w:rPr>
                    <w:t>）</w:t>
                  </w:r>
                </w:p>
              </w:tc>
            </w:tr>
            <w:tr w14:paraId="66E2CB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995" w:type="pct"/>
                  <w:tcBorders>
                    <w:top w:val="nil"/>
                    <w:left w:val="single" w:color="000000" w:sz="8" w:space="0"/>
                    <w:bottom w:val="single" w:color="000000" w:sz="8" w:space="0"/>
                    <w:right w:val="single" w:color="000000" w:sz="8" w:space="0"/>
                  </w:tcBorders>
                  <w:shd w:val="clear" w:color="auto" w:fill="auto"/>
                  <w:vAlign w:val="center"/>
                </w:tcPr>
                <w:p w14:paraId="7476D3F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白云石</w:t>
                  </w:r>
                </w:p>
              </w:tc>
              <w:tc>
                <w:tcPr>
                  <w:tcW w:w="1206" w:type="pct"/>
                  <w:tcBorders>
                    <w:top w:val="nil"/>
                    <w:left w:val="single" w:color="000000" w:sz="8" w:space="0"/>
                    <w:bottom w:val="single" w:color="000000" w:sz="8" w:space="0"/>
                    <w:right w:val="single" w:color="000000" w:sz="8" w:space="0"/>
                  </w:tcBorders>
                  <w:shd w:val="clear" w:color="auto" w:fill="auto"/>
                  <w:vAlign w:val="center"/>
                </w:tcPr>
                <w:p w14:paraId="019FF4F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2"/>
                      <w:szCs w:val="22"/>
                      <w:highlight w:val="none"/>
                      <w:u w:val="none"/>
                    </w:rPr>
                  </w:pPr>
                  <w:r>
                    <w:rPr>
                      <w:rFonts w:hint="eastAsia" w:cs="Times New Roman"/>
                      <w:i w:val="0"/>
                      <w:iCs w:val="0"/>
                      <w:color w:val="auto"/>
                      <w:kern w:val="0"/>
                      <w:sz w:val="22"/>
                      <w:szCs w:val="22"/>
                      <w:highlight w:val="none"/>
                      <w:u w:val="none"/>
                      <w:lang w:val="en-US" w:eastAsia="zh-CN" w:bidi="ar"/>
                    </w:rPr>
                    <w:t xml:space="preserve">601882.357 </w:t>
                  </w:r>
                </w:p>
              </w:tc>
              <w:tc>
                <w:tcPr>
                  <w:tcW w:w="1398" w:type="pct"/>
                  <w:tcBorders>
                    <w:top w:val="single" w:color="000000" w:sz="8" w:space="0"/>
                    <w:left w:val="single" w:color="000000" w:sz="8" w:space="0"/>
                    <w:bottom w:val="single" w:color="000000" w:sz="8" w:space="0"/>
                    <w:right w:val="single" w:color="000000" w:sz="8" w:space="0"/>
                  </w:tcBorders>
                  <w:shd w:val="clear" w:color="auto" w:fill="auto"/>
                  <w:vAlign w:val="center"/>
                </w:tcPr>
                <w:p w14:paraId="4FC9151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水洗白云石</w:t>
                  </w:r>
                </w:p>
              </w:tc>
              <w:tc>
                <w:tcPr>
                  <w:tcW w:w="2225"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C4FEC4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200000</w:t>
                  </w:r>
                </w:p>
              </w:tc>
            </w:tr>
            <w:tr w14:paraId="74EA6F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0" w:hRule="atLeast"/>
              </w:trPr>
              <w:tc>
                <w:tcPr>
                  <w:tcW w:w="995" w:type="pct"/>
                  <w:tcBorders>
                    <w:top w:val="nil"/>
                    <w:left w:val="single" w:color="000000" w:sz="8" w:space="0"/>
                    <w:bottom w:val="single" w:color="000000" w:sz="8" w:space="0"/>
                    <w:right w:val="single" w:color="000000" w:sz="8" w:space="0"/>
                  </w:tcBorders>
                  <w:shd w:val="clear" w:color="auto" w:fill="auto"/>
                  <w:vAlign w:val="center"/>
                </w:tcPr>
                <w:p w14:paraId="33C43EB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206" w:type="pct"/>
                  <w:tcBorders>
                    <w:top w:val="nil"/>
                    <w:left w:val="single" w:color="000000" w:sz="8" w:space="0"/>
                    <w:bottom w:val="single" w:color="000000" w:sz="8" w:space="0"/>
                    <w:right w:val="single" w:color="000000" w:sz="8" w:space="0"/>
                  </w:tcBorders>
                  <w:shd w:val="clear" w:color="auto" w:fill="auto"/>
                  <w:vAlign w:val="center"/>
                </w:tcPr>
                <w:p w14:paraId="78B4D4A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398" w:type="pct"/>
                  <w:tcBorders>
                    <w:top w:val="nil"/>
                    <w:left w:val="single" w:color="000000" w:sz="8" w:space="0"/>
                    <w:bottom w:val="single" w:color="000000" w:sz="8" w:space="0"/>
                    <w:right w:val="single" w:color="000000" w:sz="8" w:space="0"/>
                  </w:tcBorders>
                  <w:shd w:val="clear" w:color="auto" w:fill="auto"/>
                  <w:vAlign w:val="center"/>
                </w:tcPr>
                <w:p w14:paraId="69027C1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白云石粉</w:t>
                  </w:r>
                </w:p>
              </w:tc>
              <w:tc>
                <w:tcPr>
                  <w:tcW w:w="2225" w:type="dxa"/>
                  <w:tcBorders>
                    <w:top w:val="nil"/>
                    <w:left w:val="single" w:color="000000" w:sz="8" w:space="0"/>
                    <w:bottom w:val="single" w:color="000000" w:sz="8" w:space="0"/>
                    <w:right w:val="single" w:color="000000" w:sz="8" w:space="0"/>
                  </w:tcBorders>
                  <w:shd w:val="clear" w:color="auto" w:fill="auto"/>
                  <w:vAlign w:val="center"/>
                </w:tcPr>
                <w:p w14:paraId="4228138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300000</w:t>
                  </w:r>
                </w:p>
              </w:tc>
            </w:tr>
            <w:tr w14:paraId="04F1CC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5" w:hRule="atLeast"/>
              </w:trPr>
              <w:tc>
                <w:tcPr>
                  <w:tcW w:w="995" w:type="pct"/>
                  <w:tcBorders>
                    <w:top w:val="nil"/>
                    <w:left w:val="single" w:color="000000" w:sz="8" w:space="0"/>
                    <w:bottom w:val="single" w:color="000000" w:sz="8" w:space="0"/>
                    <w:right w:val="single" w:color="000000" w:sz="8" w:space="0"/>
                  </w:tcBorders>
                  <w:shd w:val="clear" w:color="auto" w:fill="auto"/>
                  <w:vAlign w:val="center"/>
                </w:tcPr>
                <w:p w14:paraId="150CC2A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206" w:type="pct"/>
                  <w:tcBorders>
                    <w:top w:val="nil"/>
                    <w:left w:val="single" w:color="000000" w:sz="8" w:space="0"/>
                    <w:bottom w:val="single" w:color="000000" w:sz="8" w:space="0"/>
                    <w:right w:val="single" w:color="000000" w:sz="8" w:space="0"/>
                  </w:tcBorders>
                  <w:shd w:val="clear" w:color="auto" w:fill="auto"/>
                  <w:vAlign w:val="center"/>
                </w:tcPr>
                <w:p w14:paraId="0DEFFFD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398" w:type="pct"/>
                  <w:tcBorders>
                    <w:top w:val="nil"/>
                    <w:left w:val="single" w:color="000000" w:sz="8" w:space="0"/>
                    <w:bottom w:val="single" w:color="000000" w:sz="8" w:space="0"/>
                    <w:right w:val="single" w:color="000000" w:sz="8" w:space="0"/>
                  </w:tcBorders>
                  <w:shd w:val="clear" w:color="auto" w:fill="auto"/>
                  <w:vAlign w:val="center"/>
                </w:tcPr>
                <w:p w14:paraId="7E7E4A1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白云砂</w:t>
                  </w:r>
                  <w:r>
                    <w:rPr>
                      <w:rFonts w:hint="eastAsia" w:ascii="宋体" w:hAnsi="宋体" w:cs="宋体"/>
                      <w:i w:val="0"/>
                      <w:iCs w:val="0"/>
                      <w:color w:val="auto"/>
                      <w:kern w:val="0"/>
                      <w:sz w:val="21"/>
                      <w:szCs w:val="21"/>
                      <w:highlight w:val="none"/>
                      <w:u w:val="none"/>
                      <w:lang w:val="en-US" w:eastAsia="zh-CN" w:bidi="ar"/>
                    </w:rPr>
                    <w:t>（白度≥90）</w:t>
                  </w:r>
                </w:p>
              </w:tc>
              <w:tc>
                <w:tcPr>
                  <w:tcW w:w="2225" w:type="dxa"/>
                  <w:tcBorders>
                    <w:top w:val="nil"/>
                    <w:left w:val="single" w:color="000000" w:sz="8" w:space="0"/>
                    <w:bottom w:val="single" w:color="000000" w:sz="8" w:space="0"/>
                    <w:right w:val="single" w:color="000000" w:sz="8" w:space="0"/>
                  </w:tcBorders>
                  <w:shd w:val="clear" w:color="auto" w:fill="auto"/>
                  <w:vAlign w:val="center"/>
                </w:tcPr>
                <w:p w14:paraId="68FB89A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0000</w:t>
                  </w:r>
                </w:p>
              </w:tc>
            </w:tr>
            <w:tr w14:paraId="200045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5" w:hRule="atLeast"/>
              </w:trPr>
              <w:tc>
                <w:tcPr>
                  <w:tcW w:w="995" w:type="pct"/>
                  <w:tcBorders>
                    <w:top w:val="nil"/>
                    <w:left w:val="single" w:color="000000" w:sz="8" w:space="0"/>
                    <w:bottom w:val="single" w:color="000000" w:sz="8" w:space="0"/>
                    <w:right w:val="single" w:color="000000" w:sz="8" w:space="0"/>
                  </w:tcBorders>
                  <w:shd w:val="clear" w:color="auto" w:fill="auto"/>
                  <w:vAlign w:val="center"/>
                </w:tcPr>
                <w:p w14:paraId="3D5DA68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206" w:type="pct"/>
                  <w:tcBorders>
                    <w:top w:val="nil"/>
                    <w:left w:val="single" w:color="000000" w:sz="8" w:space="0"/>
                    <w:bottom w:val="single" w:color="000000" w:sz="8" w:space="0"/>
                    <w:right w:val="single" w:color="000000" w:sz="8" w:space="0"/>
                  </w:tcBorders>
                  <w:shd w:val="clear" w:color="auto" w:fill="auto"/>
                  <w:vAlign w:val="center"/>
                </w:tcPr>
                <w:p w14:paraId="15D9DA1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398" w:type="pct"/>
                  <w:tcBorders>
                    <w:top w:val="nil"/>
                    <w:left w:val="single" w:color="000000" w:sz="8" w:space="0"/>
                    <w:bottom w:val="single" w:color="000000" w:sz="8" w:space="0"/>
                    <w:right w:val="single" w:color="000000" w:sz="8" w:space="0"/>
                  </w:tcBorders>
                  <w:shd w:val="clear" w:color="auto" w:fill="auto"/>
                  <w:vAlign w:val="center"/>
                </w:tcPr>
                <w:p w14:paraId="4CB088C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白云砂</w:t>
                  </w:r>
                  <w:r>
                    <w:rPr>
                      <w:rFonts w:hint="eastAsia" w:ascii="宋体" w:hAnsi="宋体" w:cs="宋体"/>
                      <w:i w:val="0"/>
                      <w:iCs w:val="0"/>
                      <w:color w:val="auto"/>
                      <w:kern w:val="0"/>
                      <w:sz w:val="21"/>
                      <w:szCs w:val="21"/>
                      <w:highlight w:val="none"/>
                      <w:u w:val="none"/>
                      <w:lang w:val="en-US" w:eastAsia="zh-CN" w:bidi="ar"/>
                    </w:rPr>
                    <w:t>（白度＜90）</w:t>
                  </w:r>
                </w:p>
              </w:tc>
              <w:tc>
                <w:tcPr>
                  <w:tcW w:w="2225" w:type="dxa"/>
                  <w:tcBorders>
                    <w:top w:val="nil"/>
                    <w:left w:val="single" w:color="000000" w:sz="8" w:space="0"/>
                    <w:bottom w:val="single" w:color="000000" w:sz="8" w:space="0"/>
                    <w:right w:val="single" w:color="000000" w:sz="8" w:space="0"/>
                  </w:tcBorders>
                  <w:shd w:val="clear" w:color="auto" w:fill="auto"/>
                  <w:vAlign w:val="center"/>
                </w:tcPr>
                <w:p w14:paraId="278D919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80000</w:t>
                  </w:r>
                </w:p>
              </w:tc>
            </w:tr>
            <w:tr w14:paraId="05FAF4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5" w:hRule="atLeast"/>
              </w:trPr>
              <w:tc>
                <w:tcPr>
                  <w:tcW w:w="995" w:type="pct"/>
                  <w:tcBorders>
                    <w:top w:val="nil"/>
                    <w:left w:val="single" w:color="000000" w:sz="8" w:space="0"/>
                    <w:bottom w:val="single" w:color="000000" w:sz="8" w:space="0"/>
                    <w:right w:val="single" w:color="000000" w:sz="8" w:space="0"/>
                  </w:tcBorders>
                  <w:shd w:val="clear" w:color="auto" w:fill="auto"/>
                  <w:vAlign w:val="center"/>
                </w:tcPr>
                <w:p w14:paraId="396DE81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206" w:type="pct"/>
                  <w:tcBorders>
                    <w:top w:val="nil"/>
                    <w:left w:val="single" w:color="000000" w:sz="8" w:space="0"/>
                    <w:bottom w:val="single" w:color="000000" w:sz="8" w:space="0"/>
                    <w:right w:val="single" w:color="000000" w:sz="8" w:space="0"/>
                  </w:tcBorders>
                  <w:shd w:val="clear" w:color="auto" w:fill="auto"/>
                  <w:vAlign w:val="center"/>
                </w:tcPr>
                <w:p w14:paraId="59CC735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398" w:type="pct"/>
                  <w:tcBorders>
                    <w:top w:val="nil"/>
                    <w:left w:val="single" w:color="000000" w:sz="8" w:space="0"/>
                    <w:bottom w:val="single" w:color="000000" w:sz="8" w:space="0"/>
                    <w:right w:val="single" w:color="000000" w:sz="8" w:space="0"/>
                  </w:tcBorders>
                  <w:shd w:val="clear" w:color="auto" w:fill="auto"/>
                  <w:vAlign w:val="center"/>
                </w:tcPr>
                <w:p w14:paraId="5274AB4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有组织排放粉尘</w:t>
                  </w:r>
                </w:p>
              </w:tc>
              <w:tc>
                <w:tcPr>
                  <w:tcW w:w="2225" w:type="dxa"/>
                  <w:tcBorders>
                    <w:top w:val="nil"/>
                    <w:left w:val="single" w:color="000000" w:sz="8" w:space="0"/>
                    <w:bottom w:val="single" w:color="000000" w:sz="8" w:space="0"/>
                    <w:right w:val="single" w:color="000000" w:sz="8" w:space="0"/>
                  </w:tcBorders>
                  <w:shd w:val="clear" w:color="auto" w:fill="auto"/>
                  <w:vAlign w:val="center"/>
                </w:tcPr>
                <w:p w14:paraId="27452A6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6.795 </w:t>
                  </w:r>
                </w:p>
              </w:tc>
            </w:tr>
            <w:tr w14:paraId="46D234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5" w:hRule="atLeast"/>
              </w:trPr>
              <w:tc>
                <w:tcPr>
                  <w:tcW w:w="995" w:type="pct"/>
                  <w:tcBorders>
                    <w:top w:val="nil"/>
                    <w:left w:val="single" w:color="000000" w:sz="8" w:space="0"/>
                    <w:bottom w:val="single" w:color="000000" w:sz="8" w:space="0"/>
                    <w:right w:val="single" w:color="000000" w:sz="8" w:space="0"/>
                  </w:tcBorders>
                  <w:shd w:val="clear" w:color="auto" w:fill="auto"/>
                  <w:vAlign w:val="center"/>
                </w:tcPr>
                <w:p w14:paraId="5ED8DB1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206" w:type="pct"/>
                  <w:tcBorders>
                    <w:top w:val="nil"/>
                    <w:left w:val="single" w:color="000000" w:sz="8" w:space="0"/>
                    <w:bottom w:val="single" w:color="000000" w:sz="8" w:space="0"/>
                    <w:right w:val="single" w:color="000000" w:sz="8" w:space="0"/>
                  </w:tcBorders>
                  <w:shd w:val="clear" w:color="auto" w:fill="auto"/>
                  <w:vAlign w:val="center"/>
                </w:tcPr>
                <w:p w14:paraId="3FF722B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398" w:type="pct"/>
                  <w:tcBorders>
                    <w:top w:val="nil"/>
                    <w:left w:val="single" w:color="000000" w:sz="8" w:space="0"/>
                    <w:bottom w:val="single" w:color="000000" w:sz="8" w:space="0"/>
                    <w:right w:val="single" w:color="000000" w:sz="8" w:space="0"/>
                  </w:tcBorders>
                  <w:shd w:val="clear" w:color="auto" w:fill="auto"/>
                  <w:vAlign w:val="center"/>
                </w:tcPr>
                <w:p w14:paraId="229ADF0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无组织排放粉尘</w:t>
                  </w:r>
                </w:p>
              </w:tc>
              <w:tc>
                <w:tcPr>
                  <w:tcW w:w="2225" w:type="dxa"/>
                  <w:tcBorders>
                    <w:top w:val="nil"/>
                    <w:left w:val="single" w:color="000000" w:sz="8" w:space="0"/>
                    <w:bottom w:val="single" w:color="000000" w:sz="8" w:space="0"/>
                    <w:right w:val="single" w:color="000000" w:sz="8" w:space="0"/>
                  </w:tcBorders>
                  <w:shd w:val="clear" w:color="auto" w:fill="auto"/>
                  <w:vAlign w:val="center"/>
                </w:tcPr>
                <w:p w14:paraId="03EAC8C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60.934 </w:t>
                  </w:r>
                </w:p>
              </w:tc>
            </w:tr>
            <w:tr w14:paraId="0C67BA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5" w:hRule="atLeast"/>
              </w:trPr>
              <w:tc>
                <w:tcPr>
                  <w:tcW w:w="995" w:type="pct"/>
                  <w:tcBorders>
                    <w:top w:val="nil"/>
                    <w:left w:val="single" w:color="000000" w:sz="8" w:space="0"/>
                    <w:bottom w:val="single" w:color="000000" w:sz="8" w:space="0"/>
                    <w:right w:val="single" w:color="000000" w:sz="8" w:space="0"/>
                  </w:tcBorders>
                  <w:shd w:val="clear" w:color="auto" w:fill="auto"/>
                  <w:vAlign w:val="center"/>
                </w:tcPr>
                <w:p w14:paraId="1A4B012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206" w:type="pct"/>
                  <w:tcBorders>
                    <w:top w:val="nil"/>
                    <w:left w:val="single" w:color="000000" w:sz="8" w:space="0"/>
                    <w:bottom w:val="single" w:color="000000" w:sz="8" w:space="0"/>
                    <w:right w:val="single" w:color="000000" w:sz="8" w:space="0"/>
                  </w:tcBorders>
                  <w:shd w:val="clear" w:color="auto" w:fill="auto"/>
                  <w:vAlign w:val="center"/>
                </w:tcPr>
                <w:p w14:paraId="4556E91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398" w:type="pct"/>
                  <w:tcBorders>
                    <w:top w:val="nil"/>
                    <w:left w:val="single" w:color="000000" w:sz="8" w:space="0"/>
                    <w:bottom w:val="single" w:color="000000" w:sz="8" w:space="0"/>
                    <w:right w:val="single" w:color="000000" w:sz="8" w:space="0"/>
                  </w:tcBorders>
                  <w:shd w:val="clear" w:color="auto" w:fill="auto"/>
                  <w:vAlign w:val="center"/>
                </w:tcPr>
                <w:p w14:paraId="4EB2867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除尘器回收粉尘</w:t>
                  </w:r>
                </w:p>
              </w:tc>
              <w:tc>
                <w:tcPr>
                  <w:tcW w:w="2225" w:type="dxa"/>
                  <w:tcBorders>
                    <w:top w:val="nil"/>
                    <w:left w:val="single" w:color="000000" w:sz="8" w:space="0"/>
                    <w:bottom w:val="single" w:color="000000" w:sz="8" w:space="0"/>
                    <w:right w:val="single" w:color="000000" w:sz="8" w:space="0"/>
                  </w:tcBorders>
                  <w:shd w:val="clear" w:color="auto" w:fill="auto"/>
                  <w:vAlign w:val="center"/>
                </w:tcPr>
                <w:p w14:paraId="610EE34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1562.890 </w:t>
                  </w:r>
                </w:p>
              </w:tc>
            </w:tr>
            <w:tr w14:paraId="660E03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5" w:hRule="atLeast"/>
              </w:trPr>
              <w:tc>
                <w:tcPr>
                  <w:tcW w:w="995" w:type="pct"/>
                  <w:tcBorders>
                    <w:top w:val="nil"/>
                    <w:left w:val="single" w:color="000000" w:sz="8" w:space="0"/>
                    <w:bottom w:val="single" w:color="000000" w:sz="8" w:space="0"/>
                    <w:right w:val="single" w:color="000000" w:sz="8" w:space="0"/>
                  </w:tcBorders>
                  <w:shd w:val="clear" w:color="auto" w:fill="auto"/>
                  <w:vAlign w:val="center"/>
                </w:tcPr>
                <w:p w14:paraId="214CF03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206" w:type="pct"/>
                  <w:tcBorders>
                    <w:top w:val="nil"/>
                    <w:left w:val="single" w:color="000000" w:sz="8" w:space="0"/>
                    <w:bottom w:val="single" w:color="000000" w:sz="8" w:space="0"/>
                    <w:right w:val="single" w:color="000000" w:sz="8" w:space="0"/>
                  </w:tcBorders>
                  <w:shd w:val="clear" w:color="auto" w:fill="auto"/>
                  <w:vAlign w:val="center"/>
                </w:tcPr>
                <w:p w14:paraId="6F43F1B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398" w:type="pct"/>
                  <w:tcBorders>
                    <w:top w:val="nil"/>
                    <w:left w:val="single" w:color="000000" w:sz="8" w:space="0"/>
                    <w:bottom w:val="single" w:color="000000" w:sz="8" w:space="0"/>
                    <w:right w:val="single" w:color="000000" w:sz="8" w:space="0"/>
                  </w:tcBorders>
                  <w:shd w:val="clear" w:color="auto" w:fill="auto"/>
                  <w:vAlign w:val="center"/>
                </w:tcPr>
                <w:p w14:paraId="5ACCC1A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沉降粉尘</w:t>
                  </w:r>
                </w:p>
              </w:tc>
              <w:tc>
                <w:tcPr>
                  <w:tcW w:w="2225" w:type="dxa"/>
                  <w:tcBorders>
                    <w:top w:val="nil"/>
                    <w:left w:val="single" w:color="000000" w:sz="8" w:space="0"/>
                    <w:bottom w:val="single" w:color="000000" w:sz="8" w:space="0"/>
                    <w:right w:val="single" w:color="000000" w:sz="8" w:space="0"/>
                  </w:tcBorders>
                  <w:shd w:val="clear" w:color="auto" w:fill="auto"/>
                  <w:vAlign w:val="center"/>
                </w:tcPr>
                <w:p w14:paraId="2825C20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243.737 </w:t>
                  </w:r>
                </w:p>
              </w:tc>
            </w:tr>
            <w:tr w14:paraId="45A406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5" w:hRule="atLeast"/>
              </w:trPr>
              <w:tc>
                <w:tcPr>
                  <w:tcW w:w="995" w:type="pct"/>
                  <w:tcBorders>
                    <w:top w:val="nil"/>
                    <w:left w:val="single" w:color="000000" w:sz="8" w:space="0"/>
                    <w:bottom w:val="single" w:color="000000" w:sz="8" w:space="0"/>
                    <w:right w:val="single" w:color="000000" w:sz="8" w:space="0"/>
                  </w:tcBorders>
                  <w:shd w:val="clear" w:color="auto" w:fill="auto"/>
                  <w:vAlign w:val="center"/>
                </w:tcPr>
                <w:p w14:paraId="3BAC380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206" w:type="pct"/>
                  <w:tcBorders>
                    <w:top w:val="nil"/>
                    <w:left w:val="single" w:color="000000" w:sz="8" w:space="0"/>
                    <w:bottom w:val="single" w:color="000000" w:sz="8" w:space="0"/>
                    <w:right w:val="single" w:color="000000" w:sz="8" w:space="0"/>
                  </w:tcBorders>
                  <w:shd w:val="clear" w:color="auto" w:fill="auto"/>
                  <w:vAlign w:val="center"/>
                </w:tcPr>
                <w:p w14:paraId="579D022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398" w:type="pct"/>
                  <w:tcBorders>
                    <w:top w:val="nil"/>
                    <w:left w:val="single" w:color="000000" w:sz="8" w:space="0"/>
                    <w:bottom w:val="single" w:color="000000" w:sz="8" w:space="0"/>
                    <w:right w:val="single" w:color="000000" w:sz="8" w:space="0"/>
                  </w:tcBorders>
                  <w:shd w:val="clear" w:color="auto" w:fill="auto"/>
                  <w:vAlign w:val="center"/>
                </w:tcPr>
                <w:p w14:paraId="1189148D">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沉淀渣</w:t>
                  </w:r>
                </w:p>
              </w:tc>
              <w:tc>
                <w:tcPr>
                  <w:tcW w:w="2225" w:type="dxa"/>
                  <w:tcBorders>
                    <w:top w:val="nil"/>
                    <w:left w:val="single" w:color="000000" w:sz="8" w:space="0"/>
                    <w:bottom w:val="single" w:color="000000" w:sz="8" w:space="0"/>
                    <w:right w:val="single" w:color="000000" w:sz="8" w:space="0"/>
                  </w:tcBorders>
                  <w:shd w:val="clear" w:color="auto" w:fill="auto"/>
                  <w:vAlign w:val="center"/>
                </w:tcPr>
                <w:p w14:paraId="000F2BD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8</w:t>
                  </w:r>
                </w:p>
              </w:tc>
            </w:tr>
            <w:tr w14:paraId="405A9C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995" w:type="pct"/>
                  <w:tcBorders>
                    <w:top w:val="nil"/>
                    <w:left w:val="single" w:color="000000" w:sz="8" w:space="0"/>
                    <w:bottom w:val="single" w:color="000000" w:sz="8" w:space="0"/>
                    <w:right w:val="single" w:color="000000" w:sz="8" w:space="0"/>
                  </w:tcBorders>
                  <w:shd w:val="clear" w:color="auto" w:fill="auto"/>
                  <w:vAlign w:val="center"/>
                </w:tcPr>
                <w:p w14:paraId="2E61F2A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合计</w:t>
                  </w:r>
                </w:p>
              </w:tc>
              <w:tc>
                <w:tcPr>
                  <w:tcW w:w="1206" w:type="pct"/>
                  <w:tcBorders>
                    <w:top w:val="nil"/>
                    <w:left w:val="single" w:color="000000" w:sz="8" w:space="0"/>
                    <w:bottom w:val="single" w:color="000000" w:sz="8" w:space="0"/>
                    <w:right w:val="single" w:color="000000" w:sz="8" w:space="0"/>
                  </w:tcBorders>
                  <w:shd w:val="clear" w:color="auto" w:fill="auto"/>
                  <w:vAlign w:val="center"/>
                </w:tcPr>
                <w:p w14:paraId="66695E7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2"/>
                      <w:szCs w:val="22"/>
                      <w:highlight w:val="none"/>
                      <w:u w:val="none"/>
                    </w:rPr>
                  </w:pPr>
                  <w:r>
                    <w:rPr>
                      <w:rFonts w:hint="eastAsia" w:cs="Times New Roman"/>
                      <w:i w:val="0"/>
                      <w:iCs w:val="0"/>
                      <w:color w:val="auto"/>
                      <w:kern w:val="0"/>
                      <w:sz w:val="22"/>
                      <w:szCs w:val="22"/>
                      <w:highlight w:val="none"/>
                      <w:u w:val="none"/>
                      <w:lang w:val="en-US" w:eastAsia="zh-CN" w:bidi="ar"/>
                    </w:rPr>
                    <w:t xml:space="preserve">601882.357 </w:t>
                  </w:r>
                </w:p>
              </w:tc>
              <w:tc>
                <w:tcPr>
                  <w:tcW w:w="1398" w:type="pct"/>
                  <w:tcBorders>
                    <w:top w:val="nil"/>
                    <w:left w:val="single" w:color="000000" w:sz="8" w:space="0"/>
                    <w:bottom w:val="single" w:color="000000" w:sz="8" w:space="0"/>
                    <w:right w:val="single" w:color="000000" w:sz="8" w:space="0"/>
                  </w:tcBorders>
                  <w:shd w:val="clear" w:color="auto" w:fill="auto"/>
                  <w:vAlign w:val="center"/>
                </w:tcPr>
                <w:p w14:paraId="0C1C33F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合计</w:t>
                  </w:r>
                </w:p>
              </w:tc>
              <w:tc>
                <w:tcPr>
                  <w:tcW w:w="2225" w:type="dxa"/>
                  <w:tcBorders>
                    <w:top w:val="nil"/>
                    <w:left w:val="single" w:color="000000" w:sz="8" w:space="0"/>
                    <w:bottom w:val="single" w:color="000000" w:sz="8" w:space="0"/>
                    <w:right w:val="single" w:color="000000" w:sz="8" w:space="0"/>
                  </w:tcBorders>
                  <w:shd w:val="clear" w:color="auto" w:fill="auto"/>
                  <w:vAlign w:val="center"/>
                </w:tcPr>
                <w:p w14:paraId="4E6047E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601882.357 </w:t>
                  </w:r>
                </w:p>
              </w:tc>
            </w:tr>
          </w:tbl>
          <w:p w14:paraId="30127C96">
            <w:pPr>
              <w:keepNext w:val="0"/>
              <w:keepLines w:val="0"/>
              <w:suppressLineNumbers w:val="0"/>
              <w:spacing w:before="0" w:beforeAutospacing="0" w:after="0" w:afterAutospacing="0"/>
              <w:ind w:left="0" w:right="0"/>
              <w:rPr>
                <w:rFonts w:hint="eastAsia"/>
                <w:color w:val="auto"/>
                <w:highlight w:val="none"/>
              </w:rPr>
            </w:pPr>
          </w:p>
        </w:tc>
      </w:tr>
      <w:tr w14:paraId="5E9D5B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86" w:hRule="atLeast"/>
          <w:jc w:val="center"/>
        </w:trPr>
        <w:tc>
          <w:tcPr>
            <w:tcW w:w="823" w:type="dxa"/>
            <w:tcBorders>
              <w:top w:val="single" w:color="auto" w:sz="4" w:space="0"/>
              <w:left w:val="single" w:color="auto" w:sz="8" w:space="0"/>
              <w:bottom w:val="single" w:color="auto" w:sz="8" w:space="0"/>
              <w:right w:val="single" w:color="auto" w:sz="4" w:space="0"/>
            </w:tcBorders>
            <w:noWrap w:val="0"/>
            <w:vAlign w:val="center"/>
          </w:tcPr>
          <w:p w14:paraId="3C5DD84A">
            <w:pPr>
              <w:pStyle w:val="22"/>
              <w:adjustRightInd w:val="0"/>
              <w:snapToGrid w:val="0"/>
              <w:spacing w:before="0" w:beforeAutospacing="0" w:after="0" w:afterAutospacing="0"/>
              <w:jc w:val="center"/>
              <w:rPr>
                <w:rFonts w:cs="宋体"/>
                <w:color w:val="auto"/>
                <w:kern w:val="2"/>
                <w:sz w:val="21"/>
                <w:szCs w:val="21"/>
                <w:highlight w:val="none"/>
                <w:shd w:val="clear" w:color="auto" w:fill="auto"/>
              </w:rPr>
            </w:pPr>
            <w:r>
              <w:rPr>
                <w:rFonts w:cs="宋体"/>
                <w:bCs/>
                <w:color w:val="auto"/>
                <w:kern w:val="2"/>
                <w:sz w:val="21"/>
                <w:szCs w:val="21"/>
                <w:highlight w:val="none"/>
                <w:shd w:val="clear" w:color="auto" w:fill="auto"/>
              </w:rPr>
              <w:t>与项目有关的原有环境污染问题</w:t>
            </w:r>
          </w:p>
        </w:tc>
        <w:tc>
          <w:tcPr>
            <w:tcW w:w="8161" w:type="dxa"/>
            <w:tcBorders>
              <w:top w:val="single" w:color="auto" w:sz="4" w:space="0"/>
              <w:left w:val="single" w:color="auto" w:sz="4" w:space="0"/>
              <w:bottom w:val="single" w:color="auto" w:sz="8" w:space="0"/>
              <w:right w:val="single" w:color="auto" w:sz="8" w:space="0"/>
            </w:tcBorders>
            <w:noWrap w:val="0"/>
            <w:vAlign w:val="top"/>
          </w:tcPr>
          <w:p w14:paraId="3DF540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color w:val="auto"/>
                <w:sz w:val="24"/>
                <w:highlight w:val="none"/>
                <w:lang w:eastAsia="zh-CN"/>
              </w:rPr>
            </w:pPr>
            <w:r>
              <w:rPr>
                <w:rFonts w:hint="eastAsia"/>
                <w:color w:val="auto"/>
                <w:sz w:val="24"/>
                <w:highlight w:val="none"/>
                <w:lang w:eastAsia="zh-CN"/>
              </w:rPr>
              <w:t>本项目</w:t>
            </w:r>
            <w:r>
              <w:rPr>
                <w:rFonts w:hint="default" w:ascii="Times New Roman" w:hAnsi="Times New Roman" w:eastAsia="宋体" w:cs="Times New Roman"/>
                <w:color w:val="auto"/>
                <w:kern w:val="0"/>
                <w:sz w:val="24"/>
                <w:highlight w:val="none"/>
                <w:shd w:val="clear" w:color="auto" w:fill="auto"/>
              </w:rPr>
              <w:t>为新建项目，</w:t>
            </w:r>
            <w:r>
              <w:rPr>
                <w:rFonts w:hint="eastAsia"/>
                <w:color w:val="auto"/>
                <w:sz w:val="24"/>
                <w:highlight w:val="none"/>
                <w:lang w:eastAsia="zh-CN"/>
              </w:rPr>
              <w:t>租用佳合鹏程现有厂房，占地类型为工业用地，租用现有厂房</w:t>
            </w:r>
            <w:r>
              <w:rPr>
                <w:rFonts w:hint="eastAsia"/>
                <w:color w:val="auto"/>
                <w:sz w:val="24"/>
                <w:highlight w:val="none"/>
                <w:lang w:val="en-US" w:eastAsia="zh-CN"/>
              </w:rPr>
              <w:t>14000㎡，现有厂地4000㎡</w:t>
            </w:r>
            <w:r>
              <w:rPr>
                <w:rFonts w:hint="eastAsia"/>
                <w:color w:val="auto"/>
                <w:sz w:val="24"/>
                <w:highlight w:val="none"/>
                <w:lang w:eastAsia="zh-CN"/>
              </w:rPr>
              <w:t>，建设年产</w:t>
            </w:r>
            <w:r>
              <w:rPr>
                <w:rFonts w:hint="eastAsia"/>
                <w:color w:val="auto"/>
                <w:sz w:val="24"/>
                <w:highlight w:val="none"/>
                <w:lang w:val="en-US" w:eastAsia="zh-CN"/>
              </w:rPr>
              <w:t>20万吨水洗白云石；年产30万吨白云石粉；年产10万吨白云砂项目</w:t>
            </w:r>
            <w:r>
              <w:rPr>
                <w:rFonts w:hint="eastAsia"/>
                <w:color w:val="auto"/>
                <w:sz w:val="24"/>
                <w:highlight w:val="none"/>
                <w:lang w:eastAsia="zh-CN"/>
              </w:rPr>
              <w:t>。</w:t>
            </w:r>
          </w:p>
          <w:p w14:paraId="20EE27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color w:val="auto"/>
                <w:sz w:val="24"/>
                <w:highlight w:val="none"/>
                <w:lang w:val="en-US" w:eastAsia="zh-CN"/>
              </w:rPr>
            </w:pPr>
            <w:r>
              <w:rPr>
                <w:rFonts w:hint="eastAsia"/>
                <w:color w:val="auto"/>
                <w:sz w:val="24"/>
                <w:highlight w:val="none"/>
                <w:lang w:eastAsia="zh-CN"/>
              </w:rPr>
              <w:t>辽宁佳合鹏程粉体科技有限公司成立于</w:t>
            </w:r>
            <w:r>
              <w:rPr>
                <w:rFonts w:hint="eastAsia"/>
                <w:color w:val="auto"/>
                <w:sz w:val="24"/>
                <w:highlight w:val="none"/>
                <w:lang w:val="en-US" w:eastAsia="zh-CN"/>
              </w:rPr>
              <w:t>2014年9月，是一家从事非金属矿物制品制造和销售的企业。</w:t>
            </w:r>
          </w:p>
          <w:p w14:paraId="67363A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color w:val="auto"/>
                <w:sz w:val="24"/>
                <w:highlight w:val="none"/>
                <w:lang w:val="en-US" w:eastAsia="zh-CN"/>
              </w:rPr>
            </w:pPr>
            <w:r>
              <w:rPr>
                <w:rFonts w:hint="eastAsia"/>
                <w:color w:val="auto"/>
                <w:sz w:val="24"/>
                <w:highlight w:val="none"/>
                <w:lang w:eastAsia="zh-CN"/>
              </w:rPr>
              <w:t>佳合鹏程</w:t>
            </w:r>
            <w:r>
              <w:rPr>
                <w:rFonts w:hint="eastAsia"/>
                <w:color w:val="auto"/>
                <w:sz w:val="24"/>
                <w:highlight w:val="none"/>
                <w:lang w:val="en-US" w:eastAsia="zh-CN"/>
              </w:rPr>
              <w:t>于2016年6月办理了《年产30万吨超白低铁石英砂、20万吨板材石英砂、10万吨硅微粉、5万吨改性重质碳酸钙超细粉、5万吨改性氢氧化镁超细粉项目环境影响报告表》并取得环评批复（岫偏环批</w:t>
            </w:r>
            <w:r>
              <w:rPr>
                <w:rFonts w:hint="eastAsia" w:ascii="宋体" w:hAnsi="宋体" w:eastAsia="宋体" w:cs="宋体"/>
                <w:color w:val="auto"/>
                <w:sz w:val="24"/>
                <w:highlight w:val="none"/>
                <w:lang w:val="en-US" w:eastAsia="zh-CN"/>
              </w:rPr>
              <w:t>〔</w:t>
            </w:r>
            <w:r>
              <w:rPr>
                <w:rFonts w:hint="eastAsia"/>
                <w:color w:val="auto"/>
                <w:sz w:val="24"/>
                <w:highlight w:val="none"/>
                <w:lang w:val="en-US" w:eastAsia="zh-CN"/>
              </w:rPr>
              <w:t>2016</w:t>
            </w:r>
            <w:r>
              <w:rPr>
                <w:rFonts w:hint="eastAsia" w:ascii="宋体" w:hAnsi="宋体" w:eastAsia="宋体" w:cs="宋体"/>
                <w:color w:val="auto"/>
                <w:sz w:val="24"/>
                <w:highlight w:val="none"/>
                <w:lang w:val="en-US" w:eastAsia="zh-CN"/>
              </w:rPr>
              <w:t>〕</w:t>
            </w:r>
            <w:r>
              <w:rPr>
                <w:rFonts w:hint="eastAsia"/>
                <w:color w:val="auto"/>
                <w:sz w:val="24"/>
                <w:highlight w:val="none"/>
                <w:lang w:val="en-US" w:eastAsia="zh-CN"/>
              </w:rPr>
              <w:t>第3号）；2018年公司完成1#厂房北侧年产5万吨改性重质碳酸钙超细粉生产线及年产5万吨改性氢氧化镁超细粉生产线，厂区原料堆场、危废间和办公楼等配套生活设施建设，并通过验收，验收批复为岫环验</w:t>
            </w:r>
            <w:r>
              <w:rPr>
                <w:rFonts w:hint="eastAsia" w:ascii="宋体" w:hAnsi="宋体" w:eastAsia="宋体" w:cs="宋体"/>
                <w:color w:val="auto"/>
                <w:sz w:val="24"/>
                <w:highlight w:val="none"/>
                <w:lang w:val="en-US" w:eastAsia="zh-CN"/>
              </w:rPr>
              <w:t>〔</w:t>
            </w:r>
            <w:r>
              <w:rPr>
                <w:rFonts w:hint="eastAsia"/>
                <w:color w:val="auto"/>
                <w:sz w:val="24"/>
                <w:highlight w:val="none"/>
                <w:lang w:val="en-US" w:eastAsia="zh-CN"/>
              </w:rPr>
              <w:t>2018</w:t>
            </w:r>
            <w:r>
              <w:rPr>
                <w:rFonts w:hint="eastAsia" w:ascii="宋体" w:hAnsi="宋体" w:eastAsia="宋体" w:cs="宋体"/>
                <w:color w:val="auto"/>
                <w:sz w:val="24"/>
                <w:highlight w:val="none"/>
                <w:lang w:val="en-US" w:eastAsia="zh-CN"/>
              </w:rPr>
              <w:t>〕</w:t>
            </w:r>
            <w:r>
              <w:rPr>
                <w:rFonts w:hint="eastAsia"/>
                <w:color w:val="auto"/>
                <w:sz w:val="24"/>
                <w:highlight w:val="none"/>
                <w:lang w:val="en-US" w:eastAsia="zh-CN"/>
              </w:rPr>
              <w:t>32号；</w:t>
            </w:r>
          </w:p>
          <w:p w14:paraId="7AD008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color w:val="auto"/>
                <w:sz w:val="24"/>
                <w:highlight w:val="none"/>
                <w:lang w:val="en-US" w:eastAsia="zh-CN"/>
              </w:rPr>
            </w:pPr>
            <w:r>
              <w:rPr>
                <w:rFonts w:hint="eastAsia"/>
                <w:color w:val="auto"/>
                <w:sz w:val="24"/>
                <w:highlight w:val="none"/>
                <w:lang w:val="en-US" w:eastAsia="zh-CN"/>
              </w:rPr>
              <w:t>2018年9月，佳合鹏程委托中科森环企业管理(北京)有限公司编制了《辽宁佳合鹏程粉体科技有限公司年产45万吨白砂、20万吨硅微粉、10万吨彩砂项目环境影响报告表》；2018年11月13日取得了岫岩满族自治县生态环境局《关于辽宁佳合鹏程粉体科技有限公司年产45万吨白砂、20万吨硅微粉、10万吨彩砂项目环境影响报告表的批复》（岫环批</w:t>
            </w:r>
            <w:r>
              <w:rPr>
                <w:rFonts w:hint="eastAsia" w:ascii="宋体" w:hAnsi="宋体" w:eastAsia="宋体" w:cs="宋体"/>
                <w:color w:val="auto"/>
                <w:sz w:val="24"/>
                <w:highlight w:val="none"/>
                <w:lang w:val="en-US" w:eastAsia="zh-CN"/>
              </w:rPr>
              <w:t>〔</w:t>
            </w:r>
            <w:r>
              <w:rPr>
                <w:rFonts w:hint="eastAsia"/>
                <w:color w:val="auto"/>
                <w:sz w:val="24"/>
                <w:highlight w:val="none"/>
                <w:lang w:val="en-US" w:eastAsia="zh-CN"/>
              </w:rPr>
              <w:t>2018</w:t>
            </w:r>
            <w:r>
              <w:rPr>
                <w:rFonts w:hint="eastAsia" w:ascii="宋体" w:hAnsi="宋体" w:eastAsia="宋体" w:cs="宋体"/>
                <w:color w:val="auto"/>
                <w:sz w:val="24"/>
                <w:highlight w:val="none"/>
                <w:lang w:val="en-US" w:eastAsia="zh-CN"/>
              </w:rPr>
              <w:t>〕</w:t>
            </w:r>
            <w:r>
              <w:rPr>
                <w:rFonts w:hint="eastAsia"/>
                <w:color w:val="auto"/>
                <w:sz w:val="24"/>
                <w:highlight w:val="none"/>
                <w:lang w:val="en-US" w:eastAsia="zh-CN"/>
              </w:rPr>
              <w:t>第64号）；</w:t>
            </w:r>
          </w:p>
          <w:p w14:paraId="308A41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color w:val="auto"/>
                <w:sz w:val="24"/>
                <w:highlight w:val="none"/>
                <w:lang w:val="en-US" w:eastAsia="zh-CN"/>
              </w:rPr>
            </w:pPr>
            <w:r>
              <w:rPr>
                <w:rFonts w:hint="eastAsia"/>
                <w:color w:val="auto"/>
                <w:sz w:val="24"/>
                <w:highlight w:val="none"/>
                <w:lang w:val="en-US" w:eastAsia="zh-CN"/>
              </w:rPr>
              <w:t>2019年1月26日，</w:t>
            </w:r>
            <w:r>
              <w:rPr>
                <w:rFonts w:hint="eastAsia"/>
                <w:color w:val="auto"/>
                <w:sz w:val="24"/>
                <w:highlight w:val="none"/>
                <w:lang w:eastAsia="zh-CN"/>
              </w:rPr>
              <w:t>佳合鹏程</w:t>
            </w:r>
            <w:r>
              <w:rPr>
                <w:rFonts w:hint="eastAsia"/>
                <w:color w:val="auto"/>
                <w:sz w:val="24"/>
                <w:highlight w:val="none"/>
                <w:lang w:val="en-US" w:eastAsia="zh-CN"/>
              </w:rPr>
              <w:t>对《年产45万吨白砂、20万吨硅微粉、10万吨彩砂项目建设项目》一期工程进行环保自主验收，工程范围包括已建成的2条白砂生产线和2条彩砂生产线及配套的环境保护设施；2023年4月2日对《年产45万吨白砂、20万吨硅微粉、10万吨彩砂项目建设项目》二期工程进行环保自主验收，工程范围包括已建成的1条白砂生产线和2条硅微粉生产线及配套的环境保护设施。</w:t>
            </w:r>
          </w:p>
          <w:p w14:paraId="7EB728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color w:val="auto"/>
                <w:sz w:val="24"/>
                <w:highlight w:val="none"/>
                <w:lang w:val="en-US" w:eastAsia="zh-CN"/>
              </w:rPr>
            </w:pPr>
            <w:r>
              <w:rPr>
                <w:rFonts w:hint="eastAsia"/>
                <w:color w:val="auto"/>
                <w:sz w:val="24"/>
                <w:highlight w:val="none"/>
                <w:lang w:eastAsia="zh-CN"/>
              </w:rPr>
              <w:t>佳合鹏程</w:t>
            </w:r>
            <w:r>
              <w:rPr>
                <w:rFonts w:hint="eastAsia"/>
                <w:color w:val="auto"/>
                <w:sz w:val="24"/>
                <w:highlight w:val="none"/>
                <w:lang w:val="en-US" w:eastAsia="zh-CN"/>
              </w:rPr>
              <w:t>于2020年6月10日完成排污登记；2023年3月24日完成登记变更，登记编号：91210322318670717A001W。</w:t>
            </w:r>
          </w:p>
          <w:p w14:paraId="5C34E8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color w:val="auto"/>
                <w:sz w:val="24"/>
                <w:highlight w:val="none"/>
                <w:lang w:val="en-US" w:eastAsia="zh-CN"/>
              </w:rPr>
            </w:pPr>
            <w:r>
              <w:rPr>
                <w:rFonts w:hint="eastAsia"/>
                <w:color w:val="auto"/>
                <w:sz w:val="24"/>
                <w:highlight w:val="none"/>
                <w:lang w:val="en-US" w:eastAsia="zh-CN"/>
              </w:rPr>
              <w:t>佳合鹏程现建设完成一条年产5万吨改性重质碳酸钙超细粉生产线；一条年产5万吨改性氢氧化镁超细粉生产线；两条年产4.5万白砂生产线；一条年产10万吨白砂生产线，两条年产2万吨硅微粉生产线；两条年产2万吨彩砂生产线。</w:t>
            </w:r>
          </w:p>
          <w:p w14:paraId="1F02CB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color w:val="auto"/>
                <w:sz w:val="24"/>
                <w:highlight w:val="none"/>
                <w:lang w:val="en-US" w:eastAsia="zh-CN"/>
              </w:rPr>
            </w:pPr>
            <w:r>
              <w:rPr>
                <w:rFonts w:hint="eastAsia"/>
                <w:color w:val="auto"/>
                <w:sz w:val="24"/>
                <w:highlight w:val="none"/>
                <w:lang w:val="en-US" w:eastAsia="zh-CN"/>
              </w:rPr>
              <w:t>详见下表：</w:t>
            </w:r>
          </w:p>
          <w:tbl>
            <w:tblPr>
              <w:tblStyle w:val="25"/>
              <w:tblW w:w="499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37"/>
              <w:gridCol w:w="1877"/>
              <w:gridCol w:w="1056"/>
              <w:gridCol w:w="1073"/>
              <w:gridCol w:w="1701"/>
              <w:gridCol w:w="1606"/>
              <w:gridCol w:w="662"/>
            </w:tblGrid>
            <w:tr w14:paraId="4361FA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26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182F4F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序号</w:t>
                  </w:r>
                </w:p>
              </w:tc>
              <w:tc>
                <w:tcPr>
                  <w:tcW w:w="111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8EF9DE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环评手续</w:t>
                  </w:r>
                </w:p>
              </w:tc>
              <w:tc>
                <w:tcPr>
                  <w:tcW w:w="605" w:type="pct"/>
                  <w:vMerge w:val="restart"/>
                  <w:tcBorders>
                    <w:top w:val="single" w:color="000000" w:sz="4" w:space="0"/>
                    <w:left w:val="single" w:color="000000" w:sz="4" w:space="0"/>
                    <w:right w:val="single" w:color="000000" w:sz="4" w:space="0"/>
                  </w:tcBorders>
                  <w:shd w:val="clear" w:color="auto" w:fill="auto"/>
                  <w:vAlign w:val="center"/>
                </w:tcPr>
                <w:p w14:paraId="061EA8C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环评批复</w:t>
                  </w:r>
                  <w:r>
                    <w:rPr>
                      <w:rFonts w:hint="eastAsia" w:cs="Times New Roman"/>
                      <w:i w:val="0"/>
                      <w:iCs w:val="0"/>
                      <w:color w:val="auto"/>
                      <w:kern w:val="0"/>
                      <w:sz w:val="21"/>
                      <w:szCs w:val="21"/>
                      <w:highlight w:val="none"/>
                      <w:u w:val="none"/>
                      <w:lang w:val="en-US" w:eastAsia="zh-CN" w:bidi="ar"/>
                    </w:rPr>
                    <w:t>文号</w:t>
                  </w:r>
                </w:p>
              </w:tc>
              <w:tc>
                <w:tcPr>
                  <w:tcW w:w="641" w:type="pct"/>
                  <w:vMerge w:val="restart"/>
                  <w:tcBorders>
                    <w:top w:val="single" w:color="000000" w:sz="4" w:space="0"/>
                    <w:left w:val="single" w:color="000000" w:sz="4" w:space="0"/>
                    <w:right w:val="single" w:color="000000" w:sz="4" w:space="0"/>
                  </w:tcBorders>
                  <w:shd w:val="clear" w:color="auto" w:fill="auto"/>
                  <w:vAlign w:val="center"/>
                </w:tcPr>
                <w:p w14:paraId="3985404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olor w:val="auto"/>
                      <w:highlight w:val="none"/>
                      <w:lang w:val="en-US" w:eastAsia="zh-CN"/>
                    </w:rPr>
                    <w:t>验收时间</w:t>
                  </w:r>
                </w:p>
              </w:tc>
              <w:tc>
                <w:tcPr>
                  <w:tcW w:w="1972"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759569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验收内容</w:t>
                  </w:r>
                </w:p>
              </w:tc>
              <w:tc>
                <w:tcPr>
                  <w:tcW w:w="397" w:type="pct"/>
                  <w:vMerge w:val="restart"/>
                  <w:tcBorders>
                    <w:top w:val="single" w:color="000000" w:sz="4" w:space="0"/>
                    <w:left w:val="single" w:color="000000" w:sz="4" w:space="0"/>
                    <w:right w:val="single" w:color="000000" w:sz="4" w:space="0"/>
                  </w:tcBorders>
                  <w:shd w:val="clear" w:color="auto" w:fill="auto"/>
                  <w:vAlign w:val="center"/>
                </w:tcPr>
                <w:p w14:paraId="3460EF82">
                  <w:pPr>
                    <w:keepNext w:val="0"/>
                    <w:keepLines w:val="0"/>
                    <w:widowControl/>
                    <w:suppressLineNumbers w:val="0"/>
                    <w:spacing w:before="0" w:beforeAutospacing="0" w:after="0" w:afterAutospacing="0"/>
                    <w:ind w:left="0" w:right="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备注</w:t>
                  </w:r>
                </w:p>
              </w:tc>
            </w:tr>
            <w:tr w14:paraId="3C73BB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2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0C4DA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11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55B55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605" w:type="pct"/>
                  <w:vMerge w:val="continue"/>
                  <w:tcBorders>
                    <w:left w:val="single" w:color="000000" w:sz="4" w:space="0"/>
                    <w:bottom w:val="single" w:color="000000" w:sz="4" w:space="0"/>
                    <w:right w:val="single" w:color="000000" w:sz="4" w:space="0"/>
                  </w:tcBorders>
                  <w:shd w:val="clear" w:color="auto" w:fill="auto"/>
                  <w:vAlign w:val="center"/>
                </w:tcPr>
                <w:p w14:paraId="300351A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641" w:type="pct"/>
                  <w:vMerge w:val="continue"/>
                  <w:tcBorders>
                    <w:left w:val="single" w:color="000000" w:sz="4" w:space="0"/>
                    <w:bottom w:val="single" w:color="000000" w:sz="4" w:space="0"/>
                    <w:right w:val="single" w:color="000000" w:sz="4" w:space="0"/>
                  </w:tcBorders>
                  <w:shd w:val="clear" w:color="auto" w:fill="auto"/>
                  <w:vAlign w:val="center"/>
                </w:tcPr>
                <w:p w14:paraId="1D34C40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rPr>
                  </w:pPr>
                </w:p>
              </w:tc>
              <w:tc>
                <w:tcPr>
                  <w:tcW w:w="10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1450E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一车间</w:t>
                  </w:r>
                </w:p>
              </w:tc>
              <w:tc>
                <w:tcPr>
                  <w:tcW w:w="9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C7D34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二车间</w:t>
                  </w:r>
                </w:p>
              </w:tc>
              <w:tc>
                <w:tcPr>
                  <w:tcW w:w="397" w:type="pct"/>
                  <w:vMerge w:val="continue"/>
                  <w:tcBorders>
                    <w:left w:val="single" w:color="000000" w:sz="4" w:space="0"/>
                    <w:bottom w:val="single" w:color="000000" w:sz="4" w:space="0"/>
                    <w:right w:val="single" w:color="000000" w:sz="4" w:space="0"/>
                  </w:tcBorders>
                  <w:shd w:val="clear" w:color="auto" w:fill="auto"/>
                  <w:vAlign w:val="center"/>
                </w:tcPr>
                <w:p w14:paraId="4A7D833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14:paraId="7F0A5B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jc w:val="center"/>
              </w:trPr>
              <w:tc>
                <w:tcPr>
                  <w:tcW w:w="2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238EF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1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F100D8">
                  <w:pPr>
                    <w:keepNext w:val="0"/>
                    <w:keepLines w:val="0"/>
                    <w:widowControl/>
                    <w:suppressLineNumbers w:val="0"/>
                    <w:spacing w:before="0" w:beforeAutospacing="0" w:after="0" w:afterAutospacing="0"/>
                    <w:ind w:left="0" w:right="0"/>
                    <w:jc w:val="center"/>
                    <w:textAlignment w:val="center"/>
                    <w:rPr>
                      <w:rFonts w:hint="default"/>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年产30万吨超白低铁石英砂、20万吨板材石英砂、10万吨硅微粉、5万吨改性重质碳酸钙超细粉、5万吨改性氢氧化镁超细粉项目环境影响报告表</w:t>
                  </w:r>
                </w:p>
              </w:tc>
              <w:tc>
                <w:tcPr>
                  <w:tcW w:w="6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0C35E2">
                  <w:pPr>
                    <w:pStyle w:val="16"/>
                    <w:keepNext w:val="0"/>
                    <w:keepLines w:val="0"/>
                    <w:suppressLineNumbers w:val="0"/>
                    <w:spacing w:before="0" w:beforeAutospacing="0" w:after="0" w:afterAutospacing="0"/>
                    <w:ind w:left="0" w:leftChars="0" w:right="0" w:firstLine="0" w:firstLineChars="0"/>
                    <w:rPr>
                      <w:rFonts w:hint="default"/>
                      <w:color w:val="auto"/>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（岫偏环批〔2016〕第3号</w:t>
                  </w:r>
                </w:p>
              </w:tc>
              <w:tc>
                <w:tcPr>
                  <w:tcW w:w="6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A1E37A">
                  <w:pPr>
                    <w:pStyle w:val="16"/>
                    <w:keepNext w:val="0"/>
                    <w:keepLines w:val="0"/>
                    <w:suppressLineNumbers w:val="0"/>
                    <w:spacing w:before="0" w:beforeAutospacing="0" w:after="0" w:afterAutospacing="0"/>
                    <w:ind w:left="0" w:leftChars="0" w:right="0" w:firstLine="0" w:firstLineChars="0"/>
                    <w:rPr>
                      <w:rFonts w:hint="default"/>
                      <w:color w:val="auto"/>
                      <w:highlight w:val="none"/>
                      <w:lang w:val="en-US" w:eastAsia="zh-CN"/>
                    </w:rPr>
                  </w:pPr>
                  <w:r>
                    <w:rPr>
                      <w:rFonts w:hint="eastAsia" w:cs="Times New Roman"/>
                      <w:i w:val="0"/>
                      <w:iCs w:val="0"/>
                      <w:color w:val="auto"/>
                      <w:kern w:val="0"/>
                      <w:sz w:val="21"/>
                      <w:szCs w:val="21"/>
                      <w:highlight w:val="none"/>
                      <w:u w:val="none"/>
                      <w:lang w:val="en-US" w:eastAsia="zh-CN" w:bidi="ar"/>
                    </w:rPr>
                    <w:t>2018年8月27日；</w:t>
                  </w:r>
                  <w:r>
                    <w:rPr>
                      <w:rFonts w:hint="default" w:ascii="Times New Roman" w:hAnsi="Times New Roman" w:eastAsia="宋体" w:cs="Times New Roman"/>
                      <w:i w:val="0"/>
                      <w:iCs w:val="0"/>
                      <w:color w:val="auto"/>
                      <w:kern w:val="0"/>
                      <w:sz w:val="21"/>
                      <w:szCs w:val="21"/>
                      <w:highlight w:val="none"/>
                      <w:u w:val="none"/>
                      <w:lang w:val="en-US" w:eastAsia="zh-CN" w:bidi="ar"/>
                    </w:rPr>
                    <w:t>岫环验〔2018〕32号</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E719D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一条5万吨/年改性重质碳酸钙超细粉生产线；一条5万吨/年改性氢氧化镁超细粉生产线各一条</w:t>
                  </w:r>
                </w:p>
              </w:tc>
              <w:tc>
                <w:tcPr>
                  <w:tcW w:w="16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D1959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CEB97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其余生产线未验收</w:t>
                  </w:r>
                </w:p>
              </w:tc>
            </w:tr>
            <w:tr w14:paraId="791B07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48" w:hRule="atLeast"/>
                <w:jc w:val="center"/>
              </w:trPr>
              <w:tc>
                <w:tcPr>
                  <w:tcW w:w="264" w:type="pct"/>
                  <w:vMerge w:val="restart"/>
                  <w:tcBorders>
                    <w:top w:val="single" w:color="000000" w:sz="4" w:space="0"/>
                    <w:left w:val="single" w:color="000000" w:sz="4" w:space="0"/>
                    <w:right w:val="single" w:color="000000" w:sz="4" w:space="0"/>
                  </w:tcBorders>
                  <w:shd w:val="clear" w:color="auto" w:fill="auto"/>
                  <w:noWrap/>
                  <w:vAlign w:val="center"/>
                </w:tcPr>
                <w:p w14:paraId="1F08C67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119" w:type="pct"/>
                  <w:vMerge w:val="restart"/>
                  <w:tcBorders>
                    <w:top w:val="single" w:color="000000" w:sz="4" w:space="0"/>
                    <w:left w:val="single" w:color="000000" w:sz="4" w:space="0"/>
                    <w:right w:val="single" w:color="000000" w:sz="4" w:space="0"/>
                  </w:tcBorders>
                  <w:shd w:val="clear" w:color="auto" w:fill="auto"/>
                  <w:vAlign w:val="center"/>
                </w:tcPr>
                <w:p w14:paraId="7397DFA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辽宁佳合鹏程粉体科技有限公司年产45万吨白砂、20万吨硅微粉、10万吨彩砂项目环境影响报告表</w:t>
                  </w:r>
                </w:p>
              </w:tc>
              <w:tc>
                <w:tcPr>
                  <w:tcW w:w="605" w:type="pct"/>
                  <w:vMerge w:val="restart"/>
                  <w:tcBorders>
                    <w:top w:val="single" w:color="000000" w:sz="4" w:space="0"/>
                    <w:left w:val="single" w:color="000000" w:sz="4" w:space="0"/>
                    <w:right w:val="single" w:color="000000" w:sz="4" w:space="0"/>
                  </w:tcBorders>
                  <w:shd w:val="clear" w:color="auto" w:fill="auto"/>
                  <w:vAlign w:val="center"/>
                </w:tcPr>
                <w:p w14:paraId="17FF1CB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岫环批〔2018〕第64号</w:t>
                  </w:r>
                </w:p>
              </w:tc>
              <w:tc>
                <w:tcPr>
                  <w:tcW w:w="6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0ADA53">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2019年1月26日</w:t>
                  </w:r>
                  <w:r>
                    <w:rPr>
                      <w:rFonts w:hint="eastAsia" w:cs="Times New Roman"/>
                      <w:i w:val="0"/>
                      <w:iCs w:val="0"/>
                      <w:color w:val="auto"/>
                      <w:kern w:val="0"/>
                      <w:sz w:val="21"/>
                      <w:szCs w:val="21"/>
                      <w:highlight w:val="none"/>
                      <w:u w:val="none"/>
                      <w:lang w:val="en-US" w:eastAsia="zh-CN" w:bidi="ar"/>
                    </w:rPr>
                    <w:t>一期</w:t>
                  </w:r>
                  <w:r>
                    <w:rPr>
                      <w:rFonts w:hint="eastAsia" w:ascii="Times New Roman" w:hAnsi="Times New Roman" w:eastAsia="宋体" w:cs="Times New Roman"/>
                      <w:i w:val="0"/>
                      <w:iCs w:val="0"/>
                      <w:color w:val="auto"/>
                      <w:kern w:val="0"/>
                      <w:sz w:val="21"/>
                      <w:szCs w:val="21"/>
                      <w:highlight w:val="none"/>
                      <w:u w:val="none"/>
                      <w:lang w:val="en-US" w:eastAsia="zh-CN" w:bidi="ar"/>
                    </w:rPr>
                    <w:t>验收</w:t>
                  </w:r>
                </w:p>
              </w:tc>
              <w:tc>
                <w:tcPr>
                  <w:tcW w:w="10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EA1B1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两条8t/h</w:t>
                  </w:r>
                  <w:r>
                    <w:rPr>
                      <w:rFonts w:hint="eastAsia" w:ascii="Times New Roman" w:hAnsi="Times New Roman" w:eastAsia="宋体" w:cs="Times New Roman"/>
                      <w:i w:val="0"/>
                      <w:iCs w:val="0"/>
                      <w:color w:val="auto"/>
                      <w:kern w:val="0"/>
                      <w:sz w:val="21"/>
                      <w:szCs w:val="21"/>
                      <w:highlight w:val="none"/>
                      <w:u w:val="none"/>
                      <w:lang w:val="en-US" w:eastAsia="zh-CN" w:bidi="ar"/>
                    </w:rPr>
                    <w:t>（4.5万吨/年）</w:t>
                  </w:r>
                  <w:r>
                    <w:rPr>
                      <w:rFonts w:hint="default" w:ascii="Times New Roman" w:hAnsi="Times New Roman" w:eastAsia="宋体" w:cs="Times New Roman"/>
                      <w:i w:val="0"/>
                      <w:iCs w:val="0"/>
                      <w:color w:val="auto"/>
                      <w:kern w:val="0"/>
                      <w:sz w:val="21"/>
                      <w:szCs w:val="21"/>
                      <w:highlight w:val="none"/>
                      <w:u w:val="none"/>
                      <w:lang w:val="en-US" w:eastAsia="zh-CN" w:bidi="ar"/>
                    </w:rPr>
                    <w:t>白砂生产线；两条3t/h</w:t>
                  </w:r>
                  <w:r>
                    <w:rPr>
                      <w:rFonts w:hint="eastAsia" w:ascii="Times New Roman" w:hAnsi="Times New Roman" w:eastAsia="宋体" w:cs="Times New Roman"/>
                      <w:i w:val="0"/>
                      <w:iCs w:val="0"/>
                      <w:color w:val="auto"/>
                      <w:kern w:val="0"/>
                      <w:sz w:val="21"/>
                      <w:szCs w:val="21"/>
                      <w:highlight w:val="none"/>
                      <w:u w:val="none"/>
                      <w:lang w:val="en-US" w:eastAsia="zh-CN" w:bidi="ar"/>
                    </w:rPr>
                    <w:t>（</w:t>
                  </w:r>
                  <w:r>
                    <w:rPr>
                      <w:rFonts w:hint="eastAsia" w:cs="Times New Roman"/>
                      <w:i w:val="0"/>
                      <w:iCs w:val="0"/>
                      <w:color w:val="auto"/>
                      <w:kern w:val="0"/>
                      <w:sz w:val="21"/>
                      <w:szCs w:val="21"/>
                      <w:highlight w:val="none"/>
                      <w:u w:val="none"/>
                      <w:lang w:val="en-US" w:eastAsia="zh-CN" w:bidi="ar"/>
                    </w:rPr>
                    <w:t>2</w:t>
                  </w:r>
                  <w:r>
                    <w:rPr>
                      <w:rFonts w:hint="eastAsia" w:ascii="Times New Roman" w:hAnsi="Times New Roman" w:eastAsia="宋体" w:cs="Times New Roman"/>
                      <w:i w:val="0"/>
                      <w:iCs w:val="0"/>
                      <w:color w:val="auto"/>
                      <w:kern w:val="0"/>
                      <w:sz w:val="21"/>
                      <w:szCs w:val="21"/>
                      <w:highlight w:val="none"/>
                      <w:u w:val="none"/>
                      <w:lang w:val="en-US" w:eastAsia="zh-CN" w:bidi="ar"/>
                    </w:rPr>
                    <w:t>万吨/年）</w:t>
                  </w:r>
                  <w:r>
                    <w:rPr>
                      <w:rFonts w:hint="eastAsia" w:cs="Times New Roman"/>
                      <w:i w:val="0"/>
                      <w:iCs w:val="0"/>
                      <w:color w:val="auto"/>
                      <w:kern w:val="0"/>
                      <w:sz w:val="21"/>
                      <w:szCs w:val="21"/>
                      <w:highlight w:val="none"/>
                      <w:u w:val="none"/>
                      <w:lang w:val="en-US" w:eastAsia="zh-CN" w:bidi="ar"/>
                    </w:rPr>
                    <w:t>彩砂</w:t>
                  </w:r>
                  <w:r>
                    <w:rPr>
                      <w:rFonts w:hint="default" w:ascii="Times New Roman" w:hAnsi="Times New Roman" w:eastAsia="宋体" w:cs="Times New Roman"/>
                      <w:i w:val="0"/>
                      <w:iCs w:val="0"/>
                      <w:color w:val="auto"/>
                      <w:kern w:val="0"/>
                      <w:sz w:val="21"/>
                      <w:szCs w:val="21"/>
                      <w:highlight w:val="none"/>
                      <w:u w:val="none"/>
                      <w:lang w:val="en-US" w:eastAsia="zh-CN" w:bidi="ar"/>
                    </w:rPr>
                    <w:t>生产线。</w:t>
                  </w:r>
                </w:p>
              </w:tc>
              <w:tc>
                <w:tcPr>
                  <w:tcW w:w="9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9B96CE">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w:t>
                  </w:r>
                </w:p>
              </w:tc>
              <w:tc>
                <w:tcPr>
                  <w:tcW w:w="397" w:type="pct"/>
                  <w:vMerge w:val="restart"/>
                  <w:tcBorders>
                    <w:top w:val="single" w:color="000000" w:sz="4" w:space="0"/>
                    <w:left w:val="single" w:color="000000" w:sz="4" w:space="0"/>
                    <w:right w:val="single" w:color="000000" w:sz="4" w:space="0"/>
                  </w:tcBorders>
                  <w:shd w:val="clear" w:color="auto" w:fill="auto"/>
                  <w:vAlign w:val="center"/>
                </w:tcPr>
                <w:p w14:paraId="6A3555C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其余生产线未验收</w:t>
                  </w:r>
                </w:p>
              </w:tc>
            </w:tr>
            <w:tr w14:paraId="1A50C1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48" w:hRule="atLeast"/>
                <w:jc w:val="center"/>
              </w:trPr>
              <w:tc>
                <w:tcPr>
                  <w:tcW w:w="264" w:type="pct"/>
                  <w:vMerge w:val="continue"/>
                  <w:tcBorders>
                    <w:left w:val="single" w:color="000000" w:sz="4" w:space="0"/>
                    <w:bottom w:val="single" w:color="000000" w:sz="4" w:space="0"/>
                    <w:right w:val="single" w:color="000000" w:sz="4" w:space="0"/>
                  </w:tcBorders>
                  <w:shd w:val="clear" w:color="auto" w:fill="auto"/>
                  <w:noWrap/>
                  <w:vAlign w:val="center"/>
                </w:tcPr>
                <w:p w14:paraId="697AFB4D">
                  <w:pPr>
                    <w:keepNext w:val="0"/>
                    <w:keepLines w:val="0"/>
                    <w:widowControl/>
                    <w:suppressLineNumbers w:val="0"/>
                    <w:spacing w:before="0" w:beforeAutospacing="0" w:after="0" w:afterAutospacing="0"/>
                    <w:ind w:left="0" w:right="0"/>
                    <w:jc w:val="center"/>
                    <w:textAlignment w:val="center"/>
                    <w:rPr>
                      <w:color w:val="auto"/>
                      <w:highlight w:val="none"/>
                    </w:rPr>
                  </w:pPr>
                </w:p>
              </w:tc>
              <w:tc>
                <w:tcPr>
                  <w:tcW w:w="1119" w:type="pct"/>
                  <w:vMerge w:val="continue"/>
                  <w:tcBorders>
                    <w:left w:val="single" w:color="000000" w:sz="4" w:space="0"/>
                    <w:bottom w:val="single" w:color="000000" w:sz="4" w:space="0"/>
                    <w:right w:val="single" w:color="000000" w:sz="4" w:space="0"/>
                  </w:tcBorders>
                  <w:shd w:val="clear" w:color="auto" w:fill="auto"/>
                  <w:vAlign w:val="center"/>
                </w:tcPr>
                <w:p w14:paraId="3D36F750">
                  <w:pPr>
                    <w:keepNext w:val="0"/>
                    <w:keepLines w:val="0"/>
                    <w:widowControl/>
                    <w:suppressLineNumbers w:val="0"/>
                    <w:spacing w:before="0" w:beforeAutospacing="0" w:after="0" w:afterAutospacing="0"/>
                    <w:ind w:left="0" w:right="0"/>
                    <w:jc w:val="center"/>
                    <w:textAlignment w:val="center"/>
                    <w:rPr>
                      <w:color w:val="auto"/>
                      <w:highlight w:val="none"/>
                    </w:rPr>
                  </w:pPr>
                </w:p>
              </w:tc>
              <w:tc>
                <w:tcPr>
                  <w:tcW w:w="605" w:type="pct"/>
                  <w:vMerge w:val="continue"/>
                  <w:tcBorders>
                    <w:left w:val="single" w:color="000000" w:sz="4" w:space="0"/>
                    <w:bottom w:val="single" w:color="000000" w:sz="4" w:space="0"/>
                    <w:right w:val="single" w:color="000000" w:sz="4" w:space="0"/>
                  </w:tcBorders>
                  <w:shd w:val="clear" w:color="auto" w:fill="auto"/>
                  <w:vAlign w:val="center"/>
                </w:tcPr>
                <w:p w14:paraId="6EF6E04C">
                  <w:pPr>
                    <w:keepNext w:val="0"/>
                    <w:keepLines w:val="0"/>
                    <w:widowControl/>
                    <w:suppressLineNumbers w:val="0"/>
                    <w:spacing w:before="0" w:beforeAutospacing="0" w:after="0" w:afterAutospacing="0"/>
                    <w:ind w:left="0" w:right="0"/>
                    <w:jc w:val="center"/>
                    <w:textAlignment w:val="center"/>
                    <w:rPr>
                      <w:color w:val="auto"/>
                      <w:highlight w:val="none"/>
                    </w:rPr>
                  </w:pPr>
                </w:p>
              </w:tc>
              <w:tc>
                <w:tcPr>
                  <w:tcW w:w="6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24641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2023年5月15日二期验收</w:t>
                  </w:r>
                </w:p>
              </w:tc>
              <w:tc>
                <w:tcPr>
                  <w:tcW w:w="10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9D94A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9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302E12">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一条13t/h</w:t>
                  </w:r>
                  <w:r>
                    <w:rPr>
                      <w:rFonts w:hint="eastAsia" w:ascii="Times New Roman" w:hAnsi="Times New Roman" w:eastAsia="宋体" w:cs="Times New Roman"/>
                      <w:i w:val="0"/>
                      <w:iCs w:val="0"/>
                      <w:color w:val="auto"/>
                      <w:kern w:val="0"/>
                      <w:sz w:val="21"/>
                      <w:szCs w:val="21"/>
                      <w:highlight w:val="none"/>
                      <w:u w:val="none"/>
                      <w:lang w:val="en-US" w:eastAsia="zh-CN" w:bidi="ar"/>
                    </w:rPr>
                    <w:t>（</w:t>
                  </w:r>
                  <w:r>
                    <w:rPr>
                      <w:rFonts w:hint="eastAsia" w:cs="Times New Roman"/>
                      <w:i w:val="0"/>
                      <w:iCs w:val="0"/>
                      <w:color w:val="auto"/>
                      <w:kern w:val="0"/>
                      <w:sz w:val="21"/>
                      <w:szCs w:val="21"/>
                      <w:highlight w:val="none"/>
                      <w:u w:val="none"/>
                      <w:lang w:val="en-US" w:eastAsia="zh-CN" w:bidi="ar"/>
                    </w:rPr>
                    <w:t>10</w:t>
                  </w:r>
                  <w:r>
                    <w:rPr>
                      <w:rFonts w:hint="eastAsia" w:ascii="Times New Roman" w:hAnsi="Times New Roman" w:eastAsia="宋体" w:cs="Times New Roman"/>
                      <w:i w:val="0"/>
                      <w:iCs w:val="0"/>
                      <w:color w:val="auto"/>
                      <w:kern w:val="0"/>
                      <w:sz w:val="21"/>
                      <w:szCs w:val="21"/>
                      <w:highlight w:val="none"/>
                      <w:u w:val="none"/>
                      <w:lang w:val="en-US" w:eastAsia="zh-CN" w:bidi="ar"/>
                    </w:rPr>
                    <w:t>万吨/年）</w:t>
                  </w:r>
                  <w:r>
                    <w:rPr>
                      <w:rFonts w:hint="default" w:ascii="Times New Roman" w:hAnsi="Times New Roman" w:eastAsia="宋体" w:cs="Times New Roman"/>
                      <w:i w:val="0"/>
                      <w:iCs w:val="0"/>
                      <w:color w:val="auto"/>
                      <w:kern w:val="0"/>
                      <w:sz w:val="21"/>
                      <w:szCs w:val="21"/>
                      <w:highlight w:val="none"/>
                      <w:u w:val="none"/>
                      <w:lang w:val="en-US" w:eastAsia="zh-CN" w:bidi="ar"/>
                    </w:rPr>
                    <w:t>白砂生产线；两条3t/h</w:t>
                  </w:r>
                  <w:r>
                    <w:rPr>
                      <w:rFonts w:hint="eastAsia" w:ascii="Times New Roman" w:hAnsi="Times New Roman" w:eastAsia="宋体" w:cs="Times New Roman"/>
                      <w:i w:val="0"/>
                      <w:iCs w:val="0"/>
                      <w:color w:val="auto"/>
                      <w:kern w:val="0"/>
                      <w:sz w:val="21"/>
                      <w:szCs w:val="21"/>
                      <w:highlight w:val="none"/>
                      <w:u w:val="none"/>
                      <w:lang w:val="en-US" w:eastAsia="zh-CN" w:bidi="ar"/>
                    </w:rPr>
                    <w:t>（</w:t>
                  </w:r>
                  <w:r>
                    <w:rPr>
                      <w:rFonts w:hint="eastAsia" w:cs="Times New Roman"/>
                      <w:i w:val="0"/>
                      <w:iCs w:val="0"/>
                      <w:color w:val="auto"/>
                      <w:kern w:val="0"/>
                      <w:sz w:val="21"/>
                      <w:szCs w:val="21"/>
                      <w:highlight w:val="none"/>
                      <w:u w:val="none"/>
                      <w:lang w:val="en-US" w:eastAsia="zh-CN" w:bidi="ar"/>
                    </w:rPr>
                    <w:t>2</w:t>
                  </w:r>
                  <w:r>
                    <w:rPr>
                      <w:rFonts w:hint="eastAsia" w:ascii="Times New Roman" w:hAnsi="Times New Roman" w:eastAsia="宋体" w:cs="Times New Roman"/>
                      <w:i w:val="0"/>
                      <w:iCs w:val="0"/>
                      <w:color w:val="auto"/>
                      <w:kern w:val="0"/>
                      <w:sz w:val="21"/>
                      <w:szCs w:val="21"/>
                      <w:highlight w:val="none"/>
                      <w:u w:val="none"/>
                      <w:lang w:val="en-US" w:eastAsia="zh-CN" w:bidi="ar"/>
                    </w:rPr>
                    <w:t>万吨/年）</w:t>
                  </w:r>
                  <w:r>
                    <w:rPr>
                      <w:rFonts w:hint="default" w:ascii="Times New Roman" w:hAnsi="Times New Roman" w:eastAsia="宋体" w:cs="Times New Roman"/>
                      <w:i w:val="0"/>
                      <w:iCs w:val="0"/>
                      <w:color w:val="auto"/>
                      <w:kern w:val="0"/>
                      <w:sz w:val="21"/>
                      <w:szCs w:val="21"/>
                      <w:highlight w:val="none"/>
                      <w:u w:val="none"/>
                      <w:lang w:val="en-US" w:eastAsia="zh-CN" w:bidi="ar"/>
                    </w:rPr>
                    <w:t>硅微粉生产线。</w:t>
                  </w:r>
                </w:p>
              </w:tc>
              <w:tc>
                <w:tcPr>
                  <w:tcW w:w="397" w:type="pct"/>
                  <w:vMerge w:val="continue"/>
                  <w:tcBorders>
                    <w:left w:val="single" w:color="000000" w:sz="4" w:space="0"/>
                    <w:bottom w:val="single" w:color="000000" w:sz="4" w:space="0"/>
                    <w:right w:val="single" w:color="000000" w:sz="4" w:space="0"/>
                  </w:tcBorders>
                  <w:shd w:val="clear" w:color="auto" w:fill="auto"/>
                  <w:vAlign w:val="center"/>
                </w:tcPr>
                <w:p w14:paraId="04E2CFAA">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p>
              </w:tc>
            </w:tr>
          </w:tbl>
          <w:p w14:paraId="1509FEDA">
            <w:pPr>
              <w:pStyle w:val="16"/>
              <w:keepNext w:val="0"/>
              <w:keepLines w:val="0"/>
              <w:suppressLineNumbers w:val="0"/>
              <w:spacing w:before="0" w:beforeAutospacing="0" w:after="0" w:afterAutospacing="0"/>
              <w:ind w:left="0" w:leftChars="0" w:right="0" w:firstLine="0" w:firstLineChars="0"/>
              <w:rPr>
                <w:rFonts w:hint="default" w:eastAsia="宋体"/>
                <w:color w:val="auto"/>
                <w:sz w:val="24"/>
                <w:szCs w:val="24"/>
                <w:highlight w:val="none"/>
                <w:lang w:val="en-US" w:eastAsia="zh-CN"/>
              </w:rPr>
            </w:pPr>
            <w:r>
              <w:rPr>
                <w:rFonts w:hint="eastAsia"/>
                <w:color w:val="auto"/>
                <w:highlight w:val="none"/>
                <w:lang w:val="en-US" w:eastAsia="zh-CN"/>
              </w:rPr>
              <w:t xml:space="preserve">    本次租赁后，佳合鹏程1#厂房内两条8t/h(4.5万吨/年)白砂生产线、2#厂房内 13t/h(10万吨/年)白砂生产线，由佳合鹏程负责拆除，拆除后不再建设</w:t>
            </w:r>
            <w:r>
              <w:rPr>
                <w:rFonts w:hint="eastAsia" w:cs="Times New Roman"/>
                <w:i w:val="0"/>
                <w:iCs w:val="0"/>
                <w:color w:val="auto"/>
                <w:kern w:val="0"/>
                <w:sz w:val="24"/>
                <w:szCs w:val="24"/>
                <w:highlight w:val="none"/>
                <w:u w:val="none"/>
                <w:lang w:val="en-US" w:eastAsia="zh-CN" w:bidi="ar"/>
              </w:rPr>
              <w:t>。</w:t>
            </w:r>
          </w:p>
          <w:p w14:paraId="6AE35B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color w:val="auto"/>
                <w:sz w:val="24"/>
                <w:highlight w:val="none"/>
                <w:lang w:val="en-US" w:eastAsia="zh-CN"/>
              </w:rPr>
            </w:pPr>
            <w:r>
              <w:rPr>
                <w:rFonts w:hint="eastAsia"/>
                <w:color w:val="auto"/>
                <w:sz w:val="24"/>
                <w:highlight w:val="none"/>
                <w:lang w:val="en-US" w:eastAsia="zh-CN"/>
              </w:rPr>
              <w:t>目前佳合鹏程各生产线稳定运行，运营期间没有与环保相关的信访及投诉。</w:t>
            </w:r>
          </w:p>
          <w:p w14:paraId="09F210FE">
            <w:pPr>
              <w:pStyle w:val="2"/>
              <w:keepNext w:val="0"/>
              <w:keepLines w:val="0"/>
              <w:suppressLineNumbers w:val="0"/>
              <w:spacing w:before="0" w:beforeAutospacing="0" w:after="0" w:afterAutospacing="0" w:line="360" w:lineRule="auto"/>
              <w:ind w:left="0" w:leftChars="0" w:right="0" w:firstLine="480" w:firstLineChars="200"/>
              <w:rPr>
                <w:rFonts w:hint="eastAsia"/>
                <w:color w:val="auto"/>
                <w:lang w:val="en-US" w:eastAsia="zh-CN"/>
              </w:rPr>
            </w:pPr>
            <w:r>
              <w:rPr>
                <w:rFonts w:hint="eastAsia"/>
                <w:color w:val="auto"/>
                <w:sz w:val="24"/>
                <w:highlight w:val="none"/>
                <w:lang w:val="en-US" w:eastAsia="zh-CN"/>
              </w:rPr>
              <w:t>为保障独立生产，独立运营，佳合鹏程与金仑矿产品租赁范围之间设置隔断，生产互不混淆，独立监管并各自负责，监管时可配合调整生产时序，必要时停止生产。</w:t>
            </w:r>
          </w:p>
          <w:p w14:paraId="0C812B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color w:val="auto"/>
                <w:sz w:val="24"/>
                <w:highlight w:val="none"/>
                <w:lang w:val="en-US" w:eastAsia="zh-CN"/>
              </w:rPr>
            </w:pPr>
            <w:r>
              <w:rPr>
                <w:rFonts w:hint="eastAsia"/>
                <w:color w:val="auto"/>
                <w:sz w:val="24"/>
                <w:highlight w:val="none"/>
                <w:lang w:val="en-US" w:eastAsia="zh-CN"/>
              </w:rPr>
              <w:t>综上，与项目有关的原有环境污染问题为</w:t>
            </w:r>
            <w:r>
              <w:rPr>
                <w:rFonts w:hint="eastAsia"/>
                <w:color w:val="auto"/>
                <w:sz w:val="24"/>
                <w:highlight w:val="none"/>
                <w:lang w:eastAsia="zh-CN"/>
              </w:rPr>
              <w:t>佳合鹏程在</w:t>
            </w:r>
            <w:r>
              <w:rPr>
                <w:rFonts w:hint="eastAsia"/>
                <w:color w:val="auto"/>
                <w:sz w:val="24"/>
                <w:highlight w:val="none"/>
                <w:lang w:val="en-US" w:eastAsia="zh-CN"/>
              </w:rPr>
              <w:t>生产过程中产生的粉尘。</w:t>
            </w:r>
          </w:p>
        </w:tc>
      </w:tr>
    </w:tbl>
    <w:p w14:paraId="09416F0B">
      <w:pPr>
        <w:rPr>
          <w:rFonts w:hint="eastAsia" w:ascii="黑体" w:hAnsi="宋体" w:eastAsia="黑体"/>
          <w:snapToGrid w:val="0"/>
          <w:color w:val="auto"/>
          <w:sz w:val="36"/>
          <w:szCs w:val="36"/>
          <w:highlight w:val="none"/>
          <w:shd w:val="clear" w:color="auto" w:fill="auto"/>
          <w:lang w:bidi="ar"/>
        </w:rPr>
        <w:sectPr>
          <w:pgSz w:w="11906" w:h="16838"/>
          <w:pgMar w:top="1702" w:right="1531" w:bottom="1702" w:left="1531" w:header="851" w:footer="851" w:gutter="0"/>
          <w:pgNumType w:fmt="decimal"/>
          <w:cols w:space="720" w:num="1"/>
          <w:docGrid w:type="lines" w:linePitch="312" w:charSpace="0"/>
        </w:sectPr>
      </w:pPr>
    </w:p>
    <w:p w14:paraId="4E800945">
      <w:pPr>
        <w:pStyle w:val="22"/>
        <w:adjustRightInd w:val="0"/>
        <w:snapToGrid w:val="0"/>
        <w:spacing w:before="0" w:beforeAutospacing="0" w:after="0" w:afterAutospacing="0" w:line="12" w:lineRule="auto"/>
        <w:jc w:val="center"/>
        <w:outlineLvl w:val="9"/>
        <w:rPr>
          <w:rFonts w:ascii="黑体" w:eastAsia="黑体" w:cs="黑体"/>
          <w:snapToGrid w:val="0"/>
          <w:color w:val="auto"/>
          <w:sz w:val="30"/>
          <w:szCs w:val="30"/>
          <w:highlight w:val="none"/>
          <w:shd w:val="clear" w:color="auto" w:fill="auto"/>
        </w:rPr>
      </w:pPr>
    </w:p>
    <w:p w14:paraId="14E0BBB2">
      <w:pPr>
        <w:pStyle w:val="22"/>
        <w:jc w:val="center"/>
        <w:outlineLvl w:val="0"/>
        <w:rPr>
          <w:rFonts w:ascii="黑体" w:eastAsia="黑体" w:cs="黑体"/>
          <w:color w:val="auto"/>
          <w:sz w:val="30"/>
          <w:szCs w:val="30"/>
          <w:highlight w:val="none"/>
          <w:shd w:val="clear" w:color="auto" w:fill="auto"/>
        </w:rPr>
      </w:pPr>
      <w:r>
        <w:rPr>
          <w:rFonts w:ascii="黑体" w:eastAsia="黑体" w:cs="黑体"/>
          <w:snapToGrid w:val="0"/>
          <w:color w:val="auto"/>
          <w:sz w:val="30"/>
          <w:szCs w:val="30"/>
          <w:highlight w:val="none"/>
          <w:shd w:val="clear" w:color="auto" w:fill="auto"/>
        </w:rPr>
        <w:t>三、区域环境质量现状、环境保护目标及评价标准</w:t>
      </w:r>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8205"/>
      </w:tblGrid>
      <w:tr w14:paraId="5CEA2E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800" w:type="dxa"/>
            <w:tcBorders>
              <w:top w:val="single" w:color="auto" w:sz="8" w:space="0"/>
              <w:left w:val="single" w:color="auto" w:sz="8" w:space="0"/>
              <w:bottom w:val="single" w:color="auto" w:sz="4" w:space="0"/>
              <w:right w:val="single" w:color="auto" w:sz="4" w:space="0"/>
            </w:tcBorders>
            <w:noWrap w:val="0"/>
            <w:vAlign w:val="center"/>
          </w:tcPr>
          <w:p w14:paraId="70EF1FD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highlight w:val="none"/>
                <w:shd w:val="clear" w:color="auto" w:fill="auto"/>
              </w:rPr>
            </w:pPr>
            <w:r>
              <w:rPr>
                <w:rFonts w:hint="default" w:ascii="Times New Roman" w:hAnsi="Times New Roman" w:eastAsia="宋体" w:cs="Times New Roman"/>
                <w:color w:val="auto"/>
                <w:kern w:val="0"/>
                <w:szCs w:val="21"/>
                <w:highlight w:val="none"/>
                <w:shd w:val="clear" w:color="auto" w:fill="auto"/>
                <w:lang w:bidi="ar"/>
              </w:rPr>
              <w:t>区域</w:t>
            </w:r>
          </w:p>
          <w:p w14:paraId="1709CAA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highlight w:val="none"/>
                <w:shd w:val="clear" w:color="auto" w:fill="auto"/>
              </w:rPr>
            </w:pPr>
            <w:r>
              <w:rPr>
                <w:rFonts w:hint="default" w:ascii="Times New Roman" w:hAnsi="Times New Roman" w:eastAsia="宋体" w:cs="Times New Roman"/>
                <w:color w:val="auto"/>
                <w:kern w:val="0"/>
                <w:szCs w:val="21"/>
                <w:highlight w:val="none"/>
                <w:shd w:val="clear" w:color="auto" w:fill="auto"/>
                <w:lang w:bidi="ar"/>
              </w:rPr>
              <w:t>环境</w:t>
            </w:r>
          </w:p>
          <w:p w14:paraId="3FCE5D4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highlight w:val="none"/>
                <w:shd w:val="clear" w:color="auto" w:fill="auto"/>
              </w:rPr>
            </w:pPr>
            <w:r>
              <w:rPr>
                <w:rFonts w:hint="default" w:ascii="Times New Roman" w:hAnsi="Times New Roman" w:eastAsia="宋体" w:cs="Times New Roman"/>
                <w:color w:val="auto"/>
                <w:kern w:val="0"/>
                <w:szCs w:val="21"/>
                <w:highlight w:val="none"/>
                <w:shd w:val="clear" w:color="auto" w:fill="auto"/>
                <w:lang w:bidi="ar"/>
              </w:rPr>
              <w:t>质量</w:t>
            </w:r>
          </w:p>
          <w:p w14:paraId="205F24D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highlight w:val="none"/>
                <w:shd w:val="clear" w:color="auto" w:fill="auto"/>
              </w:rPr>
            </w:pPr>
            <w:r>
              <w:rPr>
                <w:rFonts w:hint="default" w:ascii="Times New Roman" w:hAnsi="Times New Roman" w:eastAsia="宋体" w:cs="Times New Roman"/>
                <w:color w:val="auto"/>
                <w:kern w:val="0"/>
                <w:szCs w:val="21"/>
                <w:highlight w:val="none"/>
                <w:shd w:val="clear" w:color="auto" w:fill="auto"/>
                <w:lang w:bidi="ar"/>
              </w:rPr>
              <w:t>现状</w:t>
            </w:r>
          </w:p>
        </w:tc>
        <w:tc>
          <w:tcPr>
            <w:tcW w:w="8190" w:type="dxa"/>
            <w:tcBorders>
              <w:top w:val="single" w:color="auto" w:sz="8" w:space="0"/>
              <w:left w:val="single" w:color="auto" w:sz="4" w:space="0"/>
              <w:bottom w:val="single" w:color="auto" w:sz="4" w:space="0"/>
              <w:right w:val="single" w:color="auto" w:sz="8" w:space="0"/>
            </w:tcBorders>
            <w:noWrap w:val="0"/>
            <w:vAlign w:val="center"/>
          </w:tcPr>
          <w:p w14:paraId="2C6E1860">
            <w:pPr>
              <w:pStyle w:val="1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kern w:val="2"/>
                <w:sz w:val="24"/>
                <w:szCs w:val="24"/>
                <w:highlight w:val="none"/>
                <w:shd w:val="clear" w:color="auto" w:fill="auto"/>
                <w:lang w:val="en-US" w:eastAsia="zh-CN"/>
              </w:rPr>
            </w:pPr>
            <w:r>
              <w:rPr>
                <w:rFonts w:hint="default" w:ascii="Times New Roman" w:hAnsi="Times New Roman" w:eastAsia="宋体" w:cs="Times New Roman"/>
                <w:b/>
                <w:bCs/>
                <w:color w:val="auto"/>
                <w:kern w:val="2"/>
                <w:sz w:val="24"/>
                <w:szCs w:val="24"/>
                <w:highlight w:val="none"/>
                <w:shd w:val="clear" w:color="auto" w:fill="auto"/>
                <w:lang w:val="en-US" w:eastAsia="zh-CN"/>
              </w:rPr>
              <w:t>一、环境空气质量现状</w:t>
            </w:r>
          </w:p>
          <w:p w14:paraId="09421E61">
            <w:pPr>
              <w:keepNext w:val="0"/>
              <w:keepLines w:val="0"/>
              <w:numPr>
                <w:ilvl w:val="0"/>
                <w:numId w:val="0"/>
              </w:numPr>
              <w:suppressLineNumbers w:val="0"/>
              <w:spacing w:before="0" w:beforeAutospacing="0" w:after="0" w:afterAutospacing="0" w:line="360" w:lineRule="auto"/>
              <w:ind w:left="0" w:right="0" w:firstLine="420" w:firstLineChars="200"/>
              <w:rPr>
                <w:rFonts w:hint="default" w:ascii="Times New Roman" w:hAnsi="Times New Roman" w:eastAsia="宋体" w:cs="Times New Roman"/>
                <w:color w:val="auto"/>
                <w:sz w:val="24"/>
                <w:highlight w:val="none"/>
                <w:shd w:val="clear" w:color="auto" w:fill="auto"/>
              </w:rPr>
            </w:pP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sz w:val="24"/>
                <w:szCs w:val="24"/>
                <w:highlight w:val="none"/>
                <w:shd w:val="clear" w:color="auto" w:fill="auto"/>
                <w:lang w:val="en-US" w:eastAsia="zh-CN"/>
              </w:rPr>
              <w:t>、</w:t>
            </w:r>
            <w:r>
              <w:rPr>
                <w:rFonts w:hint="default" w:ascii="Times New Roman" w:hAnsi="Times New Roman" w:eastAsia="宋体" w:cs="Times New Roman"/>
                <w:color w:val="auto"/>
                <w:sz w:val="24"/>
                <w:highlight w:val="none"/>
                <w:shd w:val="clear" w:color="auto" w:fill="auto"/>
                <w:lang w:eastAsia="zh-CN"/>
              </w:rPr>
              <w:t>基本污染物环境质量现状</w:t>
            </w:r>
          </w:p>
          <w:p w14:paraId="05266E5B">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本项目环境空气质量现状参照《2023鞍山生态环境质量</w:t>
            </w:r>
            <w:r>
              <w:rPr>
                <w:rFonts w:hint="default" w:ascii="Times New Roman" w:hAnsi="Times New Roman" w:cs="Times New Roman"/>
                <w:bCs/>
                <w:color w:val="auto"/>
                <w:sz w:val="24"/>
                <w:highlight w:val="none"/>
                <w:lang w:eastAsia="zh-CN"/>
              </w:rPr>
              <w:t>报告书</w:t>
            </w:r>
            <w:r>
              <w:rPr>
                <w:rFonts w:hint="default" w:ascii="Times New Roman" w:hAnsi="Times New Roman" w:eastAsia="宋体" w:cs="Times New Roman"/>
                <w:bCs/>
                <w:color w:val="auto"/>
                <w:sz w:val="24"/>
                <w:highlight w:val="none"/>
              </w:rPr>
              <w:t>》中的鞍山市区环境空气质量数据。本项目所在区域为大气环境质量二类区，空气质量达标区判定情况如下表所示。</w:t>
            </w:r>
          </w:p>
          <w:p w14:paraId="5085E31D">
            <w:pPr>
              <w:pStyle w:val="49"/>
              <w:keepNext w:val="0"/>
              <w:keepLines w:val="0"/>
              <w:suppressLineNumbers w:val="0"/>
              <w:spacing w:beforeAutospacing="0" w:afterAutospacing="0"/>
              <w:ind w:firstLine="482"/>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表</w:t>
            </w:r>
            <w:r>
              <w:rPr>
                <w:rFonts w:hint="default" w:ascii="Times New Roman" w:hAnsi="Times New Roman" w:cs="Times New Roman"/>
                <w:color w:val="auto"/>
                <w:kern w:val="0"/>
                <w:highlight w:val="none"/>
                <w:lang w:val="en-US" w:eastAsia="zh-CN"/>
              </w:rPr>
              <w:t>3-1</w:t>
            </w:r>
            <w:r>
              <w:rPr>
                <w:rFonts w:hint="default" w:ascii="Times New Roman" w:hAnsi="Times New Roman" w:eastAsia="宋体" w:cs="Times New Roman"/>
                <w:color w:val="auto"/>
                <w:kern w:val="0"/>
                <w:highlight w:val="none"/>
              </w:rPr>
              <w:t xml:space="preserve">    区域空气质量现状评价表（μg/m</w:t>
            </w:r>
            <w:r>
              <w:rPr>
                <w:rFonts w:hint="default" w:ascii="Times New Roman" w:hAnsi="Times New Roman" w:eastAsia="宋体" w:cs="Times New Roman"/>
                <w:color w:val="auto"/>
                <w:kern w:val="0"/>
                <w:highlight w:val="none"/>
                <w:vertAlign w:val="superscript"/>
              </w:rPr>
              <w:t>3</w:t>
            </w:r>
            <w:r>
              <w:rPr>
                <w:rFonts w:hint="default" w:ascii="Times New Roman" w:hAnsi="Times New Roman" w:eastAsia="宋体" w:cs="Times New Roman"/>
                <w:color w:val="auto"/>
                <w:kern w:val="0"/>
                <w:highlight w:val="none"/>
              </w:rPr>
              <w:t>）</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3"/>
              <w:gridCol w:w="3314"/>
              <w:gridCol w:w="1056"/>
              <w:gridCol w:w="846"/>
              <w:gridCol w:w="810"/>
              <w:gridCol w:w="1057"/>
            </w:tblGrid>
            <w:tr w14:paraId="6F215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706" w:type="pct"/>
                  <w:noWrap/>
                  <w:vAlign w:val="center"/>
                </w:tcPr>
                <w:p w14:paraId="555C11A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污染物</w:t>
                  </w:r>
                </w:p>
              </w:tc>
              <w:tc>
                <w:tcPr>
                  <w:tcW w:w="1522" w:type="pct"/>
                  <w:noWrap/>
                  <w:vAlign w:val="center"/>
                </w:tcPr>
                <w:p w14:paraId="1A683C2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年评价指标</w:t>
                  </w:r>
                </w:p>
              </w:tc>
              <w:tc>
                <w:tcPr>
                  <w:tcW w:w="749" w:type="pct"/>
                  <w:noWrap/>
                  <w:vAlign w:val="center"/>
                </w:tcPr>
                <w:p w14:paraId="2324786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年均浓度</w:t>
                  </w:r>
                </w:p>
              </w:tc>
              <w:tc>
                <w:tcPr>
                  <w:tcW w:w="591" w:type="pct"/>
                  <w:noWrap/>
                  <w:vAlign w:val="center"/>
                </w:tcPr>
                <w:p w14:paraId="68D4EA5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标准值</w:t>
                  </w:r>
                </w:p>
              </w:tc>
              <w:tc>
                <w:tcPr>
                  <w:tcW w:w="798" w:type="pct"/>
                  <w:noWrap/>
                  <w:vAlign w:val="center"/>
                </w:tcPr>
                <w:p w14:paraId="32E29D7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单位</w:t>
                  </w:r>
                </w:p>
              </w:tc>
              <w:tc>
                <w:tcPr>
                  <w:tcW w:w="634" w:type="pct"/>
                  <w:noWrap/>
                  <w:vAlign w:val="center"/>
                </w:tcPr>
                <w:p w14:paraId="7681095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达标情况</w:t>
                  </w:r>
                </w:p>
              </w:tc>
            </w:tr>
            <w:tr w14:paraId="16230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706" w:type="pct"/>
                  <w:noWrap/>
                  <w:vAlign w:val="center"/>
                </w:tcPr>
                <w:p w14:paraId="6546F2B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SO</w:t>
                  </w:r>
                  <w:r>
                    <w:rPr>
                      <w:rFonts w:hint="default" w:ascii="Times New Roman" w:hAnsi="Times New Roman" w:eastAsia="宋体" w:cs="Times New Roman"/>
                      <w:color w:val="auto"/>
                      <w:szCs w:val="21"/>
                      <w:highlight w:val="none"/>
                      <w:vertAlign w:val="subscript"/>
                    </w:rPr>
                    <w:t>2</w:t>
                  </w:r>
                </w:p>
              </w:tc>
              <w:tc>
                <w:tcPr>
                  <w:tcW w:w="1522" w:type="pct"/>
                  <w:noWrap/>
                  <w:vAlign w:val="center"/>
                </w:tcPr>
                <w:p w14:paraId="24D425C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年平均质量浓度</w:t>
                  </w:r>
                </w:p>
              </w:tc>
              <w:tc>
                <w:tcPr>
                  <w:tcW w:w="749" w:type="pct"/>
                  <w:noWrap/>
                  <w:vAlign w:val="center"/>
                </w:tcPr>
                <w:p w14:paraId="7C4004E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13</w:t>
                  </w:r>
                </w:p>
              </w:tc>
              <w:tc>
                <w:tcPr>
                  <w:tcW w:w="591" w:type="pct"/>
                  <w:noWrap/>
                  <w:vAlign w:val="center"/>
                </w:tcPr>
                <w:p w14:paraId="6A88544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60</w:t>
                  </w:r>
                </w:p>
              </w:tc>
              <w:tc>
                <w:tcPr>
                  <w:tcW w:w="798" w:type="pct"/>
                  <w:noWrap/>
                  <w:vAlign w:val="center"/>
                </w:tcPr>
                <w:p w14:paraId="111E728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μ</w:t>
                  </w:r>
                  <w:r>
                    <w:rPr>
                      <w:rFonts w:hint="default" w:ascii="Times New Roman" w:hAnsi="Times New Roman" w:eastAsia="宋体" w:cs="Times New Roman"/>
                      <w:color w:val="auto"/>
                      <w:szCs w:val="21"/>
                      <w:highlight w:val="none"/>
                    </w:rPr>
                    <w:t>g/m</w:t>
                  </w:r>
                  <w:r>
                    <w:rPr>
                      <w:rFonts w:hint="default" w:ascii="Times New Roman" w:hAnsi="Times New Roman" w:eastAsia="宋体" w:cs="Times New Roman"/>
                      <w:color w:val="auto"/>
                      <w:szCs w:val="21"/>
                      <w:highlight w:val="none"/>
                      <w:vertAlign w:val="superscript"/>
                    </w:rPr>
                    <w:t>3</w:t>
                  </w:r>
                </w:p>
              </w:tc>
              <w:tc>
                <w:tcPr>
                  <w:tcW w:w="634" w:type="pct"/>
                  <w:noWrap/>
                  <w:vAlign w:val="center"/>
                </w:tcPr>
                <w:p w14:paraId="7BA4153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14:paraId="0299E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06" w:type="pct"/>
                  <w:noWrap/>
                  <w:vAlign w:val="center"/>
                </w:tcPr>
                <w:p w14:paraId="49CDA50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NO</w:t>
                  </w:r>
                  <w:r>
                    <w:rPr>
                      <w:rFonts w:hint="default" w:ascii="Times New Roman" w:hAnsi="Times New Roman" w:eastAsia="宋体" w:cs="Times New Roman"/>
                      <w:color w:val="auto"/>
                      <w:szCs w:val="21"/>
                      <w:highlight w:val="none"/>
                      <w:vertAlign w:val="subscript"/>
                    </w:rPr>
                    <w:t>2</w:t>
                  </w:r>
                </w:p>
              </w:tc>
              <w:tc>
                <w:tcPr>
                  <w:tcW w:w="1522" w:type="pct"/>
                  <w:noWrap/>
                  <w:vAlign w:val="center"/>
                </w:tcPr>
                <w:p w14:paraId="72BB59E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年平均质量浓度</w:t>
                  </w:r>
                </w:p>
              </w:tc>
              <w:tc>
                <w:tcPr>
                  <w:tcW w:w="749" w:type="pct"/>
                  <w:noWrap/>
                  <w:vAlign w:val="center"/>
                </w:tcPr>
                <w:p w14:paraId="478E88D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2</w:t>
                  </w:r>
                  <w:r>
                    <w:rPr>
                      <w:rFonts w:hint="default" w:ascii="Times New Roman" w:hAnsi="Times New Roman" w:eastAsia="宋体" w:cs="Times New Roman"/>
                      <w:color w:val="auto"/>
                      <w:szCs w:val="21"/>
                      <w:highlight w:val="none"/>
                      <w:lang w:val="en-US" w:eastAsia="zh-CN"/>
                    </w:rPr>
                    <w:t>7</w:t>
                  </w:r>
                </w:p>
              </w:tc>
              <w:tc>
                <w:tcPr>
                  <w:tcW w:w="591" w:type="pct"/>
                  <w:noWrap/>
                  <w:vAlign w:val="center"/>
                </w:tcPr>
                <w:p w14:paraId="2E5C380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40</w:t>
                  </w:r>
                </w:p>
              </w:tc>
              <w:tc>
                <w:tcPr>
                  <w:tcW w:w="798" w:type="pct"/>
                  <w:noWrap/>
                  <w:vAlign w:val="center"/>
                </w:tcPr>
                <w:p w14:paraId="46843E3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μ</w:t>
                  </w:r>
                  <w:r>
                    <w:rPr>
                      <w:rFonts w:hint="default" w:ascii="Times New Roman" w:hAnsi="Times New Roman" w:eastAsia="宋体" w:cs="Times New Roman"/>
                      <w:color w:val="auto"/>
                      <w:szCs w:val="21"/>
                      <w:highlight w:val="none"/>
                    </w:rPr>
                    <w:t>g/m</w:t>
                  </w:r>
                  <w:r>
                    <w:rPr>
                      <w:rFonts w:hint="default" w:ascii="Times New Roman" w:hAnsi="Times New Roman" w:eastAsia="宋体" w:cs="Times New Roman"/>
                      <w:color w:val="auto"/>
                      <w:szCs w:val="21"/>
                      <w:highlight w:val="none"/>
                      <w:vertAlign w:val="superscript"/>
                    </w:rPr>
                    <w:t>3</w:t>
                  </w:r>
                </w:p>
              </w:tc>
              <w:tc>
                <w:tcPr>
                  <w:tcW w:w="634" w:type="pct"/>
                  <w:noWrap/>
                  <w:vAlign w:val="center"/>
                </w:tcPr>
                <w:p w14:paraId="4812A5B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14:paraId="528FB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706" w:type="pct"/>
                  <w:noWrap/>
                  <w:vAlign w:val="center"/>
                </w:tcPr>
                <w:p w14:paraId="5AC55A3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PM</w:t>
                  </w:r>
                  <w:r>
                    <w:rPr>
                      <w:rFonts w:hint="default" w:ascii="Times New Roman" w:hAnsi="Times New Roman" w:eastAsia="宋体" w:cs="Times New Roman"/>
                      <w:color w:val="auto"/>
                      <w:szCs w:val="21"/>
                      <w:highlight w:val="none"/>
                      <w:vertAlign w:val="subscript"/>
                    </w:rPr>
                    <w:t>2.5</w:t>
                  </w:r>
                </w:p>
              </w:tc>
              <w:tc>
                <w:tcPr>
                  <w:tcW w:w="1522" w:type="pct"/>
                  <w:noWrap/>
                  <w:vAlign w:val="center"/>
                </w:tcPr>
                <w:p w14:paraId="7C9B906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年平均质量浓度</w:t>
                  </w:r>
                </w:p>
              </w:tc>
              <w:tc>
                <w:tcPr>
                  <w:tcW w:w="749" w:type="pct"/>
                  <w:noWrap/>
                  <w:vAlign w:val="center"/>
                </w:tcPr>
                <w:p w14:paraId="4553E17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34.6</w:t>
                  </w:r>
                </w:p>
              </w:tc>
              <w:tc>
                <w:tcPr>
                  <w:tcW w:w="591" w:type="pct"/>
                  <w:noWrap/>
                  <w:vAlign w:val="center"/>
                </w:tcPr>
                <w:p w14:paraId="6C4CBFB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35</w:t>
                  </w:r>
                </w:p>
              </w:tc>
              <w:tc>
                <w:tcPr>
                  <w:tcW w:w="798" w:type="pct"/>
                  <w:noWrap/>
                  <w:vAlign w:val="center"/>
                </w:tcPr>
                <w:p w14:paraId="03BDE28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μ</w:t>
                  </w:r>
                  <w:r>
                    <w:rPr>
                      <w:rFonts w:hint="default" w:ascii="Times New Roman" w:hAnsi="Times New Roman" w:eastAsia="宋体" w:cs="Times New Roman"/>
                      <w:color w:val="auto"/>
                      <w:szCs w:val="21"/>
                      <w:highlight w:val="none"/>
                    </w:rPr>
                    <w:t>g/m</w:t>
                  </w:r>
                  <w:r>
                    <w:rPr>
                      <w:rFonts w:hint="default" w:ascii="Times New Roman" w:hAnsi="Times New Roman" w:eastAsia="宋体" w:cs="Times New Roman"/>
                      <w:color w:val="auto"/>
                      <w:szCs w:val="21"/>
                      <w:highlight w:val="none"/>
                      <w:vertAlign w:val="superscript"/>
                    </w:rPr>
                    <w:t>3</w:t>
                  </w:r>
                </w:p>
              </w:tc>
              <w:tc>
                <w:tcPr>
                  <w:tcW w:w="634" w:type="pct"/>
                  <w:noWrap/>
                  <w:vAlign w:val="center"/>
                </w:tcPr>
                <w:p w14:paraId="3F2C340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14:paraId="68B8D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06" w:type="pct"/>
                  <w:noWrap/>
                  <w:vAlign w:val="center"/>
                </w:tcPr>
                <w:p w14:paraId="17E0663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PM</w:t>
                  </w:r>
                  <w:r>
                    <w:rPr>
                      <w:rFonts w:hint="default" w:ascii="Times New Roman" w:hAnsi="Times New Roman" w:eastAsia="宋体" w:cs="Times New Roman"/>
                      <w:color w:val="auto"/>
                      <w:szCs w:val="21"/>
                      <w:highlight w:val="none"/>
                      <w:vertAlign w:val="subscript"/>
                    </w:rPr>
                    <w:t>10</w:t>
                  </w:r>
                </w:p>
              </w:tc>
              <w:tc>
                <w:tcPr>
                  <w:tcW w:w="1522" w:type="pct"/>
                  <w:noWrap/>
                  <w:vAlign w:val="center"/>
                </w:tcPr>
                <w:p w14:paraId="6BCF8DF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年平均质量浓度</w:t>
                  </w:r>
                </w:p>
              </w:tc>
              <w:tc>
                <w:tcPr>
                  <w:tcW w:w="749" w:type="pct"/>
                  <w:noWrap/>
                  <w:vAlign w:val="center"/>
                </w:tcPr>
                <w:p w14:paraId="4890E51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64</w:t>
                  </w:r>
                </w:p>
              </w:tc>
              <w:tc>
                <w:tcPr>
                  <w:tcW w:w="591" w:type="pct"/>
                  <w:noWrap/>
                  <w:vAlign w:val="center"/>
                </w:tcPr>
                <w:p w14:paraId="5F73B09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70</w:t>
                  </w:r>
                </w:p>
              </w:tc>
              <w:tc>
                <w:tcPr>
                  <w:tcW w:w="798" w:type="pct"/>
                  <w:noWrap/>
                  <w:vAlign w:val="center"/>
                </w:tcPr>
                <w:p w14:paraId="6A6E138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μ</w:t>
                  </w:r>
                  <w:r>
                    <w:rPr>
                      <w:rFonts w:hint="default" w:ascii="Times New Roman" w:hAnsi="Times New Roman" w:eastAsia="宋体" w:cs="Times New Roman"/>
                      <w:color w:val="auto"/>
                      <w:szCs w:val="21"/>
                      <w:highlight w:val="none"/>
                    </w:rPr>
                    <w:t>g/m</w:t>
                  </w:r>
                  <w:r>
                    <w:rPr>
                      <w:rFonts w:hint="default" w:ascii="Times New Roman" w:hAnsi="Times New Roman" w:eastAsia="宋体" w:cs="Times New Roman"/>
                      <w:color w:val="auto"/>
                      <w:szCs w:val="21"/>
                      <w:highlight w:val="none"/>
                      <w:vertAlign w:val="superscript"/>
                    </w:rPr>
                    <w:t>3</w:t>
                  </w:r>
                </w:p>
              </w:tc>
              <w:tc>
                <w:tcPr>
                  <w:tcW w:w="634" w:type="pct"/>
                  <w:noWrap/>
                  <w:vAlign w:val="center"/>
                </w:tcPr>
                <w:p w14:paraId="6AFC56A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14:paraId="7F5F1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706" w:type="pct"/>
                  <w:noWrap/>
                  <w:vAlign w:val="center"/>
                </w:tcPr>
                <w:p w14:paraId="49DAF6C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CO</w:t>
                  </w:r>
                </w:p>
              </w:tc>
              <w:tc>
                <w:tcPr>
                  <w:tcW w:w="1522" w:type="pct"/>
                  <w:noWrap/>
                  <w:vAlign w:val="center"/>
                </w:tcPr>
                <w:p w14:paraId="699ECC1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日均值第95%百分位数浓度</w:t>
                  </w:r>
                </w:p>
              </w:tc>
              <w:tc>
                <w:tcPr>
                  <w:tcW w:w="749" w:type="pct"/>
                  <w:noWrap/>
                  <w:vAlign w:val="center"/>
                </w:tcPr>
                <w:p w14:paraId="2D5A976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1.6</w:t>
                  </w:r>
                </w:p>
              </w:tc>
              <w:tc>
                <w:tcPr>
                  <w:tcW w:w="591" w:type="pct"/>
                  <w:noWrap/>
                  <w:vAlign w:val="center"/>
                </w:tcPr>
                <w:p w14:paraId="00AFA29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w:t>
                  </w:r>
                </w:p>
              </w:tc>
              <w:tc>
                <w:tcPr>
                  <w:tcW w:w="798" w:type="pct"/>
                  <w:noWrap/>
                  <w:vAlign w:val="center"/>
                </w:tcPr>
                <w:p w14:paraId="480D5D6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mg/m³</w:t>
                  </w:r>
                </w:p>
              </w:tc>
              <w:tc>
                <w:tcPr>
                  <w:tcW w:w="634" w:type="pct"/>
                  <w:noWrap/>
                  <w:vAlign w:val="center"/>
                </w:tcPr>
                <w:p w14:paraId="2F293AF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14:paraId="2B3A4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06" w:type="pct"/>
                  <w:noWrap/>
                  <w:vAlign w:val="center"/>
                </w:tcPr>
                <w:p w14:paraId="1649797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O</w:t>
                  </w:r>
                  <w:r>
                    <w:rPr>
                      <w:rFonts w:hint="default" w:ascii="Times New Roman" w:hAnsi="Times New Roman" w:eastAsia="宋体" w:cs="Times New Roman"/>
                      <w:color w:val="auto"/>
                      <w:szCs w:val="21"/>
                      <w:highlight w:val="none"/>
                      <w:vertAlign w:val="subscript"/>
                    </w:rPr>
                    <w:t>3</w:t>
                  </w:r>
                </w:p>
              </w:tc>
              <w:tc>
                <w:tcPr>
                  <w:tcW w:w="1522" w:type="pct"/>
                  <w:noWrap/>
                  <w:vAlign w:val="center"/>
                </w:tcPr>
                <w:p w14:paraId="2A80B59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8h滑动平均值第90百分位数浓度</w:t>
                  </w:r>
                </w:p>
              </w:tc>
              <w:tc>
                <w:tcPr>
                  <w:tcW w:w="749" w:type="pct"/>
                  <w:noWrap/>
                  <w:vAlign w:val="center"/>
                </w:tcPr>
                <w:p w14:paraId="412410F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1</w:t>
                  </w:r>
                  <w:r>
                    <w:rPr>
                      <w:rFonts w:hint="default" w:ascii="Times New Roman" w:hAnsi="Times New Roman" w:eastAsia="宋体" w:cs="Times New Roman"/>
                      <w:color w:val="auto"/>
                      <w:szCs w:val="21"/>
                      <w:highlight w:val="none"/>
                      <w:lang w:val="en-US" w:eastAsia="zh-CN"/>
                    </w:rPr>
                    <w:t>50</w:t>
                  </w:r>
                </w:p>
              </w:tc>
              <w:tc>
                <w:tcPr>
                  <w:tcW w:w="591" w:type="pct"/>
                  <w:noWrap/>
                  <w:vAlign w:val="center"/>
                </w:tcPr>
                <w:p w14:paraId="3570EFA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160</w:t>
                  </w:r>
                </w:p>
              </w:tc>
              <w:tc>
                <w:tcPr>
                  <w:tcW w:w="798" w:type="pct"/>
                  <w:noWrap/>
                  <w:vAlign w:val="center"/>
                </w:tcPr>
                <w:p w14:paraId="340EE69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μ</w:t>
                  </w:r>
                  <w:r>
                    <w:rPr>
                      <w:rFonts w:hint="default" w:ascii="Times New Roman" w:hAnsi="Times New Roman" w:eastAsia="宋体" w:cs="Times New Roman"/>
                      <w:color w:val="auto"/>
                      <w:szCs w:val="21"/>
                      <w:highlight w:val="none"/>
                    </w:rPr>
                    <w:t>g/m</w:t>
                  </w:r>
                  <w:r>
                    <w:rPr>
                      <w:rFonts w:hint="default" w:ascii="Times New Roman" w:hAnsi="Times New Roman" w:eastAsia="宋体" w:cs="Times New Roman"/>
                      <w:color w:val="auto"/>
                      <w:szCs w:val="21"/>
                      <w:highlight w:val="none"/>
                      <w:vertAlign w:val="superscript"/>
                    </w:rPr>
                    <w:t>3</w:t>
                  </w:r>
                </w:p>
              </w:tc>
              <w:tc>
                <w:tcPr>
                  <w:tcW w:w="634" w:type="pct"/>
                  <w:noWrap/>
                  <w:vAlign w:val="center"/>
                </w:tcPr>
                <w:p w14:paraId="4E7C5FF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bl>
          <w:p w14:paraId="0D4E7DB0">
            <w:pPr>
              <w:keepNext w:val="0"/>
              <w:keepLines w:val="0"/>
              <w:numPr>
                <w:ilvl w:val="0"/>
                <w:numId w:val="0"/>
              </w:numPr>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highlight w:val="none"/>
              </w:rPr>
              <w:t>综上，区域空气质量现状浓度满足《环境空气质量标准》（GB3095-2012）中的二级标准，本项目位于达标区。</w:t>
            </w:r>
          </w:p>
          <w:p w14:paraId="20122ED4">
            <w:pPr>
              <w:keepNext w:val="0"/>
              <w:keepLines w:val="0"/>
              <w:numPr>
                <w:ilvl w:val="0"/>
                <w:numId w:val="0"/>
              </w:numPr>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shd w:val="clear" w:color="auto" w:fill="auto"/>
                <w:lang w:eastAsia="zh-CN"/>
              </w:rPr>
            </w:pPr>
            <w:r>
              <w:rPr>
                <w:rFonts w:hint="default" w:ascii="Times New Roman" w:hAnsi="Times New Roman" w:eastAsia="宋体" w:cs="Times New Roman"/>
                <w:color w:val="auto"/>
                <w:sz w:val="24"/>
                <w:szCs w:val="24"/>
                <w:highlight w:val="none"/>
                <w:shd w:val="clear" w:color="auto" w:fill="auto"/>
                <w:lang w:val="en-US" w:eastAsia="zh-CN"/>
              </w:rPr>
              <w:t>2、</w:t>
            </w:r>
            <w:r>
              <w:rPr>
                <w:rFonts w:hint="default" w:ascii="Times New Roman" w:hAnsi="Times New Roman" w:eastAsia="宋体" w:cs="Times New Roman"/>
                <w:color w:val="auto"/>
                <w:sz w:val="24"/>
                <w:highlight w:val="none"/>
                <w:shd w:val="clear" w:color="auto" w:fill="auto"/>
                <w:lang w:eastAsia="zh-CN"/>
              </w:rPr>
              <w:t>其他污染物（</w:t>
            </w:r>
            <w:r>
              <w:rPr>
                <w:rFonts w:hint="default" w:ascii="Times New Roman" w:hAnsi="Times New Roman" w:eastAsia="宋体" w:cs="Times New Roman"/>
                <w:color w:val="auto"/>
                <w:sz w:val="24"/>
                <w:highlight w:val="none"/>
                <w:shd w:val="clear" w:color="auto" w:fill="auto"/>
                <w:lang w:val="en-US" w:eastAsia="zh-CN"/>
              </w:rPr>
              <w:t>TSP</w:t>
            </w:r>
            <w:r>
              <w:rPr>
                <w:rFonts w:hint="default" w:ascii="Times New Roman" w:hAnsi="Times New Roman" w:eastAsia="宋体" w:cs="Times New Roman"/>
                <w:color w:val="auto"/>
                <w:sz w:val="24"/>
                <w:highlight w:val="none"/>
                <w:shd w:val="clear" w:color="auto" w:fill="auto"/>
                <w:lang w:eastAsia="zh-CN"/>
              </w:rPr>
              <w:t>）环境质量现状</w:t>
            </w:r>
          </w:p>
          <w:p w14:paraId="6420F224">
            <w:pPr>
              <w:pStyle w:val="12"/>
              <w:keepNext w:val="0"/>
              <w:keepLines w:val="0"/>
              <w:suppressLineNumbers w:val="0"/>
              <w:spacing w:before="0" w:beforeAutospacing="0" w:after="0" w:afterAutospacing="0" w:line="500" w:lineRule="exact"/>
              <w:ind w:left="0" w:leftChars="0" w:right="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2"/>
                <w:sz w:val="24"/>
                <w:szCs w:val="24"/>
                <w:highlight w:val="none"/>
                <w:lang w:val="en-US" w:eastAsia="zh-CN"/>
              </w:rPr>
              <w:t>特征污染物TSP引用沈阳市绿橙环境监测有限公司于2023年05月27日~2023年05月29日对环境空气质量进行监测，检测点位于本项目的东侧，引用距离为</w:t>
            </w:r>
            <w:r>
              <w:rPr>
                <w:rFonts w:hint="default" w:ascii="Times New Roman" w:hAnsi="Times New Roman" w:cs="Times New Roman"/>
                <w:color w:val="auto"/>
                <w:kern w:val="2"/>
                <w:sz w:val="24"/>
                <w:szCs w:val="24"/>
                <w:highlight w:val="none"/>
                <w:lang w:val="en-US" w:eastAsia="zh-CN"/>
              </w:rPr>
              <w:t>47</w:t>
            </w:r>
            <w:r>
              <w:rPr>
                <w:rFonts w:hint="default" w:ascii="Times New Roman" w:hAnsi="Times New Roman" w:eastAsia="宋体" w:cs="Times New Roman"/>
                <w:color w:val="auto"/>
                <w:kern w:val="2"/>
                <w:sz w:val="24"/>
                <w:szCs w:val="24"/>
                <w:highlight w:val="none"/>
                <w:lang w:val="en-US" w:eastAsia="zh-CN"/>
              </w:rPr>
              <w:t>00m，引用监测点位图详见附图</w:t>
            </w:r>
            <w:r>
              <w:rPr>
                <w:rFonts w:hint="default" w:ascii="Times New Roman" w:hAnsi="Times New Roman" w:cs="Times New Roman"/>
                <w:color w:val="auto"/>
                <w:kern w:val="2"/>
                <w:sz w:val="24"/>
                <w:szCs w:val="24"/>
                <w:highlight w:val="none"/>
                <w:lang w:val="en-US" w:eastAsia="zh-CN"/>
              </w:rPr>
              <w:t>7</w:t>
            </w:r>
            <w:r>
              <w:rPr>
                <w:rFonts w:hint="default" w:ascii="Times New Roman" w:hAnsi="Times New Roman" w:eastAsia="宋体" w:cs="Times New Roman"/>
                <w:color w:val="auto"/>
                <w:kern w:val="2"/>
                <w:sz w:val="24"/>
                <w:szCs w:val="24"/>
                <w:highlight w:val="none"/>
                <w:lang w:val="en-US" w:eastAsia="zh-CN"/>
              </w:rPr>
              <w:t>。</w:t>
            </w:r>
          </w:p>
          <w:p w14:paraId="27F306DA">
            <w:pPr>
              <w:pStyle w:val="7"/>
              <w:keepNext w:val="0"/>
              <w:keepLines w:val="0"/>
              <w:suppressLineNumbers w:val="0"/>
              <w:spacing w:beforeAutospacing="0" w:after="0" w:afterAutospacing="0"/>
              <w:ind w:left="0" w:right="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表</w:t>
            </w:r>
            <w:r>
              <w:rPr>
                <w:rFonts w:hint="default" w:ascii="Times New Roman" w:hAnsi="Times New Roman" w:cs="Times New Roman"/>
                <w:color w:val="auto"/>
                <w:sz w:val="24"/>
                <w:highlight w:val="none"/>
                <w:lang w:val="en-US" w:eastAsia="zh-CN"/>
              </w:rPr>
              <w:t>3-2</w:t>
            </w:r>
            <w:r>
              <w:rPr>
                <w:rFonts w:hint="default" w:ascii="Times New Roman" w:hAnsi="Times New Roman" w:eastAsia="宋体" w:cs="Times New Roman"/>
                <w:color w:val="auto"/>
                <w:sz w:val="24"/>
                <w:highlight w:val="none"/>
              </w:rPr>
              <w:t xml:space="preserve">  TSP</w:t>
            </w:r>
            <w:r>
              <w:rPr>
                <w:rFonts w:hint="default" w:ascii="Times New Roman" w:hAnsi="Times New Roman" w:eastAsia="宋体" w:cs="Times New Roman"/>
                <w:color w:val="auto"/>
                <w:sz w:val="24"/>
                <w:highlight w:val="none"/>
                <w:lang w:eastAsia="zh-CN"/>
              </w:rPr>
              <w:t>监测</w:t>
            </w:r>
            <w:r>
              <w:rPr>
                <w:rFonts w:hint="default" w:ascii="Times New Roman" w:hAnsi="Times New Roman" w:eastAsia="宋体" w:cs="Times New Roman"/>
                <w:color w:val="auto"/>
                <w:sz w:val="24"/>
                <w:highlight w:val="none"/>
              </w:rPr>
              <w:t>点位基本信息表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6"/>
              <w:gridCol w:w="1326"/>
              <w:gridCol w:w="691"/>
              <w:gridCol w:w="2176"/>
              <w:gridCol w:w="1003"/>
              <w:gridCol w:w="1244"/>
            </w:tblGrid>
            <w:tr w14:paraId="6E705B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83" w:type="pct"/>
                  <w:gridSpan w:val="2"/>
                  <w:noWrap w:val="0"/>
                  <w:vAlign w:val="center"/>
                </w:tcPr>
                <w:p w14:paraId="1959508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lang w:eastAsia="zh-CN"/>
                    </w:rPr>
                    <w:t>监测</w:t>
                  </w:r>
                  <w:r>
                    <w:rPr>
                      <w:rFonts w:hint="default" w:ascii="Times New Roman" w:hAnsi="Times New Roman" w:eastAsia="宋体" w:cs="Times New Roman"/>
                      <w:b w:val="0"/>
                      <w:bCs w:val="0"/>
                      <w:color w:val="auto"/>
                      <w:szCs w:val="21"/>
                      <w:highlight w:val="none"/>
                    </w:rPr>
                    <w:t>点坐标</w:t>
                  </w:r>
                </w:p>
              </w:tc>
              <w:tc>
                <w:tcPr>
                  <w:tcW w:w="562" w:type="pct"/>
                  <w:vMerge w:val="restart"/>
                  <w:noWrap w:val="0"/>
                  <w:vAlign w:val="center"/>
                </w:tcPr>
                <w:p w14:paraId="3CF437B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lang w:eastAsia="zh-CN"/>
                    </w:rPr>
                    <w:t>监测</w:t>
                  </w:r>
                  <w:r>
                    <w:rPr>
                      <w:rFonts w:hint="default" w:ascii="Times New Roman" w:hAnsi="Times New Roman" w:eastAsia="宋体" w:cs="Times New Roman"/>
                      <w:b w:val="0"/>
                      <w:bCs w:val="0"/>
                      <w:color w:val="auto"/>
                      <w:szCs w:val="21"/>
                      <w:highlight w:val="none"/>
                    </w:rPr>
                    <w:t>因子</w:t>
                  </w:r>
                </w:p>
              </w:tc>
              <w:tc>
                <w:tcPr>
                  <w:tcW w:w="999" w:type="pct"/>
                  <w:vMerge w:val="restart"/>
                  <w:noWrap w:val="0"/>
                  <w:vAlign w:val="center"/>
                </w:tcPr>
                <w:p w14:paraId="2340000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lang w:eastAsia="zh-CN"/>
                    </w:rPr>
                    <w:t>监测</w:t>
                  </w:r>
                  <w:r>
                    <w:rPr>
                      <w:rFonts w:hint="default" w:ascii="Times New Roman" w:hAnsi="Times New Roman" w:eastAsia="宋体" w:cs="Times New Roman"/>
                      <w:b w:val="0"/>
                      <w:bCs w:val="0"/>
                      <w:color w:val="auto"/>
                      <w:szCs w:val="21"/>
                      <w:highlight w:val="none"/>
                    </w:rPr>
                    <w:t>时段</w:t>
                  </w:r>
                </w:p>
              </w:tc>
              <w:tc>
                <w:tcPr>
                  <w:tcW w:w="702" w:type="pct"/>
                  <w:vMerge w:val="restart"/>
                  <w:noWrap w:val="0"/>
                  <w:vAlign w:val="center"/>
                </w:tcPr>
                <w:p w14:paraId="708E9C9F">
                  <w:pPr>
                    <w:pStyle w:val="10"/>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kern w:val="2"/>
                      <w:sz w:val="21"/>
                      <w:szCs w:val="21"/>
                      <w:highlight w:val="none"/>
                      <w:lang w:val="en-US" w:eastAsia="zh-CN"/>
                    </w:rPr>
                    <w:t>相对厂址位置</w:t>
                  </w:r>
                </w:p>
              </w:tc>
              <w:tc>
                <w:tcPr>
                  <w:tcW w:w="852" w:type="pct"/>
                  <w:vMerge w:val="restart"/>
                  <w:noWrap w:val="0"/>
                  <w:vAlign w:val="center"/>
                </w:tcPr>
                <w:p w14:paraId="47C811CB">
                  <w:pPr>
                    <w:pStyle w:val="10"/>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kern w:val="2"/>
                      <w:sz w:val="21"/>
                      <w:szCs w:val="21"/>
                      <w:highlight w:val="none"/>
                      <w:lang w:val="en-US" w:eastAsia="zh-CN"/>
                    </w:rPr>
                    <w:t>引用距离(m)</w:t>
                  </w:r>
                </w:p>
              </w:tc>
            </w:tr>
            <w:tr w14:paraId="08B2D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5" w:type="pct"/>
                  <w:noWrap w:val="0"/>
                  <w:vAlign w:val="center"/>
                </w:tcPr>
                <w:p w14:paraId="2FF74DB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Cs w:val="21"/>
                      <w:highlight w:val="none"/>
                      <w:lang w:eastAsia="zh-CN"/>
                    </w:rPr>
                  </w:pPr>
                  <w:r>
                    <w:rPr>
                      <w:rFonts w:hint="default" w:ascii="Times New Roman" w:hAnsi="Times New Roman" w:eastAsia="宋体" w:cs="Times New Roman"/>
                      <w:b w:val="0"/>
                      <w:bCs w:val="0"/>
                      <w:color w:val="auto"/>
                      <w:szCs w:val="21"/>
                      <w:highlight w:val="none"/>
                      <w:lang w:eastAsia="zh-CN"/>
                    </w:rPr>
                    <w:t>经度</w:t>
                  </w:r>
                </w:p>
              </w:tc>
              <w:tc>
                <w:tcPr>
                  <w:tcW w:w="847" w:type="pct"/>
                  <w:noWrap w:val="0"/>
                  <w:vAlign w:val="center"/>
                </w:tcPr>
                <w:p w14:paraId="32C55DF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Cs w:val="21"/>
                      <w:highlight w:val="none"/>
                      <w:lang w:eastAsia="zh-CN"/>
                    </w:rPr>
                  </w:pPr>
                  <w:r>
                    <w:rPr>
                      <w:rFonts w:hint="default" w:ascii="Times New Roman" w:hAnsi="Times New Roman" w:eastAsia="宋体" w:cs="Times New Roman"/>
                      <w:b w:val="0"/>
                      <w:bCs w:val="0"/>
                      <w:color w:val="auto"/>
                      <w:highlight w:val="none"/>
                      <w:lang w:eastAsia="zh-CN"/>
                    </w:rPr>
                    <w:t>纬度</w:t>
                  </w:r>
                </w:p>
              </w:tc>
              <w:tc>
                <w:tcPr>
                  <w:tcW w:w="562" w:type="pct"/>
                  <w:vMerge w:val="continue"/>
                  <w:noWrap w:val="0"/>
                  <w:vAlign w:val="center"/>
                </w:tcPr>
                <w:p w14:paraId="69633AD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Cs w:val="21"/>
                      <w:highlight w:val="none"/>
                    </w:rPr>
                  </w:pPr>
                </w:p>
              </w:tc>
              <w:tc>
                <w:tcPr>
                  <w:tcW w:w="999" w:type="pct"/>
                  <w:vMerge w:val="continue"/>
                  <w:noWrap w:val="0"/>
                  <w:vAlign w:val="center"/>
                </w:tcPr>
                <w:p w14:paraId="717C7B7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Cs w:val="21"/>
                      <w:highlight w:val="none"/>
                    </w:rPr>
                  </w:pPr>
                </w:p>
              </w:tc>
              <w:tc>
                <w:tcPr>
                  <w:tcW w:w="702" w:type="pct"/>
                  <w:vMerge w:val="continue"/>
                  <w:noWrap w:val="0"/>
                  <w:vAlign w:val="center"/>
                </w:tcPr>
                <w:p w14:paraId="65D84CB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Cs w:val="21"/>
                      <w:highlight w:val="none"/>
                    </w:rPr>
                  </w:pPr>
                </w:p>
              </w:tc>
              <w:tc>
                <w:tcPr>
                  <w:tcW w:w="852" w:type="pct"/>
                  <w:vMerge w:val="continue"/>
                  <w:noWrap w:val="0"/>
                  <w:vAlign w:val="center"/>
                </w:tcPr>
                <w:p w14:paraId="02EDB4E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Cs w:val="21"/>
                      <w:highlight w:val="none"/>
                    </w:rPr>
                  </w:pPr>
                </w:p>
              </w:tc>
            </w:tr>
            <w:tr w14:paraId="0EC60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5" w:type="pct"/>
                  <w:noWrap w:val="0"/>
                  <w:vAlign w:val="center"/>
                </w:tcPr>
                <w:p w14:paraId="2F81DCC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123°12′40.930″</w:t>
                  </w:r>
                </w:p>
              </w:tc>
              <w:tc>
                <w:tcPr>
                  <w:tcW w:w="847" w:type="pct"/>
                  <w:noWrap w:val="0"/>
                  <w:vAlign w:val="center"/>
                </w:tcPr>
                <w:p w14:paraId="6D1D355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40°27′8.625″</w:t>
                  </w:r>
                </w:p>
              </w:tc>
              <w:tc>
                <w:tcPr>
                  <w:tcW w:w="562" w:type="pct"/>
                  <w:noWrap w:val="0"/>
                  <w:vAlign w:val="center"/>
                </w:tcPr>
                <w:p w14:paraId="5B64A21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TSP</w:t>
                  </w:r>
                </w:p>
              </w:tc>
              <w:tc>
                <w:tcPr>
                  <w:tcW w:w="999" w:type="pct"/>
                  <w:noWrap w:val="0"/>
                  <w:vAlign w:val="center"/>
                </w:tcPr>
                <w:p w14:paraId="4270EC2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2023.05.27-2023.05.29</w:t>
                  </w:r>
                </w:p>
              </w:tc>
              <w:tc>
                <w:tcPr>
                  <w:tcW w:w="702" w:type="pct"/>
                  <w:noWrap w:val="0"/>
                  <w:vAlign w:val="center"/>
                </w:tcPr>
                <w:p w14:paraId="775ADA1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E</w:t>
                  </w:r>
                </w:p>
              </w:tc>
              <w:tc>
                <w:tcPr>
                  <w:tcW w:w="852" w:type="pct"/>
                  <w:noWrap w:val="0"/>
                  <w:vAlign w:val="center"/>
                </w:tcPr>
                <w:p w14:paraId="7017627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cs="Times New Roman"/>
                      <w:b w:val="0"/>
                      <w:bCs w:val="0"/>
                      <w:color w:val="auto"/>
                      <w:szCs w:val="21"/>
                      <w:highlight w:val="none"/>
                      <w:lang w:val="en-US" w:eastAsia="zh-CN"/>
                    </w:rPr>
                    <w:t>47</w:t>
                  </w:r>
                  <w:r>
                    <w:rPr>
                      <w:rFonts w:hint="default" w:ascii="Times New Roman" w:hAnsi="Times New Roman" w:eastAsia="宋体" w:cs="Times New Roman"/>
                      <w:b w:val="0"/>
                      <w:bCs w:val="0"/>
                      <w:color w:val="auto"/>
                      <w:szCs w:val="21"/>
                      <w:highlight w:val="none"/>
                      <w:lang w:val="en-US" w:eastAsia="zh-CN"/>
                    </w:rPr>
                    <w:t>00</w:t>
                  </w:r>
                </w:p>
              </w:tc>
            </w:tr>
          </w:tbl>
          <w:p w14:paraId="56E27B35">
            <w:pPr>
              <w:keepNext w:val="0"/>
              <w:keepLines w:val="0"/>
              <w:suppressLineNumbers w:val="0"/>
              <w:adjustRightInd w:val="0"/>
              <w:snapToGrid w:val="0"/>
              <w:spacing w:before="0" w:beforeAutospacing="0" w:after="0" w:afterAutospacing="0" w:line="500" w:lineRule="exact"/>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②</w:t>
            </w:r>
            <w:r>
              <w:rPr>
                <w:rFonts w:hint="default" w:ascii="Times New Roman" w:hAnsi="Times New Roman" w:eastAsia="宋体" w:cs="Times New Roman"/>
                <w:color w:val="auto"/>
                <w:sz w:val="24"/>
                <w:highlight w:val="none"/>
                <w:lang w:eastAsia="zh-CN"/>
              </w:rPr>
              <w:t>监测</w:t>
            </w:r>
            <w:r>
              <w:rPr>
                <w:rFonts w:hint="default" w:ascii="Times New Roman" w:hAnsi="Times New Roman" w:eastAsia="宋体" w:cs="Times New Roman"/>
                <w:color w:val="auto"/>
                <w:sz w:val="24"/>
                <w:highlight w:val="none"/>
              </w:rPr>
              <w:t>频率</w:t>
            </w:r>
          </w:p>
          <w:p w14:paraId="47E41882">
            <w:pPr>
              <w:keepNext w:val="0"/>
              <w:keepLines w:val="0"/>
              <w:suppressLineNumbers w:val="0"/>
              <w:adjustRightInd w:val="0"/>
              <w:snapToGrid w:val="0"/>
              <w:spacing w:before="0" w:beforeAutospacing="0" w:after="0" w:afterAutospacing="0" w:line="500" w:lineRule="exact"/>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TSP</w:t>
            </w:r>
            <w:r>
              <w:rPr>
                <w:rFonts w:hint="default" w:ascii="Times New Roman" w:hAnsi="Times New Roman" w:eastAsia="宋体" w:cs="Times New Roman"/>
                <w:color w:val="auto"/>
                <w:sz w:val="24"/>
                <w:highlight w:val="none"/>
                <w:lang w:eastAsia="zh-CN"/>
              </w:rPr>
              <w:t>监测</w:t>
            </w:r>
            <w:r>
              <w:rPr>
                <w:rFonts w:hint="default" w:ascii="Times New Roman" w:hAnsi="Times New Roman" w:eastAsia="宋体" w:cs="Times New Roman"/>
                <w:color w:val="auto"/>
                <w:sz w:val="24"/>
                <w:highlight w:val="none"/>
              </w:rPr>
              <w:t>3天，</w:t>
            </w:r>
            <w:r>
              <w:rPr>
                <w:rFonts w:hint="default" w:ascii="Times New Roman" w:hAnsi="Times New Roman" w:eastAsia="宋体" w:cs="Times New Roman"/>
                <w:color w:val="auto"/>
                <w:sz w:val="24"/>
                <w:highlight w:val="none"/>
                <w:lang w:eastAsia="zh-CN"/>
              </w:rPr>
              <w:t>监测</w:t>
            </w:r>
            <w:r>
              <w:rPr>
                <w:rFonts w:hint="default" w:ascii="Times New Roman" w:hAnsi="Times New Roman" w:eastAsia="宋体" w:cs="Times New Roman"/>
                <w:color w:val="auto"/>
                <w:sz w:val="24"/>
                <w:highlight w:val="none"/>
              </w:rPr>
              <w:t>日均值，取24小时平均浓度值。</w:t>
            </w:r>
          </w:p>
          <w:p w14:paraId="06B90BC6">
            <w:pPr>
              <w:keepNext w:val="0"/>
              <w:keepLines w:val="0"/>
              <w:suppressLineNumbers w:val="0"/>
              <w:adjustRightInd w:val="0"/>
              <w:snapToGrid w:val="0"/>
              <w:spacing w:before="0" w:beforeAutospacing="0" w:after="0" w:afterAutospacing="0" w:line="500" w:lineRule="exact"/>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③</w:t>
            </w:r>
            <w:r>
              <w:rPr>
                <w:rFonts w:hint="default" w:ascii="Times New Roman" w:hAnsi="Times New Roman" w:eastAsia="宋体" w:cs="Times New Roman"/>
                <w:color w:val="auto"/>
                <w:sz w:val="24"/>
                <w:highlight w:val="none"/>
                <w:lang w:eastAsia="zh-CN"/>
              </w:rPr>
              <w:t>监测</w:t>
            </w:r>
            <w:r>
              <w:rPr>
                <w:rFonts w:hint="default" w:ascii="Times New Roman" w:hAnsi="Times New Roman" w:eastAsia="宋体" w:cs="Times New Roman"/>
                <w:color w:val="auto"/>
                <w:sz w:val="24"/>
                <w:highlight w:val="none"/>
              </w:rPr>
              <w:t>分析方法</w:t>
            </w:r>
          </w:p>
          <w:p w14:paraId="03B547BA">
            <w:pPr>
              <w:keepNext w:val="0"/>
              <w:keepLines w:val="0"/>
              <w:suppressLineNumbers w:val="0"/>
              <w:adjustRightInd w:val="0"/>
              <w:snapToGrid w:val="0"/>
              <w:spacing w:before="0" w:beforeAutospacing="0" w:after="0" w:afterAutospacing="0" w:line="500" w:lineRule="exact"/>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监测</w:t>
            </w:r>
            <w:r>
              <w:rPr>
                <w:rFonts w:hint="default" w:ascii="Times New Roman" w:hAnsi="Times New Roman" w:eastAsia="宋体" w:cs="Times New Roman"/>
                <w:color w:val="auto"/>
                <w:sz w:val="24"/>
                <w:highlight w:val="none"/>
              </w:rPr>
              <w:t>分析方法详见表</w:t>
            </w:r>
            <w:r>
              <w:rPr>
                <w:rFonts w:hint="default" w:ascii="Times New Roman" w:hAnsi="Times New Roman" w:cs="Times New Roman"/>
                <w:color w:val="auto"/>
                <w:sz w:val="24"/>
                <w:highlight w:val="none"/>
                <w:lang w:val="en-US" w:eastAsia="zh-CN"/>
              </w:rPr>
              <w:t>3-3</w:t>
            </w:r>
            <w:r>
              <w:rPr>
                <w:rFonts w:hint="default" w:ascii="Times New Roman" w:hAnsi="Times New Roman" w:eastAsia="宋体" w:cs="Times New Roman"/>
                <w:color w:val="auto"/>
                <w:sz w:val="24"/>
                <w:highlight w:val="none"/>
              </w:rPr>
              <w:t>。</w:t>
            </w:r>
          </w:p>
          <w:p w14:paraId="6A37999E">
            <w:pPr>
              <w:pStyle w:val="7"/>
              <w:keepNext w:val="0"/>
              <w:keepLines w:val="0"/>
              <w:suppressLineNumbers w:val="0"/>
              <w:spacing w:beforeAutospacing="0" w:after="0" w:afterAutospacing="0"/>
              <w:ind w:left="0" w:right="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表</w:t>
            </w:r>
            <w:r>
              <w:rPr>
                <w:rFonts w:hint="default" w:ascii="Times New Roman" w:hAnsi="Times New Roman" w:cs="Times New Roman"/>
                <w:color w:val="auto"/>
                <w:sz w:val="24"/>
                <w:highlight w:val="none"/>
                <w:lang w:val="en-US" w:eastAsia="zh-CN"/>
              </w:rPr>
              <w:t>3-3</w:t>
            </w:r>
            <w:r>
              <w:rPr>
                <w:rFonts w:hint="default" w:ascii="Times New Roman" w:hAnsi="Times New Roman" w:eastAsia="宋体" w:cs="Times New Roman"/>
                <w:color w:val="auto"/>
                <w:sz w:val="24"/>
                <w:highlight w:val="none"/>
              </w:rPr>
              <w:t xml:space="preserve">  </w:t>
            </w:r>
            <w:r>
              <w:rPr>
                <w:rFonts w:hint="default" w:ascii="Times New Roman" w:hAnsi="Times New Roman" w:eastAsia="宋体" w:cs="Times New Roman"/>
                <w:color w:val="auto"/>
                <w:sz w:val="24"/>
                <w:highlight w:val="none"/>
                <w:lang w:eastAsia="zh-CN"/>
              </w:rPr>
              <w:t>监测</w:t>
            </w:r>
            <w:r>
              <w:rPr>
                <w:rFonts w:hint="default" w:ascii="Times New Roman" w:hAnsi="Times New Roman" w:eastAsia="宋体" w:cs="Times New Roman"/>
                <w:color w:val="auto"/>
                <w:sz w:val="24"/>
                <w:highlight w:val="none"/>
              </w:rPr>
              <w:t>分析方法一览表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5" w:type="dxa"/>
                <w:bottom w:w="15" w:type="dxa"/>
                <w:right w:w="15" w:type="dxa"/>
              </w:tblCellMar>
            </w:tblPr>
            <w:tblGrid>
              <w:gridCol w:w="702"/>
              <w:gridCol w:w="1328"/>
              <w:gridCol w:w="4947"/>
              <w:gridCol w:w="999"/>
            </w:tblGrid>
            <w:tr w14:paraId="0BF96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tblHeader/>
                <w:jc w:val="center"/>
              </w:trPr>
              <w:tc>
                <w:tcPr>
                  <w:tcW w:w="440" w:type="pct"/>
                  <w:noWrap w:val="0"/>
                  <w:vAlign w:val="center"/>
                </w:tcPr>
                <w:p w14:paraId="24F21B8C">
                  <w:pPr>
                    <w:pStyle w:val="10"/>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序号</w:t>
                  </w:r>
                </w:p>
              </w:tc>
              <w:tc>
                <w:tcPr>
                  <w:tcW w:w="832" w:type="pct"/>
                  <w:noWrap w:val="0"/>
                  <w:vAlign w:val="center"/>
                </w:tcPr>
                <w:p w14:paraId="23B2675A">
                  <w:pPr>
                    <w:pStyle w:val="10"/>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监测项目</w:t>
                  </w:r>
                </w:p>
              </w:tc>
              <w:tc>
                <w:tcPr>
                  <w:tcW w:w="3100" w:type="pct"/>
                  <w:noWrap w:val="0"/>
                  <w:vAlign w:val="center"/>
                </w:tcPr>
                <w:p w14:paraId="03B23907">
                  <w:pPr>
                    <w:pStyle w:val="10"/>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方法标准</w:t>
                  </w:r>
                </w:p>
              </w:tc>
              <w:tc>
                <w:tcPr>
                  <w:tcW w:w="626" w:type="pct"/>
                  <w:noWrap w:val="0"/>
                  <w:vAlign w:val="center"/>
                </w:tcPr>
                <w:p w14:paraId="76F28CE3">
                  <w:pPr>
                    <w:pStyle w:val="10"/>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检出限</w:t>
                  </w:r>
                </w:p>
              </w:tc>
            </w:tr>
            <w:tr w14:paraId="6E3AB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440" w:type="pct"/>
                  <w:noWrap w:val="0"/>
                  <w:vAlign w:val="center"/>
                </w:tcPr>
                <w:p w14:paraId="77F52560">
                  <w:pPr>
                    <w:pStyle w:val="10"/>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w:t>
                  </w:r>
                </w:p>
              </w:tc>
              <w:tc>
                <w:tcPr>
                  <w:tcW w:w="832" w:type="pct"/>
                  <w:noWrap w:val="0"/>
                  <w:vAlign w:val="center"/>
                </w:tcPr>
                <w:p w14:paraId="19F79543">
                  <w:pPr>
                    <w:pStyle w:val="10"/>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总悬浮颗粒物</w:t>
                  </w:r>
                </w:p>
              </w:tc>
              <w:tc>
                <w:tcPr>
                  <w:tcW w:w="3100" w:type="pct"/>
                  <w:noWrap w:val="0"/>
                  <w:vAlign w:val="center"/>
                </w:tcPr>
                <w:p w14:paraId="19664069">
                  <w:pPr>
                    <w:keepNext w:val="0"/>
                    <w:keepLines w:val="0"/>
                    <w:widowControl/>
                    <w:suppressLineNumbers w:val="0"/>
                    <w:shd w:val="clear" w:color="auto" w:fill="auto"/>
                    <w:spacing w:before="0" w:beforeAutospacing="0" w:after="0" w:afterAutospacing="0" w:line="240" w:lineRule="auto"/>
                    <w:ind w:left="0" w:right="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bidi="ar"/>
                    </w:rPr>
                    <w:t>环境空气 总悬浮颗粒物的测定 重量法</w:t>
                  </w:r>
                  <w:r>
                    <w:rPr>
                      <w:rFonts w:hint="default" w:ascii="Times New Roman" w:hAnsi="Times New Roman" w:eastAsia="宋体" w:cs="Times New Roman"/>
                      <w:b w:val="0"/>
                      <w:bCs w:val="0"/>
                      <w:color w:val="auto"/>
                      <w:kern w:val="0"/>
                      <w:sz w:val="21"/>
                      <w:szCs w:val="21"/>
                      <w:highlight w:val="none"/>
                      <w:lang w:val="en-US" w:eastAsia="zh-CN" w:bidi="ar"/>
                    </w:rPr>
                    <w:t xml:space="preserve"> </w:t>
                  </w:r>
                  <w:r>
                    <w:rPr>
                      <w:rFonts w:hint="default" w:ascii="Times New Roman" w:hAnsi="Times New Roman" w:eastAsia="宋体" w:cs="Times New Roman"/>
                      <w:b w:val="0"/>
                      <w:bCs w:val="0"/>
                      <w:color w:val="auto"/>
                      <w:kern w:val="0"/>
                      <w:sz w:val="21"/>
                      <w:szCs w:val="21"/>
                      <w:highlight w:val="none"/>
                      <w:lang w:bidi="ar"/>
                    </w:rPr>
                    <w:t>HJ 1263</w:t>
                  </w:r>
                  <w:r>
                    <w:rPr>
                      <w:rFonts w:hint="default" w:ascii="Times New Roman" w:hAnsi="Times New Roman" w:eastAsia="宋体" w:cs="Times New Roman"/>
                      <w:b w:val="0"/>
                      <w:bCs w:val="0"/>
                      <w:color w:val="auto"/>
                      <w:kern w:val="0"/>
                      <w:sz w:val="21"/>
                      <w:szCs w:val="21"/>
                      <w:highlight w:val="none"/>
                      <w:lang w:val="en-US" w:eastAsia="zh-CN" w:bidi="ar"/>
                    </w:rPr>
                    <w:t>-</w:t>
                  </w:r>
                  <w:r>
                    <w:rPr>
                      <w:rFonts w:hint="default" w:ascii="Times New Roman" w:hAnsi="Times New Roman" w:eastAsia="宋体" w:cs="Times New Roman"/>
                      <w:b w:val="0"/>
                      <w:bCs w:val="0"/>
                      <w:color w:val="auto"/>
                      <w:kern w:val="0"/>
                      <w:sz w:val="21"/>
                      <w:szCs w:val="21"/>
                      <w:highlight w:val="none"/>
                      <w:lang w:bidi="ar"/>
                    </w:rPr>
                    <w:t>2022</w:t>
                  </w:r>
                </w:p>
              </w:tc>
              <w:tc>
                <w:tcPr>
                  <w:tcW w:w="626" w:type="pct"/>
                  <w:noWrap w:val="0"/>
                  <w:vAlign w:val="center"/>
                </w:tcPr>
                <w:p w14:paraId="31329F56">
                  <w:pPr>
                    <w:pStyle w:val="10"/>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7μ</w:t>
                  </w:r>
                  <w:r>
                    <w:rPr>
                      <w:rFonts w:hint="default" w:ascii="Times New Roman" w:hAnsi="Times New Roman" w:eastAsia="宋体" w:cs="Times New Roman"/>
                      <w:b w:val="0"/>
                      <w:bCs w:val="0"/>
                      <w:color w:val="auto"/>
                      <w:kern w:val="0"/>
                      <w:sz w:val="21"/>
                      <w:szCs w:val="21"/>
                      <w:highlight w:val="none"/>
                    </w:rPr>
                    <w:t>g/m</w:t>
                  </w:r>
                  <w:r>
                    <w:rPr>
                      <w:rFonts w:hint="default" w:ascii="Times New Roman" w:hAnsi="Times New Roman" w:eastAsia="宋体" w:cs="Times New Roman"/>
                      <w:b w:val="0"/>
                      <w:bCs w:val="0"/>
                      <w:color w:val="auto"/>
                      <w:kern w:val="0"/>
                      <w:sz w:val="21"/>
                      <w:szCs w:val="21"/>
                      <w:highlight w:val="none"/>
                      <w:vertAlign w:val="superscript"/>
                    </w:rPr>
                    <w:t>3</w:t>
                  </w:r>
                </w:p>
              </w:tc>
            </w:tr>
          </w:tbl>
          <w:p w14:paraId="0282B291">
            <w:pPr>
              <w:keepNext w:val="0"/>
              <w:keepLines w:val="0"/>
              <w:suppressLineNumbers w:val="0"/>
              <w:adjustRightInd w:val="0"/>
              <w:snapToGrid w:val="0"/>
              <w:spacing w:before="0" w:beforeAutospacing="0" w:after="0" w:afterAutospacing="0" w:line="500" w:lineRule="exact"/>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④</w:t>
            </w:r>
            <w:r>
              <w:rPr>
                <w:rFonts w:hint="default" w:ascii="Times New Roman" w:hAnsi="Times New Roman" w:eastAsia="宋体" w:cs="Times New Roman"/>
                <w:color w:val="auto"/>
                <w:sz w:val="24"/>
                <w:highlight w:val="none"/>
                <w:lang w:eastAsia="zh-CN"/>
              </w:rPr>
              <w:t>监测</w:t>
            </w:r>
            <w:r>
              <w:rPr>
                <w:rFonts w:hint="default" w:ascii="Times New Roman" w:hAnsi="Times New Roman" w:eastAsia="宋体" w:cs="Times New Roman"/>
                <w:color w:val="auto"/>
                <w:sz w:val="24"/>
                <w:highlight w:val="none"/>
              </w:rPr>
              <w:t>结果及评价</w:t>
            </w:r>
          </w:p>
          <w:p w14:paraId="35697BCA">
            <w:pPr>
              <w:keepNext w:val="0"/>
              <w:keepLines w:val="0"/>
              <w:suppressLineNumbers w:val="0"/>
              <w:adjustRightInd w:val="0"/>
              <w:snapToGrid w:val="0"/>
              <w:spacing w:before="0" w:beforeAutospacing="0" w:after="0" w:afterAutospacing="0" w:line="500" w:lineRule="exact"/>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w:t>
            </w:r>
            <w:r>
              <w:rPr>
                <w:rFonts w:hint="default" w:ascii="Times New Roman" w:hAnsi="Times New Roman" w:eastAsia="宋体" w:cs="Times New Roman"/>
                <w:color w:val="auto"/>
                <w:sz w:val="24"/>
                <w:highlight w:val="none"/>
                <w:lang w:eastAsia="zh-CN"/>
              </w:rPr>
              <w:t>监测</w:t>
            </w:r>
            <w:r>
              <w:rPr>
                <w:rFonts w:hint="default" w:ascii="Times New Roman" w:hAnsi="Times New Roman" w:eastAsia="宋体" w:cs="Times New Roman"/>
                <w:color w:val="auto"/>
                <w:sz w:val="24"/>
                <w:highlight w:val="none"/>
              </w:rPr>
              <w:t>结果见表</w:t>
            </w:r>
            <w:r>
              <w:rPr>
                <w:rFonts w:hint="default" w:ascii="Times New Roman" w:hAnsi="Times New Roman" w:cs="Times New Roman"/>
                <w:color w:val="auto"/>
                <w:sz w:val="24"/>
                <w:highlight w:val="none"/>
                <w:lang w:val="en-US" w:eastAsia="zh-CN"/>
              </w:rPr>
              <w:t>3-4</w:t>
            </w:r>
            <w:r>
              <w:rPr>
                <w:rFonts w:hint="default" w:ascii="Times New Roman" w:hAnsi="Times New Roman" w:eastAsia="宋体" w:cs="Times New Roman"/>
                <w:color w:val="auto"/>
                <w:sz w:val="24"/>
                <w:highlight w:val="none"/>
              </w:rPr>
              <w:t>。</w:t>
            </w:r>
          </w:p>
          <w:p w14:paraId="4A9F2DCC">
            <w:pPr>
              <w:pStyle w:val="7"/>
              <w:keepNext w:val="0"/>
              <w:keepLines w:val="0"/>
              <w:suppressLineNumbers w:val="0"/>
              <w:spacing w:beforeAutospacing="0" w:after="0" w:afterAutospacing="0"/>
              <w:ind w:left="0" w:right="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表</w:t>
            </w:r>
            <w:r>
              <w:rPr>
                <w:rFonts w:hint="default" w:ascii="Times New Roman" w:hAnsi="Times New Roman" w:cs="Times New Roman"/>
                <w:color w:val="auto"/>
                <w:sz w:val="24"/>
                <w:highlight w:val="none"/>
                <w:lang w:val="en-US" w:eastAsia="zh-CN"/>
              </w:rPr>
              <w:t>3-4</w:t>
            </w:r>
            <w:r>
              <w:rPr>
                <w:rFonts w:hint="default" w:ascii="Times New Roman" w:hAnsi="Times New Roman" w:eastAsia="宋体" w:cs="Times New Roman"/>
                <w:color w:val="auto"/>
                <w:sz w:val="24"/>
                <w:highlight w:val="none"/>
              </w:rPr>
              <w:t xml:space="preserve">  TSP环境质量现状</w:t>
            </w:r>
            <w:r>
              <w:rPr>
                <w:rFonts w:hint="default" w:ascii="Times New Roman" w:hAnsi="Times New Roman" w:eastAsia="宋体" w:cs="Times New Roman"/>
                <w:color w:val="auto"/>
                <w:sz w:val="24"/>
                <w:highlight w:val="none"/>
                <w:lang w:eastAsia="zh-CN"/>
              </w:rPr>
              <w:t>监测</w:t>
            </w:r>
            <w:r>
              <w:rPr>
                <w:rFonts w:hint="default" w:ascii="Times New Roman" w:hAnsi="Times New Roman" w:eastAsia="宋体" w:cs="Times New Roman"/>
                <w:color w:val="auto"/>
                <w:sz w:val="24"/>
                <w:highlight w:val="none"/>
              </w:rPr>
              <w:t>结果表</w:t>
            </w:r>
          </w:p>
          <w:tbl>
            <w:tblPr>
              <w:tblStyle w:val="25"/>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4"/>
              <w:gridCol w:w="1326"/>
              <w:gridCol w:w="618"/>
              <w:gridCol w:w="1144"/>
              <w:gridCol w:w="1144"/>
              <w:gridCol w:w="815"/>
              <w:gridCol w:w="620"/>
              <w:gridCol w:w="690"/>
            </w:tblGrid>
            <w:tr w14:paraId="5B45A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64" w:type="pct"/>
                  <w:gridSpan w:val="2"/>
                  <w:noWrap w:val="0"/>
                  <w:vAlign w:val="center"/>
                </w:tcPr>
                <w:p w14:paraId="64F17B06">
                  <w:pPr>
                    <w:pStyle w:val="10"/>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kern w:val="2"/>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监测</w:t>
                  </w:r>
                  <w:r>
                    <w:rPr>
                      <w:rFonts w:hint="default" w:ascii="Times New Roman" w:hAnsi="Times New Roman" w:eastAsia="宋体" w:cs="Times New Roman"/>
                      <w:b w:val="0"/>
                      <w:bCs w:val="0"/>
                      <w:color w:val="auto"/>
                      <w:kern w:val="2"/>
                      <w:sz w:val="21"/>
                      <w:szCs w:val="21"/>
                      <w:highlight w:val="none"/>
                      <w:lang w:val="en-US" w:eastAsia="zh-CN"/>
                    </w:rPr>
                    <w:t>点坐标</w:t>
                  </w:r>
                </w:p>
              </w:tc>
              <w:tc>
                <w:tcPr>
                  <w:tcW w:w="417" w:type="pct"/>
                  <w:vMerge w:val="restart"/>
                  <w:noWrap w:val="0"/>
                  <w:vAlign w:val="center"/>
                </w:tcPr>
                <w:p w14:paraId="510893A3">
                  <w:pPr>
                    <w:pStyle w:val="10"/>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kern w:val="2"/>
                      <w:sz w:val="21"/>
                      <w:szCs w:val="21"/>
                      <w:highlight w:val="none"/>
                      <w:lang w:val="en-US" w:eastAsia="zh-CN"/>
                    </w:rPr>
                  </w:pPr>
                  <w:r>
                    <w:rPr>
                      <w:rFonts w:hint="default" w:ascii="Times New Roman" w:hAnsi="Times New Roman" w:eastAsia="宋体" w:cs="Times New Roman"/>
                      <w:b w:val="0"/>
                      <w:bCs w:val="0"/>
                      <w:color w:val="auto"/>
                      <w:kern w:val="2"/>
                      <w:sz w:val="21"/>
                      <w:szCs w:val="21"/>
                      <w:highlight w:val="none"/>
                      <w:lang w:val="en-US" w:eastAsia="zh-CN"/>
                    </w:rPr>
                    <w:t>污染物</w:t>
                  </w:r>
                </w:p>
              </w:tc>
              <w:tc>
                <w:tcPr>
                  <w:tcW w:w="648" w:type="pct"/>
                  <w:vMerge w:val="restart"/>
                  <w:noWrap w:val="0"/>
                  <w:vAlign w:val="center"/>
                </w:tcPr>
                <w:p w14:paraId="08EA3A6D">
                  <w:pPr>
                    <w:pStyle w:val="10"/>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kern w:val="2"/>
                      <w:sz w:val="21"/>
                      <w:szCs w:val="21"/>
                      <w:highlight w:val="none"/>
                      <w:lang w:val="en-US" w:eastAsia="zh-CN"/>
                    </w:rPr>
                  </w:pPr>
                  <w:r>
                    <w:rPr>
                      <w:rFonts w:hint="default" w:ascii="Times New Roman" w:hAnsi="Times New Roman" w:eastAsia="宋体" w:cs="Times New Roman"/>
                      <w:b w:val="0"/>
                      <w:bCs w:val="0"/>
                      <w:color w:val="auto"/>
                      <w:kern w:val="2"/>
                      <w:sz w:val="21"/>
                      <w:szCs w:val="21"/>
                      <w:highlight w:val="none"/>
                      <w:lang w:val="en-US" w:eastAsia="zh-CN"/>
                    </w:rPr>
                    <w:t>评价标准（μg/m</w:t>
                  </w:r>
                  <w:r>
                    <w:rPr>
                      <w:rFonts w:hint="default" w:ascii="Times New Roman" w:hAnsi="Times New Roman" w:eastAsia="宋体" w:cs="Times New Roman"/>
                      <w:b w:val="0"/>
                      <w:bCs w:val="0"/>
                      <w:color w:val="auto"/>
                      <w:kern w:val="2"/>
                      <w:sz w:val="21"/>
                      <w:szCs w:val="21"/>
                      <w:highlight w:val="none"/>
                      <w:vertAlign w:val="superscript"/>
                      <w:lang w:val="en-US" w:eastAsia="zh-CN"/>
                    </w:rPr>
                    <w:t>3</w:t>
                  </w:r>
                  <w:r>
                    <w:rPr>
                      <w:rFonts w:hint="default" w:ascii="Times New Roman" w:hAnsi="Times New Roman" w:eastAsia="宋体" w:cs="Times New Roman"/>
                      <w:b w:val="0"/>
                      <w:bCs w:val="0"/>
                      <w:color w:val="auto"/>
                      <w:kern w:val="2"/>
                      <w:sz w:val="21"/>
                      <w:szCs w:val="21"/>
                      <w:highlight w:val="none"/>
                      <w:lang w:val="en-US" w:eastAsia="zh-CN"/>
                    </w:rPr>
                    <w:t>）</w:t>
                  </w:r>
                </w:p>
              </w:tc>
              <w:tc>
                <w:tcPr>
                  <w:tcW w:w="647" w:type="pct"/>
                  <w:vMerge w:val="restart"/>
                  <w:noWrap w:val="0"/>
                  <w:vAlign w:val="center"/>
                </w:tcPr>
                <w:p w14:paraId="01634C11">
                  <w:pPr>
                    <w:pStyle w:val="10"/>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kern w:val="2"/>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监测</w:t>
                  </w:r>
                  <w:r>
                    <w:rPr>
                      <w:rFonts w:hint="default" w:ascii="Times New Roman" w:hAnsi="Times New Roman" w:eastAsia="宋体" w:cs="Times New Roman"/>
                      <w:b w:val="0"/>
                      <w:bCs w:val="0"/>
                      <w:color w:val="auto"/>
                      <w:kern w:val="2"/>
                      <w:sz w:val="21"/>
                      <w:szCs w:val="21"/>
                      <w:highlight w:val="none"/>
                      <w:lang w:val="en-US" w:eastAsia="zh-CN"/>
                    </w:rPr>
                    <w:t>浓度范围（μg/m</w:t>
                  </w:r>
                  <w:r>
                    <w:rPr>
                      <w:rFonts w:hint="default" w:ascii="Times New Roman" w:hAnsi="Times New Roman" w:eastAsia="宋体" w:cs="Times New Roman"/>
                      <w:b w:val="0"/>
                      <w:bCs w:val="0"/>
                      <w:color w:val="auto"/>
                      <w:kern w:val="2"/>
                      <w:sz w:val="21"/>
                      <w:szCs w:val="21"/>
                      <w:highlight w:val="none"/>
                      <w:vertAlign w:val="superscript"/>
                      <w:lang w:val="en-US" w:eastAsia="zh-CN"/>
                    </w:rPr>
                    <w:t>3</w:t>
                  </w:r>
                  <w:r>
                    <w:rPr>
                      <w:rFonts w:hint="default" w:ascii="Times New Roman" w:hAnsi="Times New Roman" w:eastAsia="宋体" w:cs="Times New Roman"/>
                      <w:b w:val="0"/>
                      <w:bCs w:val="0"/>
                      <w:color w:val="auto"/>
                      <w:kern w:val="2"/>
                      <w:sz w:val="21"/>
                      <w:szCs w:val="21"/>
                      <w:highlight w:val="none"/>
                      <w:lang w:val="en-US" w:eastAsia="zh-CN"/>
                    </w:rPr>
                    <w:t>）</w:t>
                  </w:r>
                </w:p>
              </w:tc>
              <w:tc>
                <w:tcPr>
                  <w:tcW w:w="540" w:type="pct"/>
                  <w:vMerge w:val="restart"/>
                  <w:noWrap w:val="0"/>
                  <w:vAlign w:val="center"/>
                </w:tcPr>
                <w:p w14:paraId="7DE69CC2">
                  <w:pPr>
                    <w:pStyle w:val="10"/>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kern w:val="2"/>
                      <w:sz w:val="21"/>
                      <w:szCs w:val="21"/>
                      <w:highlight w:val="none"/>
                      <w:lang w:val="en-US" w:eastAsia="zh-CN"/>
                    </w:rPr>
                  </w:pPr>
                  <w:r>
                    <w:rPr>
                      <w:rFonts w:hint="default" w:ascii="Times New Roman" w:hAnsi="Times New Roman" w:eastAsia="宋体" w:cs="Times New Roman"/>
                      <w:b w:val="0"/>
                      <w:bCs w:val="0"/>
                      <w:color w:val="auto"/>
                      <w:kern w:val="2"/>
                      <w:sz w:val="21"/>
                      <w:szCs w:val="21"/>
                      <w:highlight w:val="none"/>
                      <w:lang w:val="en-US" w:eastAsia="zh-CN"/>
                    </w:rPr>
                    <w:t>超标率（%）</w:t>
                  </w:r>
                </w:p>
              </w:tc>
              <w:tc>
                <w:tcPr>
                  <w:tcW w:w="418" w:type="pct"/>
                  <w:vMerge w:val="restart"/>
                  <w:noWrap w:val="0"/>
                  <w:vAlign w:val="center"/>
                </w:tcPr>
                <w:p w14:paraId="72EC3F90">
                  <w:pPr>
                    <w:pStyle w:val="10"/>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kern w:val="2"/>
                      <w:sz w:val="21"/>
                      <w:szCs w:val="21"/>
                      <w:highlight w:val="none"/>
                      <w:lang w:val="en-US" w:eastAsia="zh-CN"/>
                    </w:rPr>
                  </w:pPr>
                  <w:r>
                    <w:rPr>
                      <w:rFonts w:hint="default" w:ascii="Times New Roman" w:hAnsi="Times New Roman" w:eastAsia="宋体" w:cs="Times New Roman"/>
                      <w:b w:val="0"/>
                      <w:bCs w:val="0"/>
                      <w:color w:val="auto"/>
                      <w:kern w:val="2"/>
                      <w:sz w:val="21"/>
                      <w:szCs w:val="21"/>
                      <w:highlight w:val="none"/>
                      <w:lang w:val="en-US" w:eastAsia="zh-CN"/>
                    </w:rPr>
                    <w:t>达标情况</w:t>
                  </w:r>
                </w:p>
              </w:tc>
              <w:tc>
                <w:tcPr>
                  <w:tcW w:w="462" w:type="pct"/>
                  <w:vMerge w:val="restart"/>
                  <w:noWrap w:val="0"/>
                  <w:vAlign w:val="center"/>
                </w:tcPr>
                <w:p w14:paraId="16AB514C">
                  <w:pPr>
                    <w:pStyle w:val="10"/>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kern w:val="2"/>
                      <w:sz w:val="21"/>
                      <w:szCs w:val="21"/>
                      <w:highlight w:val="none"/>
                      <w:lang w:val="en-US" w:eastAsia="zh-CN"/>
                    </w:rPr>
                  </w:pPr>
                  <w:r>
                    <w:rPr>
                      <w:rFonts w:hint="default" w:ascii="Times New Roman" w:hAnsi="Times New Roman" w:eastAsia="宋体" w:cs="Times New Roman"/>
                      <w:b w:val="0"/>
                      <w:bCs w:val="0"/>
                      <w:color w:val="auto"/>
                      <w:kern w:val="2"/>
                      <w:sz w:val="21"/>
                      <w:szCs w:val="21"/>
                      <w:highlight w:val="none"/>
                      <w:lang w:val="en-US" w:eastAsia="zh-CN"/>
                    </w:rPr>
                    <w:t>距离/m</w:t>
                  </w:r>
                </w:p>
              </w:tc>
            </w:tr>
            <w:tr w14:paraId="763E1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41" w:type="pct"/>
                  <w:noWrap w:val="0"/>
                  <w:vAlign w:val="center"/>
                </w:tcPr>
                <w:p w14:paraId="63DE5FB6">
                  <w:pPr>
                    <w:pStyle w:val="10"/>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highlight w:val="none"/>
                      <w:lang w:val="en-US" w:eastAsia="zh-CN"/>
                    </w:rPr>
                  </w:pPr>
                  <w:r>
                    <w:rPr>
                      <w:rFonts w:hint="default" w:ascii="Times New Roman" w:hAnsi="Times New Roman" w:eastAsia="宋体" w:cs="Times New Roman"/>
                      <w:b/>
                      <w:bCs/>
                      <w:color w:val="auto"/>
                      <w:kern w:val="2"/>
                      <w:sz w:val="21"/>
                      <w:szCs w:val="21"/>
                      <w:highlight w:val="none"/>
                      <w:lang w:val="en-US" w:eastAsia="zh-CN"/>
                    </w:rPr>
                    <w:t>经度</w:t>
                  </w:r>
                </w:p>
              </w:tc>
              <w:tc>
                <w:tcPr>
                  <w:tcW w:w="822" w:type="pct"/>
                  <w:noWrap w:val="0"/>
                  <w:vAlign w:val="center"/>
                </w:tcPr>
                <w:p w14:paraId="26A68FB3">
                  <w:pPr>
                    <w:pStyle w:val="10"/>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kern w:val="2"/>
                      <w:sz w:val="21"/>
                      <w:szCs w:val="21"/>
                      <w:highlight w:val="none"/>
                      <w:lang w:val="en-US" w:eastAsia="zh-CN"/>
                    </w:rPr>
                  </w:pPr>
                  <w:r>
                    <w:rPr>
                      <w:rFonts w:hint="default" w:ascii="Times New Roman" w:hAnsi="Times New Roman" w:eastAsia="宋体" w:cs="Times New Roman"/>
                      <w:b/>
                      <w:bCs/>
                      <w:color w:val="auto"/>
                      <w:kern w:val="2"/>
                      <w:sz w:val="21"/>
                      <w:szCs w:val="21"/>
                      <w:highlight w:val="none"/>
                      <w:lang w:val="en-US" w:eastAsia="zh-CN"/>
                    </w:rPr>
                    <w:t>纬度</w:t>
                  </w:r>
                </w:p>
              </w:tc>
              <w:tc>
                <w:tcPr>
                  <w:tcW w:w="417" w:type="pct"/>
                  <w:vMerge w:val="continue"/>
                  <w:noWrap w:val="0"/>
                  <w:vAlign w:val="center"/>
                </w:tcPr>
                <w:p w14:paraId="5FA0FB5E">
                  <w:pPr>
                    <w:pStyle w:val="10"/>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rPr>
                  </w:pPr>
                </w:p>
              </w:tc>
              <w:tc>
                <w:tcPr>
                  <w:tcW w:w="648" w:type="pct"/>
                  <w:vMerge w:val="continue"/>
                  <w:noWrap w:val="0"/>
                  <w:vAlign w:val="center"/>
                </w:tcPr>
                <w:p w14:paraId="1D5067C9">
                  <w:pPr>
                    <w:pStyle w:val="10"/>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rPr>
                  </w:pPr>
                </w:p>
              </w:tc>
              <w:tc>
                <w:tcPr>
                  <w:tcW w:w="647" w:type="pct"/>
                  <w:vMerge w:val="continue"/>
                  <w:noWrap w:val="0"/>
                  <w:vAlign w:val="center"/>
                </w:tcPr>
                <w:p w14:paraId="2E437AA3">
                  <w:pPr>
                    <w:pStyle w:val="10"/>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rPr>
                  </w:pPr>
                </w:p>
              </w:tc>
              <w:tc>
                <w:tcPr>
                  <w:tcW w:w="540" w:type="pct"/>
                  <w:vMerge w:val="continue"/>
                  <w:noWrap w:val="0"/>
                  <w:vAlign w:val="center"/>
                </w:tcPr>
                <w:p w14:paraId="3DDCB08B">
                  <w:pPr>
                    <w:pStyle w:val="10"/>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rPr>
                  </w:pPr>
                </w:p>
              </w:tc>
              <w:tc>
                <w:tcPr>
                  <w:tcW w:w="418" w:type="pct"/>
                  <w:vMerge w:val="continue"/>
                  <w:noWrap w:val="0"/>
                  <w:vAlign w:val="center"/>
                </w:tcPr>
                <w:p w14:paraId="547E0219">
                  <w:pPr>
                    <w:pStyle w:val="10"/>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rPr>
                  </w:pPr>
                </w:p>
              </w:tc>
              <w:tc>
                <w:tcPr>
                  <w:tcW w:w="462" w:type="pct"/>
                  <w:vMerge w:val="continue"/>
                  <w:noWrap w:val="0"/>
                  <w:vAlign w:val="center"/>
                </w:tcPr>
                <w:p w14:paraId="15E1AAD8">
                  <w:pPr>
                    <w:pStyle w:val="10"/>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highlight w:val="none"/>
                      <w:lang w:val="en-US" w:eastAsia="zh-CN"/>
                    </w:rPr>
                  </w:pPr>
                </w:p>
              </w:tc>
            </w:tr>
            <w:tr w14:paraId="3B60B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41" w:type="pct"/>
                  <w:noWrap w:val="0"/>
                  <w:vAlign w:val="center"/>
                </w:tcPr>
                <w:p w14:paraId="1923692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123°12′40.930″</w:t>
                  </w:r>
                </w:p>
              </w:tc>
              <w:tc>
                <w:tcPr>
                  <w:tcW w:w="822" w:type="pct"/>
                  <w:noWrap w:val="0"/>
                  <w:vAlign w:val="center"/>
                </w:tcPr>
                <w:p w14:paraId="2FDC3F3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40°27′8.625″</w:t>
                  </w:r>
                </w:p>
              </w:tc>
              <w:tc>
                <w:tcPr>
                  <w:tcW w:w="417" w:type="pct"/>
                  <w:noWrap w:val="0"/>
                  <w:vAlign w:val="center"/>
                </w:tcPr>
                <w:p w14:paraId="5F8AB97C">
                  <w:pPr>
                    <w:pStyle w:val="10"/>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kern w:val="2"/>
                      <w:sz w:val="21"/>
                      <w:szCs w:val="21"/>
                      <w:highlight w:val="none"/>
                      <w:lang w:val="en-US" w:eastAsia="zh-CN"/>
                    </w:rPr>
                  </w:pPr>
                  <w:r>
                    <w:rPr>
                      <w:rFonts w:hint="default" w:ascii="Times New Roman" w:hAnsi="Times New Roman" w:eastAsia="宋体" w:cs="Times New Roman"/>
                      <w:b w:val="0"/>
                      <w:bCs w:val="0"/>
                      <w:color w:val="auto"/>
                      <w:kern w:val="2"/>
                      <w:sz w:val="21"/>
                      <w:szCs w:val="21"/>
                      <w:highlight w:val="none"/>
                      <w:lang w:val="en-US" w:eastAsia="zh-CN"/>
                    </w:rPr>
                    <w:t>TSP</w:t>
                  </w:r>
                </w:p>
              </w:tc>
              <w:tc>
                <w:tcPr>
                  <w:tcW w:w="648" w:type="pct"/>
                  <w:noWrap w:val="0"/>
                  <w:vAlign w:val="center"/>
                </w:tcPr>
                <w:p w14:paraId="74769AA3">
                  <w:pPr>
                    <w:pStyle w:val="10"/>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kern w:val="2"/>
                      <w:sz w:val="21"/>
                      <w:szCs w:val="21"/>
                      <w:highlight w:val="none"/>
                      <w:lang w:val="en-US" w:eastAsia="zh-CN"/>
                    </w:rPr>
                  </w:pPr>
                  <w:r>
                    <w:rPr>
                      <w:rFonts w:hint="default" w:ascii="Times New Roman" w:hAnsi="Times New Roman" w:eastAsia="宋体" w:cs="Times New Roman"/>
                      <w:b w:val="0"/>
                      <w:bCs w:val="0"/>
                      <w:color w:val="auto"/>
                      <w:kern w:val="2"/>
                      <w:sz w:val="21"/>
                      <w:szCs w:val="21"/>
                      <w:highlight w:val="none"/>
                      <w:lang w:val="en-US" w:eastAsia="zh-CN"/>
                    </w:rPr>
                    <w:t>300</w:t>
                  </w:r>
                </w:p>
              </w:tc>
              <w:tc>
                <w:tcPr>
                  <w:tcW w:w="647" w:type="pct"/>
                  <w:noWrap w:val="0"/>
                  <w:vAlign w:val="center"/>
                </w:tcPr>
                <w:p w14:paraId="2751967C">
                  <w:pPr>
                    <w:pStyle w:val="10"/>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kern w:val="2"/>
                      <w:sz w:val="21"/>
                      <w:szCs w:val="21"/>
                      <w:highlight w:val="none"/>
                      <w:lang w:val="en-US" w:eastAsia="zh-CN"/>
                    </w:rPr>
                  </w:pPr>
                  <w:r>
                    <w:rPr>
                      <w:rFonts w:hint="default" w:ascii="Times New Roman" w:hAnsi="Times New Roman" w:eastAsia="宋体" w:cs="Times New Roman"/>
                      <w:b w:val="0"/>
                      <w:bCs w:val="0"/>
                      <w:color w:val="auto"/>
                      <w:kern w:val="2"/>
                      <w:sz w:val="21"/>
                      <w:szCs w:val="21"/>
                      <w:highlight w:val="none"/>
                      <w:lang w:val="en-US" w:eastAsia="zh-CN"/>
                    </w:rPr>
                    <w:t>58~71</w:t>
                  </w:r>
                </w:p>
              </w:tc>
              <w:tc>
                <w:tcPr>
                  <w:tcW w:w="540" w:type="pct"/>
                  <w:noWrap w:val="0"/>
                  <w:vAlign w:val="center"/>
                </w:tcPr>
                <w:p w14:paraId="6E2CA49D">
                  <w:pPr>
                    <w:pStyle w:val="10"/>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kern w:val="2"/>
                      <w:sz w:val="21"/>
                      <w:szCs w:val="21"/>
                      <w:highlight w:val="none"/>
                      <w:lang w:val="en-US" w:eastAsia="zh-CN"/>
                    </w:rPr>
                  </w:pPr>
                  <w:r>
                    <w:rPr>
                      <w:rFonts w:hint="default" w:ascii="Times New Roman" w:hAnsi="Times New Roman" w:eastAsia="宋体" w:cs="Times New Roman"/>
                      <w:b w:val="0"/>
                      <w:bCs w:val="0"/>
                      <w:color w:val="auto"/>
                      <w:kern w:val="2"/>
                      <w:sz w:val="21"/>
                      <w:szCs w:val="21"/>
                      <w:highlight w:val="none"/>
                      <w:lang w:val="en-US" w:eastAsia="zh-CN"/>
                    </w:rPr>
                    <w:t>0</w:t>
                  </w:r>
                </w:p>
              </w:tc>
              <w:tc>
                <w:tcPr>
                  <w:tcW w:w="418" w:type="pct"/>
                  <w:noWrap w:val="0"/>
                  <w:vAlign w:val="center"/>
                </w:tcPr>
                <w:p w14:paraId="682163E5">
                  <w:pPr>
                    <w:pStyle w:val="10"/>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kern w:val="2"/>
                      <w:sz w:val="21"/>
                      <w:szCs w:val="21"/>
                      <w:highlight w:val="none"/>
                      <w:lang w:val="en-US" w:eastAsia="zh-CN"/>
                    </w:rPr>
                  </w:pPr>
                  <w:r>
                    <w:rPr>
                      <w:rFonts w:hint="default" w:ascii="Times New Roman" w:hAnsi="Times New Roman" w:eastAsia="宋体" w:cs="Times New Roman"/>
                      <w:b w:val="0"/>
                      <w:bCs w:val="0"/>
                      <w:color w:val="auto"/>
                      <w:kern w:val="2"/>
                      <w:sz w:val="21"/>
                      <w:szCs w:val="21"/>
                      <w:highlight w:val="none"/>
                      <w:lang w:val="en-US" w:eastAsia="zh-CN"/>
                    </w:rPr>
                    <w:t>达标</w:t>
                  </w:r>
                </w:p>
              </w:tc>
              <w:tc>
                <w:tcPr>
                  <w:tcW w:w="462" w:type="pct"/>
                  <w:noWrap w:val="0"/>
                  <w:vAlign w:val="center"/>
                </w:tcPr>
                <w:p w14:paraId="7D0F5ADB">
                  <w:pPr>
                    <w:pStyle w:val="10"/>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kern w:val="2"/>
                      <w:sz w:val="21"/>
                      <w:szCs w:val="21"/>
                      <w:highlight w:val="none"/>
                      <w:lang w:val="en-US" w:eastAsia="zh-CN"/>
                    </w:rPr>
                  </w:pPr>
                  <w:r>
                    <w:rPr>
                      <w:rFonts w:hint="eastAsia" w:cs="Times New Roman"/>
                      <w:b w:val="0"/>
                      <w:bCs w:val="0"/>
                      <w:color w:val="auto"/>
                      <w:sz w:val="21"/>
                      <w:szCs w:val="21"/>
                      <w:highlight w:val="none"/>
                      <w:lang w:val="en-US" w:eastAsia="zh-CN"/>
                    </w:rPr>
                    <w:t>47</w:t>
                  </w:r>
                  <w:r>
                    <w:rPr>
                      <w:rFonts w:hint="default" w:ascii="Times New Roman" w:hAnsi="Times New Roman" w:eastAsia="宋体" w:cs="Times New Roman"/>
                      <w:b w:val="0"/>
                      <w:bCs w:val="0"/>
                      <w:color w:val="auto"/>
                      <w:sz w:val="21"/>
                      <w:szCs w:val="21"/>
                      <w:highlight w:val="none"/>
                      <w:lang w:val="en-US" w:eastAsia="zh-CN"/>
                    </w:rPr>
                    <w:t>00</w:t>
                  </w:r>
                </w:p>
              </w:tc>
            </w:tr>
          </w:tbl>
          <w:p w14:paraId="55638E67">
            <w:pPr>
              <w:pStyle w:val="17"/>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500" w:lineRule="exact"/>
              <w:ind w:left="0" w:right="0" w:firstLine="480" w:firstLineChars="200"/>
              <w:textAlignment w:val="auto"/>
              <w:rPr>
                <w:rFonts w:hint="default" w:ascii="Times New Roman" w:hAnsi="Times New Roman" w:eastAsia="宋体" w:cs="Times New Roman"/>
                <w:color w:val="auto"/>
                <w:sz w:val="24"/>
                <w:highlight w:val="none"/>
                <w:shd w:val="clear" w:color="auto" w:fill="auto"/>
                <w:lang w:eastAsia="zh-CN"/>
              </w:rPr>
            </w:pPr>
            <w:r>
              <w:rPr>
                <w:rFonts w:hint="default" w:ascii="Times New Roman" w:hAnsi="Times New Roman" w:eastAsia="宋体" w:cs="Times New Roman"/>
                <w:color w:val="auto"/>
                <w:sz w:val="24"/>
                <w:highlight w:val="none"/>
              </w:rPr>
              <w:t>由表</w:t>
            </w:r>
            <w:r>
              <w:rPr>
                <w:rFonts w:hint="default" w:ascii="Times New Roman" w:hAnsi="Times New Roman" w:cs="Times New Roman"/>
                <w:color w:val="auto"/>
                <w:sz w:val="24"/>
                <w:highlight w:val="none"/>
                <w:lang w:val="en-US" w:eastAsia="zh-CN"/>
              </w:rPr>
              <w:t>3-4</w:t>
            </w:r>
            <w:r>
              <w:rPr>
                <w:rFonts w:hint="default" w:ascii="Times New Roman" w:hAnsi="Times New Roman" w:eastAsia="宋体" w:cs="Times New Roman"/>
                <w:color w:val="auto"/>
                <w:sz w:val="24"/>
                <w:highlight w:val="none"/>
              </w:rPr>
              <w:t>可知，TSP满足《环境空气质量标准》(GB 3095-2012</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中二级标准要求。</w:t>
            </w:r>
          </w:p>
          <w:p w14:paraId="50DC519E">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kern w:val="2"/>
                <w:sz w:val="24"/>
                <w:szCs w:val="24"/>
                <w:highlight w:val="none"/>
                <w:shd w:val="clear" w:color="auto" w:fill="auto"/>
                <w:lang w:val="en-US" w:eastAsia="zh-CN"/>
              </w:rPr>
              <w:t>二、</w:t>
            </w:r>
            <w:r>
              <w:rPr>
                <w:rFonts w:hint="default" w:ascii="Times New Roman" w:hAnsi="Times New Roman" w:eastAsia="宋体" w:cs="Times New Roman"/>
                <w:b/>
                <w:bCs/>
                <w:color w:val="auto"/>
                <w:sz w:val="24"/>
                <w:highlight w:val="none"/>
              </w:rPr>
              <w:t>声环境质量现状</w:t>
            </w:r>
          </w:p>
          <w:p w14:paraId="77245DB2">
            <w:pPr>
              <w:pStyle w:val="17"/>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highlight w:val="none"/>
                <w:lang w:val="en-US" w:eastAsia="zh-CN"/>
              </w:rPr>
            </w:pPr>
            <w:r>
              <w:rPr>
                <w:rFonts w:hint="eastAsia" w:ascii="Calibri" w:hAnsi="Calibri" w:eastAsia="宋体" w:cs="Times New Roman"/>
                <w:color w:val="auto"/>
                <w:sz w:val="24"/>
                <w:highlight w:val="none"/>
                <w:lang w:eastAsia="zh-CN"/>
              </w:rPr>
              <w:t>本项目位于佳合鹏程厂区范围内，</w:t>
            </w:r>
            <w:r>
              <w:rPr>
                <w:rFonts w:hint="eastAsia" w:ascii="Calibri" w:hAnsi="Calibri" w:eastAsia="宋体" w:cs="Times New Roman"/>
                <w:color w:val="auto"/>
                <w:sz w:val="24"/>
                <w:highlight w:val="none"/>
              </w:rPr>
              <w:t>厂界外周边50米范围内不存在声环境保护目标</w:t>
            </w:r>
            <w:r>
              <w:rPr>
                <w:rFonts w:hint="eastAsia" w:ascii="Calibri" w:hAnsi="Calibri" w:cs="Times New Roman"/>
                <w:color w:val="auto"/>
                <w:sz w:val="24"/>
                <w:highlight w:val="none"/>
                <w:lang w:eastAsia="zh-CN"/>
              </w:rPr>
              <w:t>，</w:t>
            </w:r>
            <w:r>
              <w:rPr>
                <w:rFonts w:hint="eastAsia" w:ascii="Calibri" w:hAnsi="Calibri" w:eastAsia="宋体" w:cs="Times New Roman"/>
                <w:color w:val="auto"/>
                <w:sz w:val="24"/>
                <w:highlight w:val="none"/>
              </w:rPr>
              <w:t>不需要进行现状监测。</w:t>
            </w:r>
          </w:p>
          <w:p w14:paraId="2B0FEEFB">
            <w:pPr>
              <w:keepNext w:val="0"/>
              <w:keepLines w:val="0"/>
              <w:suppressLineNumbers w:val="0"/>
              <w:spacing w:before="0" w:beforeAutospacing="0" w:after="0" w:afterAutospacing="0" w:line="360" w:lineRule="auto"/>
              <w:ind w:left="0" w:right="36" w:rightChars="17" w:firstLine="482" w:firstLineChars="200"/>
              <w:rPr>
                <w:rFonts w:hint="default" w:ascii="Times New Roman" w:hAnsi="Times New Roman" w:eastAsia="宋体" w:cs="Times New Roman"/>
                <w:b/>
                <w:bCs/>
                <w:color w:val="auto"/>
                <w:sz w:val="24"/>
                <w:highlight w:val="none"/>
                <w:shd w:val="clear" w:color="auto" w:fill="auto"/>
              </w:rPr>
            </w:pPr>
            <w:r>
              <w:rPr>
                <w:rFonts w:hint="default" w:ascii="Times New Roman" w:hAnsi="Times New Roman" w:eastAsia="宋体" w:cs="Times New Roman"/>
                <w:b/>
                <w:bCs/>
                <w:color w:val="auto"/>
                <w:kern w:val="2"/>
                <w:sz w:val="24"/>
                <w:szCs w:val="24"/>
                <w:highlight w:val="none"/>
                <w:shd w:val="clear" w:color="auto" w:fill="auto"/>
                <w:lang w:val="en-US" w:eastAsia="zh-CN"/>
              </w:rPr>
              <w:t>三、</w:t>
            </w:r>
            <w:r>
              <w:rPr>
                <w:rFonts w:hint="default" w:ascii="Times New Roman" w:hAnsi="Times New Roman" w:eastAsia="宋体" w:cs="Times New Roman"/>
                <w:b/>
                <w:bCs/>
                <w:color w:val="auto"/>
                <w:sz w:val="24"/>
                <w:highlight w:val="none"/>
                <w:shd w:val="clear" w:color="auto" w:fill="auto"/>
                <w:lang w:eastAsia="zh-CN"/>
              </w:rPr>
              <w:t>地表水</w:t>
            </w:r>
            <w:r>
              <w:rPr>
                <w:rFonts w:hint="default" w:ascii="Times New Roman" w:hAnsi="Times New Roman" w:eastAsia="宋体" w:cs="Times New Roman"/>
                <w:b/>
                <w:bCs/>
                <w:color w:val="auto"/>
                <w:sz w:val="24"/>
                <w:highlight w:val="none"/>
                <w:shd w:val="clear" w:color="auto" w:fill="auto"/>
              </w:rPr>
              <w:t>现状监测</w:t>
            </w:r>
          </w:p>
          <w:p w14:paraId="4883EF85">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本项目所在区域地表水体为</w:t>
            </w:r>
            <w:r>
              <w:rPr>
                <w:rFonts w:hint="default" w:ascii="Times New Roman" w:hAnsi="Times New Roman" w:eastAsia="宋体" w:cs="Times New Roman"/>
                <w:color w:val="auto"/>
                <w:sz w:val="24"/>
                <w:highlight w:val="none"/>
                <w:lang w:val="en-US" w:eastAsia="zh-CN"/>
              </w:rPr>
              <w:t>大洋河</w:t>
            </w:r>
            <w:r>
              <w:rPr>
                <w:rFonts w:hint="default" w:ascii="Times New Roman" w:hAnsi="Times New Roman" w:eastAsia="宋体" w:cs="Times New Roman"/>
                <w:bCs/>
                <w:color w:val="auto"/>
                <w:sz w:val="24"/>
                <w:highlight w:val="none"/>
              </w:rPr>
              <w:t>，</w:t>
            </w:r>
            <w:r>
              <w:rPr>
                <w:rFonts w:hint="default" w:ascii="Times New Roman" w:hAnsi="Times New Roman" w:eastAsia="宋体" w:cs="Times New Roman"/>
                <w:color w:val="auto"/>
                <w:sz w:val="24"/>
                <w:highlight w:val="none"/>
                <w:lang w:val="en-US" w:eastAsia="zh-CN"/>
              </w:rPr>
              <w:t>大洋河</w:t>
            </w:r>
            <w:r>
              <w:rPr>
                <w:rFonts w:hint="default" w:ascii="Times New Roman" w:hAnsi="Times New Roman" w:eastAsia="宋体" w:cs="Times New Roman"/>
                <w:bCs/>
                <w:color w:val="auto"/>
                <w:sz w:val="24"/>
                <w:highlight w:val="none"/>
              </w:rPr>
              <w:t>的水质类别为</w:t>
            </w:r>
            <w:r>
              <w:rPr>
                <w:rFonts w:hint="default" w:ascii="Times New Roman" w:hAnsi="Times New Roman" w:eastAsia="宋体" w:cs="Times New Roman"/>
                <w:b w:val="0"/>
                <w:bCs/>
                <w:color w:val="auto"/>
                <w:sz w:val="21"/>
                <w:szCs w:val="21"/>
                <w:highlight w:val="none"/>
                <w:lang w:val="en-US" w:eastAsia="zh-CN"/>
              </w:rPr>
              <w:t>Ⅱ</w:t>
            </w:r>
            <w:r>
              <w:rPr>
                <w:rFonts w:hint="default" w:ascii="Times New Roman" w:hAnsi="Times New Roman" w:eastAsia="宋体" w:cs="Times New Roman"/>
                <w:bCs/>
                <w:color w:val="auto"/>
                <w:sz w:val="24"/>
                <w:highlight w:val="none"/>
                <w:lang w:val="en-US" w:eastAsia="zh-CN"/>
              </w:rPr>
              <w:t>类</w:t>
            </w:r>
            <w:r>
              <w:rPr>
                <w:rFonts w:hint="default" w:ascii="Times New Roman" w:hAnsi="Times New Roman" w:eastAsia="宋体" w:cs="Times New Roman"/>
                <w:bCs/>
                <w:color w:val="auto"/>
                <w:sz w:val="24"/>
                <w:highlight w:val="none"/>
              </w:rPr>
              <w:t>水体。本项目地表水环境质量现状</w:t>
            </w:r>
            <w:r>
              <w:rPr>
                <w:rFonts w:hint="default" w:ascii="Times New Roman" w:hAnsi="Times New Roman" w:eastAsia="宋体" w:cs="Times New Roman"/>
                <w:color w:val="auto"/>
                <w:sz w:val="24"/>
                <w:szCs w:val="24"/>
                <w:highlight w:val="none"/>
                <w:lang w:val="en-US" w:eastAsia="zh-CN"/>
              </w:rPr>
              <w:t>参照《202</w:t>
            </w:r>
            <w:r>
              <w:rPr>
                <w:rFonts w:hint="default" w:ascii="Times New Roman" w:hAnsi="Times New Roman"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年鞍山市环境质量报告书》中大洋河</w:t>
            </w:r>
            <w:r>
              <w:rPr>
                <w:rFonts w:hint="default" w:ascii="Times New Roman" w:hAnsi="Times New Roman" w:eastAsia="宋体" w:cs="Times New Roman"/>
                <w:bCs/>
                <w:color w:val="auto"/>
                <w:sz w:val="24"/>
                <w:highlight w:val="none"/>
              </w:rPr>
              <w:t>沿程主要评价指标监测结果统计数据，区域地表水水质情况如下表所示。</w:t>
            </w:r>
          </w:p>
          <w:p w14:paraId="04CF4DFD">
            <w:pPr>
              <w:pStyle w:val="49"/>
              <w:keepNext w:val="0"/>
              <w:keepLines w:val="0"/>
              <w:suppressLineNumbers w:val="0"/>
              <w:spacing w:beforeAutospacing="0" w:afterAutospacing="0"/>
              <w:ind w:firstLine="482"/>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表</w:t>
            </w:r>
            <w:r>
              <w:rPr>
                <w:rFonts w:hint="default" w:ascii="Times New Roman" w:hAnsi="Times New Roman" w:cs="Times New Roman"/>
                <w:color w:val="auto"/>
                <w:kern w:val="0"/>
                <w:highlight w:val="none"/>
                <w:lang w:val="en-US" w:eastAsia="zh-CN"/>
              </w:rPr>
              <w:t>3-5</w:t>
            </w:r>
            <w:r>
              <w:rPr>
                <w:rFonts w:hint="default" w:ascii="Times New Roman" w:hAnsi="Times New Roman" w:eastAsia="宋体" w:cs="Times New Roman"/>
                <w:color w:val="auto"/>
                <w:kern w:val="0"/>
                <w:highlight w:val="none"/>
              </w:rPr>
              <w:t xml:space="preserve">  </w:t>
            </w:r>
            <w:r>
              <w:rPr>
                <w:rFonts w:hint="default" w:ascii="Times New Roman" w:hAnsi="Times New Roman" w:eastAsia="宋体" w:cs="Times New Roman"/>
                <w:b/>
                <w:bCs w:val="0"/>
                <w:color w:val="auto"/>
                <w:sz w:val="24"/>
                <w:szCs w:val="24"/>
                <w:highlight w:val="none"/>
                <w:lang w:val="en-US" w:eastAsia="zh-CN"/>
              </w:rPr>
              <w:t>202</w:t>
            </w:r>
            <w:r>
              <w:rPr>
                <w:rFonts w:hint="default" w:ascii="Times New Roman" w:hAnsi="Times New Roman" w:cs="Times New Roman"/>
                <w:b/>
                <w:bCs w:val="0"/>
                <w:color w:val="auto"/>
                <w:sz w:val="24"/>
                <w:szCs w:val="24"/>
                <w:highlight w:val="none"/>
                <w:lang w:val="en-US" w:eastAsia="zh-CN"/>
              </w:rPr>
              <w:t>3</w:t>
            </w:r>
            <w:r>
              <w:rPr>
                <w:rFonts w:hint="default" w:ascii="Times New Roman" w:hAnsi="Times New Roman" w:eastAsia="宋体" w:cs="Times New Roman"/>
                <w:b/>
                <w:bCs w:val="0"/>
                <w:color w:val="auto"/>
                <w:sz w:val="24"/>
                <w:szCs w:val="24"/>
                <w:highlight w:val="none"/>
                <w:lang w:val="en-US" w:eastAsia="zh-CN"/>
              </w:rPr>
              <w:t>年</w:t>
            </w:r>
            <w:r>
              <w:rPr>
                <w:rFonts w:hint="default" w:ascii="Times New Roman" w:hAnsi="Times New Roman" w:eastAsia="宋体" w:cs="Times New Roman"/>
                <w:color w:val="auto"/>
                <w:kern w:val="0"/>
                <w:highlight w:val="none"/>
                <w:lang w:eastAsia="zh-CN"/>
              </w:rPr>
              <w:t>大洋</w:t>
            </w:r>
            <w:r>
              <w:rPr>
                <w:rFonts w:hint="default" w:ascii="Times New Roman" w:hAnsi="Times New Roman" w:eastAsia="宋体" w:cs="Times New Roman"/>
                <w:color w:val="auto"/>
                <w:highlight w:val="none"/>
              </w:rPr>
              <w:t>河</w:t>
            </w:r>
            <w:r>
              <w:rPr>
                <w:rFonts w:hint="default" w:ascii="Times New Roman" w:hAnsi="Times New Roman" w:eastAsia="宋体" w:cs="Times New Roman"/>
                <w:color w:val="auto"/>
                <w:kern w:val="0"/>
                <w:highlight w:val="none"/>
              </w:rPr>
              <w:t>沿程主要评价指标监测结果统计  单位mg/L</w:t>
            </w:r>
          </w:p>
          <w:tbl>
            <w:tblPr>
              <w:tblStyle w:val="25"/>
              <w:tblpPr w:leftFromText="180" w:rightFromText="180" w:vertAnchor="text" w:horzAnchor="page" w:tblpX="94" w:tblpY="368"/>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5"/>
              <w:gridCol w:w="976"/>
              <w:gridCol w:w="880"/>
              <w:gridCol w:w="1197"/>
              <w:gridCol w:w="1046"/>
              <w:gridCol w:w="1270"/>
              <w:gridCol w:w="693"/>
              <w:gridCol w:w="689"/>
              <w:gridCol w:w="773"/>
            </w:tblGrid>
            <w:tr w14:paraId="67FDEE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5" w:type="dxa"/>
                  <w:noWrap w:val="0"/>
                  <w:vAlign w:val="center"/>
                </w:tcPr>
                <w:p w14:paraId="7C321048">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976" w:type="dxa"/>
                  <w:noWrap w:val="0"/>
                  <w:vAlign w:val="center"/>
                </w:tcPr>
                <w:p w14:paraId="1F670D6E">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河流名称</w:t>
                  </w:r>
                </w:p>
              </w:tc>
              <w:tc>
                <w:tcPr>
                  <w:tcW w:w="880" w:type="dxa"/>
                  <w:noWrap w:val="0"/>
                  <w:vAlign w:val="center"/>
                </w:tcPr>
                <w:p w14:paraId="541516BA">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断面名称</w:t>
                  </w:r>
                </w:p>
              </w:tc>
              <w:tc>
                <w:tcPr>
                  <w:tcW w:w="1197" w:type="dxa"/>
                  <w:noWrap w:val="0"/>
                  <w:vAlign w:val="center"/>
                </w:tcPr>
                <w:p w14:paraId="5BB0EDBA">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eastAsia="zh-CN"/>
                    </w:rPr>
                    <w:t>高锰酸盐</w:t>
                  </w:r>
                  <w:r>
                    <w:rPr>
                      <w:rFonts w:hint="default" w:ascii="Times New Roman" w:hAnsi="Times New Roman" w:eastAsia="宋体" w:cs="Times New Roman"/>
                      <w:color w:val="auto"/>
                      <w:sz w:val="21"/>
                      <w:szCs w:val="21"/>
                      <w:highlight w:val="none"/>
                    </w:rPr>
                    <w:t>指数</w:t>
                  </w:r>
                </w:p>
              </w:tc>
              <w:tc>
                <w:tcPr>
                  <w:tcW w:w="1046" w:type="dxa"/>
                  <w:noWrap w:val="0"/>
                  <w:vAlign w:val="center"/>
                </w:tcPr>
                <w:p w14:paraId="580BC0F0">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化学需氧量</w:t>
                  </w:r>
                </w:p>
              </w:tc>
              <w:tc>
                <w:tcPr>
                  <w:tcW w:w="1270" w:type="dxa"/>
                  <w:noWrap w:val="0"/>
                  <w:vAlign w:val="center"/>
                </w:tcPr>
                <w:p w14:paraId="0809A831">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五日生化需氧量</w:t>
                  </w:r>
                </w:p>
              </w:tc>
              <w:tc>
                <w:tcPr>
                  <w:tcW w:w="693" w:type="dxa"/>
                  <w:noWrap w:val="0"/>
                  <w:vAlign w:val="center"/>
                </w:tcPr>
                <w:p w14:paraId="47F47F96">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氨氮</w:t>
                  </w:r>
                </w:p>
              </w:tc>
              <w:tc>
                <w:tcPr>
                  <w:tcW w:w="689" w:type="dxa"/>
                  <w:noWrap w:val="0"/>
                  <w:vAlign w:val="center"/>
                </w:tcPr>
                <w:p w14:paraId="57C0B0C3">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总磷</w:t>
                  </w:r>
                </w:p>
              </w:tc>
              <w:tc>
                <w:tcPr>
                  <w:tcW w:w="773" w:type="dxa"/>
                  <w:noWrap w:val="0"/>
                  <w:vAlign w:val="center"/>
                </w:tcPr>
                <w:p w14:paraId="65DF044D">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氟化物</w:t>
                  </w:r>
                </w:p>
              </w:tc>
            </w:tr>
            <w:tr w14:paraId="45B5A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55" w:type="dxa"/>
                  <w:noWrap w:val="0"/>
                  <w:vAlign w:val="center"/>
                </w:tcPr>
                <w:p w14:paraId="44349D2D">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976" w:type="dxa"/>
                  <w:noWrap w:val="0"/>
                  <w:vAlign w:val="center"/>
                </w:tcPr>
                <w:p w14:paraId="2924DB5D">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大洋河</w:t>
                  </w:r>
                </w:p>
              </w:tc>
              <w:tc>
                <w:tcPr>
                  <w:tcW w:w="880" w:type="dxa"/>
                  <w:noWrap w:val="0"/>
                  <w:vAlign w:val="center"/>
                </w:tcPr>
                <w:p w14:paraId="7F526AC6">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口子街</w:t>
                  </w:r>
                </w:p>
              </w:tc>
              <w:tc>
                <w:tcPr>
                  <w:tcW w:w="1197" w:type="dxa"/>
                  <w:noWrap w:val="0"/>
                  <w:vAlign w:val="center"/>
                </w:tcPr>
                <w:p w14:paraId="082E4F3B">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val="en-US" w:eastAsia="zh-CN"/>
                    </w:rPr>
                    <w:t>6</w:t>
                  </w:r>
                </w:p>
              </w:tc>
              <w:tc>
                <w:tcPr>
                  <w:tcW w:w="1046" w:type="dxa"/>
                  <w:noWrap w:val="0"/>
                  <w:vAlign w:val="center"/>
                </w:tcPr>
                <w:p w14:paraId="6F3B78AB">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8.1</w:t>
                  </w:r>
                </w:p>
              </w:tc>
              <w:tc>
                <w:tcPr>
                  <w:tcW w:w="1270" w:type="dxa"/>
                  <w:noWrap w:val="0"/>
                  <w:vAlign w:val="center"/>
                </w:tcPr>
                <w:p w14:paraId="7B354A20">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1.2</w:t>
                  </w:r>
                </w:p>
              </w:tc>
              <w:tc>
                <w:tcPr>
                  <w:tcW w:w="693" w:type="dxa"/>
                  <w:noWrap w:val="0"/>
                  <w:vAlign w:val="center"/>
                </w:tcPr>
                <w:p w14:paraId="4C23692B">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val="en-US" w:eastAsia="zh-CN"/>
                    </w:rPr>
                    <w:t>08</w:t>
                  </w:r>
                </w:p>
              </w:tc>
              <w:tc>
                <w:tcPr>
                  <w:tcW w:w="689" w:type="dxa"/>
                  <w:noWrap w:val="0"/>
                  <w:vAlign w:val="center"/>
                </w:tcPr>
                <w:p w14:paraId="642BC26A">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w:t>
                  </w:r>
                  <w:r>
                    <w:rPr>
                      <w:rFonts w:hint="default" w:ascii="Times New Roman" w:hAnsi="Times New Roman" w:cs="Times New Roman"/>
                      <w:color w:val="auto"/>
                      <w:sz w:val="21"/>
                      <w:szCs w:val="21"/>
                      <w:highlight w:val="none"/>
                      <w:lang w:val="en-US" w:eastAsia="zh-CN"/>
                    </w:rPr>
                    <w:t>30</w:t>
                  </w:r>
                </w:p>
              </w:tc>
              <w:tc>
                <w:tcPr>
                  <w:tcW w:w="773" w:type="dxa"/>
                  <w:noWrap w:val="0"/>
                  <w:vAlign w:val="center"/>
                </w:tcPr>
                <w:p w14:paraId="46FB2B60">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0.24</w:t>
                  </w:r>
                  <w:r>
                    <w:rPr>
                      <w:rFonts w:hint="default" w:ascii="Times New Roman" w:hAnsi="Times New Roman" w:cs="Times New Roman"/>
                      <w:color w:val="auto"/>
                      <w:sz w:val="21"/>
                      <w:szCs w:val="21"/>
                      <w:highlight w:val="none"/>
                      <w:lang w:val="en-US" w:eastAsia="zh-CN"/>
                    </w:rPr>
                    <w:t>4</w:t>
                  </w:r>
                </w:p>
              </w:tc>
            </w:tr>
            <w:tr w14:paraId="24931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1" w:type="dxa"/>
                  <w:gridSpan w:val="3"/>
                  <w:noWrap w:val="0"/>
                  <w:vAlign w:val="center"/>
                </w:tcPr>
                <w:p w14:paraId="5464D9B4">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标准值</w:t>
                  </w:r>
                </w:p>
              </w:tc>
              <w:tc>
                <w:tcPr>
                  <w:tcW w:w="1197" w:type="dxa"/>
                  <w:noWrap w:val="0"/>
                  <w:vAlign w:val="center"/>
                </w:tcPr>
                <w:p w14:paraId="12C87072">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4</w:t>
                  </w:r>
                </w:p>
              </w:tc>
              <w:tc>
                <w:tcPr>
                  <w:tcW w:w="1046" w:type="dxa"/>
                  <w:noWrap w:val="0"/>
                  <w:vAlign w:val="center"/>
                </w:tcPr>
                <w:p w14:paraId="17E5C437">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1270" w:type="dxa"/>
                  <w:noWrap w:val="0"/>
                  <w:vAlign w:val="center"/>
                </w:tcPr>
                <w:p w14:paraId="1EB7B9DF">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3</w:t>
                  </w:r>
                </w:p>
              </w:tc>
              <w:tc>
                <w:tcPr>
                  <w:tcW w:w="693" w:type="dxa"/>
                  <w:noWrap w:val="0"/>
                  <w:vAlign w:val="center"/>
                </w:tcPr>
                <w:p w14:paraId="014982BC">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0.5</w:t>
                  </w:r>
                </w:p>
              </w:tc>
              <w:tc>
                <w:tcPr>
                  <w:tcW w:w="689" w:type="dxa"/>
                  <w:noWrap w:val="0"/>
                  <w:vAlign w:val="center"/>
                </w:tcPr>
                <w:p w14:paraId="0DC0A622">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0.1</w:t>
                  </w:r>
                </w:p>
              </w:tc>
              <w:tc>
                <w:tcPr>
                  <w:tcW w:w="773" w:type="dxa"/>
                  <w:noWrap w:val="0"/>
                  <w:vAlign w:val="center"/>
                </w:tcPr>
                <w:p w14:paraId="13072B10">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r>
            <w:tr w14:paraId="76C05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1" w:type="dxa"/>
                  <w:gridSpan w:val="3"/>
                  <w:noWrap w:val="0"/>
                  <w:vAlign w:val="center"/>
                </w:tcPr>
                <w:p w14:paraId="3E9E292F">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是否达标</w:t>
                  </w:r>
                </w:p>
              </w:tc>
              <w:tc>
                <w:tcPr>
                  <w:tcW w:w="1197" w:type="dxa"/>
                  <w:noWrap w:val="0"/>
                  <w:vAlign w:val="center"/>
                </w:tcPr>
                <w:p w14:paraId="57C384CC">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是</w:t>
                  </w:r>
                </w:p>
              </w:tc>
              <w:tc>
                <w:tcPr>
                  <w:tcW w:w="1046" w:type="dxa"/>
                  <w:noWrap w:val="0"/>
                  <w:vAlign w:val="center"/>
                </w:tcPr>
                <w:p w14:paraId="714C3EB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c>
                <w:tcPr>
                  <w:tcW w:w="1270" w:type="dxa"/>
                  <w:noWrap w:val="0"/>
                  <w:vAlign w:val="center"/>
                </w:tcPr>
                <w:p w14:paraId="77D75F9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c>
                <w:tcPr>
                  <w:tcW w:w="693" w:type="dxa"/>
                  <w:noWrap w:val="0"/>
                  <w:vAlign w:val="center"/>
                </w:tcPr>
                <w:p w14:paraId="568A1B4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c>
                <w:tcPr>
                  <w:tcW w:w="689" w:type="dxa"/>
                  <w:noWrap w:val="0"/>
                  <w:vAlign w:val="center"/>
                </w:tcPr>
                <w:p w14:paraId="42B097E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c>
                <w:tcPr>
                  <w:tcW w:w="773" w:type="dxa"/>
                  <w:noWrap w:val="0"/>
                  <w:vAlign w:val="center"/>
                </w:tcPr>
                <w:p w14:paraId="6047421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bl>
          <w:p w14:paraId="4B00216C">
            <w:pPr>
              <w:keepNext w:val="0"/>
              <w:keepLines w:val="0"/>
              <w:suppressLineNumbers w:val="0"/>
              <w:spacing w:before="0" w:beforeAutospacing="0" w:after="0" w:afterAutospacing="0" w:line="360" w:lineRule="auto"/>
              <w:ind w:left="0" w:right="36" w:rightChars="17" w:firstLine="480" w:firstLineChars="200"/>
              <w:rPr>
                <w:rFonts w:hint="default" w:ascii="Times New Roman" w:hAnsi="Times New Roman" w:eastAsia="宋体" w:cs="Times New Roman"/>
                <w:b/>
                <w:bCs/>
                <w:color w:val="auto"/>
                <w:kern w:val="2"/>
                <w:sz w:val="24"/>
                <w:szCs w:val="24"/>
                <w:highlight w:val="none"/>
                <w:shd w:val="clear" w:color="auto" w:fill="auto"/>
                <w:lang w:val="en-US" w:eastAsia="zh-CN"/>
              </w:rPr>
            </w:pPr>
            <w:r>
              <w:rPr>
                <w:rFonts w:hint="default" w:ascii="Times New Roman" w:hAnsi="Times New Roman" w:eastAsia="宋体" w:cs="Times New Roman"/>
                <w:color w:val="auto"/>
                <w:sz w:val="24"/>
                <w:highlight w:val="none"/>
              </w:rPr>
              <w:t>由表</w:t>
            </w:r>
            <w:r>
              <w:rPr>
                <w:rFonts w:hint="default" w:ascii="Times New Roman" w:hAnsi="Times New Roman" w:cs="Times New Roman"/>
                <w:color w:val="auto"/>
                <w:sz w:val="24"/>
                <w:highlight w:val="none"/>
                <w:lang w:val="en-US" w:eastAsia="zh-CN"/>
              </w:rPr>
              <w:t>3-5</w:t>
            </w:r>
            <w:r>
              <w:rPr>
                <w:rFonts w:hint="default" w:ascii="Times New Roman" w:hAnsi="Times New Roman" w:eastAsia="宋体" w:cs="Times New Roman"/>
                <w:color w:val="auto"/>
                <w:sz w:val="24"/>
                <w:highlight w:val="none"/>
              </w:rPr>
              <w:t>可知</w:t>
            </w:r>
            <w:r>
              <w:rPr>
                <w:rFonts w:hint="default" w:ascii="Times New Roman" w:hAnsi="Times New Roman" w:eastAsia="宋体" w:cs="Times New Roman"/>
                <w:color w:val="auto"/>
                <w:spacing w:val="10"/>
                <w:sz w:val="24"/>
                <w:highlight w:val="none"/>
                <w:shd w:val="clear" w:color="auto" w:fill="auto"/>
              </w:rPr>
              <w:t>，项目所在区域地表水水质满足《地表水环境质量标准》（GB3838-2002）</w:t>
            </w:r>
            <w:r>
              <w:rPr>
                <w:rFonts w:hint="default" w:ascii="Times New Roman" w:hAnsi="Times New Roman" w:eastAsia="宋体" w:cs="Times New Roman"/>
                <w:b w:val="0"/>
                <w:bCs/>
                <w:color w:val="auto"/>
                <w:sz w:val="21"/>
                <w:szCs w:val="21"/>
                <w:highlight w:val="none"/>
                <w:lang w:val="en-US" w:eastAsia="zh-CN"/>
              </w:rPr>
              <w:t>Ⅱ</w:t>
            </w:r>
            <w:r>
              <w:rPr>
                <w:rFonts w:hint="default" w:ascii="Times New Roman" w:hAnsi="Times New Roman" w:eastAsia="宋体" w:cs="Times New Roman"/>
                <w:color w:val="auto"/>
                <w:spacing w:val="10"/>
                <w:sz w:val="24"/>
                <w:highlight w:val="none"/>
                <w:shd w:val="clear" w:color="auto" w:fill="auto"/>
              </w:rPr>
              <w:t>类水体标准要求。</w:t>
            </w:r>
          </w:p>
          <w:p w14:paraId="2D3A643F">
            <w:pPr>
              <w:keepNext w:val="0"/>
              <w:keepLines w:val="0"/>
              <w:numPr>
                <w:ilvl w:val="0"/>
                <w:numId w:val="0"/>
              </w:numPr>
              <w:suppressLineNumbers w:val="0"/>
              <w:spacing w:before="0" w:beforeAutospacing="0" w:after="0" w:afterAutospacing="0" w:line="360" w:lineRule="auto"/>
              <w:ind w:left="420" w:leftChars="0" w:right="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kern w:val="2"/>
                <w:sz w:val="24"/>
                <w:szCs w:val="24"/>
                <w:highlight w:val="none"/>
                <w:shd w:val="clear" w:color="auto" w:fill="auto"/>
                <w:lang w:val="en-US" w:eastAsia="zh-CN"/>
              </w:rPr>
              <w:t>四、</w:t>
            </w:r>
            <w:r>
              <w:rPr>
                <w:rFonts w:hint="default" w:ascii="Times New Roman" w:hAnsi="Times New Roman" w:eastAsia="宋体" w:cs="Times New Roman"/>
                <w:b/>
                <w:bCs/>
                <w:color w:val="auto"/>
                <w:sz w:val="24"/>
                <w:highlight w:val="none"/>
              </w:rPr>
              <w:t>生态环境现状</w:t>
            </w:r>
          </w:p>
          <w:p w14:paraId="03A6813A">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项目</w:t>
            </w:r>
            <w:r>
              <w:rPr>
                <w:rFonts w:hint="default" w:ascii="Times New Roman" w:hAnsi="Times New Roman" w:eastAsia="宋体" w:cs="Times New Roman"/>
                <w:color w:val="auto"/>
                <w:sz w:val="24"/>
                <w:highlight w:val="none"/>
                <w:lang w:val="en-US" w:eastAsia="zh-CN"/>
              </w:rPr>
              <w:t>租用</w:t>
            </w:r>
            <w:r>
              <w:rPr>
                <w:rFonts w:hint="default" w:ascii="Times New Roman" w:hAnsi="Times New Roman" w:cs="Times New Roman"/>
                <w:color w:val="auto"/>
                <w:sz w:val="24"/>
                <w:highlight w:val="none"/>
                <w:lang w:val="en-US" w:eastAsia="zh-CN"/>
              </w:rPr>
              <w:t>佳合鹏程现有厂房</w:t>
            </w:r>
            <w:r>
              <w:rPr>
                <w:rFonts w:hint="default" w:ascii="Times New Roman" w:hAnsi="Times New Roman" w:eastAsia="宋体" w:cs="Times New Roman"/>
                <w:color w:val="auto"/>
                <w:sz w:val="24"/>
                <w:highlight w:val="none"/>
                <w:lang w:val="en-US" w:eastAsia="zh-CN"/>
              </w:rPr>
              <w:t>，占地类型为工业用地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不占用基本农田。本项目不在生态红线范围内，用地范围内无饮用水水源保护区、风景名胜区、自然保护区的核心区和缓冲区、森林公园、城镇居民区、文化教育科学研究区，无国家或法律法规需要特殊保护的区域。无需进行生态环境现状评价。</w:t>
            </w:r>
          </w:p>
          <w:p w14:paraId="1F7763A8">
            <w:pPr>
              <w:keepNext w:val="0"/>
              <w:keepLines w:val="0"/>
              <w:numPr>
                <w:ilvl w:val="0"/>
                <w:numId w:val="0"/>
              </w:numPr>
              <w:suppressLineNumbers w:val="0"/>
              <w:spacing w:before="0" w:beforeAutospacing="0" w:after="0" w:afterAutospacing="0" w:line="360" w:lineRule="auto"/>
              <w:ind w:left="420" w:leftChars="0" w:right="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eastAsia="zh-CN"/>
              </w:rPr>
              <w:t>五、</w:t>
            </w:r>
            <w:r>
              <w:rPr>
                <w:rFonts w:hint="default" w:ascii="Times New Roman" w:hAnsi="Times New Roman" w:cs="Times New Roman"/>
                <w:b/>
                <w:bCs/>
                <w:color w:val="auto"/>
                <w:sz w:val="24"/>
                <w:highlight w:val="none"/>
                <w:lang w:eastAsia="zh-CN"/>
              </w:rPr>
              <w:t>电磁</w:t>
            </w:r>
            <w:r>
              <w:rPr>
                <w:rFonts w:hint="default" w:ascii="Times New Roman" w:hAnsi="Times New Roman" w:eastAsia="宋体" w:cs="Times New Roman"/>
                <w:b/>
                <w:bCs/>
                <w:color w:val="auto"/>
                <w:sz w:val="24"/>
                <w:highlight w:val="none"/>
              </w:rPr>
              <w:t>辐射环境现状</w:t>
            </w:r>
          </w:p>
          <w:p w14:paraId="50FC3B1F">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本项目不涉及广播电台、差转台、电视塔台、卫星地球上行站、雷达等电磁辐射类项目，无需开展电磁辐射环境质量现状监测。</w:t>
            </w:r>
          </w:p>
          <w:p w14:paraId="32FF9C58">
            <w:pPr>
              <w:keepNext w:val="0"/>
              <w:keepLines w:val="0"/>
              <w:numPr>
                <w:ilvl w:val="0"/>
                <w:numId w:val="0"/>
              </w:numPr>
              <w:suppressLineNumbers w:val="0"/>
              <w:spacing w:before="0" w:beforeAutospacing="0" w:after="0" w:afterAutospacing="0" w:line="360" w:lineRule="auto"/>
              <w:ind w:left="420" w:leftChars="0" w:right="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eastAsia="zh-CN"/>
              </w:rPr>
              <w:t>六、</w:t>
            </w:r>
            <w:r>
              <w:rPr>
                <w:rFonts w:hint="default" w:ascii="Times New Roman" w:hAnsi="Times New Roman" w:eastAsia="宋体" w:cs="Times New Roman"/>
                <w:b/>
                <w:bCs/>
                <w:color w:val="auto"/>
                <w:sz w:val="24"/>
                <w:highlight w:val="none"/>
              </w:rPr>
              <w:t>地下水、土壤环境现状</w:t>
            </w:r>
          </w:p>
          <w:p w14:paraId="1DA22858">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本项目为</w:t>
            </w:r>
            <w:r>
              <w:rPr>
                <w:rFonts w:hint="default" w:ascii="Times New Roman" w:hAnsi="Times New Roman" w:eastAsia="宋体" w:cs="Times New Roman"/>
                <w:color w:val="auto"/>
                <w:sz w:val="24"/>
                <w:highlight w:val="none"/>
                <w:lang w:val="en-US" w:eastAsia="zh-CN"/>
              </w:rPr>
              <w:t>非金属矿物制品制造项目</w:t>
            </w:r>
            <w:r>
              <w:rPr>
                <w:rFonts w:hint="default" w:ascii="Times New Roman" w:hAnsi="Times New Roman" w:eastAsia="宋体" w:cs="Times New Roman"/>
                <w:color w:val="auto"/>
                <w:sz w:val="24"/>
                <w:highlight w:val="none"/>
              </w:rPr>
              <w:t>，无重金属等污染物排放。项目场地地面硬化，重点区域进行防渗，可有效阻断地下水、土壤环境污染途径，无需开展地下水、土壤环境质量调查。</w:t>
            </w:r>
          </w:p>
          <w:p w14:paraId="49D5E14F">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kern w:val="0"/>
                <w:szCs w:val="21"/>
                <w:highlight w:val="none"/>
                <w:shd w:val="clear" w:color="auto" w:fill="auto"/>
              </w:rPr>
            </w:pPr>
          </w:p>
        </w:tc>
      </w:tr>
      <w:tr w14:paraId="3DC693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236" w:hRule="atLeast"/>
          <w:jc w:val="center"/>
        </w:trPr>
        <w:tc>
          <w:tcPr>
            <w:tcW w:w="800" w:type="dxa"/>
            <w:tcBorders>
              <w:top w:val="single" w:color="auto" w:sz="4" w:space="0"/>
              <w:left w:val="single" w:color="auto" w:sz="8" w:space="0"/>
              <w:bottom w:val="single" w:color="auto" w:sz="4" w:space="0"/>
              <w:right w:val="single" w:color="auto" w:sz="4" w:space="0"/>
            </w:tcBorders>
            <w:noWrap w:val="0"/>
            <w:vAlign w:val="center"/>
          </w:tcPr>
          <w:p w14:paraId="3908F45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highlight w:val="none"/>
                <w:shd w:val="clear" w:color="auto" w:fill="auto"/>
              </w:rPr>
            </w:pPr>
            <w:r>
              <w:rPr>
                <w:rFonts w:hint="default" w:ascii="Times New Roman" w:hAnsi="Times New Roman" w:eastAsia="宋体" w:cs="Times New Roman"/>
                <w:color w:val="auto"/>
                <w:kern w:val="0"/>
                <w:szCs w:val="21"/>
                <w:highlight w:val="none"/>
                <w:shd w:val="clear" w:color="auto" w:fill="auto"/>
                <w:lang w:bidi="ar"/>
              </w:rPr>
              <w:t>环境</w:t>
            </w:r>
          </w:p>
          <w:p w14:paraId="5D171DA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highlight w:val="none"/>
                <w:shd w:val="clear" w:color="auto" w:fill="auto"/>
              </w:rPr>
            </w:pPr>
            <w:r>
              <w:rPr>
                <w:rFonts w:hint="default" w:ascii="Times New Roman" w:hAnsi="Times New Roman" w:eastAsia="宋体" w:cs="Times New Roman"/>
                <w:color w:val="auto"/>
                <w:kern w:val="0"/>
                <w:szCs w:val="21"/>
                <w:highlight w:val="none"/>
                <w:shd w:val="clear" w:color="auto" w:fill="auto"/>
                <w:lang w:bidi="ar"/>
              </w:rPr>
              <w:t>保护</w:t>
            </w:r>
          </w:p>
          <w:p w14:paraId="3B8A4FE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highlight w:val="none"/>
                <w:shd w:val="clear" w:color="auto" w:fill="auto"/>
              </w:rPr>
            </w:pPr>
            <w:r>
              <w:rPr>
                <w:rFonts w:hint="default" w:ascii="Times New Roman" w:hAnsi="Times New Roman" w:eastAsia="宋体" w:cs="Times New Roman"/>
                <w:color w:val="auto"/>
                <w:kern w:val="0"/>
                <w:szCs w:val="21"/>
                <w:highlight w:val="none"/>
                <w:shd w:val="clear" w:color="auto" w:fill="auto"/>
                <w:lang w:bidi="ar"/>
              </w:rPr>
              <w:t>目标</w:t>
            </w:r>
          </w:p>
        </w:tc>
        <w:tc>
          <w:tcPr>
            <w:tcW w:w="8190" w:type="dxa"/>
            <w:tcBorders>
              <w:top w:val="single" w:color="auto" w:sz="4" w:space="0"/>
              <w:left w:val="single" w:color="auto" w:sz="4" w:space="0"/>
              <w:bottom w:val="single" w:color="auto" w:sz="4" w:space="0"/>
              <w:right w:val="single" w:color="auto" w:sz="8" w:space="0"/>
            </w:tcBorders>
            <w:noWrap w:val="0"/>
            <w:vAlign w:val="center"/>
          </w:tcPr>
          <w:p w14:paraId="3E2A3B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szCs w:val="24"/>
                <w:highlight w:val="none"/>
                <w:lang w:eastAsia="zh-CN"/>
              </w:rPr>
              <w:t>根据</w:t>
            </w:r>
            <w:r>
              <w:rPr>
                <w:rFonts w:hint="default" w:ascii="Times New Roman" w:hAnsi="Times New Roman" w:eastAsia="宋体" w:cs="Times New Roman"/>
                <w:color w:val="auto"/>
                <w:sz w:val="24"/>
                <w:szCs w:val="24"/>
                <w:highlight w:val="none"/>
              </w:rPr>
              <w:t>《建设项目环境影响报告表编制技术指南（污染影响类）（试行）》</w:t>
            </w:r>
            <w:r>
              <w:rPr>
                <w:rFonts w:hint="default" w:ascii="Times New Roman" w:hAnsi="Times New Roman" w:eastAsia="宋体" w:cs="Times New Roman"/>
                <w:color w:val="auto"/>
                <w:sz w:val="24"/>
                <w:szCs w:val="24"/>
                <w:highlight w:val="none"/>
                <w:lang w:eastAsia="zh-CN"/>
              </w:rPr>
              <w:t>中环境保护目标调查</w:t>
            </w:r>
            <w:r>
              <w:rPr>
                <w:rFonts w:hint="default" w:ascii="Times New Roman" w:hAnsi="Times New Roman" w:eastAsia="宋体" w:cs="Times New Roman"/>
                <w:color w:val="auto"/>
                <w:sz w:val="24"/>
                <w:szCs w:val="24"/>
                <w:highlight w:val="none"/>
              </w:rPr>
              <w:t>规定</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highlight w:val="none"/>
                <w:lang w:val="en-US" w:eastAsia="zh-CN"/>
              </w:rPr>
              <w:t>经现场</w:t>
            </w:r>
            <w:r>
              <w:rPr>
                <w:rFonts w:hint="default" w:ascii="Times New Roman" w:hAnsi="Times New Roman" w:cs="Times New Roman"/>
                <w:color w:val="auto"/>
                <w:sz w:val="24"/>
                <w:highlight w:val="none"/>
                <w:lang w:val="en-US" w:eastAsia="zh-CN"/>
              </w:rPr>
              <w:t>踏勘</w:t>
            </w:r>
            <w:r>
              <w:rPr>
                <w:rFonts w:hint="default" w:ascii="Times New Roman" w:hAnsi="Times New Roman" w:eastAsia="宋体" w:cs="Times New Roman"/>
                <w:color w:val="auto"/>
                <w:sz w:val="24"/>
                <w:highlight w:val="none"/>
                <w:lang w:val="en-US" w:eastAsia="zh-CN"/>
              </w:rPr>
              <w:t>和调查，厂界周边环境保护目标如下：</w:t>
            </w:r>
          </w:p>
          <w:p w14:paraId="487EE8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1、大气环境</w:t>
            </w:r>
          </w:p>
          <w:p w14:paraId="43D9D0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105" w:rightChars="-5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本项目厂界外500米范围内存在保护目标</w:t>
            </w:r>
            <w:r>
              <w:rPr>
                <w:rFonts w:hint="default" w:ascii="Times New Roman" w:hAnsi="Times New Roman" w:eastAsia="宋体" w:cs="Times New Roman"/>
                <w:color w:val="auto"/>
                <w:sz w:val="24"/>
                <w:highlight w:val="none"/>
                <w:lang w:eastAsia="zh-CN"/>
              </w:rPr>
              <w:t>为庙沟村、东山村</w:t>
            </w:r>
            <w:r>
              <w:rPr>
                <w:rFonts w:hint="default" w:ascii="Times New Roman" w:hAnsi="Times New Roman" w:cs="Times New Roman"/>
                <w:color w:val="auto"/>
                <w:sz w:val="24"/>
                <w:highlight w:val="none"/>
                <w:lang w:eastAsia="zh-CN"/>
              </w:rPr>
              <w:t>、王家堡子村、</w:t>
            </w:r>
            <w:r>
              <w:rPr>
                <w:rFonts w:hint="default" w:ascii="Times New Roman" w:hAnsi="Times New Roman" w:cs="Times New Roman"/>
                <w:color w:val="auto"/>
                <w:sz w:val="24"/>
                <w:highlight w:val="none"/>
                <w:lang w:val="zh-CN" w:eastAsia="zh-CN"/>
              </w:rPr>
              <w:t>华玉山水小区</w:t>
            </w:r>
            <w:r>
              <w:rPr>
                <w:rFonts w:hint="default" w:ascii="Times New Roman" w:hAnsi="Times New Roman" w:eastAsia="宋体" w:cs="Times New Roman"/>
                <w:color w:val="auto"/>
                <w:sz w:val="24"/>
                <w:highlight w:val="none"/>
              </w:rPr>
              <w:t>。</w:t>
            </w:r>
          </w:p>
          <w:p w14:paraId="7096F5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2、声环境</w:t>
            </w:r>
          </w:p>
          <w:p w14:paraId="3968878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本项目厂界外50米范围内</w:t>
            </w:r>
            <w:r>
              <w:rPr>
                <w:rFonts w:hint="default" w:ascii="Times New Roman" w:hAnsi="Times New Roman" w:eastAsia="宋体" w:cs="Times New Roman"/>
                <w:color w:val="auto"/>
                <w:sz w:val="24"/>
                <w:highlight w:val="none"/>
                <w:lang w:eastAsia="zh-CN"/>
              </w:rPr>
              <w:t>无声环境</w:t>
            </w:r>
            <w:r>
              <w:rPr>
                <w:rFonts w:hint="default" w:ascii="Times New Roman" w:hAnsi="Times New Roman" w:eastAsia="宋体" w:cs="Times New Roman"/>
                <w:color w:val="auto"/>
                <w:sz w:val="24"/>
                <w:highlight w:val="none"/>
              </w:rPr>
              <w:t>保护目标。</w:t>
            </w:r>
          </w:p>
          <w:p w14:paraId="1AB873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3、地下水环境</w:t>
            </w:r>
          </w:p>
          <w:p w14:paraId="42E5E5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本项目厂界外500米范围内无地下水集中式饮用水水源和热水</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szCs w:val="24"/>
                <w:highlight w:val="none"/>
                <w:lang w:eastAsia="zh-CN"/>
              </w:rPr>
              <w:t>无分散式饮用水源</w:t>
            </w:r>
            <w:r>
              <w:rPr>
                <w:rFonts w:hint="default" w:ascii="Times New Roman" w:hAnsi="Times New Roman" w:eastAsia="宋体" w:cs="Times New Roman"/>
                <w:color w:val="auto"/>
                <w:sz w:val="24"/>
                <w:highlight w:val="none"/>
              </w:rPr>
              <w:t>、矿泉水、温泉等特殊地下水资源。</w:t>
            </w:r>
          </w:p>
          <w:p w14:paraId="25C474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4、生态环境</w:t>
            </w:r>
          </w:p>
          <w:p w14:paraId="2D159A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shd w:val="clear" w:color="auto" w:fill="auto"/>
                <w:lang w:val="en-US" w:eastAsia="zh-CN"/>
              </w:rPr>
            </w:pPr>
            <w:r>
              <w:rPr>
                <w:rFonts w:hint="default" w:ascii="Times New Roman" w:hAnsi="Times New Roman" w:eastAsia="宋体" w:cs="Times New Roman"/>
                <w:color w:val="auto"/>
                <w:sz w:val="24"/>
                <w:highlight w:val="none"/>
                <w:lang w:eastAsia="zh-CN"/>
              </w:rPr>
              <w:t>本项目</w:t>
            </w:r>
            <w:r>
              <w:rPr>
                <w:rFonts w:hint="default" w:ascii="Times New Roman" w:hAnsi="Times New Roman" w:eastAsia="宋体" w:cs="Times New Roman"/>
                <w:color w:val="auto"/>
                <w:sz w:val="24"/>
                <w:highlight w:val="none"/>
                <w:lang w:val="en-US" w:eastAsia="zh-CN"/>
              </w:rPr>
              <w:t>租用</w:t>
            </w:r>
            <w:r>
              <w:rPr>
                <w:rFonts w:hint="default" w:ascii="Times New Roman" w:hAnsi="Times New Roman" w:cs="Times New Roman"/>
                <w:color w:val="auto"/>
                <w:sz w:val="24"/>
                <w:highlight w:val="none"/>
                <w:lang w:val="en-US" w:eastAsia="zh-CN"/>
              </w:rPr>
              <w:t>佳合鹏程现有厂房</w:t>
            </w:r>
            <w:r>
              <w:rPr>
                <w:rFonts w:hint="default" w:ascii="Times New Roman" w:hAnsi="Times New Roman" w:eastAsia="宋体" w:cs="Times New Roman"/>
                <w:color w:val="auto"/>
                <w:sz w:val="24"/>
                <w:highlight w:val="none"/>
                <w:lang w:val="en-US" w:eastAsia="zh-CN"/>
              </w:rPr>
              <w:t>，占地类型为工业用地</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厂区占地不在岫岩满族自治县生态保护红线范围内，</w:t>
            </w:r>
            <w:r>
              <w:rPr>
                <w:rFonts w:hint="default" w:ascii="Times New Roman" w:hAnsi="Times New Roman" w:cs="Times New Roman"/>
                <w:color w:val="auto"/>
                <w:sz w:val="24"/>
                <w:highlight w:val="none"/>
                <w:lang w:eastAsia="zh-CN"/>
              </w:rPr>
              <w:t>占地范围内</w:t>
            </w:r>
            <w:r>
              <w:rPr>
                <w:rFonts w:hint="default" w:ascii="Times New Roman" w:hAnsi="Times New Roman" w:eastAsia="宋体" w:cs="Times New Roman"/>
                <w:color w:val="auto"/>
                <w:sz w:val="24"/>
                <w:highlight w:val="none"/>
                <w:lang w:eastAsia="zh-CN"/>
              </w:rPr>
              <w:t>无生态保护目标</w:t>
            </w:r>
            <w:r>
              <w:rPr>
                <w:rFonts w:hint="default" w:ascii="Times New Roman" w:hAnsi="Times New Roman" w:cs="Times New Roman"/>
                <w:color w:val="auto"/>
                <w:sz w:val="24"/>
                <w:highlight w:val="none"/>
                <w:lang w:val="en-US" w:eastAsia="zh-CN"/>
              </w:rPr>
              <w:t>。</w:t>
            </w:r>
          </w:p>
          <w:p w14:paraId="04A93402">
            <w:pPr>
              <w:keepNext w:val="0"/>
              <w:keepLines w:val="0"/>
              <w:suppressLineNumbers w:val="0"/>
              <w:spacing w:before="0" w:beforeAutospacing="0" w:after="0" w:afterAutospacing="0"/>
              <w:ind w:left="0" w:right="0" w:firstLine="2988" w:firstLineChars="1240"/>
              <w:rPr>
                <w:rFonts w:hint="default" w:ascii="Times New Roman" w:hAnsi="Times New Roman" w:eastAsia="宋体" w:cs="Times New Roman"/>
                <w:b/>
                <w:color w:val="auto"/>
                <w:sz w:val="24"/>
                <w:highlight w:val="none"/>
                <w:shd w:val="clear" w:color="auto" w:fill="auto"/>
              </w:rPr>
            </w:pPr>
            <w:r>
              <w:rPr>
                <w:rFonts w:hint="default" w:ascii="Times New Roman" w:hAnsi="Times New Roman" w:eastAsia="宋体" w:cs="Times New Roman"/>
                <w:b/>
                <w:color w:val="auto"/>
                <w:sz w:val="24"/>
                <w:highlight w:val="none"/>
                <w:shd w:val="clear" w:color="auto" w:fill="auto"/>
              </w:rPr>
              <w:t>表</w:t>
            </w:r>
            <w:r>
              <w:rPr>
                <w:rFonts w:hint="default" w:ascii="Times New Roman" w:hAnsi="Times New Roman" w:cs="Times New Roman"/>
                <w:b/>
                <w:color w:val="auto"/>
                <w:sz w:val="24"/>
                <w:highlight w:val="none"/>
                <w:shd w:val="clear" w:color="auto" w:fill="auto"/>
                <w:lang w:val="en-US" w:eastAsia="zh-CN"/>
              </w:rPr>
              <w:t>3-6</w:t>
            </w:r>
            <w:r>
              <w:rPr>
                <w:rFonts w:hint="default" w:ascii="Times New Roman" w:hAnsi="Times New Roman" w:eastAsia="宋体" w:cs="Times New Roman"/>
                <w:b/>
                <w:color w:val="auto"/>
                <w:sz w:val="24"/>
                <w:highlight w:val="none"/>
                <w:shd w:val="clear" w:color="auto" w:fill="auto"/>
                <w:lang w:val="en-US" w:eastAsia="zh-CN"/>
              </w:rPr>
              <w:t xml:space="preserve"> </w:t>
            </w:r>
            <w:r>
              <w:rPr>
                <w:rFonts w:hint="default" w:ascii="Times New Roman" w:hAnsi="Times New Roman" w:eastAsia="宋体" w:cs="Times New Roman"/>
                <w:b/>
                <w:color w:val="auto"/>
                <w:sz w:val="24"/>
                <w:highlight w:val="none"/>
                <w:shd w:val="clear" w:color="auto" w:fill="auto"/>
              </w:rPr>
              <w:t xml:space="preserve"> 环境保护目标一览表</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779"/>
              <w:gridCol w:w="883"/>
              <w:gridCol w:w="1503"/>
              <w:gridCol w:w="703"/>
              <w:gridCol w:w="801"/>
              <w:gridCol w:w="1073"/>
              <w:gridCol w:w="2222"/>
            </w:tblGrid>
            <w:tr w14:paraId="1076F2B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803" w:hRule="atLeast"/>
                <w:jc w:val="center"/>
              </w:trPr>
              <w:tc>
                <w:tcPr>
                  <w:tcW w:w="779" w:type="dxa"/>
                  <w:noWrap w:val="0"/>
                  <w:vAlign w:val="center"/>
                </w:tcPr>
                <w:p w14:paraId="171D8F8A">
                  <w:pPr>
                    <w:pStyle w:val="47"/>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shd w:val="clear" w:color="auto" w:fill="auto"/>
                    </w:rPr>
                  </w:pPr>
                  <w:r>
                    <w:rPr>
                      <w:rFonts w:hint="default" w:ascii="Times New Roman" w:hAnsi="Times New Roman" w:eastAsia="宋体" w:cs="Times New Roman"/>
                      <w:bCs/>
                      <w:color w:val="auto"/>
                      <w:sz w:val="21"/>
                      <w:szCs w:val="21"/>
                      <w:highlight w:val="none"/>
                      <w:shd w:val="clear" w:color="auto" w:fill="auto"/>
                    </w:rPr>
                    <w:t>环境类别</w:t>
                  </w:r>
                </w:p>
              </w:tc>
              <w:tc>
                <w:tcPr>
                  <w:tcW w:w="883" w:type="dxa"/>
                  <w:noWrap w:val="0"/>
                  <w:vAlign w:val="center"/>
                </w:tcPr>
                <w:p w14:paraId="6B9598D6">
                  <w:pPr>
                    <w:pStyle w:val="47"/>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shd w:val="clear" w:color="auto" w:fill="auto"/>
                    </w:rPr>
                  </w:pPr>
                  <w:r>
                    <w:rPr>
                      <w:rFonts w:hint="default" w:ascii="Times New Roman" w:hAnsi="Times New Roman" w:eastAsia="宋体" w:cs="Times New Roman"/>
                      <w:bCs/>
                      <w:color w:val="auto"/>
                      <w:sz w:val="21"/>
                      <w:szCs w:val="21"/>
                      <w:highlight w:val="none"/>
                      <w:shd w:val="clear" w:color="auto" w:fill="auto"/>
                    </w:rPr>
                    <w:t>环境敏感目标</w:t>
                  </w:r>
                </w:p>
              </w:tc>
              <w:tc>
                <w:tcPr>
                  <w:tcW w:w="1503" w:type="dxa"/>
                  <w:noWrap w:val="0"/>
                  <w:vAlign w:val="center"/>
                </w:tcPr>
                <w:p w14:paraId="678240BB">
                  <w:pPr>
                    <w:pStyle w:val="47"/>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shd w:val="clear" w:color="auto" w:fill="auto"/>
                      <w:lang w:eastAsia="zh-CN"/>
                    </w:rPr>
                  </w:pPr>
                  <w:r>
                    <w:rPr>
                      <w:rFonts w:hint="default" w:ascii="Times New Roman" w:hAnsi="Times New Roman" w:eastAsia="宋体" w:cs="Times New Roman"/>
                      <w:bCs/>
                      <w:color w:val="auto"/>
                      <w:sz w:val="21"/>
                      <w:szCs w:val="21"/>
                      <w:highlight w:val="none"/>
                      <w:shd w:val="clear" w:color="auto" w:fill="auto"/>
                      <w:lang w:eastAsia="zh-CN"/>
                    </w:rPr>
                    <w:t>坐标</w:t>
                  </w:r>
                </w:p>
              </w:tc>
              <w:tc>
                <w:tcPr>
                  <w:tcW w:w="703" w:type="dxa"/>
                  <w:noWrap w:val="0"/>
                  <w:vAlign w:val="center"/>
                </w:tcPr>
                <w:p w14:paraId="41AEC1AD">
                  <w:pPr>
                    <w:pStyle w:val="47"/>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shd w:val="clear" w:color="auto" w:fill="auto"/>
                    </w:rPr>
                  </w:pPr>
                  <w:r>
                    <w:rPr>
                      <w:rFonts w:hint="default" w:ascii="Times New Roman" w:hAnsi="Times New Roman" w:eastAsia="宋体" w:cs="Times New Roman"/>
                      <w:bCs/>
                      <w:color w:val="auto"/>
                      <w:sz w:val="21"/>
                      <w:szCs w:val="21"/>
                      <w:highlight w:val="none"/>
                      <w:shd w:val="clear" w:color="auto" w:fill="auto"/>
                    </w:rPr>
                    <w:t>与本项目的方位</w:t>
                  </w:r>
                </w:p>
              </w:tc>
              <w:tc>
                <w:tcPr>
                  <w:tcW w:w="801" w:type="dxa"/>
                  <w:noWrap w:val="0"/>
                  <w:vAlign w:val="center"/>
                </w:tcPr>
                <w:p w14:paraId="400A166B">
                  <w:pPr>
                    <w:pStyle w:val="47"/>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shd w:val="clear" w:color="auto" w:fill="auto"/>
                    </w:rPr>
                  </w:pPr>
                  <w:r>
                    <w:rPr>
                      <w:rFonts w:hint="default" w:ascii="Times New Roman" w:hAnsi="Times New Roman" w:eastAsia="宋体" w:cs="Times New Roman"/>
                      <w:bCs/>
                      <w:color w:val="auto"/>
                      <w:sz w:val="21"/>
                      <w:szCs w:val="21"/>
                      <w:highlight w:val="none"/>
                      <w:shd w:val="clear" w:color="auto" w:fill="auto"/>
                    </w:rPr>
                    <w:t>距</w:t>
                  </w:r>
                  <w:r>
                    <w:rPr>
                      <w:rFonts w:hint="default" w:ascii="Times New Roman" w:hAnsi="Times New Roman" w:eastAsia="宋体" w:cs="Times New Roman"/>
                      <w:bCs/>
                      <w:color w:val="auto"/>
                      <w:sz w:val="21"/>
                      <w:szCs w:val="21"/>
                      <w:highlight w:val="none"/>
                      <w:shd w:val="clear" w:color="auto" w:fill="auto"/>
                      <w:lang w:eastAsia="zh-CN"/>
                    </w:rPr>
                    <w:t>厂区</w:t>
                  </w:r>
                  <w:r>
                    <w:rPr>
                      <w:rFonts w:hint="default" w:ascii="Times New Roman" w:hAnsi="Times New Roman" w:eastAsia="宋体" w:cs="Times New Roman"/>
                      <w:bCs/>
                      <w:color w:val="auto"/>
                      <w:sz w:val="21"/>
                      <w:szCs w:val="21"/>
                      <w:highlight w:val="none"/>
                      <w:shd w:val="clear" w:color="auto" w:fill="auto"/>
                    </w:rPr>
                    <w:t>最近距离（m）</w:t>
                  </w:r>
                </w:p>
              </w:tc>
              <w:tc>
                <w:tcPr>
                  <w:tcW w:w="1073" w:type="dxa"/>
                  <w:noWrap w:val="0"/>
                  <w:vAlign w:val="center"/>
                </w:tcPr>
                <w:p w14:paraId="29A9F08F">
                  <w:pPr>
                    <w:pStyle w:val="47"/>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shd w:val="clear" w:color="auto" w:fill="auto"/>
                    </w:rPr>
                  </w:pPr>
                  <w:r>
                    <w:rPr>
                      <w:rFonts w:hint="default" w:ascii="Times New Roman" w:hAnsi="Times New Roman" w:eastAsia="宋体" w:cs="Times New Roman"/>
                      <w:bCs/>
                      <w:color w:val="auto"/>
                      <w:sz w:val="21"/>
                      <w:szCs w:val="21"/>
                      <w:highlight w:val="none"/>
                      <w:shd w:val="clear" w:color="auto" w:fill="auto"/>
                    </w:rPr>
                    <w:t>敏感目标规模</w:t>
                  </w:r>
                </w:p>
              </w:tc>
              <w:tc>
                <w:tcPr>
                  <w:tcW w:w="2222" w:type="dxa"/>
                  <w:noWrap w:val="0"/>
                  <w:vAlign w:val="center"/>
                </w:tcPr>
                <w:p w14:paraId="2CCCFC68">
                  <w:pPr>
                    <w:pStyle w:val="47"/>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shd w:val="clear" w:color="auto" w:fill="auto"/>
                    </w:rPr>
                  </w:pPr>
                  <w:r>
                    <w:rPr>
                      <w:rFonts w:hint="default" w:ascii="Times New Roman" w:hAnsi="Times New Roman" w:eastAsia="宋体" w:cs="Times New Roman"/>
                      <w:bCs/>
                      <w:color w:val="auto"/>
                      <w:sz w:val="21"/>
                      <w:szCs w:val="21"/>
                      <w:highlight w:val="none"/>
                      <w:shd w:val="clear" w:color="auto" w:fill="auto"/>
                    </w:rPr>
                    <w:t>环境质量标准</w:t>
                  </w:r>
                </w:p>
              </w:tc>
            </w:tr>
            <w:tr w14:paraId="77920AD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0" w:hRule="atLeast"/>
                <w:jc w:val="center"/>
              </w:trPr>
              <w:tc>
                <w:tcPr>
                  <w:tcW w:w="779" w:type="dxa"/>
                  <w:vMerge w:val="restart"/>
                  <w:noWrap w:val="0"/>
                  <w:vAlign w:val="center"/>
                </w:tcPr>
                <w:p w14:paraId="0865CE0D">
                  <w:pPr>
                    <w:pStyle w:val="47"/>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shd w:val="clear" w:color="auto" w:fill="auto"/>
                    </w:rPr>
                  </w:pPr>
                  <w:r>
                    <w:rPr>
                      <w:rFonts w:hint="default" w:ascii="Times New Roman" w:hAnsi="Times New Roman" w:eastAsia="宋体" w:cs="Times New Roman"/>
                      <w:bCs/>
                      <w:color w:val="auto"/>
                      <w:sz w:val="21"/>
                      <w:szCs w:val="21"/>
                      <w:highlight w:val="none"/>
                      <w:shd w:val="clear" w:color="auto" w:fill="auto"/>
                    </w:rPr>
                    <w:t>环境</w:t>
                  </w:r>
                </w:p>
                <w:p w14:paraId="3C97CFF6">
                  <w:pPr>
                    <w:pStyle w:val="47"/>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shd w:val="clear" w:color="auto" w:fill="auto"/>
                      <w:lang w:eastAsia="zh-CN"/>
                    </w:rPr>
                  </w:pPr>
                  <w:r>
                    <w:rPr>
                      <w:rFonts w:hint="default" w:ascii="Times New Roman" w:hAnsi="Times New Roman" w:eastAsia="宋体" w:cs="Times New Roman"/>
                      <w:bCs/>
                      <w:color w:val="auto"/>
                      <w:sz w:val="21"/>
                      <w:szCs w:val="21"/>
                      <w:highlight w:val="none"/>
                      <w:shd w:val="clear" w:color="auto" w:fill="auto"/>
                    </w:rPr>
                    <w:t>空气</w:t>
                  </w:r>
                </w:p>
              </w:tc>
              <w:tc>
                <w:tcPr>
                  <w:tcW w:w="883" w:type="dxa"/>
                  <w:noWrap w:val="0"/>
                  <w:vAlign w:val="center"/>
                </w:tcPr>
                <w:p w14:paraId="39E5964D">
                  <w:pPr>
                    <w:pStyle w:val="10"/>
                    <w:keepNext w:val="0"/>
                    <w:keepLines w:val="0"/>
                    <w:suppressLineNumbers w:val="0"/>
                    <w:spacing w:before="0" w:beforeAutospacing="0" w:after="0" w:afterAutospacing="0" w:line="240" w:lineRule="auto"/>
                    <w:ind w:left="0" w:right="0" w:rightChars="0"/>
                    <w:jc w:val="center"/>
                    <w:rPr>
                      <w:rFonts w:hint="default" w:ascii="Times New Roman" w:hAnsi="Times New Roman" w:eastAsia="宋体" w:cs="Times New Roman"/>
                      <w:b w:val="0"/>
                      <w:bCs w:val="0"/>
                      <w:color w:val="auto"/>
                      <w:sz w:val="21"/>
                      <w:szCs w:val="21"/>
                      <w:highlight w:val="none"/>
                      <w:shd w:val="clear" w:color="auto" w:fill="auto"/>
                      <w:lang w:eastAsia="zh-CN"/>
                    </w:rPr>
                  </w:pPr>
                  <w:r>
                    <w:rPr>
                      <w:rFonts w:hint="default" w:ascii="Times New Roman" w:hAnsi="Times New Roman" w:cs="Times New Roman"/>
                      <w:b w:val="0"/>
                      <w:bCs w:val="0"/>
                      <w:color w:val="auto"/>
                      <w:sz w:val="21"/>
                      <w:szCs w:val="21"/>
                      <w:highlight w:val="none"/>
                      <w:shd w:val="clear" w:color="auto" w:fill="auto"/>
                      <w:lang w:eastAsia="zh-CN"/>
                    </w:rPr>
                    <w:t>庙沟村</w:t>
                  </w:r>
                </w:p>
              </w:tc>
              <w:tc>
                <w:tcPr>
                  <w:tcW w:w="1503" w:type="dxa"/>
                  <w:noWrap w:val="0"/>
                  <w:vAlign w:val="center"/>
                </w:tcPr>
                <w:p w14:paraId="1C3DF46E">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X：</w:t>
                  </w:r>
                  <w:r>
                    <w:rPr>
                      <w:rFonts w:hint="default" w:ascii="Times New Roman" w:hAnsi="Times New Roman" w:cs="Times New Roman"/>
                      <w:color w:val="auto"/>
                      <w:sz w:val="21"/>
                      <w:szCs w:val="21"/>
                      <w:highlight w:val="none"/>
                      <w:shd w:val="clear" w:color="auto" w:fill="auto"/>
                      <w:lang w:val="en-US" w:eastAsia="zh-CN"/>
                    </w:rPr>
                    <w:t>514057.53</w:t>
                  </w:r>
                </w:p>
                <w:p w14:paraId="76D9F235">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sz w:val="21"/>
                      <w:szCs w:val="21"/>
                      <w:highlight w:val="none"/>
                      <w:shd w:val="clear" w:color="auto" w:fill="auto"/>
                      <w:lang w:val="en-US" w:eastAsia="zh-CN"/>
                    </w:rPr>
                    <w:t>Y：</w:t>
                  </w:r>
                  <w:r>
                    <w:rPr>
                      <w:rFonts w:hint="default" w:ascii="Times New Roman" w:hAnsi="Times New Roman" w:cs="Times New Roman"/>
                      <w:color w:val="auto"/>
                      <w:sz w:val="21"/>
                      <w:szCs w:val="21"/>
                      <w:highlight w:val="none"/>
                      <w:shd w:val="clear" w:color="auto" w:fill="auto"/>
                      <w:lang w:val="en-US" w:eastAsia="zh-CN"/>
                    </w:rPr>
                    <w:t>4480919.67</w:t>
                  </w:r>
                </w:p>
              </w:tc>
              <w:tc>
                <w:tcPr>
                  <w:tcW w:w="703" w:type="dxa"/>
                  <w:noWrap w:val="0"/>
                  <w:vAlign w:val="center"/>
                </w:tcPr>
                <w:p w14:paraId="259EC40A">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kern w:val="2"/>
                      <w:sz w:val="21"/>
                      <w:szCs w:val="21"/>
                      <w:highlight w:val="none"/>
                      <w:shd w:val="clear" w:color="auto" w:fill="auto"/>
                      <w:lang w:val="en-US" w:eastAsia="zh-CN" w:bidi="ar-SA"/>
                    </w:rPr>
                  </w:pPr>
                  <w:r>
                    <w:rPr>
                      <w:rFonts w:hint="default" w:ascii="Times New Roman" w:hAnsi="Times New Roman" w:cs="Times New Roman"/>
                      <w:bCs/>
                      <w:color w:val="auto"/>
                      <w:kern w:val="2"/>
                      <w:sz w:val="21"/>
                      <w:szCs w:val="21"/>
                      <w:highlight w:val="none"/>
                      <w:shd w:val="clear" w:color="auto" w:fill="auto"/>
                      <w:lang w:val="en-US" w:eastAsia="zh-CN" w:bidi="ar-SA"/>
                    </w:rPr>
                    <w:t>北</w:t>
                  </w:r>
                </w:p>
              </w:tc>
              <w:tc>
                <w:tcPr>
                  <w:tcW w:w="801" w:type="dxa"/>
                  <w:noWrap w:val="0"/>
                  <w:vAlign w:val="center"/>
                </w:tcPr>
                <w:p w14:paraId="0BD66C0F">
                  <w:pPr>
                    <w:pStyle w:val="10"/>
                    <w:keepNext w:val="0"/>
                    <w:keepLines w:val="0"/>
                    <w:suppressLineNumbers w:val="0"/>
                    <w:spacing w:before="0" w:beforeAutospacing="0" w:after="0" w:afterAutospacing="0" w:line="240" w:lineRule="auto"/>
                    <w:ind w:left="0" w:right="0" w:rightChars="0"/>
                    <w:jc w:val="center"/>
                    <w:rPr>
                      <w:rFonts w:hint="default" w:ascii="Times New Roman" w:hAnsi="Times New Roman" w:eastAsia="宋体" w:cs="Times New Roman"/>
                      <w:b w:val="0"/>
                      <w:bCs w:val="0"/>
                      <w:color w:val="auto"/>
                      <w:kern w:val="2"/>
                      <w:sz w:val="21"/>
                      <w:szCs w:val="21"/>
                      <w:highlight w:val="none"/>
                      <w:shd w:val="clear" w:color="auto" w:fill="auto"/>
                      <w:lang w:val="en-US" w:eastAsia="zh-CN" w:bidi="ar-SA"/>
                    </w:rPr>
                  </w:pPr>
                  <w:r>
                    <w:rPr>
                      <w:rFonts w:hint="default" w:ascii="Times New Roman" w:hAnsi="Times New Roman" w:cs="Times New Roman"/>
                      <w:b w:val="0"/>
                      <w:bCs w:val="0"/>
                      <w:color w:val="auto"/>
                      <w:kern w:val="2"/>
                      <w:sz w:val="21"/>
                      <w:szCs w:val="21"/>
                      <w:highlight w:val="none"/>
                      <w:lang w:val="en-US" w:eastAsia="zh-CN"/>
                    </w:rPr>
                    <w:t>450</w:t>
                  </w:r>
                </w:p>
              </w:tc>
              <w:tc>
                <w:tcPr>
                  <w:tcW w:w="1073" w:type="dxa"/>
                  <w:noWrap w:val="0"/>
                  <w:vAlign w:val="center"/>
                </w:tcPr>
                <w:p w14:paraId="11CAA72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Cs/>
                      <w:color w:val="auto"/>
                      <w:kern w:val="2"/>
                      <w:sz w:val="21"/>
                      <w:szCs w:val="21"/>
                      <w:highlight w:val="none"/>
                      <w:shd w:val="clear" w:color="auto" w:fill="auto"/>
                      <w:lang w:val="en-US" w:eastAsia="zh-CN" w:bidi="ar-SA"/>
                    </w:rPr>
                  </w:pPr>
                  <w:r>
                    <w:rPr>
                      <w:rFonts w:hint="default" w:ascii="Times New Roman" w:hAnsi="Times New Roman" w:cs="Times New Roman"/>
                      <w:i w:val="0"/>
                      <w:color w:val="auto"/>
                      <w:kern w:val="0"/>
                      <w:sz w:val="21"/>
                      <w:szCs w:val="21"/>
                      <w:highlight w:val="none"/>
                      <w:u w:val="none"/>
                      <w:shd w:val="clear" w:color="auto" w:fill="auto"/>
                      <w:lang w:val="en-US" w:eastAsia="zh-CN" w:bidi="ar"/>
                    </w:rPr>
                    <w:t>6</w:t>
                  </w:r>
                  <w:r>
                    <w:rPr>
                      <w:rFonts w:hint="default" w:ascii="Times New Roman" w:hAnsi="Times New Roman" w:eastAsia="宋体" w:cs="Times New Roman"/>
                      <w:i w:val="0"/>
                      <w:color w:val="auto"/>
                      <w:kern w:val="0"/>
                      <w:sz w:val="21"/>
                      <w:szCs w:val="21"/>
                      <w:highlight w:val="none"/>
                      <w:u w:val="none"/>
                      <w:shd w:val="clear" w:color="auto" w:fill="auto"/>
                      <w:lang w:val="en-US" w:eastAsia="zh-CN" w:bidi="ar"/>
                    </w:rPr>
                    <w:t>户，</w:t>
                  </w:r>
                  <w:r>
                    <w:rPr>
                      <w:rFonts w:hint="default" w:ascii="Times New Roman" w:hAnsi="Times New Roman" w:cs="Times New Roman"/>
                      <w:i w:val="0"/>
                      <w:color w:val="auto"/>
                      <w:kern w:val="0"/>
                      <w:sz w:val="21"/>
                      <w:szCs w:val="21"/>
                      <w:highlight w:val="none"/>
                      <w:u w:val="none"/>
                      <w:shd w:val="clear" w:color="auto" w:fill="auto"/>
                      <w:lang w:val="en-US" w:eastAsia="zh-CN" w:bidi="ar"/>
                    </w:rPr>
                    <w:t>20</w:t>
                  </w:r>
                  <w:r>
                    <w:rPr>
                      <w:rFonts w:hint="default" w:ascii="Times New Roman" w:hAnsi="Times New Roman" w:eastAsia="宋体" w:cs="Times New Roman"/>
                      <w:i w:val="0"/>
                      <w:color w:val="auto"/>
                      <w:kern w:val="0"/>
                      <w:sz w:val="21"/>
                      <w:szCs w:val="21"/>
                      <w:highlight w:val="none"/>
                      <w:u w:val="none"/>
                      <w:shd w:val="clear" w:color="auto" w:fill="auto"/>
                      <w:lang w:val="en-US" w:eastAsia="zh-CN" w:bidi="ar"/>
                    </w:rPr>
                    <w:t>人</w:t>
                  </w:r>
                </w:p>
              </w:tc>
              <w:tc>
                <w:tcPr>
                  <w:tcW w:w="2222" w:type="dxa"/>
                  <w:vMerge w:val="restart"/>
                  <w:noWrap w:val="0"/>
                  <w:vAlign w:val="center"/>
                </w:tcPr>
                <w:p w14:paraId="26D33FE5">
                  <w:pPr>
                    <w:pStyle w:val="9"/>
                    <w:keepNext w:val="0"/>
                    <w:keepLines w:val="0"/>
                    <w:suppressLineNumbers w:val="0"/>
                    <w:spacing w:before="0" w:beforeAutospacing="0" w:after="0" w:afterAutospacing="0"/>
                    <w:ind w:left="0" w:right="0"/>
                    <w:rPr>
                      <w:rFonts w:hint="default" w:ascii="Times New Roman" w:hAnsi="Times New Roman" w:eastAsia="宋体" w:cs="Times New Roman"/>
                      <w:bCs/>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rPr>
                    <w:t>《环境空气质量标准》（GB3095-2012）中的二级</w:t>
                  </w:r>
                  <w:r>
                    <w:rPr>
                      <w:rFonts w:hint="default" w:ascii="Times New Roman" w:hAnsi="Times New Roman" w:cs="Times New Roman"/>
                      <w:color w:val="auto"/>
                      <w:sz w:val="21"/>
                      <w:szCs w:val="21"/>
                      <w:highlight w:val="none"/>
                      <w:shd w:val="clear" w:color="auto" w:fill="auto"/>
                      <w:lang w:eastAsia="zh-CN"/>
                    </w:rPr>
                    <w:t>标准</w:t>
                  </w:r>
                  <w:r>
                    <w:rPr>
                      <w:rFonts w:hint="default" w:ascii="Times New Roman" w:hAnsi="Times New Roman" w:cs="Times New Roman"/>
                      <w:color w:val="auto"/>
                      <w:highlight w:val="none"/>
                      <w:lang w:eastAsia="zh-CN"/>
                    </w:rPr>
                    <w:t>及其修改单</w:t>
                  </w:r>
                </w:p>
              </w:tc>
            </w:tr>
            <w:tr w14:paraId="19E0ACB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0" w:hRule="atLeast"/>
                <w:jc w:val="center"/>
              </w:trPr>
              <w:tc>
                <w:tcPr>
                  <w:tcW w:w="779" w:type="dxa"/>
                  <w:vMerge w:val="continue"/>
                  <w:noWrap w:val="0"/>
                  <w:vAlign w:val="center"/>
                </w:tcPr>
                <w:p w14:paraId="09C18F35">
                  <w:pPr>
                    <w:pStyle w:val="47"/>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shd w:val="clear" w:color="auto" w:fill="auto"/>
                    </w:rPr>
                  </w:pPr>
                </w:p>
              </w:tc>
              <w:tc>
                <w:tcPr>
                  <w:tcW w:w="883" w:type="dxa"/>
                  <w:noWrap w:val="0"/>
                  <w:vAlign w:val="center"/>
                </w:tcPr>
                <w:p w14:paraId="5B48C79A">
                  <w:pPr>
                    <w:pStyle w:val="10"/>
                    <w:keepNext w:val="0"/>
                    <w:keepLines w:val="0"/>
                    <w:suppressLineNumbers w:val="0"/>
                    <w:spacing w:before="0" w:beforeAutospacing="0" w:after="0" w:afterAutospacing="0" w:line="240" w:lineRule="auto"/>
                    <w:ind w:left="0" w:right="0" w:rightChars="0"/>
                    <w:jc w:val="center"/>
                    <w:rPr>
                      <w:rFonts w:hint="default" w:ascii="Times New Roman" w:hAnsi="Times New Roman" w:cs="Times New Roman"/>
                      <w:b w:val="0"/>
                      <w:bCs w:val="0"/>
                      <w:color w:val="auto"/>
                      <w:sz w:val="21"/>
                      <w:szCs w:val="21"/>
                      <w:highlight w:val="none"/>
                      <w:shd w:val="clear" w:color="auto" w:fill="auto"/>
                      <w:lang w:eastAsia="zh-CN"/>
                    </w:rPr>
                  </w:pPr>
                  <w:r>
                    <w:rPr>
                      <w:rFonts w:hint="default" w:ascii="Times New Roman" w:hAnsi="Times New Roman" w:cs="Times New Roman"/>
                      <w:b w:val="0"/>
                      <w:bCs w:val="0"/>
                      <w:color w:val="auto"/>
                      <w:sz w:val="21"/>
                      <w:szCs w:val="21"/>
                      <w:highlight w:val="none"/>
                      <w:shd w:val="clear" w:color="auto" w:fill="auto"/>
                      <w:lang w:eastAsia="zh-CN"/>
                    </w:rPr>
                    <w:t>东山村</w:t>
                  </w:r>
                </w:p>
              </w:tc>
              <w:tc>
                <w:tcPr>
                  <w:tcW w:w="1503" w:type="dxa"/>
                  <w:noWrap w:val="0"/>
                  <w:vAlign w:val="center"/>
                </w:tcPr>
                <w:p w14:paraId="5F037A2F">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X：</w:t>
                  </w:r>
                  <w:r>
                    <w:rPr>
                      <w:rFonts w:hint="default" w:ascii="Times New Roman" w:hAnsi="Times New Roman" w:cs="Times New Roman"/>
                      <w:color w:val="auto"/>
                      <w:sz w:val="21"/>
                      <w:szCs w:val="21"/>
                      <w:highlight w:val="none"/>
                      <w:shd w:val="clear" w:color="auto" w:fill="auto"/>
                      <w:lang w:val="en-US" w:eastAsia="zh-CN"/>
                    </w:rPr>
                    <w:t>513521.38</w:t>
                  </w:r>
                  <w:r>
                    <w:rPr>
                      <w:rFonts w:hint="default" w:ascii="Times New Roman" w:hAnsi="Times New Roman" w:eastAsia="宋体" w:cs="Times New Roman"/>
                      <w:color w:val="auto"/>
                      <w:sz w:val="21"/>
                      <w:szCs w:val="21"/>
                      <w:highlight w:val="none"/>
                      <w:shd w:val="clear" w:color="auto" w:fill="auto"/>
                      <w:lang w:val="en-US" w:eastAsia="zh-CN"/>
                    </w:rPr>
                    <w:t xml:space="preserve"> </w:t>
                  </w:r>
                </w:p>
                <w:p w14:paraId="55690A69">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Y：</w:t>
                  </w:r>
                  <w:r>
                    <w:rPr>
                      <w:rFonts w:hint="default" w:ascii="Times New Roman" w:hAnsi="Times New Roman" w:cs="Times New Roman"/>
                      <w:color w:val="auto"/>
                      <w:sz w:val="21"/>
                      <w:szCs w:val="21"/>
                      <w:highlight w:val="none"/>
                      <w:shd w:val="clear" w:color="auto" w:fill="auto"/>
                      <w:lang w:val="en-US" w:eastAsia="zh-CN"/>
                    </w:rPr>
                    <w:t>4480507.09</w:t>
                  </w:r>
                </w:p>
              </w:tc>
              <w:tc>
                <w:tcPr>
                  <w:tcW w:w="703" w:type="dxa"/>
                  <w:noWrap w:val="0"/>
                  <w:vAlign w:val="center"/>
                </w:tcPr>
                <w:p w14:paraId="310F085E">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Cs/>
                      <w:color w:val="auto"/>
                      <w:kern w:val="2"/>
                      <w:sz w:val="21"/>
                      <w:szCs w:val="21"/>
                      <w:highlight w:val="none"/>
                      <w:shd w:val="clear" w:color="auto" w:fill="auto"/>
                      <w:lang w:val="en-US" w:eastAsia="zh-CN" w:bidi="ar-SA"/>
                    </w:rPr>
                  </w:pPr>
                  <w:r>
                    <w:rPr>
                      <w:rFonts w:hint="default" w:ascii="Times New Roman" w:hAnsi="Times New Roman" w:cs="Times New Roman"/>
                      <w:bCs/>
                      <w:color w:val="auto"/>
                      <w:kern w:val="2"/>
                      <w:sz w:val="21"/>
                      <w:szCs w:val="21"/>
                      <w:highlight w:val="none"/>
                      <w:shd w:val="clear" w:color="auto" w:fill="auto"/>
                      <w:lang w:val="en-US" w:eastAsia="zh-CN" w:bidi="ar-SA"/>
                    </w:rPr>
                    <w:t>西</w:t>
                  </w:r>
                </w:p>
              </w:tc>
              <w:tc>
                <w:tcPr>
                  <w:tcW w:w="801" w:type="dxa"/>
                  <w:noWrap w:val="0"/>
                  <w:vAlign w:val="center"/>
                </w:tcPr>
                <w:p w14:paraId="55E26877">
                  <w:pPr>
                    <w:pStyle w:val="10"/>
                    <w:keepNext w:val="0"/>
                    <w:keepLines w:val="0"/>
                    <w:suppressLineNumbers w:val="0"/>
                    <w:spacing w:before="0" w:beforeAutospacing="0" w:after="0" w:afterAutospacing="0" w:line="240" w:lineRule="auto"/>
                    <w:ind w:left="0" w:right="0" w:rightChars="0"/>
                    <w:jc w:val="center"/>
                    <w:rPr>
                      <w:rFonts w:hint="default" w:ascii="Times New Roman" w:hAnsi="Times New Roman" w:cs="Times New Roman"/>
                      <w:b w:val="0"/>
                      <w:bCs w:val="0"/>
                      <w:color w:val="auto"/>
                      <w:kern w:val="2"/>
                      <w:sz w:val="21"/>
                      <w:szCs w:val="21"/>
                      <w:highlight w:val="none"/>
                      <w:lang w:val="en-US" w:eastAsia="zh-CN"/>
                    </w:rPr>
                  </w:pPr>
                  <w:r>
                    <w:rPr>
                      <w:rFonts w:hint="default" w:ascii="Times New Roman" w:hAnsi="Times New Roman" w:cs="Times New Roman"/>
                      <w:b w:val="0"/>
                      <w:bCs w:val="0"/>
                      <w:color w:val="auto"/>
                      <w:kern w:val="2"/>
                      <w:sz w:val="21"/>
                      <w:szCs w:val="21"/>
                      <w:highlight w:val="none"/>
                      <w:lang w:val="en-US" w:eastAsia="zh-CN"/>
                    </w:rPr>
                    <w:t>180</w:t>
                  </w:r>
                </w:p>
              </w:tc>
              <w:tc>
                <w:tcPr>
                  <w:tcW w:w="1073" w:type="dxa"/>
                  <w:noWrap w:val="0"/>
                  <w:vAlign w:val="center"/>
                </w:tcPr>
                <w:p w14:paraId="2042A10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color w:val="auto"/>
                      <w:kern w:val="0"/>
                      <w:sz w:val="21"/>
                      <w:szCs w:val="21"/>
                      <w:highlight w:val="none"/>
                      <w:u w:val="none"/>
                      <w:shd w:val="clear" w:color="auto" w:fill="auto"/>
                      <w:lang w:val="en-US" w:eastAsia="zh-CN" w:bidi="ar"/>
                    </w:rPr>
                  </w:pPr>
                  <w:r>
                    <w:rPr>
                      <w:rFonts w:hint="default" w:ascii="Times New Roman" w:hAnsi="Times New Roman" w:cs="Times New Roman"/>
                      <w:i w:val="0"/>
                      <w:color w:val="auto"/>
                      <w:kern w:val="0"/>
                      <w:sz w:val="21"/>
                      <w:szCs w:val="21"/>
                      <w:highlight w:val="none"/>
                      <w:u w:val="none"/>
                      <w:shd w:val="clear" w:color="auto" w:fill="auto"/>
                      <w:lang w:val="en-US" w:eastAsia="zh-CN" w:bidi="ar"/>
                    </w:rPr>
                    <w:t>200户，600人</w:t>
                  </w:r>
                </w:p>
              </w:tc>
              <w:tc>
                <w:tcPr>
                  <w:tcW w:w="2222" w:type="dxa"/>
                  <w:vMerge w:val="continue"/>
                  <w:noWrap w:val="0"/>
                  <w:vAlign w:val="center"/>
                </w:tcPr>
                <w:p w14:paraId="7CA5B7F8">
                  <w:pPr>
                    <w:pStyle w:val="9"/>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highlight w:val="none"/>
                      <w:shd w:val="clear" w:color="auto" w:fill="auto"/>
                    </w:rPr>
                  </w:pPr>
                </w:p>
              </w:tc>
            </w:tr>
            <w:tr w14:paraId="7F60C9A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0" w:hRule="atLeast"/>
                <w:jc w:val="center"/>
              </w:trPr>
              <w:tc>
                <w:tcPr>
                  <w:tcW w:w="779" w:type="dxa"/>
                  <w:vMerge w:val="continue"/>
                  <w:noWrap w:val="0"/>
                  <w:vAlign w:val="center"/>
                </w:tcPr>
                <w:p w14:paraId="4E4EA4F7">
                  <w:pPr>
                    <w:pStyle w:val="47"/>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shd w:val="clear" w:color="auto" w:fill="auto"/>
                    </w:rPr>
                  </w:pPr>
                </w:p>
              </w:tc>
              <w:tc>
                <w:tcPr>
                  <w:tcW w:w="883" w:type="dxa"/>
                  <w:noWrap w:val="0"/>
                  <w:vAlign w:val="center"/>
                </w:tcPr>
                <w:p w14:paraId="2448036B">
                  <w:pPr>
                    <w:pStyle w:val="10"/>
                    <w:keepNext w:val="0"/>
                    <w:keepLines w:val="0"/>
                    <w:suppressLineNumbers w:val="0"/>
                    <w:spacing w:before="0" w:beforeAutospacing="0" w:after="0" w:afterAutospacing="0" w:line="240" w:lineRule="auto"/>
                    <w:ind w:left="0" w:right="0" w:rightChars="0"/>
                    <w:jc w:val="center"/>
                    <w:rPr>
                      <w:rFonts w:hint="default" w:ascii="Times New Roman" w:hAnsi="Times New Roman" w:cs="Times New Roman"/>
                      <w:b w:val="0"/>
                      <w:bCs w:val="0"/>
                      <w:color w:val="auto"/>
                      <w:sz w:val="21"/>
                      <w:szCs w:val="21"/>
                      <w:highlight w:val="none"/>
                      <w:shd w:val="clear" w:color="auto" w:fill="auto"/>
                      <w:lang w:eastAsia="zh-CN"/>
                    </w:rPr>
                  </w:pPr>
                  <w:r>
                    <w:rPr>
                      <w:rFonts w:hint="default" w:ascii="Times New Roman" w:hAnsi="Times New Roman" w:cs="Times New Roman"/>
                      <w:b w:val="0"/>
                      <w:bCs w:val="0"/>
                      <w:color w:val="auto"/>
                      <w:sz w:val="21"/>
                      <w:szCs w:val="21"/>
                      <w:highlight w:val="none"/>
                      <w:shd w:val="clear" w:color="auto" w:fill="auto"/>
                      <w:lang w:eastAsia="zh-CN"/>
                    </w:rPr>
                    <w:t>王家堡子村</w:t>
                  </w:r>
                </w:p>
              </w:tc>
              <w:tc>
                <w:tcPr>
                  <w:tcW w:w="1503" w:type="dxa"/>
                  <w:noWrap w:val="0"/>
                  <w:vAlign w:val="center"/>
                </w:tcPr>
                <w:p w14:paraId="0C26BD0F">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X：</w:t>
                  </w:r>
                  <w:r>
                    <w:rPr>
                      <w:rFonts w:hint="default" w:ascii="Times New Roman" w:hAnsi="Times New Roman" w:cs="Times New Roman"/>
                      <w:color w:val="auto"/>
                      <w:sz w:val="21"/>
                      <w:szCs w:val="21"/>
                      <w:highlight w:val="none"/>
                      <w:shd w:val="clear" w:color="auto" w:fill="auto"/>
                      <w:lang w:val="en-US" w:eastAsia="zh-CN"/>
                    </w:rPr>
                    <w:t>513919.86</w:t>
                  </w:r>
                  <w:r>
                    <w:rPr>
                      <w:rFonts w:hint="default" w:ascii="Times New Roman" w:hAnsi="Times New Roman" w:eastAsia="宋体" w:cs="Times New Roman"/>
                      <w:color w:val="auto"/>
                      <w:sz w:val="21"/>
                      <w:szCs w:val="21"/>
                      <w:highlight w:val="none"/>
                      <w:shd w:val="clear" w:color="auto" w:fill="auto"/>
                      <w:lang w:val="en-US" w:eastAsia="zh-CN"/>
                    </w:rPr>
                    <w:t xml:space="preserve"> </w:t>
                  </w:r>
                </w:p>
                <w:p w14:paraId="58C3008B">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Y：</w:t>
                  </w:r>
                  <w:r>
                    <w:rPr>
                      <w:rFonts w:hint="default" w:ascii="Times New Roman" w:hAnsi="Times New Roman" w:cs="Times New Roman"/>
                      <w:color w:val="auto"/>
                      <w:sz w:val="21"/>
                      <w:szCs w:val="21"/>
                      <w:highlight w:val="none"/>
                      <w:shd w:val="clear" w:color="auto" w:fill="auto"/>
                      <w:lang w:val="en-US" w:eastAsia="zh-CN"/>
                    </w:rPr>
                    <w:t>4480054.90</w:t>
                  </w:r>
                </w:p>
              </w:tc>
              <w:tc>
                <w:tcPr>
                  <w:tcW w:w="703" w:type="dxa"/>
                  <w:noWrap w:val="0"/>
                  <w:vAlign w:val="center"/>
                </w:tcPr>
                <w:p w14:paraId="64252CDE">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cs="Times New Roman"/>
                      <w:color w:val="auto"/>
                      <w:sz w:val="21"/>
                      <w:szCs w:val="21"/>
                      <w:highlight w:val="none"/>
                      <w:shd w:val="clear" w:color="auto" w:fill="auto"/>
                      <w:lang w:val="en-US" w:eastAsia="zh-CN"/>
                    </w:rPr>
                    <w:t>南</w:t>
                  </w:r>
                </w:p>
              </w:tc>
              <w:tc>
                <w:tcPr>
                  <w:tcW w:w="801" w:type="dxa"/>
                  <w:noWrap w:val="0"/>
                  <w:vAlign w:val="center"/>
                </w:tcPr>
                <w:p w14:paraId="790DC121">
                  <w:pPr>
                    <w:pStyle w:val="10"/>
                    <w:keepNext w:val="0"/>
                    <w:keepLines w:val="0"/>
                    <w:suppressLineNumbers w:val="0"/>
                    <w:spacing w:before="0" w:beforeAutospacing="0" w:after="0" w:afterAutospacing="0" w:line="240" w:lineRule="auto"/>
                    <w:ind w:left="0" w:right="0" w:rightChars="0"/>
                    <w:jc w:val="center"/>
                    <w:rPr>
                      <w:rFonts w:hint="default" w:ascii="Times New Roman" w:hAnsi="Times New Roman" w:cs="Times New Roman"/>
                      <w:b w:val="0"/>
                      <w:bCs w:val="0"/>
                      <w:color w:val="auto"/>
                      <w:kern w:val="2"/>
                      <w:sz w:val="21"/>
                      <w:szCs w:val="21"/>
                      <w:highlight w:val="none"/>
                      <w:lang w:val="en-US" w:eastAsia="zh-CN"/>
                    </w:rPr>
                  </w:pPr>
                  <w:r>
                    <w:rPr>
                      <w:rFonts w:hint="default" w:ascii="Times New Roman" w:hAnsi="Times New Roman" w:cs="Times New Roman"/>
                      <w:b w:val="0"/>
                      <w:bCs w:val="0"/>
                      <w:color w:val="auto"/>
                      <w:kern w:val="2"/>
                      <w:sz w:val="21"/>
                      <w:szCs w:val="21"/>
                      <w:highlight w:val="none"/>
                      <w:lang w:val="en-US" w:eastAsia="zh-CN"/>
                    </w:rPr>
                    <w:t>290</w:t>
                  </w:r>
                </w:p>
              </w:tc>
              <w:tc>
                <w:tcPr>
                  <w:tcW w:w="1073" w:type="dxa"/>
                  <w:noWrap w:val="0"/>
                  <w:vAlign w:val="center"/>
                </w:tcPr>
                <w:p w14:paraId="139D4AF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i w:val="0"/>
                      <w:color w:val="auto"/>
                      <w:kern w:val="0"/>
                      <w:sz w:val="21"/>
                      <w:szCs w:val="21"/>
                      <w:highlight w:val="none"/>
                      <w:u w:val="none"/>
                      <w:shd w:val="clear" w:color="auto" w:fill="auto"/>
                      <w:lang w:val="en-US" w:eastAsia="zh-CN" w:bidi="ar"/>
                    </w:rPr>
                  </w:pPr>
                  <w:r>
                    <w:rPr>
                      <w:rFonts w:hint="default" w:ascii="Times New Roman" w:hAnsi="Times New Roman" w:cs="Times New Roman"/>
                      <w:i w:val="0"/>
                      <w:color w:val="auto"/>
                      <w:kern w:val="0"/>
                      <w:sz w:val="21"/>
                      <w:szCs w:val="21"/>
                      <w:highlight w:val="none"/>
                      <w:u w:val="none"/>
                      <w:shd w:val="clear" w:color="auto" w:fill="auto"/>
                      <w:lang w:val="en-US" w:eastAsia="zh-CN" w:bidi="ar"/>
                    </w:rPr>
                    <w:t>40</w:t>
                  </w:r>
                  <w:r>
                    <w:rPr>
                      <w:rFonts w:hint="default" w:ascii="Times New Roman" w:hAnsi="Times New Roman" w:eastAsia="宋体" w:cs="Times New Roman"/>
                      <w:i w:val="0"/>
                      <w:color w:val="auto"/>
                      <w:kern w:val="0"/>
                      <w:sz w:val="21"/>
                      <w:szCs w:val="21"/>
                      <w:highlight w:val="none"/>
                      <w:u w:val="none"/>
                      <w:shd w:val="clear" w:color="auto" w:fill="auto"/>
                      <w:lang w:val="en-US" w:eastAsia="zh-CN" w:bidi="ar"/>
                    </w:rPr>
                    <w:t>户，1</w:t>
                  </w:r>
                  <w:r>
                    <w:rPr>
                      <w:rFonts w:hint="default" w:ascii="Times New Roman" w:hAnsi="Times New Roman" w:cs="Times New Roman"/>
                      <w:i w:val="0"/>
                      <w:color w:val="auto"/>
                      <w:kern w:val="0"/>
                      <w:sz w:val="21"/>
                      <w:szCs w:val="21"/>
                      <w:highlight w:val="none"/>
                      <w:u w:val="none"/>
                      <w:shd w:val="clear" w:color="auto" w:fill="auto"/>
                      <w:lang w:val="en-US" w:eastAsia="zh-CN" w:bidi="ar"/>
                    </w:rPr>
                    <w:t>2</w:t>
                  </w:r>
                  <w:r>
                    <w:rPr>
                      <w:rFonts w:hint="default" w:ascii="Times New Roman" w:hAnsi="Times New Roman" w:eastAsia="宋体" w:cs="Times New Roman"/>
                      <w:i w:val="0"/>
                      <w:color w:val="auto"/>
                      <w:kern w:val="0"/>
                      <w:sz w:val="21"/>
                      <w:szCs w:val="21"/>
                      <w:highlight w:val="none"/>
                      <w:u w:val="none"/>
                      <w:shd w:val="clear" w:color="auto" w:fill="auto"/>
                      <w:lang w:val="en-US" w:eastAsia="zh-CN" w:bidi="ar"/>
                    </w:rPr>
                    <w:t>0人</w:t>
                  </w:r>
                </w:p>
              </w:tc>
              <w:tc>
                <w:tcPr>
                  <w:tcW w:w="2222" w:type="dxa"/>
                  <w:vMerge w:val="continue"/>
                  <w:noWrap w:val="0"/>
                  <w:vAlign w:val="center"/>
                </w:tcPr>
                <w:p w14:paraId="789BA86A">
                  <w:pPr>
                    <w:pStyle w:val="9"/>
                    <w:keepNext w:val="0"/>
                    <w:keepLines w:val="0"/>
                    <w:suppressLineNumbers w:val="0"/>
                    <w:spacing w:before="0" w:beforeAutospacing="0" w:after="0" w:afterAutospacing="0"/>
                    <w:ind w:left="0" w:right="0"/>
                    <w:rPr>
                      <w:rFonts w:hint="default" w:ascii="Times New Roman" w:hAnsi="Times New Roman" w:eastAsia="宋体" w:cs="Times New Roman"/>
                      <w:color w:val="auto"/>
                      <w:sz w:val="21"/>
                      <w:szCs w:val="21"/>
                      <w:highlight w:val="none"/>
                      <w:shd w:val="clear" w:color="auto" w:fill="auto"/>
                    </w:rPr>
                  </w:pPr>
                </w:p>
              </w:tc>
            </w:tr>
            <w:tr w14:paraId="6A49D4A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0" w:hRule="atLeast"/>
                <w:jc w:val="center"/>
              </w:trPr>
              <w:tc>
                <w:tcPr>
                  <w:tcW w:w="779" w:type="dxa"/>
                  <w:vMerge w:val="continue"/>
                  <w:noWrap w:val="0"/>
                  <w:vAlign w:val="center"/>
                </w:tcPr>
                <w:p w14:paraId="2F1B1AB0">
                  <w:pPr>
                    <w:pStyle w:val="47"/>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shd w:val="clear" w:color="auto" w:fill="auto"/>
                    </w:rPr>
                  </w:pPr>
                </w:p>
              </w:tc>
              <w:tc>
                <w:tcPr>
                  <w:tcW w:w="883" w:type="dxa"/>
                  <w:noWrap w:val="0"/>
                  <w:vAlign w:val="center"/>
                </w:tcPr>
                <w:p w14:paraId="5572E971">
                  <w:pPr>
                    <w:pStyle w:val="10"/>
                    <w:keepNext w:val="0"/>
                    <w:keepLines w:val="0"/>
                    <w:suppressLineNumbers w:val="0"/>
                    <w:spacing w:before="0" w:beforeAutospacing="0" w:after="0" w:afterAutospacing="0" w:line="240" w:lineRule="auto"/>
                    <w:ind w:left="0" w:right="0" w:rightChars="0"/>
                    <w:jc w:val="center"/>
                    <w:rPr>
                      <w:rFonts w:hint="default" w:ascii="Times New Roman" w:hAnsi="Times New Roman" w:eastAsia="宋体" w:cs="Times New Roman"/>
                      <w:b w:val="0"/>
                      <w:bCs w:val="0"/>
                      <w:color w:val="auto"/>
                      <w:sz w:val="24"/>
                      <w:highlight w:val="none"/>
                      <w:lang w:eastAsia="zh-CN"/>
                    </w:rPr>
                  </w:pPr>
                  <w:r>
                    <w:rPr>
                      <w:rFonts w:hint="default" w:ascii="Times New Roman" w:hAnsi="Times New Roman" w:cs="Times New Roman"/>
                      <w:b w:val="0"/>
                      <w:bCs w:val="0"/>
                      <w:color w:val="auto"/>
                      <w:sz w:val="21"/>
                      <w:szCs w:val="21"/>
                      <w:highlight w:val="none"/>
                      <w:lang w:val="zh-CN" w:eastAsia="zh-CN"/>
                    </w:rPr>
                    <w:t>华玉山水小区</w:t>
                  </w:r>
                </w:p>
              </w:tc>
              <w:tc>
                <w:tcPr>
                  <w:tcW w:w="1503" w:type="dxa"/>
                  <w:noWrap w:val="0"/>
                  <w:vAlign w:val="center"/>
                </w:tcPr>
                <w:p w14:paraId="701D674D">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X：</w:t>
                  </w:r>
                  <w:r>
                    <w:rPr>
                      <w:rFonts w:hint="default" w:ascii="Times New Roman" w:hAnsi="Times New Roman" w:cs="Times New Roman"/>
                      <w:color w:val="auto"/>
                      <w:sz w:val="21"/>
                      <w:szCs w:val="21"/>
                      <w:highlight w:val="none"/>
                      <w:shd w:val="clear" w:color="auto" w:fill="auto"/>
                      <w:lang w:val="en-US" w:eastAsia="zh-CN"/>
                    </w:rPr>
                    <w:t>513357.52</w:t>
                  </w:r>
                  <w:r>
                    <w:rPr>
                      <w:rFonts w:hint="default" w:ascii="Times New Roman" w:hAnsi="Times New Roman" w:eastAsia="宋体" w:cs="Times New Roman"/>
                      <w:color w:val="auto"/>
                      <w:sz w:val="21"/>
                      <w:szCs w:val="21"/>
                      <w:highlight w:val="none"/>
                      <w:shd w:val="clear" w:color="auto" w:fill="auto"/>
                      <w:lang w:val="en-US" w:eastAsia="zh-CN"/>
                    </w:rPr>
                    <w:t xml:space="preserve"> </w:t>
                  </w:r>
                </w:p>
                <w:p w14:paraId="1FF0E127">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Y：</w:t>
                  </w:r>
                  <w:r>
                    <w:rPr>
                      <w:rFonts w:hint="default" w:ascii="Times New Roman" w:hAnsi="Times New Roman" w:cs="Times New Roman"/>
                      <w:color w:val="auto"/>
                      <w:sz w:val="21"/>
                      <w:szCs w:val="21"/>
                      <w:highlight w:val="none"/>
                      <w:shd w:val="clear" w:color="auto" w:fill="auto"/>
                      <w:lang w:val="en-US" w:eastAsia="zh-CN"/>
                    </w:rPr>
                    <w:t>4480107.70</w:t>
                  </w:r>
                </w:p>
              </w:tc>
              <w:tc>
                <w:tcPr>
                  <w:tcW w:w="703" w:type="dxa"/>
                  <w:noWrap w:val="0"/>
                  <w:vAlign w:val="center"/>
                </w:tcPr>
                <w:p w14:paraId="0D8FB077">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cs="Times New Roman"/>
                      <w:color w:val="auto"/>
                      <w:sz w:val="21"/>
                      <w:szCs w:val="21"/>
                      <w:highlight w:val="none"/>
                      <w:shd w:val="clear" w:color="auto" w:fill="auto"/>
                      <w:lang w:val="en-US" w:eastAsia="zh-CN"/>
                    </w:rPr>
                    <w:t>西南</w:t>
                  </w:r>
                </w:p>
              </w:tc>
              <w:tc>
                <w:tcPr>
                  <w:tcW w:w="801" w:type="dxa"/>
                  <w:noWrap w:val="0"/>
                  <w:vAlign w:val="center"/>
                </w:tcPr>
                <w:p w14:paraId="6EF636D3">
                  <w:pPr>
                    <w:pStyle w:val="10"/>
                    <w:keepNext w:val="0"/>
                    <w:keepLines w:val="0"/>
                    <w:suppressLineNumbers w:val="0"/>
                    <w:spacing w:before="0" w:beforeAutospacing="0" w:after="0" w:afterAutospacing="0" w:line="240" w:lineRule="auto"/>
                    <w:ind w:left="0" w:right="0" w:rightChars="0"/>
                    <w:jc w:val="center"/>
                    <w:rPr>
                      <w:rFonts w:hint="default" w:ascii="Times New Roman" w:hAnsi="Times New Roman" w:eastAsia="宋体" w:cs="Times New Roman"/>
                      <w:b w:val="0"/>
                      <w:bCs w:val="0"/>
                      <w:color w:val="auto"/>
                      <w:sz w:val="21"/>
                      <w:szCs w:val="21"/>
                      <w:highlight w:val="none"/>
                      <w:shd w:val="clear" w:color="auto" w:fill="auto"/>
                      <w:lang w:val="en-US" w:eastAsia="zh-CN"/>
                    </w:rPr>
                  </w:pPr>
                  <w:r>
                    <w:rPr>
                      <w:rFonts w:hint="default" w:ascii="Times New Roman" w:hAnsi="Times New Roman" w:cs="Times New Roman"/>
                      <w:b w:val="0"/>
                      <w:bCs w:val="0"/>
                      <w:color w:val="auto"/>
                      <w:kern w:val="2"/>
                      <w:sz w:val="21"/>
                      <w:szCs w:val="21"/>
                      <w:highlight w:val="none"/>
                      <w:lang w:val="en-US" w:eastAsia="zh-CN"/>
                    </w:rPr>
                    <w:t>420</w:t>
                  </w:r>
                </w:p>
              </w:tc>
              <w:tc>
                <w:tcPr>
                  <w:tcW w:w="1073" w:type="dxa"/>
                  <w:noWrap w:val="0"/>
                  <w:vAlign w:val="center"/>
                </w:tcPr>
                <w:p w14:paraId="07C9CD1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color w:val="auto"/>
                      <w:kern w:val="0"/>
                      <w:sz w:val="21"/>
                      <w:szCs w:val="21"/>
                      <w:highlight w:val="none"/>
                      <w:u w:val="none"/>
                      <w:shd w:val="clear" w:color="auto" w:fill="auto"/>
                      <w:lang w:val="en-US" w:eastAsia="zh-CN" w:bidi="ar"/>
                    </w:rPr>
                  </w:pPr>
                  <w:r>
                    <w:rPr>
                      <w:rFonts w:hint="default" w:ascii="Times New Roman" w:hAnsi="Times New Roman" w:cs="Times New Roman"/>
                      <w:i w:val="0"/>
                      <w:color w:val="auto"/>
                      <w:kern w:val="0"/>
                      <w:sz w:val="21"/>
                      <w:szCs w:val="21"/>
                      <w:highlight w:val="none"/>
                      <w:u w:val="none"/>
                      <w:shd w:val="clear" w:color="auto" w:fill="auto"/>
                      <w:lang w:val="en-US" w:eastAsia="zh-CN" w:bidi="ar"/>
                    </w:rPr>
                    <w:t>42</w:t>
                  </w:r>
                  <w:r>
                    <w:rPr>
                      <w:rFonts w:hint="default" w:ascii="Times New Roman" w:hAnsi="Times New Roman" w:eastAsia="宋体" w:cs="Times New Roman"/>
                      <w:i w:val="0"/>
                      <w:color w:val="auto"/>
                      <w:kern w:val="0"/>
                      <w:sz w:val="21"/>
                      <w:szCs w:val="21"/>
                      <w:highlight w:val="none"/>
                      <w:u w:val="none"/>
                      <w:shd w:val="clear" w:color="auto" w:fill="auto"/>
                      <w:lang w:val="en-US" w:eastAsia="zh-CN" w:bidi="ar"/>
                    </w:rPr>
                    <w:t>户，1</w:t>
                  </w:r>
                  <w:r>
                    <w:rPr>
                      <w:rFonts w:hint="default" w:ascii="Times New Roman" w:hAnsi="Times New Roman" w:cs="Times New Roman"/>
                      <w:i w:val="0"/>
                      <w:color w:val="auto"/>
                      <w:kern w:val="0"/>
                      <w:sz w:val="21"/>
                      <w:szCs w:val="21"/>
                      <w:highlight w:val="none"/>
                      <w:u w:val="none"/>
                      <w:shd w:val="clear" w:color="auto" w:fill="auto"/>
                      <w:lang w:val="en-US" w:eastAsia="zh-CN" w:bidi="ar"/>
                    </w:rPr>
                    <w:t>2</w:t>
                  </w:r>
                  <w:r>
                    <w:rPr>
                      <w:rFonts w:hint="default" w:ascii="Times New Roman" w:hAnsi="Times New Roman" w:eastAsia="宋体" w:cs="Times New Roman"/>
                      <w:i w:val="0"/>
                      <w:color w:val="auto"/>
                      <w:kern w:val="0"/>
                      <w:sz w:val="21"/>
                      <w:szCs w:val="21"/>
                      <w:highlight w:val="none"/>
                      <w:u w:val="none"/>
                      <w:shd w:val="clear" w:color="auto" w:fill="auto"/>
                      <w:lang w:val="en-US" w:eastAsia="zh-CN" w:bidi="ar"/>
                    </w:rPr>
                    <w:t>0人</w:t>
                  </w:r>
                </w:p>
              </w:tc>
              <w:tc>
                <w:tcPr>
                  <w:tcW w:w="2222" w:type="dxa"/>
                  <w:vMerge w:val="continue"/>
                  <w:noWrap w:val="0"/>
                  <w:vAlign w:val="center"/>
                </w:tcPr>
                <w:p w14:paraId="5E47B374">
                  <w:pPr>
                    <w:pStyle w:val="47"/>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rPr>
                  </w:pPr>
                </w:p>
              </w:tc>
            </w:tr>
            <w:tr w14:paraId="2E5D365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0" w:hRule="atLeast"/>
                <w:jc w:val="center"/>
              </w:trPr>
              <w:tc>
                <w:tcPr>
                  <w:tcW w:w="779" w:type="dxa"/>
                  <w:noWrap w:val="0"/>
                  <w:vAlign w:val="center"/>
                </w:tcPr>
                <w:p w14:paraId="5D8BBB75">
                  <w:pPr>
                    <w:pStyle w:val="47"/>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shd w:val="clear" w:color="auto" w:fill="auto"/>
                      <w:lang w:eastAsia="zh-CN"/>
                    </w:rPr>
                  </w:pPr>
                  <w:r>
                    <w:rPr>
                      <w:rFonts w:hint="default" w:ascii="Times New Roman" w:hAnsi="Times New Roman" w:eastAsia="宋体" w:cs="Times New Roman"/>
                      <w:bCs/>
                      <w:color w:val="auto"/>
                      <w:sz w:val="21"/>
                      <w:szCs w:val="21"/>
                      <w:highlight w:val="none"/>
                      <w:shd w:val="clear" w:color="auto" w:fill="auto"/>
                      <w:lang w:eastAsia="zh-CN"/>
                    </w:rPr>
                    <w:t>地表水</w:t>
                  </w:r>
                </w:p>
              </w:tc>
              <w:tc>
                <w:tcPr>
                  <w:tcW w:w="883" w:type="dxa"/>
                  <w:noWrap w:val="0"/>
                  <w:vAlign w:val="center"/>
                </w:tcPr>
                <w:p w14:paraId="3AA7BB59">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cs="Times New Roman"/>
                      <w:color w:val="auto"/>
                      <w:sz w:val="21"/>
                      <w:szCs w:val="21"/>
                      <w:highlight w:val="none"/>
                      <w:shd w:val="clear" w:color="auto" w:fill="auto"/>
                      <w:lang w:val="en-US" w:eastAsia="zh-CN"/>
                    </w:rPr>
                    <w:t>大洋河</w:t>
                  </w:r>
                </w:p>
              </w:tc>
              <w:tc>
                <w:tcPr>
                  <w:tcW w:w="1503" w:type="dxa"/>
                  <w:noWrap w:val="0"/>
                  <w:vAlign w:val="center"/>
                </w:tcPr>
                <w:p w14:paraId="77582D5A">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X：</w:t>
                  </w:r>
                  <w:r>
                    <w:rPr>
                      <w:rFonts w:hint="default" w:ascii="Times New Roman" w:hAnsi="Times New Roman" w:cs="Times New Roman"/>
                      <w:color w:val="auto"/>
                      <w:sz w:val="21"/>
                      <w:szCs w:val="21"/>
                      <w:highlight w:val="none"/>
                      <w:shd w:val="clear" w:color="auto" w:fill="auto"/>
                      <w:lang w:val="en-US" w:eastAsia="zh-CN"/>
                    </w:rPr>
                    <w:t>513832.40</w:t>
                  </w:r>
                  <w:r>
                    <w:rPr>
                      <w:rFonts w:hint="default" w:ascii="Times New Roman" w:hAnsi="Times New Roman" w:eastAsia="宋体" w:cs="Times New Roman"/>
                      <w:color w:val="auto"/>
                      <w:sz w:val="21"/>
                      <w:szCs w:val="21"/>
                      <w:highlight w:val="none"/>
                      <w:shd w:val="clear" w:color="auto" w:fill="auto"/>
                      <w:lang w:val="en-US" w:eastAsia="zh-CN"/>
                    </w:rPr>
                    <w:t xml:space="preserve"> </w:t>
                  </w:r>
                </w:p>
                <w:p w14:paraId="3CB347F3">
                  <w:pPr>
                    <w:pStyle w:val="1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Y：</w:t>
                  </w:r>
                  <w:r>
                    <w:rPr>
                      <w:rFonts w:hint="default" w:ascii="Times New Roman" w:hAnsi="Times New Roman" w:cs="Times New Roman"/>
                      <w:color w:val="auto"/>
                      <w:sz w:val="21"/>
                      <w:szCs w:val="21"/>
                      <w:highlight w:val="none"/>
                      <w:shd w:val="clear" w:color="auto" w:fill="auto"/>
                      <w:lang w:val="en-US" w:eastAsia="zh-CN"/>
                    </w:rPr>
                    <w:t>4480601.13</w:t>
                  </w:r>
                </w:p>
              </w:tc>
              <w:tc>
                <w:tcPr>
                  <w:tcW w:w="703" w:type="dxa"/>
                  <w:noWrap w:val="0"/>
                  <w:vAlign w:val="center"/>
                </w:tcPr>
                <w:p w14:paraId="2561EC9C">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cs="Times New Roman"/>
                      <w:color w:val="auto"/>
                      <w:sz w:val="21"/>
                      <w:szCs w:val="21"/>
                      <w:highlight w:val="none"/>
                      <w:shd w:val="clear" w:color="auto" w:fill="auto"/>
                      <w:lang w:val="en-US" w:eastAsia="zh-CN"/>
                    </w:rPr>
                    <w:t>西</w:t>
                  </w:r>
                </w:p>
              </w:tc>
              <w:tc>
                <w:tcPr>
                  <w:tcW w:w="801" w:type="dxa"/>
                  <w:noWrap w:val="0"/>
                  <w:vAlign w:val="center"/>
                </w:tcPr>
                <w:p w14:paraId="7D29EF44">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sz w:val="21"/>
                      <w:szCs w:val="21"/>
                      <w:highlight w:val="none"/>
                      <w:shd w:val="clear" w:color="auto" w:fill="auto"/>
                      <w:lang w:val="en-US" w:eastAsia="zh-CN"/>
                    </w:rPr>
                  </w:pPr>
                  <w:r>
                    <w:rPr>
                      <w:rFonts w:hint="eastAsia" w:cs="Times New Roman"/>
                      <w:bCs/>
                      <w:color w:val="auto"/>
                      <w:sz w:val="21"/>
                      <w:szCs w:val="21"/>
                      <w:highlight w:val="none"/>
                      <w:shd w:val="clear" w:color="auto" w:fill="auto"/>
                      <w:lang w:val="en-US" w:eastAsia="zh-CN"/>
                    </w:rPr>
                    <w:t>55</w:t>
                  </w:r>
                </w:p>
              </w:tc>
              <w:tc>
                <w:tcPr>
                  <w:tcW w:w="1073" w:type="dxa"/>
                  <w:noWrap w:val="0"/>
                  <w:vAlign w:val="center"/>
                </w:tcPr>
                <w:p w14:paraId="733FEBE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color w:val="auto"/>
                      <w:kern w:val="0"/>
                      <w:sz w:val="21"/>
                      <w:szCs w:val="21"/>
                      <w:highlight w:val="none"/>
                      <w:u w:val="none"/>
                      <w:shd w:val="clear" w:color="auto" w:fill="auto"/>
                      <w:lang w:val="en-US" w:eastAsia="zh-CN" w:bidi="ar"/>
                    </w:rPr>
                  </w:pPr>
                  <w:r>
                    <w:rPr>
                      <w:rFonts w:hint="default" w:ascii="Times New Roman" w:hAnsi="Times New Roman" w:eastAsia="宋体" w:cs="Times New Roman"/>
                      <w:i w:val="0"/>
                      <w:color w:val="auto"/>
                      <w:kern w:val="0"/>
                      <w:sz w:val="21"/>
                      <w:szCs w:val="21"/>
                      <w:highlight w:val="none"/>
                      <w:u w:val="none"/>
                      <w:shd w:val="clear" w:color="auto" w:fill="auto"/>
                      <w:lang w:val="en-US" w:eastAsia="zh-CN" w:bidi="ar"/>
                    </w:rPr>
                    <w:t>地表水</w:t>
                  </w:r>
                </w:p>
              </w:tc>
              <w:tc>
                <w:tcPr>
                  <w:tcW w:w="2222" w:type="dxa"/>
                  <w:noWrap w:val="0"/>
                  <w:vAlign w:val="center"/>
                </w:tcPr>
                <w:p w14:paraId="78305A64">
                  <w:pPr>
                    <w:pStyle w:val="47"/>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rPr>
                  </w:pPr>
                  <w:r>
                    <w:rPr>
                      <w:rFonts w:hint="default" w:ascii="Times New Roman" w:hAnsi="Times New Roman" w:eastAsia="宋体" w:cs="Times New Roman"/>
                      <w:b w:val="0"/>
                      <w:color w:val="auto"/>
                      <w:szCs w:val="21"/>
                      <w:highlight w:val="none"/>
                      <w:lang w:val="en-US" w:eastAsia="zh-CN"/>
                    </w:rPr>
                    <w:t>《地表水环境质量标准》（GB3838-2002）中</w:t>
                  </w:r>
                  <w:r>
                    <w:rPr>
                      <w:rFonts w:hint="default" w:ascii="Times New Roman" w:hAnsi="Times New Roman" w:eastAsia="宋体" w:cs="Times New Roman"/>
                      <w:b w:val="0"/>
                      <w:bCs/>
                      <w:color w:val="auto"/>
                      <w:sz w:val="21"/>
                      <w:szCs w:val="21"/>
                      <w:highlight w:val="none"/>
                      <w:lang w:val="en-US" w:eastAsia="zh-CN"/>
                    </w:rPr>
                    <w:t>Ⅱ</w:t>
                  </w:r>
                  <w:r>
                    <w:rPr>
                      <w:rFonts w:hint="default" w:ascii="Times New Roman" w:hAnsi="Times New Roman" w:eastAsia="宋体" w:cs="Times New Roman"/>
                      <w:b w:val="0"/>
                      <w:color w:val="auto"/>
                      <w:szCs w:val="21"/>
                      <w:highlight w:val="none"/>
                      <w:lang w:val="en-US" w:eastAsia="zh-CN"/>
                    </w:rPr>
                    <w:t>类标准</w:t>
                  </w:r>
                </w:p>
              </w:tc>
            </w:tr>
          </w:tbl>
          <w:p w14:paraId="69A518E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highlight w:val="none"/>
                <w:shd w:val="clear" w:color="auto" w:fill="auto"/>
              </w:rPr>
            </w:pPr>
          </w:p>
        </w:tc>
      </w:tr>
      <w:tr w14:paraId="01B5A7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tcBorders>
              <w:top w:val="single" w:color="auto" w:sz="4" w:space="0"/>
              <w:left w:val="single" w:color="auto" w:sz="8" w:space="0"/>
              <w:bottom w:val="single" w:color="auto" w:sz="4" w:space="0"/>
              <w:right w:val="single" w:color="auto" w:sz="4" w:space="0"/>
            </w:tcBorders>
            <w:noWrap w:val="0"/>
            <w:tcMar>
              <w:left w:w="28" w:type="dxa"/>
              <w:right w:w="28" w:type="dxa"/>
            </w:tcMar>
            <w:vAlign w:val="center"/>
          </w:tcPr>
          <w:p w14:paraId="2B4A141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highlight w:val="none"/>
                <w:shd w:val="clear" w:color="auto" w:fill="auto"/>
              </w:rPr>
            </w:pPr>
            <w:r>
              <w:rPr>
                <w:rFonts w:hint="default" w:ascii="Times New Roman" w:hAnsi="Times New Roman" w:eastAsia="宋体" w:cs="Times New Roman"/>
                <w:color w:val="auto"/>
                <w:kern w:val="0"/>
                <w:szCs w:val="21"/>
                <w:highlight w:val="none"/>
                <w:shd w:val="clear" w:color="auto" w:fill="auto"/>
                <w:lang w:bidi="ar"/>
              </w:rPr>
              <w:t>污染</w:t>
            </w:r>
          </w:p>
          <w:p w14:paraId="1B10FD5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highlight w:val="none"/>
                <w:shd w:val="clear" w:color="auto" w:fill="auto"/>
              </w:rPr>
            </w:pPr>
            <w:r>
              <w:rPr>
                <w:rFonts w:hint="default" w:ascii="Times New Roman" w:hAnsi="Times New Roman" w:eastAsia="宋体" w:cs="Times New Roman"/>
                <w:color w:val="auto"/>
                <w:kern w:val="0"/>
                <w:szCs w:val="21"/>
                <w:highlight w:val="none"/>
                <w:shd w:val="clear" w:color="auto" w:fill="auto"/>
                <w:lang w:bidi="ar"/>
              </w:rPr>
              <w:t>物排</w:t>
            </w:r>
          </w:p>
          <w:p w14:paraId="7997C8A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highlight w:val="none"/>
                <w:shd w:val="clear" w:color="auto" w:fill="auto"/>
              </w:rPr>
            </w:pPr>
            <w:r>
              <w:rPr>
                <w:rFonts w:hint="default" w:ascii="Times New Roman" w:hAnsi="Times New Roman" w:eastAsia="宋体" w:cs="Times New Roman"/>
                <w:color w:val="auto"/>
                <w:kern w:val="0"/>
                <w:szCs w:val="21"/>
                <w:highlight w:val="none"/>
                <w:shd w:val="clear" w:color="auto" w:fill="auto"/>
                <w:lang w:bidi="ar"/>
              </w:rPr>
              <w:t>放控</w:t>
            </w:r>
          </w:p>
          <w:p w14:paraId="6C1AB09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highlight w:val="none"/>
                <w:shd w:val="clear" w:color="auto" w:fill="auto"/>
              </w:rPr>
            </w:pPr>
            <w:r>
              <w:rPr>
                <w:rFonts w:hint="default" w:ascii="Times New Roman" w:hAnsi="Times New Roman" w:eastAsia="宋体" w:cs="Times New Roman"/>
                <w:color w:val="auto"/>
                <w:kern w:val="0"/>
                <w:szCs w:val="21"/>
                <w:highlight w:val="none"/>
                <w:shd w:val="clear" w:color="auto" w:fill="auto"/>
                <w:lang w:bidi="ar"/>
              </w:rPr>
              <w:t>制标</w:t>
            </w:r>
          </w:p>
          <w:p w14:paraId="3BFC625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highlight w:val="none"/>
                <w:shd w:val="clear" w:color="auto" w:fill="auto"/>
              </w:rPr>
            </w:pPr>
            <w:r>
              <w:rPr>
                <w:rFonts w:hint="default" w:ascii="Times New Roman" w:hAnsi="Times New Roman" w:eastAsia="宋体" w:cs="Times New Roman"/>
                <w:color w:val="auto"/>
                <w:kern w:val="0"/>
                <w:szCs w:val="21"/>
                <w:highlight w:val="none"/>
                <w:shd w:val="clear" w:color="auto" w:fill="auto"/>
                <w:lang w:bidi="ar"/>
              </w:rPr>
              <w:t>准</w:t>
            </w:r>
          </w:p>
        </w:tc>
        <w:tc>
          <w:tcPr>
            <w:tcW w:w="8190" w:type="dxa"/>
            <w:tcBorders>
              <w:top w:val="single" w:color="auto" w:sz="4" w:space="0"/>
              <w:left w:val="single" w:color="auto" w:sz="4" w:space="0"/>
              <w:bottom w:val="single" w:color="auto" w:sz="4" w:space="0"/>
              <w:right w:val="single" w:color="auto" w:sz="8" w:space="0"/>
            </w:tcBorders>
            <w:noWrap w:val="0"/>
            <w:vAlign w:val="center"/>
          </w:tcPr>
          <w:p w14:paraId="3A61CC91">
            <w:pPr>
              <w:keepNext w:val="0"/>
              <w:keepLines w:val="0"/>
              <w:numPr>
                <w:ilvl w:val="0"/>
                <w:numId w:val="0"/>
              </w:numPr>
              <w:suppressLineNumbers w:val="0"/>
              <w:spacing w:before="0" w:beforeAutospacing="0" w:after="0" w:afterAutospacing="0" w:line="360" w:lineRule="auto"/>
              <w:ind w:left="0" w:right="0"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项目施工期废气执行《辽宁省施工及堆料场地扬尘排放标准》（DB21/2642-2016）</w:t>
            </w:r>
          </w:p>
          <w:p w14:paraId="0041923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bCs/>
                <w:color w:val="auto"/>
                <w:sz w:val="24"/>
                <w:highlight w:val="none"/>
              </w:rPr>
              <w:t>表</w:t>
            </w:r>
            <w:r>
              <w:rPr>
                <w:rFonts w:hint="default" w:ascii="Times New Roman" w:hAnsi="Times New Roman" w:cs="Times New Roman"/>
                <w:bCs/>
                <w:color w:val="auto"/>
                <w:sz w:val="24"/>
                <w:highlight w:val="none"/>
                <w:lang w:val="en-US" w:eastAsia="zh-CN"/>
              </w:rPr>
              <w:t>3-7</w:t>
            </w:r>
            <w:r>
              <w:rPr>
                <w:rFonts w:hint="default" w:ascii="Times New Roman" w:hAnsi="Times New Roman" w:cs="Times New Roman"/>
                <w:bCs/>
                <w:color w:val="auto"/>
                <w:sz w:val="24"/>
                <w:highlight w:val="none"/>
              </w:rPr>
              <w:t xml:space="preserve"> </w:t>
            </w:r>
            <w:r>
              <w:rPr>
                <w:rFonts w:hint="default" w:ascii="Times New Roman" w:hAnsi="Times New Roman" w:cs="Times New Roman"/>
                <w:bCs/>
                <w:color w:val="auto"/>
                <w:sz w:val="24"/>
                <w:highlight w:val="none"/>
                <w:lang w:val="en-US" w:eastAsia="zh-CN"/>
              </w:rPr>
              <w:t xml:space="preserve"> </w:t>
            </w:r>
            <w:r>
              <w:rPr>
                <w:rFonts w:hint="default" w:ascii="Times New Roman" w:hAnsi="Times New Roman" w:cs="Times New Roman"/>
                <w:bCs/>
                <w:color w:val="auto"/>
                <w:sz w:val="24"/>
                <w:highlight w:val="none"/>
              </w:rPr>
              <w:t>《辽宁省施工及堆料场地扬尘排放标准》</w:t>
            </w:r>
            <w:r>
              <w:rPr>
                <w:rFonts w:hint="default" w:ascii="Times New Roman" w:hAnsi="Times New Roman" w:cs="Times New Roman"/>
                <w:color w:val="auto"/>
                <w:sz w:val="24"/>
                <w:highlight w:val="none"/>
              </w:rPr>
              <w:t>（DB21/2642-2016）</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23"/>
              <w:gridCol w:w="2523"/>
              <w:gridCol w:w="3092"/>
            </w:tblGrid>
            <w:tr w14:paraId="0D65D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3" w:type="dxa"/>
                  <w:noWrap w:val="0"/>
                  <w:vAlign w:val="center"/>
                </w:tcPr>
                <w:p w14:paraId="08F7E5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监测项目</w:t>
                  </w:r>
                </w:p>
              </w:tc>
              <w:tc>
                <w:tcPr>
                  <w:tcW w:w="2523" w:type="dxa"/>
                  <w:noWrap w:val="0"/>
                  <w:vAlign w:val="center"/>
                </w:tcPr>
                <w:p w14:paraId="34154B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区域</w:t>
                  </w:r>
                </w:p>
              </w:tc>
              <w:tc>
                <w:tcPr>
                  <w:tcW w:w="3092" w:type="dxa"/>
                  <w:noWrap w:val="0"/>
                  <w:vAlign w:val="center"/>
                </w:tcPr>
                <w:p w14:paraId="00986D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浓</w:t>
                  </w:r>
                  <w:r>
                    <w:rPr>
                      <w:rFonts w:hint="default" w:ascii="Times New Roman" w:hAnsi="Times New Roman" w:cs="Times New Roman"/>
                      <w:color w:val="auto"/>
                      <w:szCs w:val="21"/>
                      <w:highlight w:val="none"/>
                    </w:rPr>
                    <w:cr/>
                  </w:r>
                  <w:r>
                    <w:rPr>
                      <w:rFonts w:hint="default" w:ascii="Times New Roman" w:hAnsi="Times New Roman" w:cs="Times New Roman"/>
                      <w:color w:val="auto"/>
                      <w:szCs w:val="21"/>
                      <w:highlight w:val="none"/>
                    </w:rPr>
                    <w:t>限值（连续5min平均浓度）</w:t>
                  </w:r>
                </w:p>
              </w:tc>
            </w:tr>
            <w:tr w14:paraId="52F25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23" w:type="dxa"/>
                  <w:noWrap w:val="0"/>
                  <w:vAlign w:val="center"/>
                </w:tcPr>
                <w:p w14:paraId="79A613E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颗粒物（TSP）</w:t>
                  </w:r>
                </w:p>
              </w:tc>
              <w:tc>
                <w:tcPr>
                  <w:tcW w:w="2523" w:type="dxa"/>
                  <w:noWrap w:val="0"/>
                  <w:vAlign w:val="center"/>
                </w:tcPr>
                <w:p w14:paraId="64C00C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郊区及农村地区</w:t>
                  </w:r>
                </w:p>
              </w:tc>
              <w:tc>
                <w:tcPr>
                  <w:tcW w:w="3092" w:type="dxa"/>
                  <w:noWrap w:val="0"/>
                  <w:vAlign w:val="center"/>
                </w:tcPr>
                <w:p w14:paraId="3C1AF4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w:t>
                  </w:r>
                </w:p>
              </w:tc>
            </w:tr>
          </w:tbl>
          <w:p w14:paraId="6BF2E2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项目施工期噪声执行《建筑施工场界环境噪声排放标准》（GB12523-2011）</w:t>
            </w:r>
          </w:p>
          <w:p w14:paraId="0C6C0B1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firstLine="480" w:firstLineChars="200"/>
              <w:jc w:val="center"/>
              <w:textAlignment w:val="auto"/>
              <w:rPr>
                <w:rFonts w:hint="default" w:ascii="Times New Roman" w:hAnsi="Times New Roman" w:eastAsia="宋体" w:cs="Times New Roman"/>
                <w:bCs/>
                <w:color w:val="auto"/>
                <w:sz w:val="24"/>
                <w:highlight w:val="none"/>
                <w:lang w:eastAsia="zh-CN"/>
              </w:rPr>
            </w:pPr>
            <w:r>
              <w:rPr>
                <w:rFonts w:hint="default" w:ascii="Times New Roman" w:hAnsi="Times New Roman" w:eastAsia="宋体" w:cs="Times New Roman"/>
                <w:bCs/>
                <w:color w:val="auto"/>
                <w:sz w:val="24"/>
                <w:highlight w:val="none"/>
                <w:lang w:eastAsia="zh-CN"/>
              </w:rPr>
              <w:t>表</w:t>
            </w:r>
            <w:r>
              <w:rPr>
                <w:rFonts w:hint="default" w:ascii="Times New Roman" w:hAnsi="Times New Roman" w:cs="Times New Roman"/>
                <w:bCs/>
                <w:color w:val="auto"/>
                <w:sz w:val="24"/>
                <w:highlight w:val="none"/>
                <w:lang w:val="en-US" w:eastAsia="zh-CN"/>
              </w:rPr>
              <w:t>3-8</w:t>
            </w:r>
            <w:r>
              <w:rPr>
                <w:rFonts w:hint="default" w:ascii="Times New Roman" w:hAnsi="Times New Roman" w:eastAsia="宋体" w:cs="Times New Roman"/>
                <w:bCs/>
                <w:color w:val="auto"/>
                <w:sz w:val="24"/>
                <w:highlight w:val="none"/>
                <w:lang w:eastAsia="zh-CN"/>
              </w:rPr>
              <w:t xml:space="preserve"> 《建筑施工场界环境噪声排放标准》（GB12523-2011）</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88"/>
              <w:gridCol w:w="3988"/>
            </w:tblGrid>
            <w:tr w14:paraId="722F7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91" w:type="dxa"/>
                  <w:noWrap w:val="0"/>
                  <w:vAlign w:val="center"/>
                </w:tcPr>
                <w:p w14:paraId="0EBC67DB">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昼间</w:t>
                  </w:r>
                </w:p>
              </w:tc>
              <w:tc>
                <w:tcPr>
                  <w:tcW w:w="3991" w:type="dxa"/>
                  <w:noWrap w:val="0"/>
                  <w:vAlign w:val="center"/>
                </w:tcPr>
                <w:p w14:paraId="0E835DBA">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夜间</w:t>
                  </w:r>
                </w:p>
              </w:tc>
            </w:tr>
            <w:tr w14:paraId="72B167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991" w:type="dxa"/>
                  <w:noWrap w:val="0"/>
                  <w:vAlign w:val="center"/>
                </w:tcPr>
                <w:p w14:paraId="056E395F">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70</w:t>
                  </w:r>
                </w:p>
              </w:tc>
              <w:tc>
                <w:tcPr>
                  <w:tcW w:w="3991" w:type="dxa"/>
                  <w:noWrap w:val="0"/>
                  <w:vAlign w:val="center"/>
                </w:tcPr>
                <w:p w14:paraId="7D6E7242">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55</w:t>
                  </w:r>
                </w:p>
              </w:tc>
            </w:tr>
          </w:tbl>
          <w:p w14:paraId="4425238A">
            <w:pPr>
              <w:keepNext w:val="0"/>
              <w:keepLines w:val="0"/>
              <w:suppressLineNumbers w:val="0"/>
              <w:spacing w:before="156" w:beforeLines="50" w:beforeAutospacing="0" w:after="0" w:afterAutospacing="0" w:line="300" w:lineRule="exact"/>
              <w:ind w:left="0" w:right="0"/>
              <w:jc w:val="center"/>
              <w:rPr>
                <w:rFonts w:hint="default" w:ascii="Times New Roman" w:hAnsi="Times New Roman" w:eastAsia="宋体" w:cs="Times New Roman"/>
                <w:color w:val="auto"/>
                <w:sz w:val="24"/>
                <w:highlight w:val="none"/>
                <w:shd w:val="clear" w:color="auto" w:fill="auto"/>
              </w:rPr>
            </w:pPr>
            <w:r>
              <w:rPr>
                <w:rFonts w:hint="default" w:ascii="Times New Roman" w:hAnsi="Times New Roman" w:eastAsia="宋体" w:cs="Times New Roman"/>
                <w:color w:val="auto"/>
                <w:sz w:val="24"/>
                <w:highlight w:val="none"/>
                <w:shd w:val="clear" w:color="auto" w:fill="auto"/>
              </w:rPr>
              <w:t>表</w:t>
            </w:r>
            <w:r>
              <w:rPr>
                <w:rFonts w:hint="default" w:ascii="Times New Roman" w:hAnsi="Times New Roman" w:cs="Times New Roman"/>
                <w:color w:val="auto"/>
                <w:sz w:val="24"/>
                <w:highlight w:val="none"/>
                <w:shd w:val="clear" w:color="auto" w:fill="auto"/>
                <w:lang w:val="en-US" w:eastAsia="zh-CN"/>
              </w:rPr>
              <w:t>3-9</w:t>
            </w:r>
            <w:r>
              <w:rPr>
                <w:rFonts w:hint="default" w:ascii="Times New Roman" w:hAnsi="Times New Roman" w:eastAsia="宋体" w:cs="Times New Roman"/>
                <w:color w:val="auto"/>
                <w:sz w:val="24"/>
                <w:highlight w:val="none"/>
                <w:shd w:val="clear" w:color="auto" w:fill="auto"/>
              </w:rPr>
              <w:t xml:space="preserve">   《工业企业厂界环境噪声排放标准》（GB12348-2008）</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29"/>
              <w:gridCol w:w="2314"/>
              <w:gridCol w:w="1072"/>
              <w:gridCol w:w="1077"/>
              <w:gridCol w:w="1072"/>
            </w:tblGrid>
            <w:tr w14:paraId="50553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4" w:hRule="atLeast"/>
                <w:jc w:val="center"/>
              </w:trPr>
              <w:tc>
                <w:tcPr>
                  <w:tcW w:w="2429" w:type="dxa"/>
                  <w:vMerge w:val="restart"/>
                  <w:noWrap w:val="0"/>
                  <w:vAlign w:val="center"/>
                </w:tcPr>
                <w:p w14:paraId="6F5323F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highlight w:val="none"/>
                      <w:shd w:val="clear" w:color="auto" w:fill="auto"/>
                    </w:rPr>
                  </w:pPr>
                  <w:r>
                    <w:rPr>
                      <w:rFonts w:hint="default" w:ascii="Times New Roman" w:hAnsi="Times New Roman" w:eastAsia="宋体" w:cs="Times New Roman"/>
                      <w:color w:val="auto"/>
                      <w:sz w:val="21"/>
                      <w:highlight w:val="none"/>
                      <w:shd w:val="clear" w:color="auto" w:fill="auto"/>
                    </w:rPr>
                    <w:t>区域</w:t>
                  </w:r>
                </w:p>
              </w:tc>
              <w:tc>
                <w:tcPr>
                  <w:tcW w:w="2314" w:type="dxa"/>
                  <w:vMerge w:val="restart"/>
                  <w:noWrap w:val="0"/>
                  <w:vAlign w:val="center"/>
                </w:tcPr>
                <w:p w14:paraId="0CBF63A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highlight w:val="none"/>
                      <w:shd w:val="clear" w:color="auto" w:fill="auto"/>
                    </w:rPr>
                  </w:pPr>
                  <w:r>
                    <w:rPr>
                      <w:rFonts w:hint="default" w:ascii="Times New Roman" w:hAnsi="Times New Roman" w:eastAsia="宋体" w:cs="Times New Roman"/>
                      <w:color w:val="auto"/>
                      <w:sz w:val="21"/>
                      <w:highlight w:val="none"/>
                      <w:shd w:val="clear" w:color="auto" w:fill="auto"/>
                    </w:rPr>
                    <w:t>功能区</w:t>
                  </w:r>
                </w:p>
              </w:tc>
              <w:tc>
                <w:tcPr>
                  <w:tcW w:w="1072" w:type="dxa"/>
                  <w:vMerge w:val="restart"/>
                  <w:noWrap w:val="0"/>
                  <w:vAlign w:val="center"/>
                </w:tcPr>
                <w:p w14:paraId="30E85F3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highlight w:val="none"/>
                      <w:shd w:val="clear" w:color="auto" w:fill="auto"/>
                    </w:rPr>
                  </w:pPr>
                  <w:r>
                    <w:rPr>
                      <w:rFonts w:hint="default" w:ascii="Times New Roman" w:hAnsi="Times New Roman" w:eastAsia="宋体" w:cs="Times New Roman"/>
                      <w:color w:val="auto"/>
                      <w:sz w:val="21"/>
                      <w:highlight w:val="none"/>
                      <w:shd w:val="clear" w:color="auto" w:fill="auto"/>
                    </w:rPr>
                    <w:t>类别</w:t>
                  </w:r>
                </w:p>
              </w:tc>
              <w:tc>
                <w:tcPr>
                  <w:tcW w:w="2149" w:type="dxa"/>
                  <w:gridSpan w:val="2"/>
                  <w:noWrap w:val="0"/>
                  <w:vAlign w:val="center"/>
                </w:tcPr>
                <w:p w14:paraId="412F7B1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highlight w:val="none"/>
                      <w:shd w:val="clear" w:color="auto" w:fill="auto"/>
                    </w:rPr>
                  </w:pPr>
                  <w:r>
                    <w:rPr>
                      <w:rFonts w:hint="default" w:ascii="Times New Roman" w:hAnsi="Times New Roman" w:eastAsia="宋体" w:cs="Times New Roman"/>
                      <w:color w:val="auto"/>
                      <w:sz w:val="21"/>
                      <w:highlight w:val="none"/>
                      <w:shd w:val="clear" w:color="auto" w:fill="auto"/>
                    </w:rPr>
                    <w:t>标准值L</w:t>
                  </w:r>
                  <w:r>
                    <w:rPr>
                      <w:rFonts w:hint="default" w:ascii="Times New Roman" w:hAnsi="Times New Roman" w:eastAsia="宋体" w:cs="Times New Roman"/>
                      <w:color w:val="auto"/>
                      <w:sz w:val="21"/>
                      <w:highlight w:val="none"/>
                      <w:shd w:val="clear" w:color="auto" w:fill="auto"/>
                      <w:vertAlign w:val="subscript"/>
                    </w:rPr>
                    <w:t>Aeq</w:t>
                  </w:r>
                  <w:r>
                    <w:rPr>
                      <w:rFonts w:hint="default" w:ascii="Times New Roman" w:hAnsi="Times New Roman" w:eastAsia="宋体" w:cs="Times New Roman"/>
                      <w:color w:val="auto"/>
                      <w:sz w:val="21"/>
                      <w:highlight w:val="none"/>
                      <w:shd w:val="clear" w:color="auto" w:fill="auto"/>
                    </w:rPr>
                    <w:t>(dB)</w:t>
                  </w:r>
                </w:p>
              </w:tc>
            </w:tr>
            <w:tr w14:paraId="538CC3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4" w:hRule="atLeast"/>
                <w:jc w:val="center"/>
              </w:trPr>
              <w:tc>
                <w:tcPr>
                  <w:tcW w:w="2429" w:type="dxa"/>
                  <w:vMerge w:val="continue"/>
                  <w:noWrap w:val="0"/>
                  <w:vAlign w:val="center"/>
                </w:tcPr>
                <w:p w14:paraId="07F0691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highlight w:val="none"/>
                      <w:shd w:val="clear" w:color="auto" w:fill="auto"/>
                    </w:rPr>
                  </w:pPr>
                </w:p>
              </w:tc>
              <w:tc>
                <w:tcPr>
                  <w:tcW w:w="2314" w:type="dxa"/>
                  <w:vMerge w:val="continue"/>
                  <w:noWrap w:val="0"/>
                  <w:vAlign w:val="center"/>
                </w:tcPr>
                <w:p w14:paraId="3CDDAE5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highlight w:val="none"/>
                      <w:shd w:val="clear" w:color="auto" w:fill="auto"/>
                    </w:rPr>
                  </w:pPr>
                </w:p>
              </w:tc>
              <w:tc>
                <w:tcPr>
                  <w:tcW w:w="1072" w:type="dxa"/>
                  <w:vMerge w:val="continue"/>
                  <w:noWrap w:val="0"/>
                  <w:vAlign w:val="center"/>
                </w:tcPr>
                <w:p w14:paraId="6AB4CC0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highlight w:val="none"/>
                      <w:shd w:val="clear" w:color="auto" w:fill="auto"/>
                    </w:rPr>
                  </w:pPr>
                </w:p>
              </w:tc>
              <w:tc>
                <w:tcPr>
                  <w:tcW w:w="1077" w:type="dxa"/>
                  <w:noWrap w:val="0"/>
                  <w:vAlign w:val="center"/>
                </w:tcPr>
                <w:p w14:paraId="4B6378D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highlight w:val="none"/>
                      <w:shd w:val="clear" w:color="auto" w:fill="auto"/>
                    </w:rPr>
                  </w:pPr>
                  <w:r>
                    <w:rPr>
                      <w:rFonts w:hint="default" w:ascii="Times New Roman" w:hAnsi="Times New Roman" w:eastAsia="宋体" w:cs="Times New Roman"/>
                      <w:color w:val="auto"/>
                      <w:sz w:val="21"/>
                      <w:highlight w:val="none"/>
                      <w:shd w:val="clear" w:color="auto" w:fill="auto"/>
                    </w:rPr>
                    <w:t>昼</w:t>
                  </w:r>
                </w:p>
              </w:tc>
              <w:tc>
                <w:tcPr>
                  <w:tcW w:w="1072" w:type="dxa"/>
                  <w:noWrap w:val="0"/>
                  <w:vAlign w:val="center"/>
                </w:tcPr>
                <w:p w14:paraId="3D380EC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highlight w:val="none"/>
                      <w:shd w:val="clear" w:color="auto" w:fill="auto"/>
                    </w:rPr>
                  </w:pPr>
                  <w:r>
                    <w:rPr>
                      <w:rFonts w:hint="default" w:ascii="Times New Roman" w:hAnsi="Times New Roman" w:eastAsia="宋体" w:cs="Times New Roman"/>
                      <w:color w:val="auto"/>
                      <w:sz w:val="21"/>
                      <w:highlight w:val="none"/>
                      <w:shd w:val="clear" w:color="auto" w:fill="auto"/>
                    </w:rPr>
                    <w:t>夜</w:t>
                  </w:r>
                </w:p>
              </w:tc>
            </w:tr>
            <w:tr w14:paraId="33050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2429" w:type="dxa"/>
                  <w:noWrap w:val="0"/>
                  <w:vAlign w:val="center"/>
                </w:tcPr>
                <w:p w14:paraId="2BB5C9D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highlight w:val="none"/>
                      <w:shd w:val="clear" w:color="auto" w:fill="auto"/>
                    </w:rPr>
                  </w:pPr>
                  <w:r>
                    <w:rPr>
                      <w:rFonts w:hint="default" w:ascii="Times New Roman" w:hAnsi="Times New Roman" w:eastAsia="宋体" w:cs="Times New Roman"/>
                      <w:color w:val="auto"/>
                      <w:sz w:val="21"/>
                      <w:szCs w:val="21"/>
                      <w:highlight w:val="none"/>
                      <w:shd w:val="clear" w:color="auto" w:fill="auto"/>
                      <w:lang w:val="en-US" w:eastAsia="zh-CN"/>
                    </w:rPr>
                    <w:t>厂界</w:t>
                  </w:r>
                  <w:r>
                    <w:rPr>
                      <w:rFonts w:hint="eastAsia" w:cs="Times New Roman"/>
                      <w:color w:val="auto"/>
                      <w:sz w:val="21"/>
                      <w:szCs w:val="21"/>
                      <w:highlight w:val="none"/>
                      <w:shd w:val="clear" w:color="auto" w:fill="auto"/>
                      <w:lang w:val="en-US" w:eastAsia="zh-CN"/>
                    </w:rPr>
                    <w:t>四周</w:t>
                  </w:r>
                </w:p>
              </w:tc>
              <w:tc>
                <w:tcPr>
                  <w:tcW w:w="2314" w:type="dxa"/>
                  <w:noWrap w:val="0"/>
                  <w:vAlign w:val="center"/>
                </w:tcPr>
                <w:p w14:paraId="13402E5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highlight w:val="none"/>
                      <w:shd w:val="clear" w:color="auto" w:fill="auto"/>
                    </w:rPr>
                  </w:pPr>
                  <w:r>
                    <w:rPr>
                      <w:rFonts w:hint="default" w:ascii="Times New Roman" w:hAnsi="Times New Roman" w:cs="Times New Roman"/>
                      <w:color w:val="auto"/>
                      <w:sz w:val="21"/>
                      <w:szCs w:val="21"/>
                      <w:highlight w:val="none"/>
                      <w:shd w:val="clear" w:color="auto" w:fill="auto"/>
                      <w:lang w:eastAsia="zh-CN"/>
                    </w:rPr>
                    <w:t>混合区</w:t>
                  </w:r>
                </w:p>
              </w:tc>
              <w:tc>
                <w:tcPr>
                  <w:tcW w:w="1072" w:type="dxa"/>
                  <w:noWrap w:val="0"/>
                  <w:vAlign w:val="center"/>
                </w:tcPr>
                <w:p w14:paraId="5B4348C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highlight w:val="none"/>
                      <w:shd w:val="clear" w:color="auto" w:fill="auto"/>
                    </w:rPr>
                  </w:pPr>
                  <w:r>
                    <w:rPr>
                      <w:rFonts w:hint="default" w:ascii="Times New Roman" w:hAnsi="Times New Roman" w:cs="Times New Roman"/>
                      <w:color w:val="auto"/>
                      <w:sz w:val="21"/>
                      <w:szCs w:val="21"/>
                      <w:highlight w:val="none"/>
                      <w:shd w:val="clear" w:color="auto" w:fill="auto"/>
                      <w:lang w:val="en-US" w:eastAsia="zh-CN"/>
                    </w:rPr>
                    <w:t>2</w:t>
                  </w:r>
                  <w:r>
                    <w:rPr>
                      <w:rFonts w:hint="default" w:ascii="Times New Roman" w:hAnsi="Times New Roman" w:eastAsia="宋体" w:cs="Times New Roman"/>
                      <w:color w:val="auto"/>
                      <w:sz w:val="21"/>
                      <w:szCs w:val="21"/>
                      <w:highlight w:val="none"/>
                      <w:shd w:val="clear" w:color="auto" w:fill="auto"/>
                    </w:rPr>
                    <w:t>类</w:t>
                  </w:r>
                </w:p>
              </w:tc>
              <w:tc>
                <w:tcPr>
                  <w:tcW w:w="1077" w:type="dxa"/>
                  <w:noWrap w:val="0"/>
                  <w:vAlign w:val="center"/>
                </w:tcPr>
                <w:p w14:paraId="78261F2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highlight w:val="none"/>
                      <w:shd w:val="clear" w:color="auto" w:fill="auto"/>
                      <w:lang w:val="en-US"/>
                    </w:rPr>
                  </w:pPr>
                  <w:r>
                    <w:rPr>
                      <w:rFonts w:hint="default" w:ascii="Times New Roman" w:hAnsi="Times New Roman" w:eastAsia="宋体" w:cs="Times New Roman"/>
                      <w:color w:val="auto"/>
                      <w:sz w:val="21"/>
                      <w:szCs w:val="21"/>
                      <w:highlight w:val="none"/>
                      <w:shd w:val="clear" w:color="auto" w:fill="auto"/>
                      <w:lang w:val="en-US" w:eastAsia="zh-CN"/>
                    </w:rPr>
                    <w:t>6</w:t>
                  </w:r>
                  <w:r>
                    <w:rPr>
                      <w:rFonts w:hint="default" w:ascii="Times New Roman" w:hAnsi="Times New Roman" w:cs="Times New Roman"/>
                      <w:color w:val="auto"/>
                      <w:sz w:val="21"/>
                      <w:szCs w:val="21"/>
                      <w:highlight w:val="none"/>
                      <w:shd w:val="clear" w:color="auto" w:fill="auto"/>
                      <w:lang w:val="en-US" w:eastAsia="zh-CN"/>
                    </w:rPr>
                    <w:t>0</w:t>
                  </w:r>
                </w:p>
              </w:tc>
              <w:tc>
                <w:tcPr>
                  <w:tcW w:w="1072" w:type="dxa"/>
                  <w:noWrap w:val="0"/>
                  <w:vAlign w:val="center"/>
                </w:tcPr>
                <w:p w14:paraId="7DD8282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highlight w:val="none"/>
                      <w:shd w:val="clear" w:color="auto" w:fill="auto"/>
                      <w:lang w:val="en-US" w:eastAsia="zh-CN"/>
                    </w:rPr>
                  </w:pPr>
                  <w:r>
                    <w:rPr>
                      <w:rFonts w:hint="default" w:ascii="Times New Roman" w:hAnsi="Times New Roman" w:eastAsia="宋体" w:cs="Times New Roman"/>
                      <w:color w:val="auto"/>
                      <w:sz w:val="21"/>
                      <w:highlight w:val="none"/>
                      <w:shd w:val="clear" w:color="auto" w:fill="auto"/>
                      <w:lang w:val="en-US" w:eastAsia="zh-CN"/>
                    </w:rPr>
                    <w:t>5</w:t>
                  </w:r>
                  <w:r>
                    <w:rPr>
                      <w:rFonts w:hint="default" w:ascii="Times New Roman" w:hAnsi="Times New Roman" w:cs="Times New Roman"/>
                      <w:color w:val="auto"/>
                      <w:sz w:val="21"/>
                      <w:highlight w:val="none"/>
                      <w:shd w:val="clear" w:color="auto" w:fill="auto"/>
                      <w:lang w:val="en-US" w:eastAsia="zh-CN"/>
                    </w:rPr>
                    <w:t>0</w:t>
                  </w:r>
                </w:p>
              </w:tc>
            </w:tr>
          </w:tbl>
          <w:p w14:paraId="4492E1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各生产线</w:t>
            </w:r>
            <w:r>
              <w:rPr>
                <w:rFonts w:hint="default" w:ascii="Times New Roman" w:hAnsi="Times New Roman" w:eastAsia="宋体" w:cs="Times New Roman"/>
                <w:color w:val="auto"/>
                <w:sz w:val="24"/>
                <w:szCs w:val="24"/>
                <w:highlight w:val="none"/>
                <w:lang w:val="en-US" w:eastAsia="zh-CN"/>
              </w:rPr>
              <w:t>有组织</w:t>
            </w:r>
            <w:r>
              <w:rPr>
                <w:rFonts w:hint="default"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无组织颗粒物排放浓度</w:t>
            </w:r>
            <w:r>
              <w:rPr>
                <w:rFonts w:hint="default"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排气筒高度执行《镁质耐火材料工业大气污染物排放标准》（DB21/3011-2018）要求</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sz w:val="24"/>
                <w:szCs w:val="24"/>
                <w:highlight w:val="none"/>
                <w:lang w:val="en-US" w:eastAsia="zh-CN"/>
              </w:rPr>
              <w:t>见表</w:t>
            </w:r>
            <w:r>
              <w:rPr>
                <w:rFonts w:hint="default" w:ascii="Times New Roman" w:hAnsi="Times New Roman" w:cs="Times New Roman"/>
                <w:color w:val="auto"/>
                <w:sz w:val="24"/>
                <w:szCs w:val="24"/>
                <w:highlight w:val="none"/>
                <w:lang w:val="en-US" w:eastAsia="zh-CN"/>
              </w:rPr>
              <w:t>3-10</w:t>
            </w:r>
            <w:r>
              <w:rPr>
                <w:rFonts w:hint="default" w:ascii="Times New Roman" w:hAnsi="Times New Roman" w:eastAsia="宋体" w:cs="Times New Roman"/>
                <w:color w:val="auto"/>
                <w:sz w:val="24"/>
                <w:szCs w:val="24"/>
                <w:highlight w:val="none"/>
                <w:lang w:val="en-US" w:eastAsia="zh-CN"/>
              </w:rPr>
              <w:t>。</w:t>
            </w:r>
          </w:p>
          <w:p w14:paraId="12A2A1AD">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highlight w:val="none"/>
              </w:rPr>
            </w:pPr>
            <w:r>
              <w:rPr>
                <w:rFonts w:hint="eastAsia"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表</w:t>
            </w:r>
            <w:r>
              <w:rPr>
                <w:rFonts w:hint="default" w:ascii="Times New Roman" w:hAnsi="Times New Roman" w:cs="Times New Roman"/>
                <w:color w:val="auto"/>
                <w:sz w:val="24"/>
                <w:szCs w:val="24"/>
                <w:highlight w:val="none"/>
                <w:lang w:val="en-US" w:eastAsia="zh-CN"/>
              </w:rPr>
              <w:t>3-1</w:t>
            </w:r>
            <w:r>
              <w:rPr>
                <w:rFonts w:hint="eastAsia"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rPr>
              <w:t>《镁质耐火材料工业大气污染物排放标准》（DB21/3011-2018）</w:t>
            </w:r>
          </w:p>
          <w:tbl>
            <w:tblPr>
              <w:tblStyle w:val="25"/>
              <w:tblW w:w="79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03"/>
              <w:gridCol w:w="2336"/>
              <w:gridCol w:w="1326"/>
              <w:gridCol w:w="2214"/>
            </w:tblGrid>
            <w:tr w14:paraId="48A6E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103" w:type="dxa"/>
                  <w:vMerge w:val="restart"/>
                  <w:noWrap w:val="0"/>
                  <w:vAlign w:val="center"/>
                </w:tcPr>
                <w:p w14:paraId="7AA3784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生产工序</w:t>
                  </w:r>
                </w:p>
              </w:tc>
              <w:tc>
                <w:tcPr>
                  <w:tcW w:w="2336" w:type="dxa"/>
                  <w:noWrap w:val="0"/>
                  <w:vAlign w:val="center"/>
                </w:tcPr>
                <w:p w14:paraId="71F682F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污染物排放浓度限值（mg/m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tc>
              <w:tc>
                <w:tcPr>
                  <w:tcW w:w="1326" w:type="dxa"/>
                  <w:vMerge w:val="restart"/>
                  <w:noWrap w:val="0"/>
                  <w:vAlign w:val="center"/>
                </w:tcPr>
                <w:p w14:paraId="4A9534C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排气筒最低允许高度（m）</w:t>
                  </w:r>
                </w:p>
              </w:tc>
              <w:tc>
                <w:tcPr>
                  <w:tcW w:w="2214" w:type="dxa"/>
                  <w:vMerge w:val="restart"/>
                  <w:noWrap w:val="0"/>
                  <w:vAlign w:val="center"/>
                </w:tcPr>
                <w:p w14:paraId="6EBCF9B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无组织监控浓度（周界外浓度最高点）</w:t>
                  </w:r>
                  <w:r>
                    <w:rPr>
                      <w:rFonts w:hint="default" w:ascii="Times New Roman" w:hAnsi="Times New Roman" w:eastAsia="宋体" w:cs="Times New Roman"/>
                      <w:color w:val="auto"/>
                      <w:highlight w:val="none"/>
                      <w:lang w:val="en-IE"/>
                    </w:rPr>
                    <w:t>（</w:t>
                  </w:r>
                  <w:r>
                    <w:rPr>
                      <w:rFonts w:hint="default" w:ascii="Times New Roman" w:hAnsi="Times New Roman" w:eastAsia="宋体" w:cs="Times New Roman"/>
                      <w:color w:val="auto"/>
                      <w:highlight w:val="none"/>
                    </w:rPr>
                    <w:t>mg/m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lang w:val="en-IE"/>
                    </w:rPr>
                    <w:t>）</w:t>
                  </w:r>
                </w:p>
              </w:tc>
            </w:tr>
            <w:tr w14:paraId="6E5AFB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103" w:type="dxa"/>
                  <w:vMerge w:val="continue"/>
                  <w:noWrap w:val="0"/>
                  <w:vAlign w:val="center"/>
                </w:tcPr>
                <w:p w14:paraId="42A17A1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rPr>
                  </w:pPr>
                </w:p>
              </w:tc>
              <w:tc>
                <w:tcPr>
                  <w:tcW w:w="2336" w:type="dxa"/>
                  <w:noWrap w:val="0"/>
                  <w:vAlign w:val="center"/>
                </w:tcPr>
                <w:p w14:paraId="369D2B1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颗粒物</w:t>
                  </w:r>
                </w:p>
              </w:tc>
              <w:tc>
                <w:tcPr>
                  <w:tcW w:w="1326" w:type="dxa"/>
                  <w:vMerge w:val="continue"/>
                  <w:noWrap w:val="0"/>
                  <w:vAlign w:val="center"/>
                </w:tcPr>
                <w:p w14:paraId="36F215A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rPr>
                  </w:pPr>
                </w:p>
              </w:tc>
              <w:tc>
                <w:tcPr>
                  <w:tcW w:w="2214" w:type="dxa"/>
                  <w:vMerge w:val="continue"/>
                  <w:noWrap w:val="0"/>
                  <w:vAlign w:val="center"/>
                </w:tcPr>
                <w:p w14:paraId="1A4812A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rPr>
                  </w:pPr>
                </w:p>
              </w:tc>
            </w:tr>
            <w:tr w14:paraId="661E5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103" w:type="dxa"/>
                  <w:noWrap w:val="0"/>
                  <w:vAlign w:val="center"/>
                </w:tcPr>
                <w:p w14:paraId="2409AA6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输送、筛分、破粉碎等其他生产设施</w:t>
                  </w:r>
                </w:p>
              </w:tc>
              <w:tc>
                <w:tcPr>
                  <w:tcW w:w="2336" w:type="dxa"/>
                  <w:noWrap w:val="0"/>
                  <w:vAlign w:val="center"/>
                </w:tcPr>
                <w:p w14:paraId="7216F2B4">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30</w:t>
                  </w:r>
                </w:p>
              </w:tc>
              <w:tc>
                <w:tcPr>
                  <w:tcW w:w="1326" w:type="dxa"/>
                  <w:noWrap w:val="0"/>
                  <w:vAlign w:val="center"/>
                </w:tcPr>
                <w:p w14:paraId="702F8A5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w:t>
                  </w:r>
                </w:p>
              </w:tc>
              <w:tc>
                <w:tcPr>
                  <w:tcW w:w="2214" w:type="dxa"/>
                  <w:noWrap w:val="0"/>
                  <w:vAlign w:val="center"/>
                </w:tcPr>
                <w:p w14:paraId="1F79649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0.8</w:t>
                  </w:r>
                </w:p>
              </w:tc>
            </w:tr>
          </w:tbl>
          <w:p w14:paraId="0AF11E18">
            <w:pPr>
              <w:keepNext w:val="0"/>
              <w:keepLines w:val="0"/>
              <w:suppressLineNumbers w:val="0"/>
              <w:spacing w:before="0" w:beforeAutospacing="0" w:after="0" w:afterAutospacing="0" w:line="360" w:lineRule="auto"/>
              <w:ind w:left="0" w:right="0" w:firstLine="480" w:firstLineChars="200"/>
              <w:jc w:val="both"/>
              <w:rPr>
                <w:rFonts w:hint="default" w:cs="Times New Roman"/>
                <w:color w:val="auto"/>
                <w:sz w:val="24"/>
                <w:szCs w:val="24"/>
                <w:highlight w:val="none"/>
                <w:lang w:val="en-US" w:eastAsia="zh-CN"/>
              </w:rPr>
            </w:pPr>
            <w:r>
              <w:rPr>
                <w:rFonts w:hint="eastAsia" w:cs="Times New Roman"/>
                <w:color w:val="auto"/>
                <w:sz w:val="24"/>
                <w:szCs w:val="24"/>
                <w:highlight w:val="none"/>
                <w:lang w:val="en-US" w:eastAsia="zh-CN"/>
              </w:rPr>
              <w:t>车辆冲洗回用水、水洗白云石生产线回用水水质执行《城市污水再生利用 城市杂用水水质》（GB/T 18920-2020）</w:t>
            </w:r>
          </w:p>
          <w:p w14:paraId="4CFF03AC">
            <w:pPr>
              <w:keepNext w:val="0"/>
              <w:keepLines w:val="0"/>
              <w:suppressLineNumbers w:val="0"/>
              <w:spacing w:before="0" w:beforeAutospacing="0" w:after="0" w:afterAutospacing="0" w:line="360" w:lineRule="auto"/>
              <w:ind w:left="0" w:right="0"/>
              <w:jc w:val="center"/>
              <w:rPr>
                <w:rFonts w:hint="eastAsia" w:cs="Times New Roman"/>
                <w:color w:val="auto"/>
                <w:sz w:val="24"/>
                <w:szCs w:val="24"/>
                <w:highlight w:val="none"/>
                <w:lang w:val="en-US" w:eastAsia="zh-CN"/>
              </w:rPr>
            </w:pPr>
            <w:r>
              <w:rPr>
                <w:rFonts w:hint="eastAsia" w:cs="Times New Roman"/>
                <w:color w:val="auto"/>
                <w:sz w:val="24"/>
                <w:szCs w:val="24"/>
                <w:highlight w:val="none"/>
                <w:lang w:eastAsia="zh-CN"/>
              </w:rPr>
              <w:t>表</w:t>
            </w:r>
            <w:r>
              <w:rPr>
                <w:rFonts w:hint="eastAsia" w:cs="Times New Roman"/>
                <w:color w:val="auto"/>
                <w:sz w:val="24"/>
                <w:szCs w:val="24"/>
                <w:highlight w:val="none"/>
                <w:lang w:val="en-US" w:eastAsia="zh-CN"/>
              </w:rPr>
              <w:t>3-11  《城市污水再生利用 城市杂用水水质》（GB</w:t>
            </w:r>
            <w:r>
              <w:rPr>
                <w:rFonts w:hint="eastAsia"/>
                <w:color w:val="auto"/>
                <w:highlight w:val="none"/>
                <w:lang w:val="en-US" w:eastAsia="zh-CN"/>
              </w:rPr>
              <w:t>/</w:t>
            </w:r>
            <w:r>
              <w:rPr>
                <w:rFonts w:hint="eastAsia" w:cs="Times New Roman"/>
                <w:color w:val="auto"/>
                <w:sz w:val="24"/>
                <w:szCs w:val="24"/>
                <w:highlight w:val="none"/>
                <w:lang w:val="en-US" w:eastAsia="zh-CN"/>
              </w:rPr>
              <w:t>T 18920-2020）</w:t>
            </w:r>
          </w:p>
          <w:p w14:paraId="57858521">
            <w:pPr>
              <w:keepNext w:val="0"/>
              <w:keepLines w:val="0"/>
              <w:suppressLineNumbers w:val="0"/>
              <w:spacing w:before="0" w:beforeAutospacing="0" w:after="0" w:afterAutospacing="0" w:line="360" w:lineRule="auto"/>
              <w:ind w:left="0" w:right="0"/>
              <w:jc w:val="center"/>
              <w:rPr>
                <w:rFonts w:hint="eastAsia" w:cs="Times New Roman"/>
                <w:color w:val="auto"/>
                <w:sz w:val="24"/>
                <w:szCs w:val="24"/>
                <w:highlight w:val="none"/>
                <w:lang w:eastAsia="zh-CN"/>
              </w:rPr>
            </w:pPr>
            <w:r>
              <w:rPr>
                <w:rFonts w:hint="eastAsia" w:cs="Times New Roman"/>
                <w:color w:val="auto"/>
                <w:sz w:val="24"/>
                <w:szCs w:val="24"/>
                <w:highlight w:val="none"/>
                <w:lang w:eastAsia="zh-CN"/>
              </w:rPr>
              <w:t>城市杂用水水质基本控制项目及限值</w:t>
            </w:r>
          </w:p>
          <w:tbl>
            <w:tblPr>
              <w:tblStyle w:val="2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2"/>
              <w:gridCol w:w="3376"/>
              <w:gridCol w:w="1601"/>
              <w:gridCol w:w="2137"/>
            </w:tblGrid>
            <w:tr w14:paraId="58927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0" w:type="pct"/>
                  <w:vAlign w:val="center"/>
                </w:tcPr>
                <w:p w14:paraId="266A4D09">
                  <w:pPr>
                    <w:pStyle w:val="16"/>
                    <w:keepNext w:val="0"/>
                    <w:keepLines w:val="0"/>
                    <w:suppressLineNumbers w:val="0"/>
                    <w:spacing w:before="0" w:beforeAutospacing="0" w:after="0" w:afterAutospacing="0"/>
                    <w:ind w:left="0" w:leftChars="0" w:right="0" w:firstLine="0" w:firstLineChars="0"/>
                    <w:jc w:val="center"/>
                    <w:rPr>
                      <w:rFonts w:hint="eastAsia"/>
                      <w:color w:val="auto"/>
                      <w:sz w:val="21"/>
                      <w:szCs w:val="21"/>
                      <w:highlight w:val="none"/>
                      <w:vertAlign w:val="baseline"/>
                      <w:lang w:eastAsia="zh-CN"/>
                    </w:rPr>
                  </w:pPr>
                  <w:r>
                    <w:rPr>
                      <w:rFonts w:hint="eastAsia"/>
                      <w:color w:val="auto"/>
                      <w:sz w:val="21"/>
                      <w:szCs w:val="21"/>
                      <w:highlight w:val="none"/>
                      <w:vertAlign w:val="baseline"/>
                      <w:lang w:eastAsia="zh-CN"/>
                    </w:rPr>
                    <w:t>序号</w:t>
                  </w:r>
                </w:p>
              </w:tc>
              <w:tc>
                <w:tcPr>
                  <w:tcW w:w="2115" w:type="pct"/>
                  <w:vAlign w:val="center"/>
                </w:tcPr>
                <w:p w14:paraId="6A9D5737">
                  <w:pPr>
                    <w:pStyle w:val="16"/>
                    <w:keepNext w:val="0"/>
                    <w:keepLines w:val="0"/>
                    <w:suppressLineNumbers w:val="0"/>
                    <w:spacing w:before="0" w:beforeAutospacing="0" w:after="0" w:afterAutospacing="0"/>
                    <w:ind w:left="0" w:leftChars="0" w:right="0" w:firstLine="0" w:firstLineChars="0"/>
                    <w:jc w:val="center"/>
                    <w:rPr>
                      <w:rFonts w:hint="eastAsia"/>
                      <w:color w:val="auto"/>
                      <w:sz w:val="21"/>
                      <w:szCs w:val="21"/>
                      <w:highlight w:val="none"/>
                      <w:vertAlign w:val="baseline"/>
                      <w:lang w:eastAsia="zh-CN"/>
                    </w:rPr>
                  </w:pPr>
                  <w:r>
                    <w:rPr>
                      <w:rFonts w:hint="eastAsia"/>
                      <w:color w:val="auto"/>
                      <w:sz w:val="21"/>
                      <w:szCs w:val="21"/>
                      <w:highlight w:val="none"/>
                      <w:vertAlign w:val="baseline"/>
                      <w:lang w:eastAsia="zh-CN"/>
                    </w:rPr>
                    <w:t>项目</w:t>
                  </w:r>
                </w:p>
              </w:tc>
              <w:tc>
                <w:tcPr>
                  <w:tcW w:w="1003" w:type="pct"/>
                  <w:vAlign w:val="center"/>
                </w:tcPr>
                <w:p w14:paraId="24FA0789">
                  <w:pPr>
                    <w:pStyle w:val="16"/>
                    <w:keepNext w:val="0"/>
                    <w:keepLines w:val="0"/>
                    <w:suppressLineNumbers w:val="0"/>
                    <w:spacing w:before="0" w:beforeAutospacing="0" w:after="0" w:afterAutospacing="0"/>
                    <w:ind w:left="0" w:leftChars="0" w:right="0" w:firstLine="0" w:firstLineChars="0"/>
                    <w:jc w:val="center"/>
                    <w:rPr>
                      <w:rFonts w:hint="eastAsia"/>
                      <w:color w:val="auto"/>
                      <w:sz w:val="21"/>
                      <w:szCs w:val="21"/>
                      <w:highlight w:val="none"/>
                      <w:vertAlign w:val="baseline"/>
                      <w:lang w:eastAsia="zh-CN"/>
                    </w:rPr>
                  </w:pPr>
                  <w:r>
                    <w:rPr>
                      <w:rFonts w:hint="eastAsia"/>
                      <w:color w:val="auto"/>
                      <w:sz w:val="21"/>
                      <w:szCs w:val="21"/>
                      <w:highlight w:val="none"/>
                      <w:vertAlign w:val="baseline"/>
                      <w:lang w:eastAsia="zh-CN"/>
                    </w:rPr>
                    <w:t>冲厕、车辆冲洗</w:t>
                  </w:r>
                </w:p>
              </w:tc>
              <w:tc>
                <w:tcPr>
                  <w:tcW w:w="1339" w:type="pct"/>
                  <w:vAlign w:val="center"/>
                </w:tcPr>
                <w:p w14:paraId="3CF57BA2">
                  <w:pPr>
                    <w:pStyle w:val="16"/>
                    <w:keepNext w:val="0"/>
                    <w:keepLines w:val="0"/>
                    <w:suppressLineNumbers w:val="0"/>
                    <w:spacing w:before="0" w:beforeAutospacing="0" w:after="0" w:afterAutospacing="0"/>
                    <w:ind w:left="0" w:leftChars="0" w:right="0" w:rightChars="0" w:firstLine="0" w:firstLineChars="0"/>
                    <w:jc w:val="center"/>
                    <w:rPr>
                      <w:rFonts w:hint="eastAsia"/>
                      <w:color w:val="auto"/>
                      <w:sz w:val="21"/>
                      <w:szCs w:val="21"/>
                      <w:highlight w:val="none"/>
                      <w:vertAlign w:val="baseline"/>
                      <w:lang w:eastAsia="zh-CN"/>
                    </w:rPr>
                  </w:pPr>
                  <w:r>
                    <w:rPr>
                      <w:rFonts w:hint="eastAsia"/>
                      <w:color w:val="auto"/>
                      <w:sz w:val="21"/>
                      <w:szCs w:val="21"/>
                      <w:highlight w:val="none"/>
                      <w:vertAlign w:val="baseline"/>
                      <w:lang w:eastAsia="zh-CN"/>
                    </w:rPr>
                    <w:t>城市绿化、道路清扫、消防、建筑施工</w:t>
                  </w:r>
                </w:p>
              </w:tc>
            </w:tr>
            <w:tr w14:paraId="1559B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0" w:type="pct"/>
                  <w:vAlign w:val="center"/>
                </w:tcPr>
                <w:p w14:paraId="757B7E72">
                  <w:pPr>
                    <w:pStyle w:val="16"/>
                    <w:keepNext w:val="0"/>
                    <w:keepLines w:val="0"/>
                    <w:suppressLineNumbers w:val="0"/>
                    <w:spacing w:before="0" w:beforeAutospacing="0" w:after="0" w:afterAutospacing="0"/>
                    <w:ind w:left="0" w:leftChars="0" w:right="0" w:firstLine="0" w:firstLineChars="0"/>
                    <w:jc w:val="center"/>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1</w:t>
                  </w:r>
                </w:p>
              </w:tc>
              <w:tc>
                <w:tcPr>
                  <w:tcW w:w="2115" w:type="pct"/>
                  <w:vAlign w:val="center"/>
                </w:tcPr>
                <w:p w14:paraId="75F95E7F">
                  <w:pPr>
                    <w:pStyle w:val="16"/>
                    <w:keepNext w:val="0"/>
                    <w:keepLines w:val="0"/>
                    <w:suppressLineNumbers w:val="0"/>
                    <w:spacing w:before="0" w:beforeAutospacing="0" w:after="0" w:afterAutospacing="0"/>
                    <w:ind w:left="0" w:leftChars="0" w:right="0" w:firstLine="0" w:firstLineChars="0"/>
                    <w:jc w:val="center"/>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PH</w:t>
                  </w:r>
                </w:p>
              </w:tc>
              <w:tc>
                <w:tcPr>
                  <w:tcW w:w="1003" w:type="pct"/>
                  <w:vAlign w:val="center"/>
                </w:tcPr>
                <w:p w14:paraId="752FAA09">
                  <w:pPr>
                    <w:pStyle w:val="16"/>
                    <w:keepNext w:val="0"/>
                    <w:keepLines w:val="0"/>
                    <w:suppressLineNumbers w:val="0"/>
                    <w:spacing w:before="0" w:beforeAutospacing="0" w:after="0" w:afterAutospacing="0"/>
                    <w:ind w:left="0" w:leftChars="0" w:right="0" w:firstLine="0" w:firstLineChars="0"/>
                    <w:jc w:val="center"/>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6.0~9.0</w:t>
                  </w:r>
                </w:p>
              </w:tc>
              <w:tc>
                <w:tcPr>
                  <w:tcW w:w="1339" w:type="pct"/>
                  <w:vAlign w:val="center"/>
                </w:tcPr>
                <w:p w14:paraId="5356DDD0">
                  <w:pPr>
                    <w:pStyle w:val="16"/>
                    <w:keepNext w:val="0"/>
                    <w:keepLines w:val="0"/>
                    <w:suppressLineNumbers w:val="0"/>
                    <w:spacing w:before="0" w:beforeAutospacing="0" w:after="0" w:afterAutospacing="0"/>
                    <w:ind w:left="0" w:leftChars="0" w:right="0" w:rightChars="0" w:firstLine="0" w:firstLineChars="0"/>
                    <w:jc w:val="center"/>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6.0~9.0</w:t>
                  </w:r>
                </w:p>
              </w:tc>
            </w:tr>
            <w:tr w14:paraId="0B567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0" w:type="pct"/>
                  <w:vAlign w:val="center"/>
                </w:tcPr>
                <w:p w14:paraId="044A63D1">
                  <w:pPr>
                    <w:pStyle w:val="16"/>
                    <w:keepNext w:val="0"/>
                    <w:keepLines w:val="0"/>
                    <w:suppressLineNumbers w:val="0"/>
                    <w:spacing w:before="0" w:beforeAutospacing="0" w:after="0" w:afterAutospacing="0"/>
                    <w:ind w:left="0" w:leftChars="0" w:right="0" w:firstLine="0" w:firstLineChars="0"/>
                    <w:jc w:val="center"/>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2</w:t>
                  </w:r>
                </w:p>
              </w:tc>
              <w:tc>
                <w:tcPr>
                  <w:tcW w:w="2115" w:type="pct"/>
                  <w:vAlign w:val="center"/>
                </w:tcPr>
                <w:p w14:paraId="391F4D72">
                  <w:pPr>
                    <w:pStyle w:val="16"/>
                    <w:keepNext w:val="0"/>
                    <w:keepLines w:val="0"/>
                    <w:suppressLineNumbers w:val="0"/>
                    <w:spacing w:before="0" w:beforeAutospacing="0" w:after="0" w:afterAutospacing="0"/>
                    <w:ind w:left="0" w:leftChars="0" w:right="0" w:firstLine="0" w:firstLineChars="0"/>
                    <w:jc w:val="center"/>
                    <w:rPr>
                      <w:rFonts w:hint="default"/>
                      <w:color w:val="auto"/>
                      <w:sz w:val="21"/>
                      <w:szCs w:val="21"/>
                      <w:highlight w:val="none"/>
                      <w:vertAlign w:val="baseline"/>
                      <w:lang w:val="en-US" w:eastAsia="zh-CN"/>
                    </w:rPr>
                  </w:pPr>
                  <w:r>
                    <w:rPr>
                      <w:rFonts w:hint="eastAsia"/>
                      <w:color w:val="auto"/>
                      <w:sz w:val="21"/>
                      <w:szCs w:val="21"/>
                      <w:highlight w:val="none"/>
                      <w:vertAlign w:val="baseline"/>
                      <w:lang w:eastAsia="zh-CN"/>
                    </w:rPr>
                    <w:t>色度、铂钴色度单位</w:t>
                  </w:r>
                  <w:r>
                    <w:rPr>
                      <w:rFonts w:hint="eastAsia"/>
                      <w:color w:val="auto"/>
                      <w:sz w:val="21"/>
                      <w:szCs w:val="21"/>
                      <w:highlight w:val="none"/>
                      <w:vertAlign w:val="baseline"/>
                      <w:lang w:val="en-US" w:eastAsia="zh-CN"/>
                    </w:rPr>
                    <w:t xml:space="preserve">           ≤</w:t>
                  </w:r>
                  <w:r>
                    <w:rPr>
                      <w:rFonts w:hint="eastAsia"/>
                      <w:color w:val="auto"/>
                      <w:sz w:val="21"/>
                      <w:szCs w:val="21"/>
                      <w:highlight w:val="none"/>
                      <w:vertAlign w:val="baseline"/>
                      <w:lang w:val="en-US" w:eastAsia="zh-CN"/>
                    </w:rPr>
                    <w:softHyphen/>
                  </w:r>
                </w:p>
              </w:tc>
              <w:tc>
                <w:tcPr>
                  <w:tcW w:w="1003" w:type="pct"/>
                  <w:vAlign w:val="center"/>
                </w:tcPr>
                <w:p w14:paraId="4D7E6F1F">
                  <w:pPr>
                    <w:pStyle w:val="16"/>
                    <w:keepNext w:val="0"/>
                    <w:keepLines w:val="0"/>
                    <w:suppressLineNumbers w:val="0"/>
                    <w:spacing w:before="0" w:beforeAutospacing="0" w:after="0" w:afterAutospacing="0"/>
                    <w:ind w:left="0" w:leftChars="0" w:right="0" w:firstLine="0" w:firstLineChars="0"/>
                    <w:jc w:val="center"/>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15</w:t>
                  </w:r>
                </w:p>
              </w:tc>
              <w:tc>
                <w:tcPr>
                  <w:tcW w:w="1339" w:type="pct"/>
                  <w:vAlign w:val="center"/>
                </w:tcPr>
                <w:p w14:paraId="61A899D4">
                  <w:pPr>
                    <w:pStyle w:val="16"/>
                    <w:keepNext w:val="0"/>
                    <w:keepLines w:val="0"/>
                    <w:suppressLineNumbers w:val="0"/>
                    <w:spacing w:before="0" w:beforeAutospacing="0" w:after="0" w:afterAutospacing="0"/>
                    <w:ind w:left="0" w:leftChars="0" w:right="0" w:rightChars="0" w:firstLine="0" w:firstLineChars="0"/>
                    <w:jc w:val="center"/>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30</w:t>
                  </w:r>
                </w:p>
              </w:tc>
            </w:tr>
            <w:tr w14:paraId="50413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0" w:type="pct"/>
                  <w:vAlign w:val="center"/>
                </w:tcPr>
                <w:p w14:paraId="0788F63F">
                  <w:pPr>
                    <w:pStyle w:val="16"/>
                    <w:keepNext w:val="0"/>
                    <w:keepLines w:val="0"/>
                    <w:suppressLineNumbers w:val="0"/>
                    <w:spacing w:before="0" w:beforeAutospacing="0" w:after="0" w:afterAutospacing="0"/>
                    <w:ind w:left="0" w:leftChars="0" w:right="0" w:firstLine="0" w:firstLineChars="0"/>
                    <w:jc w:val="center"/>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3</w:t>
                  </w:r>
                </w:p>
              </w:tc>
              <w:tc>
                <w:tcPr>
                  <w:tcW w:w="2115" w:type="pct"/>
                  <w:shd w:val="clear" w:color="auto" w:fill="auto"/>
                  <w:vAlign w:val="center"/>
                </w:tcPr>
                <w:p w14:paraId="08AAE40A">
                  <w:pPr>
                    <w:pStyle w:val="16"/>
                    <w:keepNext w:val="0"/>
                    <w:keepLines w:val="0"/>
                    <w:suppressLineNumbers w:val="0"/>
                    <w:spacing w:before="0" w:beforeAutospacing="0" w:after="0" w:afterAutospacing="0"/>
                    <w:ind w:left="0" w:leftChars="0" w:right="0" w:firstLine="0" w:firstLineChars="0"/>
                    <w:jc w:val="center"/>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eastAsia="zh-CN"/>
                    </w:rPr>
                    <w:t>浊度</w:t>
                  </w:r>
                  <w:r>
                    <w:rPr>
                      <w:rFonts w:hint="eastAsia"/>
                      <w:color w:val="auto"/>
                      <w:sz w:val="21"/>
                      <w:szCs w:val="21"/>
                      <w:highlight w:val="none"/>
                      <w:vertAlign w:val="baseline"/>
                      <w:lang w:val="en-US" w:eastAsia="zh-CN"/>
                    </w:rPr>
                    <w:t>/NTU                   ≤</w:t>
                  </w:r>
                </w:p>
              </w:tc>
              <w:tc>
                <w:tcPr>
                  <w:tcW w:w="1003" w:type="pct"/>
                  <w:shd w:val="clear" w:color="auto" w:fill="auto"/>
                  <w:vAlign w:val="center"/>
                </w:tcPr>
                <w:p w14:paraId="75BDA639">
                  <w:pPr>
                    <w:pStyle w:val="16"/>
                    <w:keepNext w:val="0"/>
                    <w:keepLines w:val="0"/>
                    <w:suppressLineNumbers w:val="0"/>
                    <w:spacing w:before="0" w:beforeAutospacing="0" w:after="0" w:afterAutospacing="0"/>
                    <w:ind w:left="0" w:leftChars="0" w:right="0" w:firstLine="0" w:firstLineChars="0"/>
                    <w:jc w:val="center"/>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5</w:t>
                  </w:r>
                </w:p>
              </w:tc>
              <w:tc>
                <w:tcPr>
                  <w:tcW w:w="1339" w:type="pct"/>
                  <w:shd w:val="clear" w:color="auto" w:fill="auto"/>
                  <w:vAlign w:val="center"/>
                </w:tcPr>
                <w:p w14:paraId="2010B48E">
                  <w:pPr>
                    <w:pStyle w:val="16"/>
                    <w:keepNext w:val="0"/>
                    <w:keepLines w:val="0"/>
                    <w:suppressLineNumbers w:val="0"/>
                    <w:spacing w:before="0" w:beforeAutospacing="0" w:after="0" w:afterAutospacing="0"/>
                    <w:ind w:left="0" w:leftChars="0" w:right="0" w:rightChars="0" w:firstLine="0" w:firstLineChars="0"/>
                    <w:jc w:val="center"/>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10</w:t>
                  </w:r>
                </w:p>
              </w:tc>
            </w:tr>
          </w:tbl>
          <w:p w14:paraId="308773EE">
            <w:pPr>
              <w:keepNext w:val="0"/>
              <w:keepLines w:val="0"/>
              <w:suppressLineNumbers w:val="0"/>
              <w:tabs>
                <w:tab w:val="left" w:pos="0"/>
              </w:tabs>
              <w:spacing w:before="0" w:beforeAutospacing="0" w:after="0" w:afterAutospacing="0" w:line="360" w:lineRule="auto"/>
              <w:ind w:left="38" w:leftChars="18" w:right="0" w:firstLine="480" w:firstLineChars="200"/>
              <w:rPr>
                <w:rFonts w:hint="default" w:ascii="Times New Roman" w:hAnsi="Times New Roman" w:eastAsia="宋体" w:cs="Times New Roman"/>
                <w:color w:val="auto"/>
                <w:kern w:val="0"/>
                <w:szCs w:val="21"/>
                <w:highlight w:val="none"/>
                <w:shd w:val="clear" w:color="auto" w:fill="auto"/>
              </w:rPr>
            </w:pPr>
            <w:r>
              <w:rPr>
                <w:rFonts w:hint="default" w:ascii="Times New Roman" w:hAnsi="Times New Roman" w:eastAsia="宋体" w:cs="Times New Roman"/>
                <w:color w:val="auto"/>
                <w:sz w:val="24"/>
                <w:highlight w:val="none"/>
                <w:shd w:val="clear" w:color="auto" w:fill="auto"/>
              </w:rPr>
              <w:t>营运期评价项目产生的固体废物：一般工业固废执行</w:t>
            </w:r>
            <w:r>
              <w:rPr>
                <w:rFonts w:hint="default" w:ascii="Times New Roman" w:hAnsi="Times New Roman" w:eastAsia="宋体" w:cs="Times New Roman"/>
                <w:color w:val="auto"/>
                <w:kern w:val="0"/>
                <w:sz w:val="24"/>
                <w:highlight w:val="none"/>
                <w:shd w:val="clear" w:color="auto" w:fill="auto"/>
              </w:rPr>
              <w:t>《一般工业固体废物贮存和填埋污染控制标准》（GB18599-2020）</w:t>
            </w:r>
            <w:r>
              <w:rPr>
                <w:rFonts w:hint="default" w:ascii="Times New Roman" w:hAnsi="Times New Roman" w:eastAsia="宋体" w:cs="Times New Roman"/>
                <w:color w:val="auto"/>
                <w:sz w:val="24"/>
                <w:highlight w:val="none"/>
                <w:shd w:val="clear" w:color="auto" w:fill="auto"/>
              </w:rPr>
              <w:t>，</w:t>
            </w:r>
            <w:r>
              <w:rPr>
                <w:rFonts w:hint="default" w:ascii="Times New Roman" w:hAnsi="Times New Roman" w:eastAsia="宋体" w:cs="Times New Roman"/>
                <w:color w:val="auto"/>
                <w:kern w:val="0"/>
                <w:sz w:val="24"/>
                <w:highlight w:val="none"/>
                <w:shd w:val="clear" w:color="auto" w:fill="auto"/>
              </w:rPr>
              <w:t>危险废物执行《危险废物贮存污染控制标准》（GB18597</w:t>
            </w:r>
            <w:r>
              <w:rPr>
                <w:rFonts w:hint="default" w:ascii="Times New Roman" w:hAnsi="Times New Roman" w:eastAsia="宋体" w:cs="Times New Roman"/>
                <w:color w:val="auto"/>
                <w:kern w:val="0"/>
                <w:sz w:val="24"/>
                <w:highlight w:val="none"/>
                <w:shd w:val="clear" w:color="auto" w:fill="auto"/>
                <w:lang w:val="en-US" w:eastAsia="zh-CN"/>
              </w:rPr>
              <w:t>-</w:t>
            </w:r>
            <w:r>
              <w:rPr>
                <w:rFonts w:hint="default" w:ascii="Times New Roman" w:hAnsi="Times New Roman" w:eastAsia="宋体" w:cs="Times New Roman"/>
                <w:color w:val="auto"/>
                <w:kern w:val="0"/>
                <w:sz w:val="24"/>
                <w:highlight w:val="none"/>
                <w:shd w:val="clear" w:color="auto" w:fill="auto"/>
              </w:rPr>
              <w:t>20</w:t>
            </w:r>
            <w:r>
              <w:rPr>
                <w:rFonts w:hint="default" w:ascii="Times New Roman" w:hAnsi="Times New Roman" w:eastAsia="宋体" w:cs="Times New Roman"/>
                <w:color w:val="auto"/>
                <w:kern w:val="0"/>
                <w:sz w:val="24"/>
                <w:highlight w:val="none"/>
                <w:shd w:val="clear" w:color="auto" w:fill="auto"/>
                <w:lang w:val="en-US" w:eastAsia="zh-CN"/>
              </w:rPr>
              <w:t>23</w:t>
            </w:r>
            <w:r>
              <w:rPr>
                <w:rFonts w:hint="default" w:ascii="Times New Roman" w:hAnsi="Times New Roman" w:eastAsia="宋体" w:cs="Times New Roman"/>
                <w:color w:val="auto"/>
                <w:kern w:val="0"/>
                <w:sz w:val="24"/>
                <w:highlight w:val="none"/>
                <w:shd w:val="clear" w:color="auto" w:fill="auto"/>
              </w:rPr>
              <w:t>）。</w:t>
            </w:r>
          </w:p>
        </w:tc>
      </w:tr>
      <w:tr w14:paraId="08640D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800" w:type="dxa"/>
            <w:tcBorders>
              <w:top w:val="single" w:color="auto" w:sz="4" w:space="0"/>
              <w:left w:val="single" w:color="auto" w:sz="8" w:space="0"/>
              <w:bottom w:val="single" w:color="auto" w:sz="8" w:space="0"/>
              <w:right w:val="single" w:color="auto" w:sz="4" w:space="0"/>
            </w:tcBorders>
            <w:noWrap w:val="0"/>
            <w:vAlign w:val="center"/>
          </w:tcPr>
          <w:p w14:paraId="24CB24D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highlight w:val="none"/>
                <w:shd w:val="clear" w:color="auto" w:fill="auto"/>
              </w:rPr>
            </w:pPr>
            <w:r>
              <w:rPr>
                <w:rFonts w:hint="default" w:ascii="Times New Roman" w:hAnsi="Times New Roman" w:eastAsia="宋体" w:cs="Times New Roman"/>
                <w:color w:val="auto"/>
                <w:kern w:val="0"/>
                <w:szCs w:val="21"/>
                <w:highlight w:val="none"/>
                <w:shd w:val="clear" w:color="auto" w:fill="auto"/>
                <w:lang w:bidi="ar"/>
              </w:rPr>
              <w:t>总量</w:t>
            </w:r>
          </w:p>
          <w:p w14:paraId="4E8E9D3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highlight w:val="none"/>
                <w:shd w:val="clear" w:color="auto" w:fill="auto"/>
              </w:rPr>
            </w:pPr>
            <w:r>
              <w:rPr>
                <w:rFonts w:hint="default" w:ascii="Times New Roman" w:hAnsi="Times New Roman" w:eastAsia="宋体" w:cs="Times New Roman"/>
                <w:color w:val="auto"/>
                <w:kern w:val="0"/>
                <w:szCs w:val="21"/>
                <w:highlight w:val="none"/>
                <w:shd w:val="clear" w:color="auto" w:fill="auto"/>
                <w:lang w:bidi="ar"/>
              </w:rPr>
              <w:t>控制</w:t>
            </w:r>
          </w:p>
          <w:p w14:paraId="62ECDEF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Cs w:val="21"/>
                <w:highlight w:val="none"/>
                <w:shd w:val="clear" w:color="auto" w:fill="auto"/>
              </w:rPr>
            </w:pPr>
            <w:r>
              <w:rPr>
                <w:rFonts w:hint="default" w:ascii="Times New Roman" w:hAnsi="Times New Roman" w:eastAsia="宋体" w:cs="Times New Roman"/>
                <w:color w:val="auto"/>
                <w:kern w:val="0"/>
                <w:szCs w:val="21"/>
                <w:highlight w:val="none"/>
                <w:shd w:val="clear" w:color="auto" w:fill="auto"/>
                <w:lang w:bidi="ar"/>
              </w:rPr>
              <w:t>指标</w:t>
            </w:r>
          </w:p>
        </w:tc>
        <w:tc>
          <w:tcPr>
            <w:tcW w:w="8190" w:type="dxa"/>
            <w:tcBorders>
              <w:top w:val="single" w:color="auto" w:sz="4" w:space="0"/>
              <w:left w:val="single" w:color="auto" w:sz="4" w:space="0"/>
              <w:bottom w:val="single" w:color="auto" w:sz="8" w:space="0"/>
              <w:right w:val="single" w:color="auto" w:sz="8" w:space="0"/>
            </w:tcBorders>
            <w:noWrap w:val="0"/>
            <w:vAlign w:val="center"/>
          </w:tcPr>
          <w:p w14:paraId="03310C17">
            <w:pPr>
              <w:pStyle w:val="16"/>
              <w:keepNext w:val="0"/>
              <w:keepLines w:val="0"/>
              <w:suppressLineNumbers w:val="0"/>
              <w:spacing w:before="0" w:beforeAutospacing="0" w:after="0" w:afterAutospacing="0" w:line="360" w:lineRule="auto"/>
              <w:ind w:left="0" w:right="0"/>
              <w:rPr>
                <w:rFonts w:hint="default" w:ascii="Times New Roman" w:hAnsi="Times New Roman" w:eastAsia="宋体" w:cs="Times New Roman"/>
                <w:color w:val="auto"/>
                <w:sz w:val="24"/>
                <w:highlight w:val="none"/>
                <w:shd w:val="clear" w:color="auto" w:fill="auto"/>
                <w:lang w:val="en-US" w:eastAsia="zh-CN"/>
              </w:rPr>
            </w:pPr>
            <w:r>
              <w:rPr>
                <w:rFonts w:hint="default" w:ascii="Times New Roman" w:hAnsi="Times New Roman" w:eastAsia="宋体" w:cs="Times New Roman"/>
                <w:color w:val="auto"/>
                <w:sz w:val="24"/>
                <w:highlight w:val="none"/>
                <w:shd w:val="clear" w:color="auto" w:fill="auto"/>
                <w:lang w:val="en-US" w:eastAsia="zh-CN"/>
              </w:rPr>
              <w:t>本项目生活污水不外排，不涉及COD、NH</w:t>
            </w:r>
            <w:r>
              <w:rPr>
                <w:rFonts w:hint="default" w:ascii="Times New Roman" w:hAnsi="Times New Roman" w:eastAsia="宋体" w:cs="Times New Roman"/>
                <w:color w:val="auto"/>
                <w:sz w:val="24"/>
                <w:highlight w:val="none"/>
                <w:shd w:val="clear" w:color="auto" w:fill="auto"/>
                <w:vertAlign w:val="subscript"/>
                <w:lang w:val="en-US" w:eastAsia="zh-CN"/>
              </w:rPr>
              <w:t>3</w:t>
            </w:r>
            <w:r>
              <w:rPr>
                <w:rFonts w:hint="default" w:ascii="Times New Roman" w:hAnsi="Times New Roman" w:eastAsia="宋体" w:cs="Times New Roman"/>
                <w:color w:val="auto"/>
                <w:sz w:val="24"/>
                <w:highlight w:val="none"/>
                <w:shd w:val="clear" w:color="auto" w:fill="auto"/>
                <w:lang w:val="en-US" w:eastAsia="zh-CN"/>
              </w:rPr>
              <w:t>-N；生产工艺仅为颗粒物，不涉及NOx、挥发性有机物。根据建设单位采取污染防治措施后污染物的排放情况，并结合企业的生产实际，对建设单位污染物排放总量控制指标建议如下：</w:t>
            </w:r>
          </w:p>
          <w:p w14:paraId="16B90BDA">
            <w:pPr>
              <w:pStyle w:val="16"/>
              <w:keepNext w:val="0"/>
              <w:keepLines w:val="0"/>
              <w:suppressLineNumbers w:val="0"/>
              <w:spacing w:before="0" w:beforeAutospacing="0" w:after="0" w:afterAutospacing="0" w:line="360" w:lineRule="auto"/>
              <w:ind w:left="0" w:right="0"/>
              <w:rPr>
                <w:rFonts w:hint="default" w:ascii="Times New Roman" w:hAnsi="Times New Roman" w:eastAsia="宋体" w:cs="Times New Roman"/>
                <w:color w:val="auto"/>
                <w:sz w:val="24"/>
                <w:highlight w:val="none"/>
                <w:shd w:val="clear" w:color="auto" w:fill="auto"/>
                <w:lang w:val="en-US" w:eastAsia="zh-CN"/>
              </w:rPr>
            </w:pPr>
            <w:r>
              <w:rPr>
                <w:rFonts w:hint="default" w:ascii="Times New Roman" w:hAnsi="Times New Roman" w:eastAsia="宋体" w:cs="Times New Roman"/>
                <w:color w:val="auto"/>
                <w:sz w:val="24"/>
                <w:highlight w:val="none"/>
                <w:shd w:val="clear" w:color="auto" w:fill="auto"/>
                <w:lang w:val="en-US" w:eastAsia="zh-CN"/>
              </w:rPr>
              <w:t>VOCs（非甲烷总烃计）</w:t>
            </w:r>
            <w:r>
              <w:rPr>
                <w:rFonts w:hint="default" w:ascii="Times New Roman" w:hAnsi="Times New Roman" w:eastAsia="宋体" w:cs="Times New Roman"/>
                <w:color w:val="auto"/>
                <w:sz w:val="24"/>
                <w:highlight w:val="none"/>
                <w:shd w:val="clear" w:color="auto" w:fill="auto"/>
                <w:lang w:eastAsia="zh-CN"/>
              </w:rPr>
              <w:t>：</w:t>
            </w:r>
            <w:r>
              <w:rPr>
                <w:rFonts w:hint="default" w:ascii="Times New Roman" w:hAnsi="Times New Roman" w:eastAsia="宋体" w:cs="Times New Roman"/>
                <w:color w:val="auto"/>
                <w:sz w:val="24"/>
                <w:highlight w:val="none"/>
                <w:shd w:val="clear" w:color="auto" w:fill="auto"/>
                <w:lang w:val="en-US" w:eastAsia="zh-CN"/>
              </w:rPr>
              <w:t>0t/a；氮氧化物：0t/a</w:t>
            </w:r>
            <w:r>
              <w:rPr>
                <w:rFonts w:hint="default" w:ascii="Times New Roman" w:hAnsi="Times New Roman" w:cs="Times New Roman"/>
                <w:color w:val="auto"/>
                <w:sz w:val="24"/>
                <w:highlight w:val="none"/>
                <w:shd w:val="clear" w:color="auto" w:fill="auto"/>
                <w:lang w:val="en-US" w:eastAsia="zh-CN"/>
              </w:rPr>
              <w:t>；</w:t>
            </w:r>
          </w:p>
          <w:p w14:paraId="4FD17085">
            <w:pPr>
              <w:keepNext/>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highlight w:val="none"/>
                <w:shd w:val="clear" w:color="auto" w:fill="auto"/>
                <w:lang w:val="en-US" w:eastAsia="zh-CN"/>
              </w:rPr>
            </w:pPr>
            <w:r>
              <w:rPr>
                <w:rFonts w:hint="default" w:ascii="Times New Roman" w:hAnsi="Times New Roman" w:eastAsia="宋体" w:cs="Times New Roman"/>
                <w:color w:val="auto"/>
                <w:sz w:val="24"/>
                <w:highlight w:val="none"/>
                <w:shd w:val="clear" w:color="auto" w:fill="auto"/>
                <w:lang w:val="en-US" w:eastAsia="zh-CN"/>
              </w:rPr>
              <w:t>COD：0t/a</w:t>
            </w:r>
            <w:r>
              <w:rPr>
                <w:rFonts w:hint="default" w:ascii="Times New Roman" w:hAnsi="Times New Roman" w:cs="Times New Roman"/>
                <w:color w:val="auto"/>
                <w:sz w:val="24"/>
                <w:highlight w:val="none"/>
                <w:shd w:val="clear" w:color="auto" w:fill="auto"/>
                <w:lang w:val="en-US" w:eastAsia="zh-CN"/>
              </w:rPr>
              <w:t>；氨氮：0t/a</w:t>
            </w:r>
          </w:p>
          <w:p w14:paraId="11D1DED0">
            <w:pPr>
              <w:keepNext w:val="0"/>
              <w:keepLines w:val="0"/>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0"/>
                <w:szCs w:val="21"/>
                <w:highlight w:val="none"/>
                <w:shd w:val="clear" w:color="auto" w:fill="auto"/>
              </w:rPr>
            </w:pPr>
            <w:r>
              <w:rPr>
                <w:rFonts w:hint="default" w:ascii="Times New Roman" w:hAnsi="Times New Roman" w:eastAsia="宋体" w:cs="Times New Roman"/>
                <w:color w:val="auto"/>
                <w:sz w:val="24"/>
                <w:highlight w:val="none"/>
                <w:shd w:val="clear" w:color="auto" w:fill="auto"/>
                <w:lang w:eastAsia="zh-CN"/>
              </w:rPr>
              <w:t>本项目无需申请总量控制</w:t>
            </w:r>
            <w:r>
              <w:rPr>
                <w:rFonts w:hint="default" w:ascii="Times New Roman" w:hAnsi="Times New Roman" w:eastAsia="宋体" w:cs="Times New Roman"/>
                <w:color w:val="auto"/>
                <w:sz w:val="24"/>
                <w:highlight w:val="none"/>
                <w:shd w:val="clear" w:color="auto" w:fill="auto"/>
                <w:lang w:val="en-US" w:eastAsia="zh-CN"/>
              </w:rPr>
              <w:t>指标</w:t>
            </w:r>
            <w:r>
              <w:rPr>
                <w:rFonts w:hint="default" w:ascii="Times New Roman" w:hAnsi="Times New Roman" w:eastAsia="宋体" w:cs="Times New Roman"/>
                <w:color w:val="auto"/>
                <w:sz w:val="24"/>
                <w:highlight w:val="none"/>
                <w:shd w:val="clear" w:color="auto" w:fill="auto"/>
              </w:rPr>
              <w:t>。</w:t>
            </w:r>
          </w:p>
        </w:tc>
      </w:tr>
    </w:tbl>
    <w:p w14:paraId="53D1EE34">
      <w:pPr>
        <w:pStyle w:val="22"/>
        <w:jc w:val="center"/>
        <w:outlineLvl w:val="0"/>
        <w:rPr>
          <w:rFonts w:ascii="黑体" w:eastAsia="黑体" w:cs="黑体"/>
          <w:color w:val="auto"/>
          <w:sz w:val="30"/>
          <w:szCs w:val="30"/>
          <w:highlight w:val="none"/>
          <w:shd w:val="clear" w:color="auto" w:fill="auto"/>
        </w:rPr>
      </w:pPr>
      <w:r>
        <w:rPr>
          <w:rFonts w:ascii="黑体" w:eastAsia="黑体"/>
          <w:snapToGrid w:val="0"/>
          <w:color w:val="auto"/>
          <w:sz w:val="36"/>
          <w:szCs w:val="36"/>
          <w:highlight w:val="none"/>
          <w:shd w:val="clear" w:color="auto" w:fill="auto"/>
          <w:lang w:bidi="ar"/>
        </w:rPr>
        <w:br w:type="page"/>
      </w:r>
      <w:r>
        <w:rPr>
          <w:rFonts w:ascii="黑体" w:eastAsia="黑体" w:cs="黑体"/>
          <w:snapToGrid w:val="0"/>
          <w:color w:val="auto"/>
          <w:sz w:val="30"/>
          <w:szCs w:val="30"/>
          <w:highlight w:val="none"/>
          <w:shd w:val="clear" w:color="auto" w:fill="auto"/>
        </w:rPr>
        <w:t>四、主要环境影响和保护措施</w:t>
      </w:r>
    </w:p>
    <w:tbl>
      <w:tblPr>
        <w:tblStyle w:val="25"/>
        <w:tblW w:w="898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01"/>
        <w:gridCol w:w="8588"/>
      </w:tblGrid>
      <w:tr w14:paraId="734E4C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21" w:hRule="atLeast"/>
          <w:jc w:val="center"/>
        </w:trPr>
        <w:tc>
          <w:tcPr>
            <w:tcW w:w="401" w:type="dxa"/>
            <w:tcBorders>
              <w:top w:val="single" w:color="auto" w:sz="8" w:space="0"/>
              <w:left w:val="single" w:color="auto" w:sz="8" w:space="0"/>
              <w:bottom w:val="single" w:color="auto" w:sz="4" w:space="0"/>
              <w:right w:val="single" w:color="auto" w:sz="4" w:space="0"/>
            </w:tcBorders>
            <w:noWrap w:val="0"/>
            <w:tcMar>
              <w:left w:w="28" w:type="dxa"/>
              <w:right w:w="28" w:type="dxa"/>
            </w:tcMar>
            <w:vAlign w:val="center"/>
          </w:tcPr>
          <w:p w14:paraId="5A0BBCA5">
            <w:pPr>
              <w:pStyle w:val="22"/>
              <w:adjustRightInd w:val="0"/>
              <w:snapToGrid w:val="0"/>
              <w:spacing w:before="0" w:beforeAutospacing="0" w:after="0" w:afterAutospacing="0"/>
              <w:jc w:val="center"/>
              <w:rPr>
                <w:rFonts w:hint="eastAsia" w:ascii="宋体" w:hAnsi="宋体" w:eastAsia="宋体" w:cs="宋体"/>
                <w:color w:val="auto"/>
                <w:kern w:val="2"/>
                <w:sz w:val="21"/>
                <w:szCs w:val="21"/>
                <w:highlight w:val="none"/>
                <w:shd w:val="clear" w:color="auto" w:fill="auto"/>
              </w:rPr>
            </w:pPr>
            <w:r>
              <w:rPr>
                <w:rFonts w:hint="eastAsia" w:ascii="宋体" w:hAnsi="宋体" w:eastAsia="宋体" w:cs="宋体"/>
                <w:color w:val="auto"/>
                <w:kern w:val="2"/>
                <w:sz w:val="21"/>
                <w:szCs w:val="21"/>
                <w:highlight w:val="none"/>
                <w:shd w:val="clear" w:color="auto" w:fill="auto"/>
              </w:rPr>
              <w:t>施工</w:t>
            </w:r>
          </w:p>
          <w:p w14:paraId="1F3F3B9A">
            <w:pPr>
              <w:pStyle w:val="22"/>
              <w:adjustRightInd w:val="0"/>
              <w:snapToGrid w:val="0"/>
              <w:spacing w:before="0" w:beforeAutospacing="0" w:after="0" w:afterAutospacing="0"/>
              <w:jc w:val="center"/>
              <w:rPr>
                <w:rFonts w:hint="eastAsia" w:ascii="宋体" w:hAnsi="宋体" w:eastAsia="宋体" w:cs="宋体"/>
                <w:color w:val="auto"/>
                <w:kern w:val="2"/>
                <w:sz w:val="21"/>
                <w:szCs w:val="21"/>
                <w:highlight w:val="none"/>
                <w:shd w:val="clear" w:color="auto" w:fill="auto"/>
              </w:rPr>
            </w:pPr>
            <w:r>
              <w:rPr>
                <w:rFonts w:hint="eastAsia" w:ascii="宋体" w:hAnsi="宋体" w:eastAsia="宋体" w:cs="宋体"/>
                <w:color w:val="auto"/>
                <w:kern w:val="2"/>
                <w:sz w:val="21"/>
                <w:szCs w:val="21"/>
                <w:highlight w:val="none"/>
                <w:shd w:val="clear" w:color="auto" w:fill="auto"/>
              </w:rPr>
              <w:t>期环</w:t>
            </w:r>
          </w:p>
          <w:p w14:paraId="39CE464A">
            <w:pPr>
              <w:pStyle w:val="22"/>
              <w:adjustRightInd w:val="0"/>
              <w:snapToGrid w:val="0"/>
              <w:spacing w:before="0" w:beforeAutospacing="0" w:after="0" w:afterAutospacing="0"/>
              <w:jc w:val="center"/>
              <w:rPr>
                <w:rFonts w:hint="eastAsia" w:ascii="宋体" w:hAnsi="宋体" w:eastAsia="宋体" w:cs="宋体"/>
                <w:color w:val="auto"/>
                <w:kern w:val="2"/>
                <w:sz w:val="21"/>
                <w:szCs w:val="21"/>
                <w:highlight w:val="none"/>
                <w:shd w:val="clear" w:color="auto" w:fill="auto"/>
              </w:rPr>
            </w:pPr>
            <w:r>
              <w:rPr>
                <w:rFonts w:hint="eastAsia" w:ascii="宋体" w:hAnsi="宋体" w:eastAsia="宋体" w:cs="宋体"/>
                <w:color w:val="auto"/>
                <w:kern w:val="2"/>
                <w:sz w:val="21"/>
                <w:szCs w:val="21"/>
                <w:highlight w:val="none"/>
                <w:shd w:val="clear" w:color="auto" w:fill="auto"/>
              </w:rPr>
              <w:t>境保</w:t>
            </w:r>
          </w:p>
          <w:p w14:paraId="26ACCBC6">
            <w:pPr>
              <w:pStyle w:val="22"/>
              <w:adjustRightInd w:val="0"/>
              <w:snapToGrid w:val="0"/>
              <w:spacing w:before="0" w:beforeAutospacing="0" w:after="0" w:afterAutospacing="0"/>
              <w:jc w:val="center"/>
              <w:rPr>
                <w:rFonts w:hint="eastAsia" w:ascii="宋体" w:hAnsi="宋体" w:eastAsia="宋体" w:cs="宋体"/>
                <w:color w:val="auto"/>
                <w:kern w:val="2"/>
                <w:sz w:val="21"/>
                <w:szCs w:val="21"/>
                <w:highlight w:val="none"/>
                <w:shd w:val="clear" w:color="auto" w:fill="auto"/>
              </w:rPr>
            </w:pPr>
            <w:r>
              <w:rPr>
                <w:rFonts w:hint="eastAsia" w:ascii="宋体" w:hAnsi="宋体" w:eastAsia="宋体" w:cs="宋体"/>
                <w:color w:val="auto"/>
                <w:kern w:val="2"/>
                <w:sz w:val="21"/>
                <w:szCs w:val="21"/>
                <w:highlight w:val="none"/>
                <w:shd w:val="clear" w:color="auto" w:fill="auto"/>
              </w:rPr>
              <w:t>护措</w:t>
            </w:r>
          </w:p>
          <w:p w14:paraId="1F32BA05">
            <w:pPr>
              <w:pStyle w:val="22"/>
              <w:adjustRightInd w:val="0"/>
              <w:snapToGrid w:val="0"/>
              <w:spacing w:before="0" w:beforeAutospacing="0" w:after="0" w:afterAutospacing="0"/>
              <w:jc w:val="center"/>
              <w:rPr>
                <w:rFonts w:hint="eastAsia" w:ascii="宋体" w:hAnsi="宋体" w:eastAsia="宋体" w:cs="宋体"/>
                <w:bCs/>
                <w:color w:val="auto"/>
                <w:kern w:val="2"/>
                <w:sz w:val="21"/>
                <w:szCs w:val="21"/>
                <w:highlight w:val="none"/>
                <w:shd w:val="clear" w:color="auto" w:fill="auto"/>
              </w:rPr>
            </w:pPr>
            <w:r>
              <w:rPr>
                <w:rFonts w:hint="eastAsia" w:ascii="宋体" w:hAnsi="宋体" w:eastAsia="宋体" w:cs="宋体"/>
                <w:color w:val="auto"/>
                <w:kern w:val="2"/>
                <w:sz w:val="21"/>
                <w:szCs w:val="21"/>
                <w:highlight w:val="none"/>
                <w:shd w:val="clear" w:color="auto" w:fill="auto"/>
              </w:rPr>
              <w:t>施</w:t>
            </w:r>
          </w:p>
        </w:tc>
        <w:tc>
          <w:tcPr>
            <w:tcW w:w="8588" w:type="dxa"/>
            <w:tcBorders>
              <w:top w:val="single" w:color="auto" w:sz="8" w:space="0"/>
              <w:left w:val="single" w:color="auto" w:sz="4" w:space="0"/>
              <w:bottom w:val="single" w:color="auto" w:sz="4" w:space="0"/>
              <w:right w:val="single" w:color="auto" w:sz="8" w:space="0"/>
            </w:tcBorders>
            <w:noWrap w:val="0"/>
            <w:vAlign w:val="center"/>
          </w:tcPr>
          <w:p w14:paraId="08F865F3">
            <w:pPr>
              <w:keepNext w:val="0"/>
              <w:keepLines w:val="0"/>
              <w:suppressLineNumbers w:val="0"/>
              <w:spacing w:before="0" w:beforeAutospacing="0" w:after="0" w:afterAutospacing="0" w:line="360" w:lineRule="auto"/>
              <w:ind w:left="0" w:right="0" w:firstLine="480" w:firstLineChars="200"/>
              <w:jc w:val="left"/>
              <w:rPr>
                <w:rFonts w:hint="eastAsia" w:ascii="Times New Roman" w:hAnsi="Times New Roman"/>
                <w:bCs/>
                <w:color w:val="auto"/>
                <w:sz w:val="24"/>
                <w:highlight w:val="none"/>
              </w:rPr>
            </w:pPr>
            <w:r>
              <w:rPr>
                <w:rFonts w:hint="eastAsia" w:ascii="Times New Roman" w:hAnsi="Times New Roman"/>
                <w:bCs/>
                <w:color w:val="auto"/>
                <w:sz w:val="24"/>
                <w:highlight w:val="none"/>
              </w:rPr>
              <w:t>本项目施工期产生的污染主要是噪声、扬尘、固体废物及施工废水，其中噪声和扬尘影响是主要环境影响因素。</w:t>
            </w:r>
          </w:p>
          <w:p w14:paraId="7E688FE6">
            <w:pPr>
              <w:keepNext w:val="0"/>
              <w:keepLines w:val="0"/>
              <w:suppressLineNumbers w:val="0"/>
              <w:spacing w:before="0" w:beforeAutospacing="0" w:after="0" w:afterAutospacing="0" w:line="360" w:lineRule="auto"/>
              <w:ind w:left="0" w:right="0" w:firstLine="482" w:firstLineChars="200"/>
              <w:rPr>
                <w:rFonts w:hint="eastAsia" w:ascii="宋体" w:hAnsi="宋体" w:eastAsia="宋体" w:cs="宋体"/>
                <w:color w:val="auto"/>
                <w:sz w:val="24"/>
                <w:highlight w:val="none"/>
                <w:shd w:val="clear" w:color="auto" w:fill="auto"/>
              </w:rPr>
            </w:pPr>
            <w:r>
              <w:rPr>
                <w:rFonts w:hint="eastAsia" w:ascii="宋体" w:hAnsi="宋体" w:eastAsia="宋体" w:cs="宋体"/>
                <w:b/>
                <w:color w:val="auto"/>
                <w:sz w:val="24"/>
                <w:highlight w:val="none"/>
                <w:shd w:val="clear" w:color="auto" w:fill="auto"/>
              </w:rPr>
              <w:t>一、噪声影响分析</w:t>
            </w:r>
          </w:p>
          <w:p w14:paraId="4716E94E">
            <w:pPr>
              <w:keepNext w:val="0"/>
              <w:keepLines w:val="0"/>
              <w:suppressLineNumbers w:val="0"/>
              <w:spacing w:before="0" w:beforeAutospacing="0" w:after="0" w:afterAutospacing="0" w:line="360" w:lineRule="auto"/>
              <w:ind w:left="0" w:right="0" w:firstLine="540" w:firstLineChars="225"/>
              <w:rPr>
                <w:rFonts w:hint="eastAsia" w:ascii="宋体" w:hAnsi="宋体" w:eastAsia="宋体" w:cs="宋体"/>
                <w:color w:val="auto"/>
                <w:sz w:val="24"/>
                <w:highlight w:val="none"/>
                <w:shd w:val="clear" w:color="auto" w:fill="auto"/>
                <w:lang w:eastAsia="zh-CN"/>
              </w:rPr>
            </w:pPr>
            <w:r>
              <w:rPr>
                <w:rFonts w:hint="eastAsia" w:ascii="宋体" w:hAnsi="宋体" w:eastAsia="宋体" w:cs="宋体"/>
                <w:color w:val="auto"/>
                <w:sz w:val="24"/>
                <w:highlight w:val="none"/>
                <w:shd w:val="clear" w:color="auto" w:fill="auto"/>
                <w:lang w:eastAsia="zh-CN"/>
              </w:rPr>
              <w:t>项目施工期噪声主要是在施工现场的机械设备运行及作业中产生的噪声，以及车辆运输产生的噪声。噪声源主要</w:t>
            </w:r>
            <w:r>
              <w:rPr>
                <w:rFonts w:hint="eastAsia" w:ascii="宋体" w:hAnsi="宋体" w:cs="宋体"/>
                <w:color w:val="auto"/>
                <w:sz w:val="24"/>
                <w:highlight w:val="none"/>
                <w:shd w:val="clear" w:color="auto" w:fill="auto"/>
                <w:lang w:eastAsia="zh-CN"/>
              </w:rPr>
              <w:t>为</w:t>
            </w:r>
            <w:r>
              <w:rPr>
                <w:rFonts w:hint="eastAsia" w:ascii="宋体" w:hAnsi="宋体" w:eastAsia="宋体" w:cs="宋体"/>
                <w:color w:val="auto"/>
                <w:sz w:val="24"/>
                <w:highlight w:val="none"/>
                <w:shd w:val="clear" w:color="auto" w:fill="auto"/>
                <w:lang w:eastAsia="zh-CN"/>
              </w:rPr>
              <w:t>各种运输车辆</w:t>
            </w:r>
            <w:r>
              <w:rPr>
                <w:rFonts w:hint="eastAsia" w:ascii="宋体" w:hAnsi="宋体" w:cs="宋体"/>
                <w:color w:val="auto"/>
                <w:sz w:val="24"/>
                <w:highlight w:val="none"/>
                <w:shd w:val="clear" w:color="auto" w:fill="auto"/>
                <w:lang w:eastAsia="zh-CN"/>
              </w:rPr>
              <w:t>、</w:t>
            </w:r>
            <w:r>
              <w:rPr>
                <w:rFonts w:hint="eastAsia" w:ascii="宋体" w:hAnsi="宋体" w:eastAsia="宋体" w:cs="宋体"/>
                <w:color w:val="auto"/>
                <w:sz w:val="24"/>
                <w:highlight w:val="none"/>
                <w:shd w:val="clear" w:color="auto" w:fill="auto"/>
                <w:lang w:eastAsia="zh-CN"/>
              </w:rPr>
              <w:t>结构施工阶段的吊车、</w:t>
            </w:r>
            <w:r>
              <w:rPr>
                <w:rFonts w:hint="eastAsia" w:ascii="宋体" w:hAnsi="宋体" w:cs="宋体"/>
                <w:i w:val="0"/>
                <w:iCs w:val="0"/>
                <w:color w:val="auto"/>
                <w:kern w:val="0"/>
                <w:sz w:val="21"/>
                <w:szCs w:val="21"/>
                <w:highlight w:val="none"/>
                <w:u w:val="none"/>
                <w:lang w:val="en-US" w:eastAsia="zh-CN" w:bidi="ar"/>
              </w:rPr>
              <w:t>彩</w:t>
            </w:r>
            <w:r>
              <w:rPr>
                <w:rFonts w:hint="eastAsia" w:ascii="宋体" w:hAnsi="宋体" w:cs="宋体"/>
                <w:color w:val="auto"/>
                <w:sz w:val="24"/>
                <w:highlight w:val="none"/>
                <w:shd w:val="clear" w:color="auto" w:fill="auto"/>
                <w:lang w:eastAsia="zh-CN"/>
              </w:rPr>
              <w:t>钢板切断</w:t>
            </w:r>
            <w:r>
              <w:rPr>
                <w:rFonts w:hint="eastAsia" w:ascii="宋体" w:hAnsi="宋体" w:eastAsia="宋体" w:cs="宋体"/>
                <w:color w:val="auto"/>
                <w:sz w:val="24"/>
                <w:highlight w:val="none"/>
                <w:shd w:val="clear" w:color="auto" w:fill="auto"/>
                <w:lang w:eastAsia="zh-CN"/>
              </w:rPr>
              <w:t>机等；装修施工阶段的吊车、电锯等；这些噪声源的数量和种类较多，既有固定源，也有</w:t>
            </w:r>
            <w:r>
              <w:rPr>
                <w:rFonts w:hint="eastAsia" w:ascii="宋体" w:hAnsi="宋体" w:cs="宋体"/>
                <w:color w:val="auto"/>
                <w:sz w:val="24"/>
                <w:highlight w:val="none"/>
                <w:shd w:val="clear" w:color="auto" w:fill="auto"/>
                <w:lang w:eastAsia="zh-CN"/>
              </w:rPr>
              <w:t>移动</w:t>
            </w:r>
            <w:r>
              <w:rPr>
                <w:rFonts w:hint="eastAsia" w:ascii="宋体" w:hAnsi="宋体" w:eastAsia="宋体" w:cs="宋体"/>
                <w:color w:val="auto"/>
                <w:sz w:val="24"/>
                <w:highlight w:val="none"/>
                <w:shd w:val="clear" w:color="auto" w:fill="auto"/>
                <w:lang w:eastAsia="zh-CN"/>
              </w:rPr>
              <w:t>源，有的是连续源，也有不少属瞬时源（突发性噪声），且一般噪声源强较大，对周围环境影响较大。</w:t>
            </w:r>
          </w:p>
          <w:p w14:paraId="1651FA75">
            <w:pPr>
              <w:keepNext w:val="0"/>
              <w:keepLines w:val="0"/>
              <w:suppressLineNumbers w:val="0"/>
              <w:spacing w:before="0" w:beforeAutospacing="0" w:after="0" w:afterAutospacing="0" w:line="360" w:lineRule="auto"/>
              <w:ind w:left="0" w:right="0" w:firstLine="540" w:firstLineChars="225"/>
              <w:rPr>
                <w:rFonts w:hint="eastAsia" w:ascii="宋体" w:hAnsi="宋体" w:eastAsia="宋体" w:cs="宋体"/>
                <w:color w:val="auto"/>
                <w:sz w:val="24"/>
                <w:highlight w:val="none"/>
                <w:shd w:val="clear" w:color="auto" w:fill="auto"/>
              </w:rPr>
            </w:pPr>
            <w:r>
              <w:rPr>
                <w:rFonts w:hint="eastAsia" w:ascii="宋体" w:hAnsi="宋体" w:eastAsia="宋体" w:cs="宋体"/>
                <w:color w:val="auto"/>
                <w:sz w:val="24"/>
                <w:highlight w:val="none"/>
                <w:shd w:val="clear" w:color="auto" w:fill="auto"/>
              </w:rPr>
              <w:t>根据类比相关资料，仅按点声源的距离衰减估算，各施工段主要使用设备噪声源强及各施工期主要施工机械对应于不同噪声限值的干扰半径见表</w:t>
            </w:r>
            <w:r>
              <w:rPr>
                <w:rFonts w:hint="eastAsia" w:ascii="宋体" w:hAnsi="宋体" w:cs="宋体"/>
                <w:color w:val="auto"/>
                <w:sz w:val="24"/>
                <w:highlight w:val="none"/>
                <w:shd w:val="clear" w:color="auto" w:fill="auto"/>
                <w:lang w:val="en-US" w:eastAsia="zh-CN"/>
              </w:rPr>
              <w:t>4-1</w:t>
            </w:r>
            <w:r>
              <w:rPr>
                <w:rFonts w:hint="eastAsia" w:ascii="宋体" w:hAnsi="宋体" w:eastAsia="宋体" w:cs="宋体"/>
                <w:color w:val="auto"/>
                <w:sz w:val="24"/>
                <w:highlight w:val="none"/>
                <w:shd w:val="clear" w:color="auto" w:fill="auto"/>
              </w:rPr>
              <w:t>：</w:t>
            </w:r>
          </w:p>
          <w:p w14:paraId="756E93F8">
            <w:pPr>
              <w:keepNext w:val="0"/>
              <w:keepLines w:val="0"/>
              <w:suppressLineNumbers w:val="0"/>
              <w:spacing w:before="156" w:beforeLines="50" w:beforeAutospacing="0" w:after="0" w:afterAutospacing="0"/>
              <w:ind w:left="0" w:right="0" w:firstLine="482" w:firstLineChars="200"/>
              <w:jc w:val="center"/>
              <w:rPr>
                <w:rFonts w:hint="eastAsia" w:ascii="宋体" w:hAnsi="宋体" w:eastAsia="宋体" w:cs="宋体"/>
                <w:b/>
                <w:color w:val="auto"/>
                <w:sz w:val="24"/>
                <w:highlight w:val="none"/>
                <w:shd w:val="clear" w:color="auto" w:fill="auto"/>
              </w:rPr>
            </w:pPr>
            <w:r>
              <w:rPr>
                <w:rFonts w:hint="eastAsia" w:ascii="宋体" w:hAnsi="宋体" w:eastAsia="宋体" w:cs="宋体"/>
                <w:b/>
                <w:color w:val="auto"/>
                <w:sz w:val="24"/>
                <w:highlight w:val="none"/>
                <w:shd w:val="clear" w:color="auto" w:fill="auto"/>
              </w:rPr>
              <w:t>表</w:t>
            </w:r>
            <w:r>
              <w:rPr>
                <w:rFonts w:hint="eastAsia" w:ascii="宋体" w:hAnsi="宋体" w:eastAsia="宋体" w:cs="宋体"/>
                <w:b/>
                <w:color w:val="auto"/>
                <w:sz w:val="24"/>
                <w:highlight w:val="none"/>
                <w:shd w:val="clear" w:color="auto" w:fill="auto"/>
                <w:lang w:val="en-US" w:eastAsia="zh-CN"/>
              </w:rPr>
              <w:t>4-1</w:t>
            </w:r>
            <w:r>
              <w:rPr>
                <w:rFonts w:hint="eastAsia" w:ascii="宋体" w:hAnsi="宋体" w:eastAsia="宋体" w:cs="宋体"/>
                <w:b/>
                <w:color w:val="auto"/>
                <w:sz w:val="24"/>
                <w:highlight w:val="none"/>
                <w:shd w:val="clear" w:color="auto" w:fill="auto"/>
              </w:rPr>
              <w:t xml:space="preserve">  各种施工机械对应于不同噪声限值的干扰半径</w:t>
            </w:r>
          </w:p>
          <w:tbl>
            <w:tblPr>
              <w:tblStyle w:val="25"/>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76"/>
              <w:gridCol w:w="1453"/>
              <w:gridCol w:w="1717"/>
              <w:gridCol w:w="1603"/>
            </w:tblGrid>
            <w:tr w14:paraId="541FAC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476" w:type="dxa"/>
                  <w:vMerge w:val="restart"/>
                  <w:tcBorders>
                    <w:top w:val="single" w:color="000000" w:sz="8" w:space="0"/>
                    <w:left w:val="single" w:color="000000" w:sz="8" w:space="0"/>
                    <w:bottom w:val="single" w:color="000000" w:sz="8" w:space="0"/>
                    <w:right w:val="single" w:color="000000" w:sz="8" w:space="0"/>
                  </w:tcBorders>
                  <w:noWrap w:val="0"/>
                  <w:vAlign w:val="center"/>
                </w:tcPr>
                <w:p w14:paraId="3273B18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主要声源名称</w:t>
                  </w:r>
                </w:p>
              </w:tc>
              <w:tc>
                <w:tcPr>
                  <w:tcW w:w="1453" w:type="dxa"/>
                  <w:vMerge w:val="restart"/>
                  <w:tcBorders>
                    <w:top w:val="single" w:color="000000" w:sz="8" w:space="0"/>
                    <w:left w:val="single" w:color="000000" w:sz="8" w:space="0"/>
                    <w:right w:val="single" w:color="000000" w:sz="8" w:space="0"/>
                  </w:tcBorders>
                  <w:noWrap w:val="0"/>
                  <w:vAlign w:val="center"/>
                </w:tcPr>
                <w:p w14:paraId="6BA8A6E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噪声源强</w:t>
                  </w:r>
                </w:p>
                <w:p w14:paraId="401C2BF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w:t>
                  </w:r>
                  <w:r>
                    <w:rPr>
                      <w:rStyle w:val="70"/>
                      <w:rFonts w:eastAsia="宋体"/>
                      <w:color w:val="auto"/>
                      <w:highlight w:val="none"/>
                      <w:lang w:val="en-US" w:eastAsia="zh-CN" w:bidi="ar"/>
                    </w:rPr>
                    <w:t>dB</w:t>
                  </w:r>
                  <w:r>
                    <w:rPr>
                      <w:rFonts w:hint="eastAsia" w:ascii="宋体" w:hAnsi="宋体" w:eastAsia="宋体" w:cs="宋体"/>
                      <w:i w:val="0"/>
                      <w:iCs w:val="0"/>
                      <w:color w:val="auto"/>
                      <w:kern w:val="0"/>
                      <w:sz w:val="21"/>
                      <w:szCs w:val="21"/>
                      <w:highlight w:val="none"/>
                      <w:u w:val="none"/>
                      <w:lang w:val="en-US" w:eastAsia="zh-CN" w:bidi="ar"/>
                    </w:rPr>
                    <w:t>（</w:t>
                  </w:r>
                  <w:r>
                    <w:rPr>
                      <w:rStyle w:val="70"/>
                      <w:rFonts w:eastAsia="宋体"/>
                      <w:color w:val="auto"/>
                      <w:highlight w:val="none"/>
                      <w:lang w:val="en-US" w:eastAsia="zh-CN" w:bidi="ar"/>
                    </w:rPr>
                    <w:t>A</w:t>
                  </w:r>
                  <w:r>
                    <w:rPr>
                      <w:rFonts w:hint="eastAsia" w:ascii="宋体" w:hAnsi="宋体" w:eastAsia="宋体" w:cs="宋体"/>
                      <w:i w:val="0"/>
                      <w:iCs w:val="0"/>
                      <w:color w:val="auto"/>
                      <w:kern w:val="0"/>
                      <w:sz w:val="21"/>
                      <w:szCs w:val="21"/>
                      <w:highlight w:val="none"/>
                      <w:u w:val="none"/>
                      <w:lang w:val="en-US" w:eastAsia="zh-CN" w:bidi="ar"/>
                    </w:rPr>
                    <w:t>））</w:t>
                  </w:r>
                </w:p>
              </w:tc>
              <w:tc>
                <w:tcPr>
                  <w:tcW w:w="3320" w:type="dxa"/>
                  <w:gridSpan w:val="2"/>
                  <w:tcBorders>
                    <w:top w:val="single" w:color="000000" w:sz="8" w:space="0"/>
                    <w:left w:val="single" w:color="000000" w:sz="8" w:space="0"/>
                    <w:bottom w:val="single" w:color="000000" w:sz="8" w:space="0"/>
                    <w:right w:val="single" w:color="000000" w:sz="8" w:space="0"/>
                  </w:tcBorders>
                  <w:noWrap w:val="0"/>
                  <w:vAlign w:val="center"/>
                </w:tcPr>
                <w:p w14:paraId="317CC2C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对应于不同限值的干扰半径（</w:t>
                  </w:r>
                  <w:r>
                    <w:rPr>
                      <w:rStyle w:val="70"/>
                      <w:rFonts w:eastAsia="宋体"/>
                      <w:color w:val="auto"/>
                      <w:highlight w:val="none"/>
                      <w:lang w:val="en-US" w:eastAsia="zh-CN" w:bidi="ar"/>
                    </w:rPr>
                    <w:t>m</w:t>
                  </w:r>
                  <w:r>
                    <w:rPr>
                      <w:rFonts w:hint="eastAsia" w:ascii="宋体" w:hAnsi="宋体" w:eastAsia="宋体" w:cs="宋体"/>
                      <w:i w:val="0"/>
                      <w:iCs w:val="0"/>
                      <w:color w:val="auto"/>
                      <w:kern w:val="0"/>
                      <w:sz w:val="21"/>
                      <w:szCs w:val="21"/>
                      <w:highlight w:val="none"/>
                      <w:u w:val="none"/>
                      <w:lang w:val="en-US" w:eastAsia="zh-CN" w:bidi="ar"/>
                    </w:rPr>
                    <w:t>）</w:t>
                  </w:r>
                </w:p>
              </w:tc>
            </w:tr>
            <w:tr w14:paraId="25A139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 w:hRule="atLeast"/>
                <w:jc w:val="center"/>
              </w:trPr>
              <w:tc>
                <w:tcPr>
                  <w:tcW w:w="1476" w:type="dxa"/>
                  <w:vMerge w:val="continue"/>
                  <w:tcBorders>
                    <w:top w:val="single" w:color="000000" w:sz="8" w:space="0"/>
                    <w:left w:val="single" w:color="000000" w:sz="8" w:space="0"/>
                    <w:bottom w:val="single" w:color="000000" w:sz="8" w:space="0"/>
                    <w:right w:val="single" w:color="000000" w:sz="8" w:space="0"/>
                  </w:tcBorders>
                  <w:noWrap w:val="0"/>
                  <w:vAlign w:val="center"/>
                </w:tcPr>
                <w:p w14:paraId="64F5EAB2">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1"/>
                      <w:szCs w:val="21"/>
                      <w:highlight w:val="none"/>
                      <w:u w:val="none"/>
                    </w:rPr>
                  </w:pPr>
                </w:p>
              </w:tc>
              <w:tc>
                <w:tcPr>
                  <w:tcW w:w="1453" w:type="dxa"/>
                  <w:vMerge w:val="continue"/>
                  <w:tcBorders>
                    <w:left w:val="single" w:color="000000" w:sz="8" w:space="0"/>
                    <w:bottom w:val="single" w:color="000000" w:sz="8" w:space="0"/>
                    <w:right w:val="single" w:color="000000" w:sz="8" w:space="0"/>
                  </w:tcBorders>
                  <w:noWrap w:val="0"/>
                  <w:vAlign w:val="center"/>
                </w:tcPr>
                <w:p w14:paraId="21DF18F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p>
              </w:tc>
              <w:tc>
                <w:tcPr>
                  <w:tcW w:w="1717" w:type="dxa"/>
                  <w:tcBorders>
                    <w:top w:val="nil"/>
                    <w:left w:val="single" w:color="000000" w:sz="8" w:space="0"/>
                    <w:bottom w:val="single" w:color="000000" w:sz="8" w:space="0"/>
                    <w:right w:val="single" w:color="000000" w:sz="8" w:space="0"/>
                  </w:tcBorders>
                  <w:noWrap w:val="0"/>
                  <w:vAlign w:val="center"/>
                </w:tcPr>
                <w:p w14:paraId="7E8E2FD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r55</w:t>
                  </w:r>
                </w:p>
              </w:tc>
              <w:tc>
                <w:tcPr>
                  <w:tcW w:w="1603" w:type="dxa"/>
                  <w:tcBorders>
                    <w:top w:val="single" w:color="000000" w:sz="8" w:space="0"/>
                    <w:left w:val="single" w:color="000000" w:sz="8" w:space="0"/>
                    <w:bottom w:val="single" w:color="000000" w:sz="8" w:space="0"/>
                    <w:right w:val="single" w:color="000000" w:sz="8" w:space="0"/>
                  </w:tcBorders>
                  <w:noWrap w:val="0"/>
                  <w:vAlign w:val="center"/>
                </w:tcPr>
                <w:p w14:paraId="6130FAA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r70</w:t>
                  </w:r>
                </w:p>
              </w:tc>
            </w:tr>
            <w:tr w14:paraId="2809F4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9" w:hRule="atLeast"/>
                <w:jc w:val="center"/>
              </w:trPr>
              <w:tc>
                <w:tcPr>
                  <w:tcW w:w="1476" w:type="dxa"/>
                  <w:tcBorders>
                    <w:top w:val="nil"/>
                    <w:left w:val="single" w:color="000000" w:sz="8" w:space="0"/>
                    <w:bottom w:val="single" w:color="000000" w:sz="8" w:space="0"/>
                    <w:right w:val="single" w:color="000000" w:sz="8" w:space="0"/>
                  </w:tcBorders>
                  <w:noWrap w:val="0"/>
                  <w:vAlign w:val="center"/>
                </w:tcPr>
                <w:p w14:paraId="16802DD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cs="宋体"/>
                      <w:i w:val="0"/>
                      <w:iCs w:val="0"/>
                      <w:color w:val="auto"/>
                      <w:kern w:val="0"/>
                      <w:sz w:val="21"/>
                      <w:szCs w:val="21"/>
                      <w:highlight w:val="none"/>
                      <w:u w:val="none"/>
                      <w:lang w:val="en-US" w:eastAsia="zh-CN" w:bidi="ar"/>
                    </w:rPr>
                    <w:t>彩钢板</w:t>
                  </w:r>
                  <w:r>
                    <w:rPr>
                      <w:rFonts w:hint="eastAsia" w:ascii="宋体" w:hAnsi="宋体" w:eastAsia="宋体" w:cs="宋体"/>
                      <w:i w:val="0"/>
                      <w:iCs w:val="0"/>
                      <w:color w:val="auto"/>
                      <w:kern w:val="0"/>
                      <w:sz w:val="21"/>
                      <w:szCs w:val="21"/>
                      <w:highlight w:val="none"/>
                      <w:u w:val="none"/>
                      <w:lang w:val="en-US" w:eastAsia="zh-CN" w:bidi="ar"/>
                    </w:rPr>
                    <w:t>切断机</w:t>
                  </w:r>
                </w:p>
              </w:tc>
              <w:tc>
                <w:tcPr>
                  <w:tcW w:w="1453" w:type="dxa"/>
                  <w:tcBorders>
                    <w:top w:val="nil"/>
                    <w:left w:val="single" w:color="000000" w:sz="8" w:space="0"/>
                    <w:bottom w:val="single" w:color="000000" w:sz="8" w:space="0"/>
                    <w:right w:val="single" w:color="000000" w:sz="8" w:space="0"/>
                  </w:tcBorders>
                  <w:noWrap w:val="0"/>
                  <w:vAlign w:val="center"/>
                </w:tcPr>
                <w:p w14:paraId="2AABE54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77</w:t>
                  </w:r>
                  <w:r>
                    <w:rPr>
                      <w:rFonts w:hint="eastAsia" w:ascii="宋体" w:hAnsi="宋体" w:eastAsia="宋体" w:cs="宋体"/>
                      <w:i w:val="0"/>
                      <w:iCs w:val="0"/>
                      <w:color w:val="auto"/>
                      <w:kern w:val="0"/>
                      <w:sz w:val="21"/>
                      <w:szCs w:val="21"/>
                      <w:highlight w:val="none"/>
                      <w:u w:val="none"/>
                      <w:lang w:val="en-US" w:eastAsia="zh-CN" w:bidi="ar"/>
                    </w:rPr>
                    <w:t>（</w:t>
                  </w:r>
                  <w:r>
                    <w:rPr>
                      <w:rStyle w:val="70"/>
                      <w:rFonts w:eastAsia="宋体"/>
                      <w:color w:val="auto"/>
                      <w:highlight w:val="none"/>
                      <w:lang w:val="en-US" w:eastAsia="zh-CN" w:bidi="ar"/>
                    </w:rPr>
                    <w:t>7m</w:t>
                  </w:r>
                  <w:r>
                    <w:rPr>
                      <w:rFonts w:hint="eastAsia" w:ascii="宋体" w:hAnsi="宋体" w:eastAsia="宋体" w:cs="宋体"/>
                      <w:i w:val="0"/>
                      <w:iCs w:val="0"/>
                      <w:color w:val="auto"/>
                      <w:kern w:val="0"/>
                      <w:sz w:val="21"/>
                      <w:szCs w:val="21"/>
                      <w:highlight w:val="none"/>
                      <w:u w:val="none"/>
                      <w:lang w:val="en-US" w:eastAsia="zh-CN" w:bidi="ar"/>
                    </w:rPr>
                    <w:t>）</w:t>
                  </w:r>
                </w:p>
              </w:tc>
              <w:tc>
                <w:tcPr>
                  <w:tcW w:w="1717" w:type="dxa"/>
                  <w:tcBorders>
                    <w:top w:val="nil"/>
                    <w:left w:val="single" w:color="000000" w:sz="8" w:space="0"/>
                    <w:bottom w:val="single" w:color="000000" w:sz="8" w:space="0"/>
                    <w:right w:val="single" w:color="000000" w:sz="8" w:space="0"/>
                  </w:tcBorders>
                  <w:noWrap w:val="0"/>
                  <w:vAlign w:val="center"/>
                </w:tcPr>
                <w:p w14:paraId="65429BF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88</w:t>
                  </w:r>
                </w:p>
              </w:tc>
              <w:tc>
                <w:tcPr>
                  <w:tcW w:w="1603" w:type="dxa"/>
                  <w:tcBorders>
                    <w:top w:val="nil"/>
                    <w:left w:val="single" w:color="000000" w:sz="8" w:space="0"/>
                    <w:bottom w:val="single" w:color="000000" w:sz="8" w:space="0"/>
                    <w:right w:val="single" w:color="000000" w:sz="8" w:space="0"/>
                  </w:tcBorders>
                  <w:noWrap w:val="0"/>
                  <w:vAlign w:val="center"/>
                </w:tcPr>
                <w:p w14:paraId="20D75A7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w:t>
                  </w:r>
                </w:p>
              </w:tc>
            </w:tr>
            <w:tr w14:paraId="5C300F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5" w:hRule="atLeast"/>
                <w:jc w:val="center"/>
              </w:trPr>
              <w:tc>
                <w:tcPr>
                  <w:tcW w:w="1476" w:type="dxa"/>
                  <w:tcBorders>
                    <w:top w:val="nil"/>
                    <w:left w:val="single" w:color="000000" w:sz="8" w:space="0"/>
                    <w:bottom w:val="single" w:color="000000" w:sz="8" w:space="0"/>
                    <w:right w:val="single" w:color="000000" w:sz="8" w:space="0"/>
                  </w:tcBorders>
                  <w:noWrap w:val="0"/>
                  <w:vAlign w:val="center"/>
                </w:tcPr>
                <w:p w14:paraId="2A73A16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移动空压机</w:t>
                  </w:r>
                </w:p>
              </w:tc>
              <w:tc>
                <w:tcPr>
                  <w:tcW w:w="1453" w:type="dxa"/>
                  <w:tcBorders>
                    <w:top w:val="nil"/>
                    <w:left w:val="single" w:color="000000" w:sz="8" w:space="0"/>
                    <w:bottom w:val="single" w:color="000000" w:sz="8" w:space="0"/>
                    <w:right w:val="single" w:color="000000" w:sz="8" w:space="0"/>
                  </w:tcBorders>
                  <w:noWrap w:val="0"/>
                  <w:vAlign w:val="center"/>
                </w:tcPr>
                <w:p w14:paraId="5F274DE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92</w:t>
                  </w:r>
                  <w:r>
                    <w:rPr>
                      <w:rFonts w:hint="eastAsia" w:ascii="宋体" w:hAnsi="宋体" w:eastAsia="宋体" w:cs="宋体"/>
                      <w:i w:val="0"/>
                      <w:iCs w:val="0"/>
                      <w:color w:val="auto"/>
                      <w:kern w:val="0"/>
                      <w:sz w:val="21"/>
                      <w:szCs w:val="21"/>
                      <w:highlight w:val="none"/>
                      <w:u w:val="none"/>
                      <w:lang w:val="en-US" w:eastAsia="zh-CN" w:bidi="ar"/>
                    </w:rPr>
                    <w:t>（</w:t>
                  </w:r>
                  <w:r>
                    <w:rPr>
                      <w:rStyle w:val="70"/>
                      <w:rFonts w:eastAsia="宋体"/>
                      <w:color w:val="auto"/>
                      <w:highlight w:val="none"/>
                      <w:lang w:val="en-US" w:eastAsia="zh-CN" w:bidi="ar"/>
                    </w:rPr>
                    <w:t>3m</w:t>
                  </w:r>
                  <w:r>
                    <w:rPr>
                      <w:rFonts w:hint="eastAsia" w:ascii="宋体" w:hAnsi="宋体" w:eastAsia="宋体" w:cs="宋体"/>
                      <w:i w:val="0"/>
                      <w:iCs w:val="0"/>
                      <w:color w:val="auto"/>
                      <w:kern w:val="0"/>
                      <w:sz w:val="21"/>
                      <w:szCs w:val="21"/>
                      <w:highlight w:val="none"/>
                      <w:u w:val="none"/>
                      <w:lang w:val="en-US" w:eastAsia="zh-CN" w:bidi="ar"/>
                    </w:rPr>
                    <w:t>）</w:t>
                  </w:r>
                </w:p>
              </w:tc>
              <w:tc>
                <w:tcPr>
                  <w:tcW w:w="1717" w:type="dxa"/>
                  <w:tcBorders>
                    <w:top w:val="nil"/>
                    <w:left w:val="single" w:color="000000" w:sz="8" w:space="0"/>
                    <w:bottom w:val="single" w:color="000000" w:sz="8" w:space="0"/>
                    <w:right w:val="single" w:color="000000" w:sz="8" w:space="0"/>
                  </w:tcBorders>
                  <w:noWrap w:val="0"/>
                  <w:vAlign w:val="center"/>
                </w:tcPr>
                <w:p w14:paraId="6F99874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212</w:t>
                  </w:r>
                </w:p>
              </w:tc>
              <w:tc>
                <w:tcPr>
                  <w:tcW w:w="1603" w:type="dxa"/>
                  <w:tcBorders>
                    <w:top w:val="nil"/>
                    <w:left w:val="single" w:color="000000" w:sz="8" w:space="0"/>
                    <w:bottom w:val="single" w:color="000000" w:sz="8" w:space="0"/>
                    <w:right w:val="single" w:color="000000" w:sz="8" w:space="0"/>
                  </w:tcBorders>
                  <w:noWrap w:val="0"/>
                  <w:vAlign w:val="center"/>
                </w:tcPr>
                <w:p w14:paraId="0011A33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38</w:t>
                  </w:r>
                </w:p>
              </w:tc>
            </w:tr>
            <w:tr w14:paraId="5319A6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1476" w:type="dxa"/>
                  <w:tcBorders>
                    <w:top w:val="nil"/>
                    <w:left w:val="single" w:color="000000" w:sz="8" w:space="0"/>
                    <w:bottom w:val="single" w:color="000000" w:sz="8" w:space="0"/>
                    <w:right w:val="single" w:color="000000" w:sz="8" w:space="0"/>
                  </w:tcBorders>
                  <w:noWrap w:val="0"/>
                  <w:vAlign w:val="center"/>
                </w:tcPr>
                <w:p w14:paraId="7620491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吊车</w:t>
                  </w:r>
                </w:p>
              </w:tc>
              <w:tc>
                <w:tcPr>
                  <w:tcW w:w="1453" w:type="dxa"/>
                  <w:tcBorders>
                    <w:top w:val="nil"/>
                    <w:left w:val="single" w:color="000000" w:sz="8" w:space="0"/>
                    <w:bottom w:val="single" w:color="000000" w:sz="8" w:space="0"/>
                    <w:right w:val="single" w:color="000000" w:sz="8" w:space="0"/>
                  </w:tcBorders>
                  <w:noWrap w:val="0"/>
                  <w:vAlign w:val="center"/>
                </w:tcPr>
                <w:p w14:paraId="1922378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73</w:t>
                  </w:r>
                  <w:r>
                    <w:rPr>
                      <w:rFonts w:hint="eastAsia" w:ascii="宋体" w:hAnsi="宋体" w:eastAsia="宋体" w:cs="宋体"/>
                      <w:i w:val="0"/>
                      <w:iCs w:val="0"/>
                      <w:color w:val="auto"/>
                      <w:kern w:val="0"/>
                      <w:sz w:val="21"/>
                      <w:szCs w:val="21"/>
                      <w:highlight w:val="none"/>
                      <w:u w:val="none"/>
                      <w:lang w:val="en-US" w:eastAsia="zh-CN" w:bidi="ar"/>
                    </w:rPr>
                    <w:t>（</w:t>
                  </w:r>
                  <w:r>
                    <w:rPr>
                      <w:rStyle w:val="70"/>
                      <w:rFonts w:eastAsia="宋体"/>
                      <w:color w:val="auto"/>
                      <w:highlight w:val="none"/>
                      <w:lang w:val="en-US" w:eastAsia="zh-CN" w:bidi="ar"/>
                    </w:rPr>
                    <w:t>15m</w:t>
                  </w:r>
                  <w:r>
                    <w:rPr>
                      <w:rFonts w:hint="eastAsia" w:ascii="宋体" w:hAnsi="宋体" w:eastAsia="宋体" w:cs="宋体"/>
                      <w:i w:val="0"/>
                      <w:iCs w:val="0"/>
                      <w:color w:val="auto"/>
                      <w:kern w:val="0"/>
                      <w:sz w:val="21"/>
                      <w:szCs w:val="21"/>
                      <w:highlight w:val="none"/>
                      <w:u w:val="none"/>
                      <w:lang w:val="en-US" w:eastAsia="zh-CN" w:bidi="ar"/>
                    </w:rPr>
                    <w:t>）</w:t>
                  </w:r>
                </w:p>
              </w:tc>
              <w:tc>
                <w:tcPr>
                  <w:tcW w:w="1717" w:type="dxa"/>
                  <w:tcBorders>
                    <w:top w:val="nil"/>
                    <w:left w:val="single" w:color="000000" w:sz="8" w:space="0"/>
                    <w:bottom w:val="single" w:color="000000" w:sz="8" w:space="0"/>
                    <w:right w:val="single" w:color="000000" w:sz="8" w:space="0"/>
                  </w:tcBorders>
                  <w:noWrap w:val="0"/>
                  <w:vAlign w:val="center"/>
                </w:tcPr>
                <w:p w14:paraId="1E305D7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119</w:t>
                  </w:r>
                </w:p>
              </w:tc>
              <w:tc>
                <w:tcPr>
                  <w:tcW w:w="1603" w:type="dxa"/>
                  <w:tcBorders>
                    <w:top w:val="nil"/>
                    <w:left w:val="single" w:color="000000" w:sz="8" w:space="0"/>
                    <w:bottom w:val="single" w:color="000000" w:sz="8" w:space="0"/>
                    <w:right w:val="single" w:color="000000" w:sz="8" w:space="0"/>
                  </w:tcBorders>
                  <w:noWrap w:val="0"/>
                  <w:vAlign w:val="center"/>
                </w:tcPr>
                <w:p w14:paraId="7CFA0A2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21</w:t>
                  </w:r>
                </w:p>
              </w:tc>
            </w:tr>
            <w:tr w14:paraId="30F990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1476" w:type="dxa"/>
                  <w:tcBorders>
                    <w:top w:val="nil"/>
                    <w:left w:val="single" w:color="000000" w:sz="8" w:space="0"/>
                    <w:bottom w:val="single" w:color="000000" w:sz="8" w:space="0"/>
                    <w:right w:val="single" w:color="000000" w:sz="8" w:space="0"/>
                  </w:tcBorders>
                  <w:noWrap w:val="0"/>
                  <w:vAlign w:val="center"/>
                </w:tcPr>
                <w:p w14:paraId="303395A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运输车</w:t>
                  </w:r>
                </w:p>
              </w:tc>
              <w:tc>
                <w:tcPr>
                  <w:tcW w:w="1453" w:type="dxa"/>
                  <w:tcBorders>
                    <w:top w:val="nil"/>
                    <w:left w:val="single" w:color="000000" w:sz="8" w:space="0"/>
                    <w:bottom w:val="single" w:color="000000" w:sz="8" w:space="0"/>
                    <w:right w:val="single" w:color="000000" w:sz="8" w:space="0"/>
                  </w:tcBorders>
                  <w:noWrap w:val="0"/>
                  <w:vAlign w:val="center"/>
                </w:tcPr>
                <w:p w14:paraId="58CC081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87</w:t>
                  </w:r>
                  <w:r>
                    <w:rPr>
                      <w:rFonts w:hint="eastAsia" w:ascii="宋体" w:hAnsi="宋体" w:eastAsia="宋体" w:cs="宋体"/>
                      <w:i w:val="0"/>
                      <w:iCs w:val="0"/>
                      <w:color w:val="auto"/>
                      <w:kern w:val="0"/>
                      <w:sz w:val="21"/>
                      <w:szCs w:val="21"/>
                      <w:highlight w:val="none"/>
                      <w:u w:val="none"/>
                      <w:lang w:val="en-US" w:eastAsia="zh-CN" w:bidi="ar"/>
                    </w:rPr>
                    <w:t>（</w:t>
                  </w:r>
                  <w:r>
                    <w:rPr>
                      <w:rStyle w:val="70"/>
                      <w:rFonts w:eastAsia="宋体"/>
                      <w:color w:val="auto"/>
                      <w:highlight w:val="none"/>
                      <w:lang w:val="en-US" w:eastAsia="zh-CN" w:bidi="ar"/>
                    </w:rPr>
                    <w:t>3m</w:t>
                  </w:r>
                  <w:r>
                    <w:rPr>
                      <w:rFonts w:hint="eastAsia" w:ascii="宋体" w:hAnsi="宋体" w:eastAsia="宋体" w:cs="宋体"/>
                      <w:i w:val="0"/>
                      <w:iCs w:val="0"/>
                      <w:color w:val="auto"/>
                      <w:kern w:val="0"/>
                      <w:sz w:val="21"/>
                      <w:szCs w:val="21"/>
                      <w:highlight w:val="none"/>
                      <w:u w:val="none"/>
                      <w:lang w:val="en-US" w:eastAsia="zh-CN" w:bidi="ar"/>
                    </w:rPr>
                    <w:t>）</w:t>
                  </w:r>
                </w:p>
              </w:tc>
              <w:tc>
                <w:tcPr>
                  <w:tcW w:w="1717" w:type="dxa"/>
                  <w:tcBorders>
                    <w:top w:val="nil"/>
                    <w:left w:val="single" w:color="000000" w:sz="8" w:space="0"/>
                    <w:bottom w:val="single" w:color="000000" w:sz="8" w:space="0"/>
                    <w:right w:val="single" w:color="000000" w:sz="8" w:space="0"/>
                  </w:tcBorders>
                  <w:noWrap w:val="0"/>
                  <w:vAlign w:val="center"/>
                </w:tcPr>
                <w:p w14:paraId="64DFC2E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119</w:t>
                  </w:r>
                </w:p>
              </w:tc>
              <w:tc>
                <w:tcPr>
                  <w:tcW w:w="1603" w:type="dxa"/>
                  <w:tcBorders>
                    <w:top w:val="nil"/>
                    <w:left w:val="single" w:color="000000" w:sz="8" w:space="0"/>
                    <w:bottom w:val="single" w:color="000000" w:sz="8" w:space="0"/>
                    <w:right w:val="single" w:color="000000" w:sz="8" w:space="0"/>
                  </w:tcBorders>
                  <w:noWrap w:val="0"/>
                  <w:vAlign w:val="center"/>
                </w:tcPr>
                <w:p w14:paraId="182A368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21</w:t>
                  </w:r>
                </w:p>
              </w:tc>
            </w:tr>
            <w:tr w14:paraId="7F7F99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1476" w:type="dxa"/>
                  <w:tcBorders>
                    <w:top w:val="nil"/>
                    <w:left w:val="single" w:color="000000" w:sz="8" w:space="0"/>
                    <w:bottom w:val="single" w:color="000000" w:sz="8" w:space="0"/>
                    <w:right w:val="single" w:color="000000" w:sz="8" w:space="0"/>
                  </w:tcBorders>
                  <w:noWrap w:val="0"/>
                  <w:vAlign w:val="center"/>
                </w:tcPr>
                <w:p w14:paraId="11F5730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吊车</w:t>
                  </w:r>
                </w:p>
              </w:tc>
              <w:tc>
                <w:tcPr>
                  <w:tcW w:w="1453" w:type="dxa"/>
                  <w:tcBorders>
                    <w:top w:val="nil"/>
                    <w:left w:val="single" w:color="000000" w:sz="8" w:space="0"/>
                    <w:bottom w:val="single" w:color="000000" w:sz="8" w:space="0"/>
                    <w:right w:val="single" w:color="000000" w:sz="8" w:space="0"/>
                  </w:tcBorders>
                  <w:noWrap w:val="0"/>
                  <w:vAlign w:val="center"/>
                </w:tcPr>
                <w:p w14:paraId="104F366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73</w:t>
                  </w:r>
                  <w:r>
                    <w:rPr>
                      <w:rFonts w:hint="eastAsia" w:ascii="宋体" w:hAnsi="宋体" w:eastAsia="宋体" w:cs="宋体"/>
                      <w:i w:val="0"/>
                      <w:iCs w:val="0"/>
                      <w:color w:val="auto"/>
                      <w:kern w:val="0"/>
                      <w:sz w:val="21"/>
                      <w:szCs w:val="21"/>
                      <w:highlight w:val="none"/>
                      <w:u w:val="none"/>
                      <w:lang w:val="en-US" w:eastAsia="zh-CN" w:bidi="ar"/>
                    </w:rPr>
                    <w:t>（</w:t>
                  </w:r>
                  <w:r>
                    <w:rPr>
                      <w:rStyle w:val="70"/>
                      <w:rFonts w:eastAsia="宋体"/>
                      <w:color w:val="auto"/>
                      <w:highlight w:val="none"/>
                      <w:lang w:val="en-US" w:eastAsia="zh-CN" w:bidi="ar"/>
                    </w:rPr>
                    <w:t>15m</w:t>
                  </w:r>
                  <w:r>
                    <w:rPr>
                      <w:rFonts w:hint="eastAsia" w:ascii="宋体" w:hAnsi="宋体" w:eastAsia="宋体" w:cs="宋体"/>
                      <w:i w:val="0"/>
                      <w:iCs w:val="0"/>
                      <w:color w:val="auto"/>
                      <w:kern w:val="0"/>
                      <w:sz w:val="21"/>
                      <w:szCs w:val="21"/>
                      <w:highlight w:val="none"/>
                      <w:u w:val="none"/>
                      <w:lang w:val="en-US" w:eastAsia="zh-CN" w:bidi="ar"/>
                    </w:rPr>
                    <w:t>）</w:t>
                  </w:r>
                </w:p>
              </w:tc>
              <w:tc>
                <w:tcPr>
                  <w:tcW w:w="1717" w:type="dxa"/>
                  <w:tcBorders>
                    <w:top w:val="nil"/>
                    <w:left w:val="single" w:color="000000" w:sz="8" w:space="0"/>
                    <w:bottom w:val="single" w:color="000000" w:sz="8" w:space="0"/>
                    <w:right w:val="single" w:color="000000" w:sz="8" w:space="0"/>
                  </w:tcBorders>
                  <w:noWrap w:val="0"/>
                  <w:vAlign w:val="center"/>
                </w:tcPr>
                <w:p w14:paraId="70517BA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119</w:t>
                  </w:r>
                </w:p>
              </w:tc>
              <w:tc>
                <w:tcPr>
                  <w:tcW w:w="1603" w:type="dxa"/>
                  <w:tcBorders>
                    <w:top w:val="nil"/>
                    <w:left w:val="single" w:color="000000" w:sz="8" w:space="0"/>
                    <w:bottom w:val="single" w:color="000000" w:sz="8" w:space="0"/>
                    <w:right w:val="single" w:color="000000" w:sz="8" w:space="0"/>
                  </w:tcBorders>
                  <w:noWrap w:val="0"/>
                  <w:vAlign w:val="center"/>
                </w:tcPr>
                <w:p w14:paraId="0ABFF89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21</w:t>
                  </w:r>
                </w:p>
              </w:tc>
            </w:tr>
            <w:tr w14:paraId="6DEC81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1476" w:type="dxa"/>
                  <w:tcBorders>
                    <w:top w:val="nil"/>
                    <w:left w:val="single" w:color="000000" w:sz="8" w:space="0"/>
                    <w:bottom w:val="single" w:color="000000" w:sz="8" w:space="0"/>
                    <w:right w:val="single" w:color="000000" w:sz="8" w:space="0"/>
                  </w:tcBorders>
                  <w:noWrap w:val="0"/>
                  <w:vAlign w:val="center"/>
                </w:tcPr>
                <w:p w14:paraId="4132510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电锯</w:t>
                  </w:r>
                </w:p>
              </w:tc>
              <w:tc>
                <w:tcPr>
                  <w:tcW w:w="1453" w:type="dxa"/>
                  <w:tcBorders>
                    <w:top w:val="nil"/>
                    <w:left w:val="single" w:color="000000" w:sz="8" w:space="0"/>
                    <w:bottom w:val="single" w:color="000000" w:sz="8" w:space="0"/>
                    <w:right w:val="single" w:color="000000" w:sz="8" w:space="0"/>
                  </w:tcBorders>
                  <w:noWrap w:val="0"/>
                  <w:vAlign w:val="center"/>
                </w:tcPr>
                <w:p w14:paraId="1463FBF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103</w:t>
                  </w:r>
                  <w:r>
                    <w:rPr>
                      <w:rFonts w:hint="eastAsia" w:ascii="宋体" w:hAnsi="宋体" w:eastAsia="宋体" w:cs="宋体"/>
                      <w:i w:val="0"/>
                      <w:iCs w:val="0"/>
                      <w:color w:val="auto"/>
                      <w:kern w:val="0"/>
                      <w:sz w:val="21"/>
                      <w:szCs w:val="21"/>
                      <w:highlight w:val="none"/>
                      <w:u w:val="none"/>
                      <w:lang w:val="en-US" w:eastAsia="zh-CN" w:bidi="ar"/>
                    </w:rPr>
                    <w:t>（</w:t>
                  </w:r>
                  <w:r>
                    <w:rPr>
                      <w:rStyle w:val="70"/>
                      <w:rFonts w:eastAsia="宋体"/>
                      <w:color w:val="auto"/>
                      <w:highlight w:val="none"/>
                      <w:lang w:val="en-US" w:eastAsia="zh-CN" w:bidi="ar"/>
                    </w:rPr>
                    <w:t>1m</w:t>
                  </w:r>
                  <w:r>
                    <w:rPr>
                      <w:rFonts w:hint="eastAsia" w:ascii="宋体" w:hAnsi="宋体" w:eastAsia="宋体" w:cs="宋体"/>
                      <w:i w:val="0"/>
                      <w:iCs w:val="0"/>
                      <w:color w:val="auto"/>
                      <w:kern w:val="0"/>
                      <w:sz w:val="21"/>
                      <w:szCs w:val="21"/>
                      <w:highlight w:val="none"/>
                      <w:u w:val="none"/>
                      <w:lang w:val="en-US" w:eastAsia="zh-CN" w:bidi="ar"/>
                    </w:rPr>
                    <w:t>）</w:t>
                  </w:r>
                </w:p>
              </w:tc>
              <w:tc>
                <w:tcPr>
                  <w:tcW w:w="1717" w:type="dxa"/>
                  <w:tcBorders>
                    <w:top w:val="nil"/>
                    <w:left w:val="single" w:color="000000" w:sz="8" w:space="0"/>
                    <w:bottom w:val="single" w:color="000000" w:sz="8" w:space="0"/>
                    <w:right w:val="single" w:color="000000" w:sz="8" w:space="0"/>
                  </w:tcBorders>
                  <w:noWrap w:val="0"/>
                  <w:vAlign w:val="center"/>
                </w:tcPr>
                <w:p w14:paraId="2AB3241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251</w:t>
                  </w:r>
                </w:p>
              </w:tc>
              <w:tc>
                <w:tcPr>
                  <w:tcW w:w="1603" w:type="dxa"/>
                  <w:tcBorders>
                    <w:top w:val="nil"/>
                    <w:left w:val="single" w:color="000000" w:sz="8" w:space="0"/>
                    <w:bottom w:val="single" w:color="000000" w:sz="8" w:space="0"/>
                    <w:right w:val="single" w:color="000000" w:sz="8" w:space="0"/>
                  </w:tcBorders>
                  <w:noWrap w:val="0"/>
                  <w:vAlign w:val="center"/>
                </w:tcPr>
                <w:p w14:paraId="760EC82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45</w:t>
                  </w:r>
                </w:p>
              </w:tc>
            </w:tr>
          </w:tbl>
          <w:p w14:paraId="38FE1E86">
            <w:pPr>
              <w:keepNext w:val="0"/>
              <w:keepLines w:val="0"/>
              <w:suppressLineNumbers w:val="0"/>
              <w:spacing w:before="0" w:beforeAutospacing="0" w:after="0" w:afterAutospacing="0" w:line="360" w:lineRule="auto"/>
              <w:ind w:left="0" w:right="0" w:firstLine="420" w:firstLineChars="200"/>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注：表中为每种设备单台作业时的数据，多台时会有所变化。</w:t>
            </w:r>
          </w:p>
          <w:p w14:paraId="646B256C">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shd w:val="clear" w:color="auto" w:fill="auto"/>
              </w:rPr>
            </w:pPr>
            <w:r>
              <w:rPr>
                <w:rFonts w:hint="eastAsia" w:ascii="宋体" w:hAnsi="宋体" w:eastAsia="宋体" w:cs="宋体"/>
                <w:color w:val="auto"/>
                <w:sz w:val="24"/>
                <w:highlight w:val="none"/>
                <w:shd w:val="clear" w:color="auto" w:fill="auto"/>
              </w:rPr>
              <w:t>从表</w:t>
            </w:r>
            <w:r>
              <w:rPr>
                <w:rFonts w:hint="eastAsia" w:ascii="宋体" w:hAnsi="宋体" w:cs="宋体"/>
                <w:color w:val="auto"/>
                <w:sz w:val="24"/>
                <w:highlight w:val="none"/>
                <w:shd w:val="clear" w:color="auto" w:fill="auto"/>
                <w:lang w:val="en-US" w:eastAsia="zh-CN"/>
              </w:rPr>
              <w:t>4-1</w:t>
            </w:r>
            <w:r>
              <w:rPr>
                <w:rFonts w:hint="eastAsia" w:ascii="宋体" w:hAnsi="宋体" w:eastAsia="宋体" w:cs="宋体"/>
                <w:color w:val="auto"/>
                <w:sz w:val="24"/>
                <w:highlight w:val="none"/>
                <w:shd w:val="clear" w:color="auto" w:fill="auto"/>
              </w:rPr>
              <w:t>可以看出，施工设备在距周边场界距离为1</w:t>
            </w:r>
            <w:r>
              <w:rPr>
                <w:rFonts w:hint="eastAsia" w:ascii="宋体" w:hAnsi="宋体" w:cs="宋体"/>
                <w:color w:val="auto"/>
                <w:sz w:val="24"/>
                <w:highlight w:val="none"/>
                <w:shd w:val="clear" w:color="auto" w:fill="auto"/>
                <w:lang w:val="en-US" w:eastAsia="zh-CN"/>
              </w:rPr>
              <w:t>6</w:t>
            </w:r>
            <w:r>
              <w:rPr>
                <w:rFonts w:hint="eastAsia" w:ascii="宋体" w:hAnsi="宋体" w:eastAsia="宋体" w:cs="宋体"/>
                <w:color w:val="auto"/>
                <w:sz w:val="24"/>
                <w:highlight w:val="none"/>
                <w:shd w:val="clear" w:color="auto" w:fill="auto"/>
              </w:rPr>
              <w:t>m～</w:t>
            </w:r>
            <w:r>
              <w:rPr>
                <w:rFonts w:hint="eastAsia" w:ascii="宋体" w:hAnsi="宋体" w:cs="宋体"/>
                <w:color w:val="auto"/>
                <w:sz w:val="24"/>
                <w:highlight w:val="none"/>
                <w:shd w:val="clear" w:color="auto" w:fill="auto"/>
                <w:lang w:val="en-US" w:eastAsia="zh-CN"/>
              </w:rPr>
              <w:t>45</w:t>
            </w:r>
            <w:r>
              <w:rPr>
                <w:rFonts w:hint="eastAsia" w:ascii="宋体" w:hAnsi="宋体" w:eastAsia="宋体" w:cs="宋体"/>
                <w:color w:val="auto"/>
                <w:sz w:val="24"/>
                <w:highlight w:val="none"/>
                <w:shd w:val="clear" w:color="auto" w:fill="auto"/>
              </w:rPr>
              <w:t>m以外的范围作业时，昼间场界噪声可以达标；夜间场界噪声达标则需要施工设备在距周边场界距离8</w:t>
            </w:r>
            <w:r>
              <w:rPr>
                <w:rFonts w:hint="eastAsia" w:ascii="宋体" w:hAnsi="宋体" w:cs="宋体"/>
                <w:color w:val="auto"/>
                <w:sz w:val="24"/>
                <w:highlight w:val="none"/>
                <w:shd w:val="clear" w:color="auto" w:fill="auto"/>
                <w:lang w:val="en-US" w:eastAsia="zh-CN"/>
              </w:rPr>
              <w:t>8</w:t>
            </w:r>
            <w:r>
              <w:rPr>
                <w:rFonts w:hint="eastAsia" w:ascii="宋体" w:hAnsi="宋体" w:eastAsia="宋体" w:cs="宋体"/>
                <w:color w:val="auto"/>
                <w:sz w:val="24"/>
                <w:highlight w:val="none"/>
                <w:shd w:val="clear" w:color="auto" w:fill="auto"/>
              </w:rPr>
              <w:t>m～2</w:t>
            </w:r>
            <w:r>
              <w:rPr>
                <w:rFonts w:hint="eastAsia" w:ascii="宋体" w:hAnsi="宋体" w:cs="宋体"/>
                <w:color w:val="auto"/>
                <w:sz w:val="24"/>
                <w:highlight w:val="none"/>
                <w:shd w:val="clear" w:color="auto" w:fill="auto"/>
                <w:lang w:val="en-US" w:eastAsia="zh-CN"/>
              </w:rPr>
              <w:t>5</w:t>
            </w:r>
            <w:r>
              <w:rPr>
                <w:rFonts w:hint="eastAsia" w:ascii="宋体" w:hAnsi="宋体" w:eastAsia="宋体" w:cs="宋体"/>
                <w:color w:val="auto"/>
                <w:sz w:val="24"/>
                <w:highlight w:val="none"/>
                <w:shd w:val="clear" w:color="auto" w:fill="auto"/>
              </w:rPr>
              <w:t>1m以外范围。对比达标要求与场地大小分析，项目施工场界噪声昼夜均有不同程度的超标，但尤以夜间为重。</w:t>
            </w:r>
          </w:p>
          <w:p w14:paraId="1A154636">
            <w:pPr>
              <w:keepNext w:val="0"/>
              <w:keepLines w:val="0"/>
              <w:suppressLineNumbers w:val="0"/>
              <w:autoSpaceDE w:val="0"/>
              <w:autoSpaceDN w:val="0"/>
              <w:adjustRightInd w:val="0"/>
              <w:spacing w:before="0" w:beforeAutospacing="0" w:after="0" w:afterAutospacing="0" w:line="360" w:lineRule="auto"/>
              <w:ind w:left="0" w:right="0" w:firstLine="480" w:firstLineChars="200"/>
              <w:jc w:val="left"/>
              <w:rPr>
                <w:rFonts w:hint="eastAsia" w:ascii="宋体" w:hAnsi="宋体" w:eastAsia="宋体" w:cs="宋体"/>
                <w:color w:val="auto"/>
                <w:kern w:val="0"/>
                <w:sz w:val="24"/>
                <w:highlight w:val="none"/>
                <w:shd w:val="clear" w:color="auto" w:fill="auto"/>
                <w:lang w:eastAsia="zh-CN"/>
              </w:rPr>
            </w:pPr>
            <w:r>
              <w:rPr>
                <w:rFonts w:hint="eastAsia" w:ascii="宋体" w:hAnsi="宋体" w:eastAsia="宋体" w:cs="宋体"/>
                <w:color w:val="auto"/>
                <w:kern w:val="0"/>
                <w:sz w:val="24"/>
                <w:highlight w:val="none"/>
                <w:shd w:val="clear" w:color="auto" w:fill="auto"/>
                <w:lang w:eastAsia="zh-CN"/>
              </w:rPr>
              <w:t>为避免对环境敏感目标的影响，采取措施如下：</w:t>
            </w:r>
          </w:p>
          <w:p w14:paraId="080E017E">
            <w:pPr>
              <w:keepNext w:val="0"/>
              <w:keepLines w:val="0"/>
              <w:suppressLineNumbers w:val="0"/>
              <w:autoSpaceDE w:val="0"/>
              <w:autoSpaceDN w:val="0"/>
              <w:adjustRightInd w:val="0"/>
              <w:spacing w:before="0" w:beforeAutospacing="0" w:after="0" w:afterAutospacing="0" w:line="360" w:lineRule="auto"/>
              <w:ind w:left="0" w:right="0" w:firstLine="480" w:firstLineChars="200"/>
              <w:jc w:val="left"/>
              <w:rPr>
                <w:rFonts w:hint="eastAsia" w:ascii="宋体" w:hAnsi="宋体" w:eastAsia="宋体" w:cs="宋体"/>
                <w:color w:val="auto"/>
                <w:kern w:val="0"/>
                <w:sz w:val="24"/>
                <w:highlight w:val="none"/>
                <w:shd w:val="clear" w:color="auto" w:fill="auto"/>
              </w:rPr>
            </w:pPr>
            <w:r>
              <w:rPr>
                <w:rFonts w:hint="eastAsia" w:ascii="宋体" w:hAnsi="宋体" w:eastAsia="宋体" w:cs="宋体"/>
                <w:color w:val="auto"/>
                <w:kern w:val="0"/>
                <w:sz w:val="24"/>
                <w:highlight w:val="none"/>
                <w:shd w:val="clear" w:color="auto" w:fill="auto"/>
              </w:rPr>
              <w:t>1.合理选用低噪声的施工机械和先进的施工技术，以达到控制噪声污染的目的，经常对施工设备进行维修保养，避免因设备性能减退而使噪声增强的现象发生。</w:t>
            </w:r>
          </w:p>
          <w:p w14:paraId="58D5E6F4">
            <w:pPr>
              <w:keepNext w:val="0"/>
              <w:keepLines w:val="0"/>
              <w:suppressLineNumbers w:val="0"/>
              <w:autoSpaceDE w:val="0"/>
              <w:autoSpaceDN w:val="0"/>
              <w:adjustRightInd w:val="0"/>
              <w:spacing w:before="0" w:beforeAutospacing="0" w:after="0" w:afterAutospacing="0" w:line="360" w:lineRule="auto"/>
              <w:ind w:left="0" w:right="0" w:firstLine="480" w:firstLineChars="200"/>
              <w:jc w:val="left"/>
              <w:rPr>
                <w:rFonts w:hint="eastAsia" w:ascii="宋体" w:hAnsi="宋体" w:eastAsia="宋体" w:cs="宋体"/>
                <w:color w:val="auto"/>
                <w:kern w:val="0"/>
                <w:sz w:val="24"/>
                <w:highlight w:val="none"/>
                <w:shd w:val="clear" w:color="auto" w:fill="auto"/>
              </w:rPr>
            </w:pPr>
            <w:r>
              <w:rPr>
                <w:rFonts w:hint="eastAsia" w:ascii="宋体" w:hAnsi="宋体" w:eastAsia="宋体" w:cs="宋体"/>
                <w:color w:val="auto"/>
                <w:kern w:val="0"/>
                <w:sz w:val="24"/>
                <w:highlight w:val="none"/>
                <w:shd w:val="clear" w:color="auto" w:fill="auto"/>
              </w:rPr>
              <w:t>2.对空压机、钻孔机</w:t>
            </w:r>
            <w:r>
              <w:rPr>
                <w:rFonts w:hint="eastAsia" w:ascii="宋体" w:hAnsi="宋体" w:eastAsia="宋体" w:cs="宋体"/>
                <w:color w:val="auto"/>
                <w:kern w:val="0"/>
                <w:sz w:val="24"/>
                <w:highlight w:val="none"/>
                <w:shd w:val="clear" w:color="auto" w:fill="auto"/>
                <w:lang w:eastAsia="zh-CN"/>
              </w:rPr>
              <w:t>、电钻</w:t>
            </w:r>
            <w:r>
              <w:rPr>
                <w:rFonts w:hint="eastAsia" w:ascii="宋体" w:hAnsi="宋体" w:eastAsia="宋体" w:cs="宋体"/>
                <w:color w:val="auto"/>
                <w:kern w:val="0"/>
                <w:sz w:val="24"/>
                <w:highlight w:val="none"/>
                <w:shd w:val="clear" w:color="auto" w:fill="auto"/>
              </w:rPr>
              <w:t>等高噪声设备合理安排作业时间，夜间禁止高噪声扰民作业。</w:t>
            </w:r>
          </w:p>
          <w:p w14:paraId="00FB93F8">
            <w:pPr>
              <w:keepNext w:val="0"/>
              <w:keepLines w:val="0"/>
              <w:suppressLineNumbers w:val="0"/>
              <w:autoSpaceDE w:val="0"/>
              <w:autoSpaceDN w:val="0"/>
              <w:adjustRightInd w:val="0"/>
              <w:spacing w:before="0" w:beforeAutospacing="0" w:after="0" w:afterAutospacing="0" w:line="360" w:lineRule="auto"/>
              <w:ind w:left="0" w:right="0" w:firstLine="480" w:firstLineChars="200"/>
              <w:jc w:val="left"/>
              <w:rPr>
                <w:rFonts w:hint="eastAsia" w:ascii="宋体" w:hAnsi="宋体" w:eastAsia="宋体" w:cs="宋体"/>
                <w:color w:val="auto"/>
                <w:kern w:val="0"/>
                <w:sz w:val="24"/>
                <w:highlight w:val="none"/>
                <w:shd w:val="clear" w:color="auto" w:fill="auto"/>
                <w:lang w:val="en-US" w:eastAsia="zh-CN"/>
              </w:rPr>
            </w:pPr>
            <w:r>
              <w:rPr>
                <w:rFonts w:hint="eastAsia" w:ascii="宋体" w:hAnsi="宋体" w:eastAsia="宋体" w:cs="宋体"/>
                <w:color w:val="auto"/>
                <w:kern w:val="0"/>
                <w:sz w:val="24"/>
                <w:highlight w:val="none"/>
                <w:shd w:val="clear" w:color="auto" w:fill="auto"/>
                <w:lang w:val="en-US" w:eastAsia="zh-CN"/>
              </w:rPr>
              <w:t>3.噪声施工设施尽量远离居民安放，避免施工噪声扰民，严禁在22时至次日6时之间进行各种施工作业。</w:t>
            </w:r>
          </w:p>
          <w:p w14:paraId="56EAEBAF">
            <w:pPr>
              <w:pStyle w:val="16"/>
              <w:keepNext w:val="0"/>
              <w:keepLines w:val="0"/>
              <w:suppressLineNumbers w:val="0"/>
              <w:spacing w:before="0" w:beforeAutospacing="0" w:after="0" w:afterAutospacing="0"/>
              <w:ind w:left="0" w:right="0"/>
              <w:rPr>
                <w:rFonts w:hint="default" w:ascii="Calibri" w:hAnsi="Calibri" w:eastAsia="宋体" w:cs="Times New Roman"/>
                <w:color w:val="auto"/>
                <w:highlight w:val="none"/>
                <w:lang w:val="en-US"/>
              </w:rPr>
            </w:pPr>
            <w:r>
              <w:rPr>
                <w:rFonts w:hint="eastAsia" w:ascii="Calibri" w:hAnsi="Calibri" w:eastAsia="宋体" w:cs="Times New Roman"/>
                <w:color w:val="auto"/>
                <w:highlight w:val="none"/>
                <w:lang w:eastAsia="zh-CN"/>
              </w:rPr>
              <w:t>由于本项目施工期较短，随着施工期的结束，对周围声环境的影响也随之减小</w:t>
            </w:r>
            <w:r>
              <w:rPr>
                <w:rFonts w:hint="eastAsia" w:ascii="Calibri" w:hAnsi="Calibri" w:cs="Times New Roman"/>
                <w:color w:val="auto"/>
                <w:highlight w:val="none"/>
                <w:lang w:val="en-US" w:eastAsia="zh-CN"/>
              </w:rPr>
              <w:t>.</w:t>
            </w:r>
          </w:p>
          <w:p w14:paraId="166A5090">
            <w:pPr>
              <w:keepNext w:val="0"/>
              <w:keepLines w:val="0"/>
              <w:suppressLineNumbers w:val="0"/>
              <w:spacing w:before="0" w:beforeAutospacing="0" w:after="0" w:afterAutospacing="0" w:line="360" w:lineRule="auto"/>
              <w:ind w:left="0" w:right="0" w:firstLine="482" w:firstLineChars="200"/>
              <w:rPr>
                <w:rFonts w:hint="eastAsia" w:ascii="宋体" w:hAnsi="宋体" w:eastAsia="宋体" w:cs="宋体"/>
                <w:b/>
                <w:color w:val="auto"/>
                <w:sz w:val="24"/>
                <w:highlight w:val="none"/>
                <w:shd w:val="clear" w:color="auto" w:fill="auto"/>
              </w:rPr>
            </w:pPr>
            <w:r>
              <w:rPr>
                <w:rFonts w:hint="eastAsia" w:ascii="宋体" w:hAnsi="宋体" w:eastAsia="宋体" w:cs="宋体"/>
                <w:b/>
                <w:color w:val="auto"/>
                <w:sz w:val="24"/>
                <w:highlight w:val="none"/>
                <w:shd w:val="clear" w:color="auto" w:fill="auto"/>
              </w:rPr>
              <w:t>二、环境空气影响分析</w:t>
            </w:r>
          </w:p>
          <w:p w14:paraId="2F3253EC">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shd w:val="clear" w:color="auto" w:fill="auto"/>
              </w:rPr>
            </w:pPr>
            <w:r>
              <w:rPr>
                <w:rFonts w:hint="eastAsia" w:ascii="宋体" w:hAnsi="宋体" w:eastAsia="宋体" w:cs="宋体"/>
                <w:color w:val="auto"/>
                <w:sz w:val="24"/>
                <w:highlight w:val="none"/>
                <w:shd w:val="clear" w:color="auto" w:fill="auto"/>
              </w:rPr>
              <w:t>本项目对环境空气的影响主要</w:t>
            </w:r>
            <w:r>
              <w:rPr>
                <w:rFonts w:hint="eastAsia" w:ascii="宋体" w:hAnsi="宋体" w:cs="宋体"/>
                <w:color w:val="auto"/>
                <w:sz w:val="24"/>
                <w:highlight w:val="none"/>
                <w:shd w:val="clear" w:color="auto" w:fill="auto"/>
                <w:lang w:eastAsia="zh-CN"/>
              </w:rPr>
              <w:t>来自</w:t>
            </w:r>
            <w:r>
              <w:rPr>
                <w:rFonts w:hint="eastAsia" w:ascii="宋体" w:hAnsi="宋体" w:eastAsia="宋体" w:cs="宋体"/>
                <w:color w:val="auto"/>
                <w:sz w:val="24"/>
                <w:highlight w:val="none"/>
                <w:shd w:val="clear" w:color="auto" w:fill="auto"/>
              </w:rPr>
              <w:t>建筑施工阶段产生的扬尘。施工扬尘主要是建筑材料堆场扬尘、运输扬尘、施工作业扬尘。产生扬尘的主要阶段是弃土、水泥、白灰等装卸、堆放过程，以及裸露地面等。另外，运输车辆的进出也产生道路扬尘污染。</w:t>
            </w:r>
          </w:p>
          <w:p w14:paraId="5072B68A">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shd w:val="clear" w:color="auto" w:fill="auto"/>
              </w:rPr>
            </w:pPr>
            <w:r>
              <w:rPr>
                <w:rFonts w:hint="eastAsia" w:ascii="宋体" w:hAnsi="宋体" w:eastAsia="宋体" w:cs="宋体"/>
                <w:color w:val="auto"/>
                <w:sz w:val="24"/>
                <w:highlight w:val="none"/>
                <w:shd w:val="clear" w:color="auto" w:fill="auto"/>
              </w:rPr>
              <w:t>施工扬尘污染属低空面源污染，其影响范围有限，影响面主要为施工场地附近区域。施工扬尘产生量受天气和施工场地状况及管理等多因素影响，变化大，随机性强，遇大风天气，将加重施工场地的扬尘污染。</w:t>
            </w:r>
          </w:p>
          <w:p w14:paraId="689D20DB">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b/>
                <w:color w:val="auto"/>
                <w:sz w:val="24"/>
                <w:highlight w:val="none"/>
                <w:shd w:val="clear" w:color="auto" w:fill="auto"/>
              </w:rPr>
            </w:pPr>
            <w:r>
              <w:rPr>
                <w:rFonts w:hint="eastAsia" w:ascii="宋体" w:hAnsi="宋体" w:eastAsia="宋体" w:cs="宋体"/>
                <w:color w:val="auto"/>
                <w:sz w:val="24"/>
                <w:highlight w:val="none"/>
                <w:shd w:val="clear" w:color="auto" w:fill="auto"/>
              </w:rPr>
              <w:t>一般情况下，建筑施工扬尘对施工场地100米范围内影响较大，且扬尘量大小与地面风速的大小成正比，在大风天气和干旱季节较为严重。参照《</w:t>
            </w:r>
            <w:r>
              <w:rPr>
                <w:rFonts w:hint="eastAsia" w:ascii="宋体" w:hAnsi="宋体" w:eastAsia="宋体" w:cs="宋体"/>
                <w:color w:val="auto"/>
                <w:sz w:val="24"/>
                <w:highlight w:val="none"/>
                <w:shd w:val="clear" w:color="auto" w:fill="auto"/>
                <w:lang w:eastAsia="zh-CN"/>
              </w:rPr>
              <w:t>鞍山市扬尘污染防治条例</w:t>
            </w:r>
            <w:r>
              <w:rPr>
                <w:rFonts w:hint="eastAsia" w:ascii="宋体" w:hAnsi="宋体" w:eastAsia="宋体" w:cs="宋体"/>
                <w:color w:val="auto"/>
                <w:sz w:val="24"/>
                <w:highlight w:val="none"/>
                <w:shd w:val="clear" w:color="auto" w:fill="auto"/>
              </w:rPr>
              <w:t>》（20</w:t>
            </w:r>
            <w:r>
              <w:rPr>
                <w:rFonts w:hint="eastAsia" w:ascii="宋体" w:hAnsi="宋体" w:eastAsia="宋体" w:cs="宋体"/>
                <w:color w:val="auto"/>
                <w:sz w:val="24"/>
                <w:highlight w:val="none"/>
                <w:shd w:val="clear" w:color="auto" w:fill="auto"/>
                <w:lang w:val="en-US" w:eastAsia="zh-CN"/>
              </w:rPr>
              <w:t>23</w:t>
            </w:r>
            <w:r>
              <w:rPr>
                <w:rFonts w:hint="eastAsia" w:ascii="宋体" w:hAnsi="宋体" w:eastAsia="宋体" w:cs="宋体"/>
                <w:color w:val="auto"/>
                <w:sz w:val="24"/>
                <w:highlight w:val="none"/>
                <w:shd w:val="clear" w:color="auto" w:fill="auto"/>
              </w:rPr>
              <w:t>年）</w:t>
            </w:r>
            <w:r>
              <w:rPr>
                <w:rFonts w:hint="eastAsia" w:ascii="宋体" w:hAnsi="宋体" w:eastAsia="宋体" w:cs="宋体"/>
                <w:color w:val="auto"/>
                <w:sz w:val="24"/>
                <w:highlight w:val="none"/>
                <w:shd w:val="clear" w:color="auto" w:fill="auto"/>
                <w:lang w:eastAsia="zh-CN"/>
              </w:rPr>
              <w:t>、</w:t>
            </w:r>
            <w:r>
              <w:rPr>
                <w:rFonts w:hint="eastAsia" w:ascii="宋体" w:hAnsi="宋体" w:eastAsia="宋体" w:cs="宋体"/>
                <w:color w:val="auto"/>
                <w:sz w:val="24"/>
                <w:highlight w:val="none"/>
                <w:shd w:val="clear" w:color="auto" w:fill="auto"/>
              </w:rPr>
              <w:t>《建设项目施工扬尘污染防治技术规范》</w:t>
            </w:r>
            <w:r>
              <w:rPr>
                <w:rFonts w:hint="eastAsia" w:ascii="宋体" w:hAnsi="宋体" w:eastAsia="宋体" w:cs="宋体"/>
                <w:color w:val="auto"/>
                <w:sz w:val="24"/>
                <w:highlight w:val="none"/>
                <w:shd w:val="clear" w:color="auto" w:fill="auto"/>
                <w:lang w:eastAsia="zh-CN"/>
              </w:rPr>
              <w:t>和</w:t>
            </w:r>
            <w:r>
              <w:rPr>
                <w:rFonts w:hint="eastAsia" w:ascii="宋体" w:hAnsi="宋体" w:eastAsia="宋体" w:cs="宋体"/>
                <w:color w:val="auto"/>
                <w:sz w:val="24"/>
                <w:highlight w:val="none"/>
                <w:shd w:val="clear" w:color="auto" w:fill="auto"/>
                <w:lang w:val="en-US" w:eastAsia="zh-CN"/>
              </w:rPr>
              <w:t>《环境空气细颗粒物污染综合防治技术政策》（环境保护部公告2013年第59号，2013年9月13日）“五、防治扬尘污染”相关</w:t>
            </w:r>
            <w:r>
              <w:rPr>
                <w:rFonts w:hint="eastAsia" w:ascii="宋体" w:hAnsi="宋体" w:eastAsia="宋体" w:cs="宋体"/>
                <w:color w:val="auto"/>
                <w:sz w:val="24"/>
                <w:highlight w:val="none"/>
                <w:shd w:val="clear" w:color="auto" w:fill="auto"/>
              </w:rPr>
              <w:t>要求，施工中应采取如下必要的控制措施：</w:t>
            </w:r>
          </w:p>
          <w:p w14:paraId="697C456A">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shd w:val="clear" w:color="auto" w:fill="auto"/>
                <w:lang w:eastAsia="zh-CN"/>
              </w:rPr>
            </w:pPr>
            <w:r>
              <w:rPr>
                <w:rFonts w:hint="eastAsia" w:ascii="宋体" w:hAnsi="宋体" w:eastAsia="宋体" w:cs="宋体"/>
                <w:color w:val="auto"/>
                <w:sz w:val="24"/>
                <w:highlight w:val="none"/>
                <w:shd w:val="clear" w:color="auto" w:fill="auto"/>
              </w:rPr>
              <w:t>（</w:t>
            </w:r>
            <w:r>
              <w:rPr>
                <w:rFonts w:hint="eastAsia" w:ascii="宋体" w:hAnsi="宋体" w:cs="宋体"/>
                <w:color w:val="auto"/>
                <w:sz w:val="24"/>
                <w:highlight w:val="none"/>
                <w:shd w:val="clear" w:color="auto" w:fill="auto"/>
                <w:lang w:val="en-US" w:eastAsia="zh-CN"/>
              </w:rPr>
              <w:t>1</w:t>
            </w:r>
            <w:r>
              <w:rPr>
                <w:rFonts w:hint="eastAsia" w:ascii="宋体" w:hAnsi="宋体" w:eastAsia="宋体" w:cs="宋体"/>
                <w:color w:val="auto"/>
                <w:sz w:val="24"/>
                <w:highlight w:val="none"/>
                <w:shd w:val="clear" w:color="auto" w:fill="auto"/>
              </w:rPr>
              <w:t>）扬尘污染源应以道路扬尘、施工扬尘、粉状物料贮存场扬尘、城市裸土起尘等为防治重点。应参照《防治城市扬尘污染技术规范》，开展城市扬尘综合整治，减少城市裸地面积，采取植树种草等措施提高绿化率，或适当采用地面硬化措施，</w:t>
            </w:r>
            <w:r>
              <w:rPr>
                <w:rFonts w:hint="eastAsia" w:ascii="宋体" w:hAnsi="宋体" w:cs="宋体"/>
                <w:color w:val="auto"/>
                <w:sz w:val="24"/>
                <w:highlight w:val="none"/>
                <w:shd w:val="clear" w:color="auto" w:fill="auto"/>
                <w:lang w:eastAsia="zh-CN"/>
              </w:rPr>
              <w:t>遏制</w:t>
            </w:r>
            <w:r>
              <w:rPr>
                <w:rFonts w:hint="eastAsia" w:ascii="宋体" w:hAnsi="宋体" w:eastAsia="宋体" w:cs="宋体"/>
                <w:color w:val="auto"/>
                <w:sz w:val="24"/>
                <w:highlight w:val="none"/>
                <w:shd w:val="clear" w:color="auto" w:fill="auto"/>
              </w:rPr>
              <w:t>扬尘污染</w:t>
            </w:r>
            <w:r>
              <w:rPr>
                <w:rFonts w:hint="eastAsia" w:ascii="宋体" w:hAnsi="宋体" w:cs="宋体"/>
                <w:color w:val="auto"/>
                <w:sz w:val="24"/>
                <w:highlight w:val="none"/>
                <w:shd w:val="clear" w:color="auto" w:fill="auto"/>
                <w:lang w:eastAsia="zh-CN"/>
              </w:rPr>
              <w:t>；</w:t>
            </w:r>
          </w:p>
          <w:p w14:paraId="1F35FC82">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shd w:val="clear" w:color="auto" w:fill="auto"/>
                <w:lang w:eastAsia="zh-CN"/>
              </w:rPr>
            </w:pPr>
            <w:r>
              <w:rPr>
                <w:rFonts w:hint="eastAsia" w:ascii="宋体" w:hAnsi="宋体" w:eastAsia="宋体" w:cs="宋体"/>
                <w:color w:val="auto"/>
                <w:sz w:val="24"/>
                <w:highlight w:val="none"/>
                <w:shd w:val="clear" w:color="auto" w:fill="auto"/>
              </w:rPr>
              <w:t>（</w:t>
            </w:r>
            <w:r>
              <w:rPr>
                <w:rFonts w:hint="eastAsia" w:ascii="宋体" w:hAnsi="宋体" w:cs="宋体"/>
                <w:color w:val="auto"/>
                <w:sz w:val="24"/>
                <w:highlight w:val="none"/>
                <w:shd w:val="clear" w:color="auto" w:fill="auto"/>
                <w:lang w:val="en-US" w:eastAsia="zh-CN"/>
              </w:rPr>
              <w:t>2</w:t>
            </w:r>
            <w:r>
              <w:rPr>
                <w:rFonts w:hint="eastAsia" w:ascii="宋体" w:hAnsi="宋体" w:eastAsia="宋体" w:cs="宋体"/>
                <w:color w:val="auto"/>
                <w:sz w:val="24"/>
                <w:highlight w:val="none"/>
                <w:shd w:val="clear" w:color="auto" w:fill="auto"/>
              </w:rPr>
              <w:t>）对各种施工工地、各种粉状物料贮存场、各种港口装卸码头等，应采取设置围挡墙、防尘网和喷洒抑尘剂等有效的防尘、抑尘措施，防止颗粒物逸散；设置车辆清洗装置，保持上路行驶车辆的清洁；鼓励各类土建工程使用预搅拌的商品混凝土</w:t>
            </w:r>
            <w:r>
              <w:rPr>
                <w:rFonts w:hint="eastAsia" w:ascii="宋体" w:hAnsi="宋体" w:cs="宋体"/>
                <w:color w:val="auto"/>
                <w:sz w:val="24"/>
                <w:highlight w:val="none"/>
                <w:shd w:val="clear" w:color="auto" w:fill="auto"/>
                <w:lang w:eastAsia="zh-CN"/>
              </w:rPr>
              <w:t>；</w:t>
            </w:r>
          </w:p>
          <w:p w14:paraId="0A9476D8">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shd w:val="clear" w:color="auto" w:fill="auto"/>
              </w:rPr>
            </w:pPr>
            <w:r>
              <w:rPr>
                <w:rFonts w:hint="eastAsia" w:ascii="宋体" w:hAnsi="宋体" w:eastAsia="宋体" w:cs="宋体"/>
                <w:color w:val="auto"/>
                <w:sz w:val="24"/>
                <w:highlight w:val="none"/>
                <w:shd w:val="clear" w:color="auto" w:fill="auto"/>
              </w:rPr>
              <w:t>（</w:t>
            </w:r>
            <w:r>
              <w:rPr>
                <w:rFonts w:hint="eastAsia" w:ascii="宋体" w:hAnsi="宋体" w:cs="宋体"/>
                <w:color w:val="auto"/>
                <w:sz w:val="24"/>
                <w:highlight w:val="none"/>
                <w:shd w:val="clear" w:color="auto" w:fill="auto"/>
                <w:lang w:val="en-US" w:eastAsia="zh-CN"/>
              </w:rPr>
              <w:t>3</w:t>
            </w:r>
            <w:r>
              <w:rPr>
                <w:rFonts w:hint="eastAsia" w:ascii="宋体" w:hAnsi="宋体" w:eastAsia="宋体" w:cs="宋体"/>
                <w:color w:val="auto"/>
                <w:sz w:val="24"/>
                <w:highlight w:val="none"/>
                <w:shd w:val="clear" w:color="auto" w:fill="auto"/>
              </w:rPr>
              <w:t>）实行粉状物料及渣土车辆密闭运输，加强监管，防止遗撒。及时进行道路清扫、冲洗、洒水作业，减少道路扬尘。规范园林绿化设计和施工管理，防止园林绿地土壤向道路流失。</w:t>
            </w:r>
          </w:p>
          <w:p w14:paraId="2FB1D38B">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shd w:val="clear" w:color="auto" w:fill="auto"/>
                <w:lang w:eastAsia="zh-CN"/>
              </w:rPr>
            </w:pPr>
            <w:r>
              <w:rPr>
                <w:rFonts w:hint="eastAsia" w:ascii="宋体" w:hAnsi="宋体" w:eastAsia="宋体" w:cs="宋体"/>
                <w:color w:val="auto"/>
                <w:sz w:val="24"/>
                <w:highlight w:val="none"/>
                <w:shd w:val="clear" w:color="auto" w:fill="auto"/>
              </w:rPr>
              <w:t>（</w:t>
            </w:r>
            <w:r>
              <w:rPr>
                <w:rFonts w:hint="eastAsia" w:ascii="宋体" w:hAnsi="宋体" w:cs="宋体"/>
                <w:color w:val="auto"/>
                <w:sz w:val="24"/>
                <w:highlight w:val="none"/>
                <w:shd w:val="clear" w:color="auto" w:fill="auto"/>
                <w:lang w:val="en-US" w:eastAsia="zh-CN"/>
              </w:rPr>
              <w:t>4</w:t>
            </w:r>
            <w:r>
              <w:rPr>
                <w:rFonts w:hint="eastAsia" w:ascii="宋体" w:hAnsi="宋体" w:eastAsia="宋体" w:cs="宋体"/>
                <w:color w:val="auto"/>
                <w:sz w:val="24"/>
                <w:highlight w:val="none"/>
                <w:shd w:val="clear" w:color="auto" w:fill="auto"/>
              </w:rPr>
              <w:t>）建设单位与施工单位签订施工合同，应当明确施工单位扬尘污染防治责任，将扬尘污染防治费用列入工程预算，及时足额拨付施工单位，专款专用</w:t>
            </w:r>
            <w:r>
              <w:rPr>
                <w:rFonts w:hint="eastAsia" w:ascii="宋体" w:hAnsi="宋体" w:cs="宋体"/>
                <w:color w:val="auto"/>
                <w:sz w:val="24"/>
                <w:highlight w:val="none"/>
                <w:shd w:val="clear" w:color="auto" w:fill="auto"/>
                <w:lang w:eastAsia="zh-CN"/>
              </w:rPr>
              <w:t>；</w:t>
            </w:r>
          </w:p>
          <w:p w14:paraId="5EB7F575">
            <w:pPr>
              <w:pStyle w:val="17"/>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i w:val="0"/>
                <w:iCs w:val="0"/>
                <w:caps w:val="0"/>
                <w:color w:val="auto"/>
                <w:spacing w:val="0"/>
                <w:sz w:val="24"/>
                <w:szCs w:val="24"/>
                <w:highlight w:val="none"/>
                <w:shd w:val="clear" w:fill="FFFFFF"/>
                <w:lang w:eastAsia="zh-CN"/>
              </w:rPr>
            </w:pPr>
            <w:r>
              <w:rPr>
                <w:rFonts w:hint="eastAsia" w:ascii="宋体" w:hAnsi="宋体" w:cs="宋体"/>
                <w:i w:val="0"/>
                <w:iCs w:val="0"/>
                <w:caps w:val="0"/>
                <w:color w:val="auto"/>
                <w:spacing w:val="0"/>
                <w:sz w:val="24"/>
                <w:szCs w:val="24"/>
                <w:highlight w:val="none"/>
                <w:shd w:val="clear" w:fill="FFFFFF"/>
                <w:lang w:eastAsia="zh-CN"/>
              </w:rPr>
              <w:t>（</w:t>
            </w:r>
            <w:r>
              <w:rPr>
                <w:rFonts w:hint="eastAsia" w:ascii="宋体" w:hAnsi="宋体" w:cs="宋体"/>
                <w:i w:val="0"/>
                <w:iCs w:val="0"/>
                <w:caps w:val="0"/>
                <w:color w:val="auto"/>
                <w:spacing w:val="0"/>
                <w:sz w:val="24"/>
                <w:szCs w:val="24"/>
                <w:highlight w:val="none"/>
                <w:shd w:val="clear" w:fill="FFFFFF"/>
                <w:lang w:val="en-US" w:eastAsia="zh-CN"/>
              </w:rPr>
              <w:t>5</w:t>
            </w:r>
            <w:r>
              <w:rPr>
                <w:rFonts w:hint="eastAsia" w:ascii="宋体" w:hAnsi="宋体" w:cs="宋体"/>
                <w:i w:val="0"/>
                <w:iCs w:val="0"/>
                <w:caps w:val="0"/>
                <w:color w:val="auto"/>
                <w:spacing w:val="0"/>
                <w:sz w:val="24"/>
                <w:szCs w:val="24"/>
                <w:highlight w:val="none"/>
                <w:shd w:val="clear" w:fill="FFFFFF"/>
                <w:lang w:eastAsia="zh-CN"/>
              </w:rPr>
              <w:t>）</w:t>
            </w:r>
            <w:r>
              <w:rPr>
                <w:rFonts w:hint="eastAsia" w:ascii="宋体" w:hAnsi="宋体" w:eastAsia="宋体" w:cs="宋体"/>
                <w:i w:val="0"/>
                <w:iCs w:val="0"/>
                <w:caps w:val="0"/>
                <w:color w:val="auto"/>
                <w:spacing w:val="0"/>
                <w:sz w:val="24"/>
                <w:szCs w:val="24"/>
                <w:highlight w:val="none"/>
                <w:shd w:val="clear" w:fill="FFFFFF"/>
              </w:rPr>
              <w:t>在招标文件中应当要求投标人制定施工现场扬尘污染防治措施，施工现场扬尘污染防治措施应当在建设工程合同中明确约定</w:t>
            </w:r>
            <w:r>
              <w:rPr>
                <w:rFonts w:hint="eastAsia" w:ascii="宋体" w:hAnsi="宋体" w:cs="宋体"/>
                <w:i w:val="0"/>
                <w:iCs w:val="0"/>
                <w:caps w:val="0"/>
                <w:color w:val="auto"/>
                <w:spacing w:val="0"/>
                <w:sz w:val="24"/>
                <w:szCs w:val="24"/>
                <w:highlight w:val="none"/>
                <w:shd w:val="clear" w:fill="FFFFFF"/>
                <w:lang w:eastAsia="zh-CN"/>
              </w:rPr>
              <w:t>；</w:t>
            </w:r>
          </w:p>
          <w:p w14:paraId="0B7668EE">
            <w:pPr>
              <w:pStyle w:val="18"/>
              <w:keepNext w:val="0"/>
              <w:keepLines w:val="0"/>
              <w:suppressLineNumbers w:val="0"/>
              <w:spacing w:before="0" w:beforeAutospacing="0" w:after="0" w:afterAutospacing="0" w:line="360" w:lineRule="auto"/>
              <w:ind w:left="19" w:leftChars="9" w:right="0" w:firstLine="458" w:firstLineChars="191"/>
              <w:rPr>
                <w:rFonts w:hint="eastAsia" w:ascii="宋体" w:hAnsi="宋体" w:eastAsia="宋体" w:cs="宋体"/>
                <w:i w:val="0"/>
                <w:iCs w:val="0"/>
                <w:caps w:val="0"/>
                <w:color w:val="auto"/>
                <w:spacing w:val="0"/>
                <w:sz w:val="24"/>
                <w:szCs w:val="24"/>
                <w:highlight w:val="none"/>
                <w:shd w:val="clear" w:fill="FFFFFF"/>
                <w:lang w:eastAsia="zh-CN"/>
              </w:rPr>
            </w:pPr>
            <w:r>
              <w:rPr>
                <w:rFonts w:hint="eastAsia" w:ascii="宋体" w:hAnsi="宋体" w:eastAsia="宋体" w:cs="宋体"/>
                <w:i w:val="0"/>
                <w:iCs w:val="0"/>
                <w:caps w:val="0"/>
                <w:color w:val="auto"/>
                <w:spacing w:val="0"/>
                <w:sz w:val="24"/>
                <w:szCs w:val="24"/>
                <w:highlight w:val="none"/>
                <w:shd w:val="clear" w:fill="FFFFFF"/>
                <w:lang w:eastAsia="zh-CN"/>
              </w:rPr>
              <w:t>（</w:t>
            </w:r>
            <w:r>
              <w:rPr>
                <w:rFonts w:hint="eastAsia" w:ascii="宋体" w:hAnsi="宋体" w:eastAsia="宋体" w:cs="宋体"/>
                <w:i w:val="0"/>
                <w:iCs w:val="0"/>
                <w:caps w:val="0"/>
                <w:color w:val="auto"/>
                <w:spacing w:val="0"/>
                <w:sz w:val="24"/>
                <w:szCs w:val="24"/>
                <w:highlight w:val="none"/>
                <w:shd w:val="clear" w:fill="FFFFFF"/>
                <w:lang w:val="en-US" w:eastAsia="zh-CN"/>
              </w:rPr>
              <w:t>6</w:t>
            </w:r>
            <w:r>
              <w:rPr>
                <w:rFonts w:hint="eastAsia" w:ascii="宋体" w:hAnsi="宋体" w:eastAsia="宋体" w:cs="宋体"/>
                <w:i w:val="0"/>
                <w:iCs w:val="0"/>
                <w:caps w:val="0"/>
                <w:color w:val="auto"/>
                <w:spacing w:val="0"/>
                <w:sz w:val="24"/>
                <w:szCs w:val="24"/>
                <w:highlight w:val="none"/>
                <w:shd w:val="clear" w:fill="FFFFFF"/>
                <w:lang w:eastAsia="zh-CN"/>
              </w:rPr>
              <w:t>）</w:t>
            </w:r>
            <w:r>
              <w:rPr>
                <w:rFonts w:hint="eastAsia" w:ascii="宋体" w:hAnsi="宋体" w:eastAsia="宋体" w:cs="宋体"/>
                <w:i w:val="0"/>
                <w:iCs w:val="0"/>
                <w:caps w:val="0"/>
                <w:color w:val="auto"/>
                <w:spacing w:val="0"/>
                <w:sz w:val="24"/>
                <w:szCs w:val="24"/>
                <w:highlight w:val="none"/>
                <w:shd w:val="clear" w:fill="FFFFFF"/>
              </w:rPr>
              <w:t>监督施工单位落实扬尘污染防治措施，监督监理单位落实扬尘污染防治监理责任</w:t>
            </w:r>
            <w:r>
              <w:rPr>
                <w:rFonts w:hint="eastAsia" w:ascii="宋体" w:hAnsi="宋体" w:eastAsia="宋体" w:cs="宋体"/>
                <w:i w:val="0"/>
                <w:iCs w:val="0"/>
                <w:caps w:val="0"/>
                <w:color w:val="auto"/>
                <w:spacing w:val="0"/>
                <w:sz w:val="24"/>
                <w:szCs w:val="24"/>
                <w:highlight w:val="none"/>
                <w:shd w:val="clear" w:fill="FFFFFF"/>
                <w:lang w:eastAsia="zh-CN"/>
              </w:rPr>
              <w:t>；</w:t>
            </w:r>
          </w:p>
          <w:p w14:paraId="143595D9">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i w:val="0"/>
                <w:iCs w:val="0"/>
                <w:caps w:val="0"/>
                <w:color w:val="auto"/>
                <w:spacing w:val="0"/>
                <w:sz w:val="24"/>
                <w:szCs w:val="24"/>
                <w:highlight w:val="none"/>
                <w:shd w:val="clear" w:fill="FFFFFF"/>
                <w:lang w:eastAsia="zh-CN"/>
              </w:rPr>
            </w:pPr>
            <w:r>
              <w:rPr>
                <w:rFonts w:hint="eastAsia" w:ascii="宋体" w:hAnsi="宋体" w:eastAsia="宋体" w:cs="宋体"/>
                <w:i w:val="0"/>
                <w:iCs w:val="0"/>
                <w:caps w:val="0"/>
                <w:color w:val="auto"/>
                <w:spacing w:val="0"/>
                <w:sz w:val="24"/>
                <w:szCs w:val="24"/>
                <w:highlight w:val="none"/>
                <w:shd w:val="clear" w:fill="FFFFFF"/>
                <w:lang w:eastAsia="zh-CN"/>
              </w:rPr>
              <w:t>（</w:t>
            </w:r>
            <w:r>
              <w:rPr>
                <w:rFonts w:hint="eastAsia" w:ascii="宋体" w:hAnsi="宋体" w:eastAsia="宋体" w:cs="宋体"/>
                <w:i w:val="0"/>
                <w:iCs w:val="0"/>
                <w:caps w:val="0"/>
                <w:color w:val="auto"/>
                <w:spacing w:val="0"/>
                <w:sz w:val="24"/>
                <w:szCs w:val="24"/>
                <w:highlight w:val="none"/>
                <w:shd w:val="clear" w:fill="FFFFFF"/>
                <w:lang w:val="en-US" w:eastAsia="zh-CN"/>
              </w:rPr>
              <w:t>7</w:t>
            </w:r>
            <w:r>
              <w:rPr>
                <w:rFonts w:hint="eastAsia" w:ascii="宋体" w:hAnsi="宋体" w:eastAsia="宋体" w:cs="宋体"/>
                <w:i w:val="0"/>
                <w:iCs w:val="0"/>
                <w:caps w:val="0"/>
                <w:color w:val="auto"/>
                <w:spacing w:val="0"/>
                <w:sz w:val="24"/>
                <w:szCs w:val="24"/>
                <w:highlight w:val="none"/>
                <w:shd w:val="clear" w:fill="FFFFFF"/>
                <w:lang w:eastAsia="zh-CN"/>
              </w:rPr>
              <w:t>）</w:t>
            </w:r>
            <w:r>
              <w:rPr>
                <w:rFonts w:hint="eastAsia" w:ascii="宋体" w:hAnsi="宋体" w:eastAsia="宋体" w:cs="宋体"/>
                <w:i w:val="0"/>
                <w:iCs w:val="0"/>
                <w:caps w:val="0"/>
                <w:color w:val="auto"/>
                <w:spacing w:val="0"/>
                <w:sz w:val="24"/>
                <w:szCs w:val="24"/>
                <w:highlight w:val="none"/>
                <w:shd w:val="clear" w:fill="FFFFFF"/>
              </w:rPr>
              <w:t>负责暂时不能开工的建设用地的扬尘污染防治</w:t>
            </w:r>
            <w:r>
              <w:rPr>
                <w:rFonts w:hint="eastAsia" w:ascii="宋体" w:hAnsi="宋体" w:eastAsia="宋体" w:cs="宋体"/>
                <w:i w:val="0"/>
                <w:iCs w:val="0"/>
                <w:caps w:val="0"/>
                <w:color w:val="auto"/>
                <w:spacing w:val="0"/>
                <w:sz w:val="24"/>
                <w:szCs w:val="24"/>
                <w:highlight w:val="none"/>
                <w:shd w:val="clear" w:fill="FFFFFF"/>
                <w:lang w:eastAsia="zh-CN"/>
              </w:rPr>
              <w:t>；</w:t>
            </w:r>
          </w:p>
          <w:p w14:paraId="7C04667D">
            <w:pPr>
              <w:pStyle w:val="17"/>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i w:val="0"/>
                <w:iCs w:val="0"/>
                <w:caps w:val="0"/>
                <w:color w:val="auto"/>
                <w:spacing w:val="0"/>
                <w:sz w:val="24"/>
                <w:szCs w:val="24"/>
                <w:highlight w:val="none"/>
                <w:shd w:val="clear" w:fill="FFFFFF"/>
                <w:lang w:eastAsia="zh-CN"/>
              </w:rPr>
            </w:pPr>
            <w:r>
              <w:rPr>
                <w:rFonts w:hint="eastAsia" w:ascii="宋体" w:hAnsi="宋体" w:eastAsia="宋体" w:cs="宋体"/>
                <w:i w:val="0"/>
                <w:iCs w:val="0"/>
                <w:caps w:val="0"/>
                <w:color w:val="auto"/>
                <w:spacing w:val="0"/>
                <w:sz w:val="24"/>
                <w:szCs w:val="24"/>
                <w:highlight w:val="none"/>
                <w:shd w:val="clear" w:fill="FFFFFF"/>
                <w:lang w:eastAsia="zh-CN"/>
              </w:rPr>
              <w:t>（</w:t>
            </w:r>
            <w:r>
              <w:rPr>
                <w:rFonts w:hint="eastAsia" w:ascii="宋体" w:hAnsi="宋体" w:eastAsia="宋体" w:cs="宋体"/>
                <w:i w:val="0"/>
                <w:iCs w:val="0"/>
                <w:caps w:val="0"/>
                <w:color w:val="auto"/>
                <w:spacing w:val="0"/>
                <w:sz w:val="24"/>
                <w:szCs w:val="24"/>
                <w:highlight w:val="none"/>
                <w:shd w:val="clear" w:fill="FFFFFF"/>
                <w:lang w:val="en-US" w:eastAsia="zh-CN"/>
              </w:rPr>
              <w:t>8</w:t>
            </w:r>
            <w:r>
              <w:rPr>
                <w:rFonts w:hint="eastAsia" w:ascii="宋体" w:hAnsi="宋体" w:eastAsia="宋体" w:cs="宋体"/>
                <w:i w:val="0"/>
                <w:iCs w:val="0"/>
                <w:caps w:val="0"/>
                <w:color w:val="auto"/>
                <w:spacing w:val="0"/>
                <w:sz w:val="24"/>
                <w:szCs w:val="24"/>
                <w:highlight w:val="none"/>
                <w:shd w:val="clear" w:fill="FFFFFF"/>
                <w:lang w:eastAsia="zh-CN"/>
              </w:rPr>
              <w:t>）</w:t>
            </w:r>
            <w:r>
              <w:rPr>
                <w:rFonts w:hint="eastAsia" w:ascii="宋体" w:hAnsi="宋体" w:eastAsia="宋体" w:cs="宋体"/>
                <w:i w:val="0"/>
                <w:iCs w:val="0"/>
                <w:caps w:val="0"/>
                <w:color w:val="auto"/>
                <w:spacing w:val="0"/>
                <w:sz w:val="24"/>
                <w:szCs w:val="24"/>
                <w:highlight w:val="none"/>
                <w:shd w:val="clear" w:fill="FFFFFF"/>
              </w:rPr>
              <w:t>施工单位应当按照规定将作业时间、作业地点、排放扬尘污染物的种类及其防治措施等，向所在地负责监督管理扬尘污染防治的主管部门备案，并制定扬尘污染防治实施方案，保证扬尘排放达到国家和省规定的标准</w:t>
            </w:r>
            <w:r>
              <w:rPr>
                <w:rFonts w:hint="eastAsia" w:ascii="宋体" w:hAnsi="宋体" w:eastAsia="宋体" w:cs="宋体"/>
                <w:i w:val="0"/>
                <w:iCs w:val="0"/>
                <w:caps w:val="0"/>
                <w:color w:val="auto"/>
                <w:spacing w:val="0"/>
                <w:sz w:val="24"/>
                <w:szCs w:val="24"/>
                <w:highlight w:val="none"/>
                <w:shd w:val="clear" w:fill="FFFFFF"/>
                <w:lang w:eastAsia="zh-CN"/>
              </w:rPr>
              <w:t>；</w:t>
            </w:r>
          </w:p>
          <w:p w14:paraId="3E70A9D1">
            <w:pPr>
              <w:pStyle w:val="18"/>
              <w:keepNext w:val="0"/>
              <w:keepLines w:val="0"/>
              <w:suppressLineNumbers w:val="0"/>
              <w:spacing w:before="0" w:beforeAutospacing="0" w:after="0" w:afterAutospacing="0" w:line="360" w:lineRule="auto"/>
              <w:ind w:left="0" w:leftChars="0" w:right="0" w:firstLine="420" w:firstLineChars="175"/>
              <w:rPr>
                <w:rFonts w:hint="eastAsia" w:ascii="宋体" w:hAnsi="宋体" w:eastAsia="宋体" w:cs="宋体"/>
                <w:i w:val="0"/>
                <w:iCs w:val="0"/>
                <w:caps w:val="0"/>
                <w:color w:val="auto"/>
                <w:spacing w:val="0"/>
                <w:sz w:val="24"/>
                <w:szCs w:val="24"/>
                <w:highlight w:val="none"/>
                <w:shd w:val="clear" w:fill="FFFFFF"/>
                <w:lang w:eastAsia="zh-CN"/>
              </w:rPr>
            </w:pPr>
            <w:r>
              <w:rPr>
                <w:rFonts w:hint="eastAsia" w:ascii="宋体" w:hAnsi="宋体" w:eastAsia="宋体" w:cs="宋体"/>
                <w:i w:val="0"/>
                <w:iCs w:val="0"/>
                <w:caps w:val="0"/>
                <w:color w:val="auto"/>
                <w:spacing w:val="0"/>
                <w:sz w:val="24"/>
                <w:szCs w:val="24"/>
                <w:highlight w:val="none"/>
                <w:shd w:val="clear" w:fill="FFFFFF"/>
                <w:lang w:val="en-US" w:eastAsia="zh-CN"/>
              </w:rPr>
              <w:t>（9）</w:t>
            </w:r>
            <w:r>
              <w:rPr>
                <w:rFonts w:hint="eastAsia" w:ascii="宋体" w:hAnsi="宋体" w:eastAsia="宋体" w:cs="宋体"/>
                <w:i w:val="0"/>
                <w:iCs w:val="0"/>
                <w:caps w:val="0"/>
                <w:color w:val="auto"/>
                <w:spacing w:val="0"/>
                <w:sz w:val="24"/>
                <w:szCs w:val="24"/>
                <w:highlight w:val="none"/>
                <w:shd w:val="clear" w:fill="FFFFFF"/>
              </w:rPr>
              <w:t>施工单位应当将列入建设工程预算的扬尘污染防治费用，用于扬尘污染防护用具及设施的采购和更新、扬尘污染防治措施的落实、施工扬尘条件的改善等，不得挪作他用</w:t>
            </w:r>
            <w:r>
              <w:rPr>
                <w:rFonts w:hint="eastAsia" w:ascii="宋体" w:hAnsi="宋体" w:eastAsia="宋体" w:cs="宋体"/>
                <w:i w:val="0"/>
                <w:iCs w:val="0"/>
                <w:caps w:val="0"/>
                <w:color w:val="auto"/>
                <w:spacing w:val="0"/>
                <w:sz w:val="24"/>
                <w:szCs w:val="24"/>
                <w:highlight w:val="none"/>
                <w:shd w:val="clear" w:fill="FFFFFF"/>
                <w:lang w:eastAsia="zh-CN"/>
              </w:rPr>
              <w:t>；</w:t>
            </w:r>
          </w:p>
          <w:p w14:paraId="3469D5B9">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i w:val="0"/>
                <w:iCs w:val="0"/>
                <w:caps w:val="0"/>
                <w:color w:val="auto"/>
                <w:spacing w:val="0"/>
                <w:sz w:val="24"/>
                <w:szCs w:val="24"/>
                <w:highlight w:val="none"/>
                <w:shd w:val="clear" w:fill="FFFFFF"/>
                <w:lang w:eastAsia="zh-CN"/>
              </w:rPr>
            </w:pPr>
            <w:r>
              <w:rPr>
                <w:rFonts w:hint="eastAsia" w:ascii="宋体" w:hAnsi="宋体" w:eastAsia="宋体" w:cs="宋体"/>
                <w:i w:val="0"/>
                <w:iCs w:val="0"/>
                <w:caps w:val="0"/>
                <w:color w:val="auto"/>
                <w:spacing w:val="0"/>
                <w:sz w:val="24"/>
                <w:szCs w:val="24"/>
                <w:highlight w:val="none"/>
                <w:shd w:val="clear" w:fill="FFFFFF"/>
                <w:lang w:val="en-US" w:eastAsia="zh-CN"/>
              </w:rPr>
              <w:t>（</w:t>
            </w:r>
            <w:r>
              <w:rPr>
                <w:rFonts w:hint="eastAsia" w:ascii="宋体" w:hAnsi="宋体" w:cs="宋体"/>
                <w:i w:val="0"/>
                <w:iCs w:val="0"/>
                <w:caps w:val="0"/>
                <w:color w:val="auto"/>
                <w:spacing w:val="0"/>
                <w:sz w:val="24"/>
                <w:szCs w:val="24"/>
                <w:highlight w:val="none"/>
                <w:shd w:val="clear" w:fill="FFFFFF"/>
                <w:lang w:val="en-US" w:eastAsia="zh-CN"/>
              </w:rPr>
              <w:t>10</w:t>
            </w:r>
            <w:r>
              <w:rPr>
                <w:rFonts w:hint="eastAsia" w:ascii="宋体" w:hAnsi="宋体" w:eastAsia="宋体" w:cs="宋体"/>
                <w:i w:val="0"/>
                <w:iCs w:val="0"/>
                <w:caps w:val="0"/>
                <w:color w:val="auto"/>
                <w:spacing w:val="0"/>
                <w:sz w:val="24"/>
                <w:szCs w:val="24"/>
                <w:highlight w:val="none"/>
                <w:shd w:val="clear" w:fill="FFFFFF"/>
                <w:lang w:val="en-US" w:eastAsia="zh-CN"/>
              </w:rPr>
              <w:t>）</w:t>
            </w:r>
            <w:r>
              <w:rPr>
                <w:rFonts w:hint="eastAsia" w:ascii="宋体" w:hAnsi="宋体" w:eastAsia="宋体" w:cs="宋体"/>
                <w:i w:val="0"/>
                <w:iCs w:val="0"/>
                <w:caps w:val="0"/>
                <w:color w:val="auto"/>
                <w:spacing w:val="0"/>
                <w:sz w:val="24"/>
                <w:szCs w:val="24"/>
                <w:highlight w:val="none"/>
                <w:shd w:val="clear" w:fill="FFFFFF"/>
              </w:rPr>
              <w:t>运输渣土、砂石、土方、灰浆等散装、流体物料的车辆应当采取密闭或者其他措施防止物料遗撒造成扬尘污染，并按照规定路线行驶</w:t>
            </w:r>
            <w:r>
              <w:rPr>
                <w:rFonts w:hint="eastAsia" w:ascii="宋体" w:hAnsi="宋体" w:eastAsia="宋体" w:cs="宋体"/>
                <w:i w:val="0"/>
                <w:iCs w:val="0"/>
                <w:caps w:val="0"/>
                <w:color w:val="auto"/>
                <w:spacing w:val="0"/>
                <w:sz w:val="24"/>
                <w:szCs w:val="24"/>
                <w:highlight w:val="none"/>
                <w:shd w:val="clear" w:fill="FFFFFF"/>
                <w:lang w:eastAsia="zh-CN"/>
              </w:rPr>
              <w:t>；</w:t>
            </w:r>
          </w:p>
          <w:p w14:paraId="06453524">
            <w:pPr>
              <w:pStyle w:val="17"/>
              <w:keepNext w:val="0"/>
              <w:keepLines w:val="0"/>
              <w:suppressLineNumbers w:val="0"/>
              <w:spacing w:before="0" w:beforeAutospacing="0" w:after="0" w:afterAutospacing="0" w:line="360" w:lineRule="auto"/>
              <w:ind w:left="0" w:right="0" w:firstLine="480" w:firstLineChars="200"/>
              <w:rPr>
                <w:rFonts w:hint="default" w:ascii="宋体" w:hAnsi="宋体" w:eastAsia="宋体" w:cs="宋体"/>
                <w:i w:val="0"/>
                <w:iCs w:val="0"/>
                <w:caps w:val="0"/>
                <w:color w:val="auto"/>
                <w:spacing w:val="0"/>
                <w:kern w:val="2"/>
                <w:sz w:val="24"/>
                <w:szCs w:val="24"/>
                <w:highlight w:val="none"/>
                <w:shd w:val="clear" w:fill="FFFFFF"/>
                <w:lang w:val="en-US" w:eastAsia="zh-CN" w:bidi="ar-SA"/>
              </w:rPr>
            </w:pPr>
            <w:r>
              <w:rPr>
                <w:rFonts w:hint="eastAsia" w:ascii="宋体" w:hAnsi="宋体" w:cs="宋体"/>
                <w:i w:val="0"/>
                <w:iCs w:val="0"/>
                <w:caps w:val="0"/>
                <w:color w:val="auto"/>
                <w:spacing w:val="0"/>
                <w:kern w:val="2"/>
                <w:sz w:val="24"/>
                <w:szCs w:val="24"/>
                <w:highlight w:val="none"/>
                <w:shd w:val="clear" w:fill="FFFFFF"/>
                <w:lang w:val="en-US" w:eastAsia="zh-CN" w:bidi="ar-SA"/>
              </w:rPr>
              <w:t>（11）</w:t>
            </w:r>
            <w:r>
              <w:rPr>
                <w:rFonts w:hint="default" w:ascii="宋体" w:hAnsi="宋体" w:eastAsia="宋体" w:cs="宋体"/>
                <w:i w:val="0"/>
                <w:iCs w:val="0"/>
                <w:caps w:val="0"/>
                <w:color w:val="auto"/>
                <w:spacing w:val="0"/>
                <w:kern w:val="2"/>
                <w:sz w:val="24"/>
                <w:szCs w:val="24"/>
                <w:highlight w:val="none"/>
                <w:shd w:val="clear" w:fill="FFFFFF"/>
                <w:lang w:val="en-US" w:eastAsia="zh-CN" w:bidi="ar-SA"/>
              </w:rPr>
              <w:t>施工工地出入口应当公示施工扬尘防治措施、负责人、投诉举报电话等信息；</w:t>
            </w:r>
          </w:p>
          <w:p w14:paraId="26B2E5BD">
            <w:pPr>
              <w:pStyle w:val="17"/>
              <w:keepNext w:val="0"/>
              <w:keepLines w:val="0"/>
              <w:suppressLineNumbers w:val="0"/>
              <w:spacing w:before="0" w:beforeAutospacing="0" w:after="0" w:afterAutospacing="0" w:line="360" w:lineRule="auto"/>
              <w:ind w:left="0" w:right="0" w:firstLine="480" w:firstLineChars="200"/>
              <w:rPr>
                <w:rFonts w:hint="default" w:ascii="宋体" w:hAnsi="宋体" w:eastAsia="宋体" w:cs="宋体"/>
                <w:i w:val="0"/>
                <w:iCs w:val="0"/>
                <w:caps w:val="0"/>
                <w:color w:val="auto"/>
                <w:spacing w:val="0"/>
                <w:kern w:val="2"/>
                <w:sz w:val="24"/>
                <w:szCs w:val="24"/>
                <w:highlight w:val="none"/>
                <w:shd w:val="clear" w:fill="FFFFFF"/>
                <w:lang w:val="en-US" w:eastAsia="zh-CN" w:bidi="ar-SA"/>
              </w:rPr>
            </w:pPr>
            <w:r>
              <w:rPr>
                <w:rFonts w:hint="default" w:ascii="宋体" w:hAnsi="宋体" w:eastAsia="宋体" w:cs="宋体"/>
                <w:i w:val="0"/>
                <w:iCs w:val="0"/>
                <w:caps w:val="0"/>
                <w:color w:val="auto"/>
                <w:spacing w:val="0"/>
                <w:kern w:val="2"/>
                <w:sz w:val="24"/>
                <w:szCs w:val="24"/>
                <w:highlight w:val="none"/>
                <w:shd w:val="clear" w:fill="FFFFFF"/>
                <w:lang w:val="en-US" w:eastAsia="zh-CN" w:bidi="ar-SA"/>
              </w:rPr>
              <w:t>（</w:t>
            </w:r>
            <w:r>
              <w:rPr>
                <w:rFonts w:hint="eastAsia" w:ascii="宋体" w:hAnsi="宋体" w:cs="宋体"/>
                <w:i w:val="0"/>
                <w:iCs w:val="0"/>
                <w:caps w:val="0"/>
                <w:color w:val="auto"/>
                <w:spacing w:val="0"/>
                <w:kern w:val="2"/>
                <w:sz w:val="24"/>
                <w:szCs w:val="24"/>
                <w:highlight w:val="none"/>
                <w:shd w:val="clear" w:fill="FFFFFF"/>
                <w:lang w:val="en-US" w:eastAsia="zh-CN" w:bidi="ar-SA"/>
              </w:rPr>
              <w:t>12</w:t>
            </w:r>
            <w:r>
              <w:rPr>
                <w:rFonts w:hint="default" w:ascii="宋体" w:hAnsi="宋体" w:eastAsia="宋体" w:cs="宋体"/>
                <w:i w:val="0"/>
                <w:iCs w:val="0"/>
                <w:caps w:val="0"/>
                <w:color w:val="auto"/>
                <w:spacing w:val="0"/>
                <w:kern w:val="2"/>
                <w:sz w:val="24"/>
                <w:szCs w:val="24"/>
                <w:highlight w:val="none"/>
                <w:shd w:val="clear" w:fill="FFFFFF"/>
                <w:lang w:val="en-US" w:eastAsia="zh-CN" w:bidi="ar-SA"/>
              </w:rPr>
              <w:t>）施工工地周围应当按照有关规定设置连续、密闭的围挡。市区内的中央商务区、主干路和次干路两侧的施工现场，围挡高度不得低于4米，其他地段的施工现场围挡高度不得低于3米，易对周边环境产生影响及其他特殊情况地块，围挡高度按照实际需要设置；县（市）区域内的施工现场，围挡高度不得低于2.5米；乡（镇）内的施工现场，围挡高度不得低于1.8米；</w:t>
            </w:r>
          </w:p>
          <w:p w14:paraId="59DE1F47">
            <w:pPr>
              <w:pStyle w:val="17"/>
              <w:keepNext w:val="0"/>
              <w:keepLines w:val="0"/>
              <w:suppressLineNumbers w:val="0"/>
              <w:spacing w:before="0" w:beforeAutospacing="0" w:after="0" w:afterAutospacing="0" w:line="360" w:lineRule="auto"/>
              <w:ind w:left="0" w:leftChars="0" w:right="0" w:firstLine="420" w:firstLineChars="175"/>
              <w:rPr>
                <w:rFonts w:hint="default" w:ascii="宋体" w:hAnsi="宋体" w:eastAsia="宋体" w:cs="宋体"/>
                <w:i w:val="0"/>
                <w:iCs w:val="0"/>
                <w:caps w:val="0"/>
                <w:color w:val="auto"/>
                <w:spacing w:val="0"/>
                <w:kern w:val="2"/>
                <w:sz w:val="24"/>
                <w:szCs w:val="24"/>
                <w:highlight w:val="none"/>
                <w:shd w:val="clear" w:fill="FFFFFF"/>
                <w:lang w:val="en-US" w:eastAsia="zh-CN" w:bidi="ar-SA"/>
              </w:rPr>
            </w:pPr>
            <w:r>
              <w:rPr>
                <w:rFonts w:hint="default" w:ascii="宋体" w:hAnsi="宋体" w:eastAsia="宋体" w:cs="宋体"/>
                <w:i w:val="0"/>
                <w:iCs w:val="0"/>
                <w:caps w:val="0"/>
                <w:color w:val="auto"/>
                <w:spacing w:val="0"/>
                <w:kern w:val="2"/>
                <w:sz w:val="24"/>
                <w:szCs w:val="24"/>
                <w:highlight w:val="none"/>
                <w:shd w:val="clear" w:fill="FFFFFF"/>
                <w:lang w:val="en-US" w:eastAsia="zh-CN" w:bidi="ar-SA"/>
              </w:rPr>
              <w:t>（</w:t>
            </w:r>
            <w:r>
              <w:rPr>
                <w:rFonts w:hint="eastAsia" w:ascii="宋体" w:hAnsi="宋体" w:cs="宋体"/>
                <w:i w:val="0"/>
                <w:iCs w:val="0"/>
                <w:caps w:val="0"/>
                <w:color w:val="auto"/>
                <w:spacing w:val="0"/>
                <w:kern w:val="2"/>
                <w:sz w:val="24"/>
                <w:szCs w:val="24"/>
                <w:highlight w:val="none"/>
                <w:shd w:val="clear" w:fill="FFFFFF"/>
                <w:lang w:val="en-US" w:eastAsia="zh-CN" w:bidi="ar-SA"/>
              </w:rPr>
              <w:t>13</w:t>
            </w:r>
            <w:r>
              <w:rPr>
                <w:rFonts w:hint="default" w:ascii="宋体" w:hAnsi="宋体" w:eastAsia="宋体" w:cs="宋体"/>
                <w:i w:val="0"/>
                <w:iCs w:val="0"/>
                <w:caps w:val="0"/>
                <w:color w:val="auto"/>
                <w:spacing w:val="0"/>
                <w:kern w:val="2"/>
                <w:sz w:val="24"/>
                <w:szCs w:val="24"/>
                <w:highlight w:val="none"/>
                <w:shd w:val="clear" w:fill="FFFFFF"/>
                <w:lang w:val="en-US" w:eastAsia="zh-CN" w:bidi="ar-SA"/>
              </w:rPr>
              <w:t>）</w:t>
            </w:r>
            <w:r>
              <w:rPr>
                <w:rFonts w:hint="eastAsia" w:ascii="宋体" w:hAnsi="宋体" w:cs="宋体"/>
                <w:i w:val="0"/>
                <w:iCs w:val="0"/>
                <w:caps w:val="0"/>
                <w:color w:val="auto"/>
                <w:spacing w:val="0"/>
                <w:kern w:val="2"/>
                <w:sz w:val="24"/>
                <w:szCs w:val="24"/>
                <w:highlight w:val="none"/>
                <w:shd w:val="clear" w:fill="FFFFFF"/>
                <w:lang w:val="en-US" w:eastAsia="zh-CN" w:bidi="ar-SA"/>
              </w:rPr>
              <w:t>施工场地</w:t>
            </w:r>
            <w:r>
              <w:rPr>
                <w:rFonts w:hint="default" w:ascii="宋体" w:hAnsi="宋体" w:eastAsia="宋体" w:cs="宋体"/>
                <w:i w:val="0"/>
                <w:iCs w:val="0"/>
                <w:caps w:val="0"/>
                <w:color w:val="auto"/>
                <w:spacing w:val="0"/>
                <w:kern w:val="2"/>
                <w:sz w:val="24"/>
                <w:szCs w:val="24"/>
                <w:highlight w:val="none"/>
                <w:shd w:val="clear" w:fill="FFFFFF"/>
                <w:lang w:val="en-US" w:eastAsia="zh-CN" w:bidi="ar-SA"/>
              </w:rPr>
              <w:t>地面、车行道路应当进行硬化等降尘处理；</w:t>
            </w:r>
          </w:p>
          <w:p w14:paraId="7799D612">
            <w:pPr>
              <w:pStyle w:val="17"/>
              <w:keepNext w:val="0"/>
              <w:keepLines w:val="0"/>
              <w:suppressLineNumbers w:val="0"/>
              <w:spacing w:before="0" w:beforeAutospacing="0" w:after="0" w:afterAutospacing="0" w:line="360" w:lineRule="auto"/>
              <w:ind w:left="0" w:leftChars="0" w:right="0" w:firstLine="420" w:firstLineChars="175"/>
              <w:rPr>
                <w:rFonts w:hint="default" w:ascii="宋体" w:hAnsi="宋体" w:eastAsia="宋体" w:cs="宋体"/>
                <w:i w:val="0"/>
                <w:iCs w:val="0"/>
                <w:caps w:val="0"/>
                <w:color w:val="auto"/>
                <w:spacing w:val="0"/>
                <w:kern w:val="2"/>
                <w:sz w:val="24"/>
                <w:szCs w:val="24"/>
                <w:highlight w:val="none"/>
                <w:shd w:val="clear" w:fill="FFFFFF"/>
                <w:lang w:val="en-US" w:eastAsia="zh-CN" w:bidi="ar-SA"/>
              </w:rPr>
            </w:pPr>
            <w:r>
              <w:rPr>
                <w:rFonts w:hint="default" w:ascii="宋体" w:hAnsi="宋体" w:eastAsia="宋体" w:cs="宋体"/>
                <w:i w:val="0"/>
                <w:iCs w:val="0"/>
                <w:caps w:val="0"/>
                <w:color w:val="auto"/>
                <w:spacing w:val="0"/>
                <w:kern w:val="2"/>
                <w:sz w:val="24"/>
                <w:szCs w:val="24"/>
                <w:highlight w:val="none"/>
                <w:shd w:val="clear" w:fill="FFFFFF"/>
                <w:lang w:val="en-US" w:eastAsia="zh-CN" w:bidi="ar-SA"/>
              </w:rPr>
              <w:t>（</w:t>
            </w:r>
            <w:r>
              <w:rPr>
                <w:rFonts w:hint="eastAsia" w:ascii="宋体" w:hAnsi="宋体" w:cs="宋体"/>
                <w:i w:val="0"/>
                <w:iCs w:val="0"/>
                <w:caps w:val="0"/>
                <w:color w:val="auto"/>
                <w:spacing w:val="0"/>
                <w:kern w:val="2"/>
                <w:sz w:val="24"/>
                <w:szCs w:val="24"/>
                <w:highlight w:val="none"/>
                <w:shd w:val="clear" w:fill="FFFFFF"/>
                <w:lang w:val="en-US" w:eastAsia="zh-CN" w:bidi="ar-SA"/>
              </w:rPr>
              <w:t>14</w:t>
            </w:r>
            <w:r>
              <w:rPr>
                <w:rFonts w:hint="default" w:ascii="宋体" w:hAnsi="宋体" w:eastAsia="宋体" w:cs="宋体"/>
                <w:i w:val="0"/>
                <w:iCs w:val="0"/>
                <w:caps w:val="0"/>
                <w:color w:val="auto"/>
                <w:spacing w:val="0"/>
                <w:kern w:val="2"/>
                <w:sz w:val="24"/>
                <w:szCs w:val="24"/>
                <w:highlight w:val="none"/>
                <w:shd w:val="clear" w:fill="FFFFFF"/>
                <w:lang w:val="en-US" w:eastAsia="zh-CN" w:bidi="ar-SA"/>
              </w:rPr>
              <w:t>）易产生扬尘的土方工程等施工时，应当采取洒水等抑尘措施；</w:t>
            </w:r>
          </w:p>
          <w:p w14:paraId="074B1887">
            <w:pPr>
              <w:pStyle w:val="17"/>
              <w:keepNext w:val="0"/>
              <w:keepLines w:val="0"/>
              <w:suppressLineNumbers w:val="0"/>
              <w:spacing w:before="0" w:beforeAutospacing="0" w:after="0" w:afterAutospacing="0" w:line="360" w:lineRule="auto"/>
              <w:ind w:left="0" w:leftChars="0" w:right="0" w:firstLine="420" w:firstLineChars="175"/>
              <w:rPr>
                <w:rFonts w:hint="default" w:ascii="宋体" w:hAnsi="宋体" w:eastAsia="宋体" w:cs="宋体"/>
                <w:i w:val="0"/>
                <w:iCs w:val="0"/>
                <w:caps w:val="0"/>
                <w:color w:val="auto"/>
                <w:spacing w:val="0"/>
                <w:kern w:val="2"/>
                <w:sz w:val="24"/>
                <w:szCs w:val="24"/>
                <w:highlight w:val="none"/>
                <w:shd w:val="clear" w:fill="FFFFFF"/>
                <w:lang w:val="en-US" w:eastAsia="zh-CN" w:bidi="ar-SA"/>
              </w:rPr>
            </w:pPr>
            <w:r>
              <w:rPr>
                <w:rFonts w:hint="default" w:ascii="宋体" w:hAnsi="宋体" w:eastAsia="宋体" w:cs="宋体"/>
                <w:i w:val="0"/>
                <w:iCs w:val="0"/>
                <w:caps w:val="0"/>
                <w:color w:val="auto"/>
                <w:spacing w:val="0"/>
                <w:kern w:val="2"/>
                <w:sz w:val="24"/>
                <w:szCs w:val="24"/>
                <w:highlight w:val="none"/>
                <w:shd w:val="clear" w:fill="FFFFFF"/>
                <w:lang w:val="en-US" w:eastAsia="zh-CN" w:bidi="ar-SA"/>
              </w:rPr>
              <w:t>（</w:t>
            </w:r>
            <w:r>
              <w:rPr>
                <w:rFonts w:hint="eastAsia" w:ascii="宋体" w:hAnsi="宋体" w:cs="宋体"/>
                <w:i w:val="0"/>
                <w:iCs w:val="0"/>
                <w:caps w:val="0"/>
                <w:color w:val="auto"/>
                <w:spacing w:val="0"/>
                <w:kern w:val="2"/>
                <w:sz w:val="24"/>
                <w:szCs w:val="24"/>
                <w:highlight w:val="none"/>
                <w:shd w:val="clear" w:fill="FFFFFF"/>
                <w:lang w:val="en-US" w:eastAsia="zh-CN" w:bidi="ar-SA"/>
              </w:rPr>
              <w:t>15</w:t>
            </w:r>
            <w:r>
              <w:rPr>
                <w:rFonts w:hint="default" w:ascii="宋体" w:hAnsi="宋体" w:eastAsia="宋体" w:cs="宋体"/>
                <w:i w:val="0"/>
                <w:iCs w:val="0"/>
                <w:caps w:val="0"/>
                <w:color w:val="auto"/>
                <w:spacing w:val="0"/>
                <w:kern w:val="2"/>
                <w:sz w:val="24"/>
                <w:szCs w:val="24"/>
                <w:highlight w:val="none"/>
                <w:shd w:val="clear" w:fill="FFFFFF"/>
                <w:lang w:val="en-US" w:eastAsia="zh-CN" w:bidi="ar-SA"/>
              </w:rPr>
              <w:t>）建筑垃圾、工程渣土等在四十八小时内未能清运的，应当在施工工地内设置临时堆放场并采取围挡、遮盖等防尘措施；</w:t>
            </w:r>
          </w:p>
          <w:p w14:paraId="7D39B712">
            <w:pPr>
              <w:pStyle w:val="17"/>
              <w:keepNext w:val="0"/>
              <w:keepLines w:val="0"/>
              <w:suppressLineNumbers w:val="0"/>
              <w:spacing w:before="0" w:beforeAutospacing="0" w:after="0" w:afterAutospacing="0" w:line="360" w:lineRule="auto"/>
              <w:ind w:left="0" w:leftChars="0" w:right="0" w:firstLine="420" w:firstLineChars="175"/>
              <w:rPr>
                <w:rFonts w:hint="default" w:ascii="宋体" w:hAnsi="宋体" w:eastAsia="宋体" w:cs="宋体"/>
                <w:i w:val="0"/>
                <w:iCs w:val="0"/>
                <w:caps w:val="0"/>
                <w:color w:val="auto"/>
                <w:spacing w:val="0"/>
                <w:kern w:val="2"/>
                <w:sz w:val="24"/>
                <w:szCs w:val="24"/>
                <w:highlight w:val="none"/>
                <w:shd w:val="clear" w:fill="FFFFFF"/>
                <w:lang w:val="en-US" w:eastAsia="zh-CN" w:bidi="ar-SA"/>
              </w:rPr>
            </w:pPr>
            <w:r>
              <w:rPr>
                <w:rFonts w:hint="default" w:ascii="宋体" w:hAnsi="宋体" w:eastAsia="宋体" w:cs="宋体"/>
                <w:i w:val="0"/>
                <w:iCs w:val="0"/>
                <w:caps w:val="0"/>
                <w:color w:val="auto"/>
                <w:spacing w:val="0"/>
                <w:kern w:val="2"/>
                <w:sz w:val="24"/>
                <w:szCs w:val="24"/>
                <w:highlight w:val="none"/>
                <w:shd w:val="clear" w:fill="FFFFFF"/>
                <w:lang w:val="en-US" w:eastAsia="zh-CN" w:bidi="ar-SA"/>
              </w:rPr>
              <w:t>（</w:t>
            </w:r>
            <w:r>
              <w:rPr>
                <w:rFonts w:hint="eastAsia" w:ascii="宋体" w:hAnsi="宋体" w:cs="宋体"/>
                <w:i w:val="0"/>
                <w:iCs w:val="0"/>
                <w:caps w:val="0"/>
                <w:color w:val="auto"/>
                <w:spacing w:val="0"/>
                <w:kern w:val="2"/>
                <w:sz w:val="24"/>
                <w:szCs w:val="24"/>
                <w:highlight w:val="none"/>
                <w:shd w:val="clear" w:fill="FFFFFF"/>
                <w:lang w:val="en-US" w:eastAsia="zh-CN" w:bidi="ar-SA"/>
              </w:rPr>
              <w:t>16</w:t>
            </w:r>
            <w:r>
              <w:rPr>
                <w:rFonts w:hint="default" w:ascii="宋体" w:hAnsi="宋体" w:eastAsia="宋体" w:cs="宋体"/>
                <w:i w:val="0"/>
                <w:iCs w:val="0"/>
                <w:caps w:val="0"/>
                <w:color w:val="auto"/>
                <w:spacing w:val="0"/>
                <w:kern w:val="2"/>
                <w:sz w:val="24"/>
                <w:szCs w:val="24"/>
                <w:highlight w:val="none"/>
                <w:shd w:val="clear" w:fill="FFFFFF"/>
                <w:lang w:val="en-US" w:eastAsia="zh-CN" w:bidi="ar-SA"/>
              </w:rPr>
              <w:t>）运输车辆在除泥、冲洗干净后方可驶出施工工地，不得使用空气压缩机等易产生扬尘的设备清理车辆、设备和物料的尘埃；</w:t>
            </w:r>
          </w:p>
          <w:p w14:paraId="75264541">
            <w:pPr>
              <w:pStyle w:val="17"/>
              <w:keepNext w:val="0"/>
              <w:keepLines w:val="0"/>
              <w:suppressLineNumbers w:val="0"/>
              <w:spacing w:before="0" w:beforeAutospacing="0" w:after="0" w:afterAutospacing="0" w:line="360" w:lineRule="auto"/>
              <w:ind w:left="0" w:leftChars="0" w:right="0" w:firstLine="420" w:firstLineChars="175"/>
              <w:rPr>
                <w:rFonts w:hint="default" w:ascii="宋体" w:hAnsi="宋体" w:eastAsia="宋体" w:cs="宋体"/>
                <w:i w:val="0"/>
                <w:iCs w:val="0"/>
                <w:caps w:val="0"/>
                <w:color w:val="auto"/>
                <w:spacing w:val="0"/>
                <w:kern w:val="2"/>
                <w:sz w:val="24"/>
                <w:szCs w:val="24"/>
                <w:highlight w:val="none"/>
                <w:shd w:val="clear" w:fill="FFFFFF"/>
                <w:lang w:val="en-US" w:eastAsia="zh-CN" w:bidi="ar-SA"/>
              </w:rPr>
            </w:pPr>
            <w:r>
              <w:rPr>
                <w:rFonts w:hint="default" w:ascii="宋体" w:hAnsi="宋体" w:eastAsia="宋体" w:cs="宋体"/>
                <w:i w:val="0"/>
                <w:iCs w:val="0"/>
                <w:caps w:val="0"/>
                <w:color w:val="auto"/>
                <w:spacing w:val="0"/>
                <w:kern w:val="2"/>
                <w:sz w:val="24"/>
                <w:szCs w:val="24"/>
                <w:highlight w:val="none"/>
                <w:shd w:val="clear" w:fill="FFFFFF"/>
                <w:lang w:val="en-US" w:eastAsia="zh-CN" w:bidi="ar-SA"/>
              </w:rPr>
              <w:t>（</w:t>
            </w:r>
            <w:r>
              <w:rPr>
                <w:rFonts w:hint="eastAsia" w:ascii="宋体" w:hAnsi="宋体" w:cs="宋体"/>
                <w:i w:val="0"/>
                <w:iCs w:val="0"/>
                <w:caps w:val="0"/>
                <w:color w:val="auto"/>
                <w:spacing w:val="0"/>
                <w:kern w:val="2"/>
                <w:sz w:val="24"/>
                <w:szCs w:val="24"/>
                <w:highlight w:val="none"/>
                <w:shd w:val="clear" w:fill="FFFFFF"/>
                <w:lang w:val="en-US" w:eastAsia="zh-CN" w:bidi="ar-SA"/>
              </w:rPr>
              <w:t>17</w:t>
            </w:r>
            <w:r>
              <w:rPr>
                <w:rFonts w:hint="default" w:ascii="宋体" w:hAnsi="宋体" w:eastAsia="宋体" w:cs="宋体"/>
                <w:i w:val="0"/>
                <w:iCs w:val="0"/>
                <w:caps w:val="0"/>
                <w:color w:val="auto"/>
                <w:spacing w:val="0"/>
                <w:kern w:val="2"/>
                <w:sz w:val="24"/>
                <w:szCs w:val="24"/>
                <w:highlight w:val="none"/>
                <w:shd w:val="clear" w:fill="FFFFFF"/>
                <w:lang w:val="en-US" w:eastAsia="zh-CN" w:bidi="ar-SA"/>
              </w:rPr>
              <w:t>）需使用混凝土的，应当使用预拌混凝土或者进行密闭搅拌并采取相应的扬尘防治措施，禁止现场露天搅拌；</w:t>
            </w:r>
          </w:p>
          <w:p w14:paraId="260FDA0D">
            <w:pPr>
              <w:pStyle w:val="17"/>
              <w:keepNext w:val="0"/>
              <w:keepLines w:val="0"/>
              <w:suppressLineNumbers w:val="0"/>
              <w:spacing w:before="0" w:beforeAutospacing="0" w:after="0" w:afterAutospacing="0" w:line="360" w:lineRule="auto"/>
              <w:ind w:left="0" w:leftChars="0" w:right="0" w:firstLine="420" w:firstLineChars="175"/>
              <w:rPr>
                <w:rFonts w:hint="default" w:ascii="宋体" w:hAnsi="宋体" w:eastAsia="宋体" w:cs="宋体"/>
                <w:i w:val="0"/>
                <w:iCs w:val="0"/>
                <w:caps w:val="0"/>
                <w:color w:val="auto"/>
                <w:spacing w:val="0"/>
                <w:kern w:val="2"/>
                <w:sz w:val="24"/>
                <w:szCs w:val="24"/>
                <w:highlight w:val="none"/>
                <w:shd w:val="clear" w:fill="FFFFFF"/>
                <w:lang w:val="en-US" w:eastAsia="zh-CN" w:bidi="ar-SA"/>
              </w:rPr>
            </w:pPr>
            <w:r>
              <w:rPr>
                <w:rFonts w:hint="default" w:ascii="宋体" w:hAnsi="宋体" w:eastAsia="宋体" w:cs="宋体"/>
                <w:i w:val="0"/>
                <w:iCs w:val="0"/>
                <w:caps w:val="0"/>
                <w:color w:val="auto"/>
                <w:spacing w:val="0"/>
                <w:kern w:val="2"/>
                <w:sz w:val="24"/>
                <w:szCs w:val="24"/>
                <w:highlight w:val="none"/>
                <w:shd w:val="clear" w:fill="FFFFFF"/>
                <w:lang w:val="en-US" w:eastAsia="zh-CN" w:bidi="ar-SA"/>
              </w:rPr>
              <w:t>（</w:t>
            </w:r>
            <w:r>
              <w:rPr>
                <w:rFonts w:hint="eastAsia" w:ascii="宋体" w:hAnsi="宋体" w:cs="宋体"/>
                <w:i w:val="0"/>
                <w:iCs w:val="0"/>
                <w:caps w:val="0"/>
                <w:color w:val="auto"/>
                <w:spacing w:val="0"/>
                <w:kern w:val="2"/>
                <w:sz w:val="24"/>
                <w:szCs w:val="24"/>
                <w:highlight w:val="none"/>
                <w:shd w:val="clear" w:fill="FFFFFF"/>
                <w:lang w:val="en-US" w:eastAsia="zh-CN" w:bidi="ar-SA"/>
              </w:rPr>
              <w:t>18</w:t>
            </w:r>
            <w:r>
              <w:rPr>
                <w:rFonts w:hint="default" w:ascii="宋体" w:hAnsi="宋体" w:eastAsia="宋体" w:cs="宋体"/>
                <w:i w:val="0"/>
                <w:iCs w:val="0"/>
                <w:caps w:val="0"/>
                <w:color w:val="auto"/>
                <w:spacing w:val="0"/>
                <w:kern w:val="2"/>
                <w:sz w:val="24"/>
                <w:szCs w:val="24"/>
                <w:highlight w:val="none"/>
                <w:shd w:val="clear" w:fill="FFFFFF"/>
                <w:lang w:val="en-US" w:eastAsia="zh-CN" w:bidi="ar-SA"/>
              </w:rPr>
              <w:t>）闲置三个月以上的施工工地，应当对其裸露泥地进行临时绿化、铺装或者遮盖；</w:t>
            </w:r>
          </w:p>
          <w:p w14:paraId="61A17C28">
            <w:pPr>
              <w:pStyle w:val="17"/>
              <w:keepNext w:val="0"/>
              <w:keepLines w:val="0"/>
              <w:suppressLineNumbers w:val="0"/>
              <w:spacing w:before="0" w:beforeAutospacing="0" w:after="0" w:afterAutospacing="0" w:line="360" w:lineRule="auto"/>
              <w:ind w:left="0" w:leftChars="0" w:right="0" w:firstLine="420" w:firstLineChars="175"/>
              <w:rPr>
                <w:rFonts w:hint="default" w:ascii="宋体" w:hAnsi="宋体" w:eastAsia="宋体" w:cs="宋体"/>
                <w:i w:val="0"/>
                <w:iCs w:val="0"/>
                <w:caps w:val="0"/>
                <w:color w:val="auto"/>
                <w:spacing w:val="0"/>
                <w:kern w:val="2"/>
                <w:sz w:val="24"/>
                <w:szCs w:val="24"/>
                <w:highlight w:val="none"/>
                <w:shd w:val="clear" w:fill="FFFFFF"/>
                <w:lang w:val="en-US" w:eastAsia="zh-CN" w:bidi="ar-SA"/>
              </w:rPr>
            </w:pPr>
            <w:r>
              <w:rPr>
                <w:rFonts w:hint="default" w:ascii="宋体" w:hAnsi="宋体" w:eastAsia="宋体" w:cs="宋体"/>
                <w:i w:val="0"/>
                <w:iCs w:val="0"/>
                <w:caps w:val="0"/>
                <w:color w:val="auto"/>
                <w:spacing w:val="0"/>
                <w:kern w:val="2"/>
                <w:sz w:val="24"/>
                <w:szCs w:val="24"/>
                <w:highlight w:val="none"/>
                <w:shd w:val="clear" w:fill="FFFFFF"/>
                <w:lang w:val="en-US" w:eastAsia="zh-CN" w:bidi="ar-SA"/>
              </w:rPr>
              <w:t>（</w:t>
            </w:r>
            <w:r>
              <w:rPr>
                <w:rFonts w:hint="eastAsia" w:ascii="宋体" w:hAnsi="宋体" w:cs="宋体"/>
                <w:i w:val="0"/>
                <w:iCs w:val="0"/>
                <w:caps w:val="0"/>
                <w:color w:val="auto"/>
                <w:spacing w:val="0"/>
                <w:kern w:val="2"/>
                <w:sz w:val="24"/>
                <w:szCs w:val="24"/>
                <w:highlight w:val="none"/>
                <w:shd w:val="clear" w:fill="FFFFFF"/>
                <w:lang w:val="en-US" w:eastAsia="zh-CN" w:bidi="ar-SA"/>
              </w:rPr>
              <w:t>19</w:t>
            </w:r>
            <w:r>
              <w:rPr>
                <w:rFonts w:hint="default" w:ascii="宋体" w:hAnsi="宋体" w:eastAsia="宋体" w:cs="宋体"/>
                <w:i w:val="0"/>
                <w:iCs w:val="0"/>
                <w:caps w:val="0"/>
                <w:color w:val="auto"/>
                <w:spacing w:val="0"/>
                <w:kern w:val="2"/>
                <w:sz w:val="24"/>
                <w:szCs w:val="24"/>
                <w:highlight w:val="none"/>
                <w:shd w:val="clear" w:fill="FFFFFF"/>
                <w:lang w:val="en-US" w:eastAsia="zh-CN" w:bidi="ar-SA"/>
              </w:rPr>
              <w:t>）对工程材料、砂石、土方等易产生扬尘的物料应当密闭处理。在施工工地内堆放的，应当采取覆盖防尘网或者防尘布，定期采取喷洒粉尘抑制剂、洒水等措施；</w:t>
            </w:r>
          </w:p>
          <w:p w14:paraId="01A23B47">
            <w:pPr>
              <w:pStyle w:val="17"/>
              <w:keepNext w:val="0"/>
              <w:keepLines w:val="0"/>
              <w:suppressLineNumbers w:val="0"/>
              <w:spacing w:before="0" w:beforeAutospacing="0" w:after="0" w:afterAutospacing="0" w:line="360" w:lineRule="auto"/>
              <w:ind w:left="0" w:leftChars="0" w:right="0" w:firstLine="420" w:firstLineChars="175"/>
              <w:rPr>
                <w:rFonts w:hint="default" w:ascii="宋体" w:hAnsi="宋体" w:eastAsia="宋体" w:cs="宋体"/>
                <w:i w:val="0"/>
                <w:iCs w:val="0"/>
                <w:caps w:val="0"/>
                <w:color w:val="auto"/>
                <w:spacing w:val="0"/>
                <w:kern w:val="2"/>
                <w:sz w:val="24"/>
                <w:szCs w:val="24"/>
                <w:highlight w:val="none"/>
                <w:shd w:val="clear" w:fill="FFFFFF"/>
                <w:lang w:val="en-US" w:eastAsia="zh-CN" w:bidi="ar-SA"/>
              </w:rPr>
            </w:pPr>
            <w:r>
              <w:rPr>
                <w:rFonts w:hint="default" w:ascii="宋体" w:hAnsi="宋体" w:eastAsia="宋体" w:cs="宋体"/>
                <w:i w:val="0"/>
                <w:iCs w:val="0"/>
                <w:caps w:val="0"/>
                <w:color w:val="auto"/>
                <w:spacing w:val="0"/>
                <w:kern w:val="2"/>
                <w:sz w:val="24"/>
                <w:szCs w:val="24"/>
                <w:highlight w:val="none"/>
                <w:shd w:val="clear" w:fill="FFFFFF"/>
                <w:lang w:val="en-US" w:eastAsia="zh-CN" w:bidi="ar-SA"/>
              </w:rPr>
              <w:t>（</w:t>
            </w:r>
            <w:r>
              <w:rPr>
                <w:rFonts w:hint="eastAsia" w:ascii="宋体" w:hAnsi="宋体" w:cs="宋体"/>
                <w:i w:val="0"/>
                <w:iCs w:val="0"/>
                <w:caps w:val="0"/>
                <w:color w:val="auto"/>
                <w:spacing w:val="0"/>
                <w:kern w:val="2"/>
                <w:sz w:val="24"/>
                <w:szCs w:val="24"/>
                <w:highlight w:val="none"/>
                <w:shd w:val="clear" w:fill="FFFFFF"/>
                <w:lang w:val="en-US" w:eastAsia="zh-CN" w:bidi="ar-SA"/>
              </w:rPr>
              <w:t>20</w:t>
            </w:r>
            <w:r>
              <w:rPr>
                <w:rFonts w:hint="default" w:ascii="宋体" w:hAnsi="宋体" w:eastAsia="宋体" w:cs="宋体"/>
                <w:i w:val="0"/>
                <w:iCs w:val="0"/>
                <w:caps w:val="0"/>
                <w:color w:val="auto"/>
                <w:spacing w:val="0"/>
                <w:kern w:val="2"/>
                <w:sz w:val="24"/>
                <w:szCs w:val="24"/>
                <w:highlight w:val="none"/>
                <w:shd w:val="clear" w:fill="FFFFFF"/>
                <w:lang w:val="en-US" w:eastAsia="zh-CN" w:bidi="ar-SA"/>
              </w:rPr>
              <w:t>）在建筑物、构筑物上运送散装物料、建筑垃圾和渣土的，应当采用密闭方式清运、装卸，禁止高空抛掷、扬撒。</w:t>
            </w:r>
          </w:p>
          <w:p w14:paraId="5C063ED9">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shd w:val="clear" w:color="auto" w:fill="auto"/>
              </w:rPr>
            </w:pPr>
            <w:r>
              <w:rPr>
                <w:rFonts w:hint="eastAsia" w:ascii="宋体" w:hAnsi="宋体" w:eastAsia="宋体" w:cs="宋体"/>
                <w:color w:val="auto"/>
                <w:sz w:val="24"/>
                <w:highlight w:val="none"/>
                <w:shd w:val="clear" w:color="auto" w:fill="auto"/>
              </w:rPr>
              <w:t>此外，施工工地取暖、烧水，应使用液化气等清洁能源，防止烟气对周围环境造成污染。</w:t>
            </w:r>
          </w:p>
          <w:p w14:paraId="3D745110">
            <w:pPr>
              <w:keepNext w:val="0"/>
              <w:keepLines w:val="0"/>
              <w:suppressLineNumbers w:val="0"/>
              <w:spacing w:before="0" w:beforeAutospacing="0" w:after="0" w:afterAutospacing="0" w:line="360" w:lineRule="auto"/>
              <w:ind w:left="0" w:right="0" w:firstLine="482" w:firstLineChars="200"/>
              <w:rPr>
                <w:rFonts w:hint="eastAsia" w:ascii="宋体" w:hAnsi="宋体" w:eastAsia="宋体" w:cs="宋体"/>
                <w:b/>
                <w:color w:val="auto"/>
                <w:sz w:val="24"/>
                <w:highlight w:val="none"/>
                <w:shd w:val="clear" w:color="auto" w:fill="auto"/>
              </w:rPr>
            </w:pPr>
            <w:r>
              <w:rPr>
                <w:rFonts w:hint="eastAsia" w:ascii="宋体" w:hAnsi="宋体" w:eastAsia="宋体" w:cs="宋体"/>
                <w:b/>
                <w:color w:val="auto"/>
                <w:sz w:val="24"/>
                <w:highlight w:val="none"/>
                <w:shd w:val="clear" w:color="auto" w:fill="auto"/>
              </w:rPr>
              <w:t>三、固体废物影响分析</w:t>
            </w:r>
          </w:p>
          <w:p w14:paraId="7CF90952">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shd w:val="clear" w:color="auto" w:fill="auto"/>
              </w:rPr>
            </w:pPr>
            <w:r>
              <w:rPr>
                <w:rFonts w:hint="eastAsia" w:ascii="宋体" w:hAnsi="宋体" w:eastAsia="宋体" w:cs="宋体"/>
                <w:color w:val="auto"/>
                <w:sz w:val="24"/>
                <w:highlight w:val="none"/>
                <w:shd w:val="clear" w:color="auto" w:fill="auto"/>
              </w:rPr>
              <w:t>本工程将产生</w:t>
            </w:r>
            <w:r>
              <w:rPr>
                <w:rFonts w:hint="eastAsia" w:ascii="宋体" w:hAnsi="宋体" w:eastAsia="宋体" w:cs="宋体"/>
                <w:color w:val="auto"/>
                <w:sz w:val="24"/>
                <w:highlight w:val="none"/>
                <w:shd w:val="clear" w:color="auto" w:fill="auto"/>
                <w:lang w:eastAsia="zh-CN"/>
              </w:rPr>
              <w:t>少量</w:t>
            </w:r>
            <w:r>
              <w:rPr>
                <w:rFonts w:hint="eastAsia" w:ascii="宋体" w:hAnsi="宋体" w:eastAsia="宋体" w:cs="宋体"/>
                <w:color w:val="auto"/>
                <w:sz w:val="24"/>
                <w:highlight w:val="none"/>
                <w:shd w:val="clear" w:color="auto" w:fill="auto"/>
              </w:rPr>
              <w:t>建筑垃圾，</w:t>
            </w:r>
            <w:r>
              <w:rPr>
                <w:rFonts w:hint="eastAsia" w:ascii="宋体" w:hAnsi="宋体" w:cs="宋体"/>
                <w:color w:val="auto"/>
                <w:sz w:val="24"/>
                <w:highlight w:val="none"/>
                <w:shd w:val="clear" w:color="auto" w:fill="auto"/>
                <w:lang w:eastAsia="zh-CN"/>
              </w:rPr>
              <w:t>需拉至市政指定地点，严禁私自遗弃</w:t>
            </w:r>
            <w:r>
              <w:rPr>
                <w:rFonts w:hint="eastAsia" w:ascii="宋体" w:hAnsi="宋体" w:eastAsia="宋体" w:cs="宋体"/>
                <w:color w:val="auto"/>
                <w:sz w:val="24"/>
                <w:highlight w:val="none"/>
                <w:shd w:val="clear" w:color="auto" w:fill="auto"/>
              </w:rPr>
              <w:t>，对不可利用的建筑垃圾，建设单位必须严格</w:t>
            </w:r>
            <w:r>
              <w:rPr>
                <w:rFonts w:hint="eastAsia" w:ascii="宋体" w:hAnsi="宋体" w:cs="宋体"/>
                <w:color w:val="auto"/>
                <w:sz w:val="24"/>
                <w:highlight w:val="none"/>
                <w:shd w:val="clear" w:color="auto" w:fill="auto"/>
                <w:lang w:eastAsia="zh-CN"/>
              </w:rPr>
              <w:t>按照</w:t>
            </w:r>
            <w:r>
              <w:rPr>
                <w:rFonts w:hint="eastAsia" w:ascii="宋体" w:hAnsi="宋体" w:eastAsia="宋体" w:cs="宋体"/>
                <w:color w:val="auto"/>
                <w:sz w:val="24"/>
                <w:highlight w:val="none"/>
                <w:shd w:val="clear" w:color="auto" w:fill="auto"/>
              </w:rPr>
              <w:t>《鞍山市城市市容和环境卫生管理条例》规定，</w:t>
            </w:r>
            <w:r>
              <w:rPr>
                <w:rFonts w:hint="eastAsia" w:ascii="宋体" w:hAnsi="宋体" w:cs="宋体"/>
                <w:color w:val="auto"/>
                <w:sz w:val="24"/>
                <w:highlight w:val="none"/>
                <w:shd w:val="clear" w:color="auto" w:fill="auto"/>
                <w:lang w:eastAsia="zh-CN"/>
              </w:rPr>
              <w:t>“第二十五条</w:t>
            </w:r>
            <w:r>
              <w:rPr>
                <w:rFonts w:hint="eastAsia" w:ascii="宋体" w:hAnsi="宋体" w:eastAsia="宋体" w:cs="宋体"/>
                <w:color w:val="auto"/>
                <w:sz w:val="24"/>
                <w:highlight w:val="none"/>
                <w:shd w:val="clear" w:color="auto" w:fill="auto"/>
              </w:rPr>
              <w:t>建筑施工单位或运输单位排放基建残土时，须办理残土排放批准手续，并按规定交纳垃圾排放管理费。基建残土排放手续按照排放量的大小分批办理。前一批残土排放造成路面污染未清除的，不予办理下一批残土排放手续。雨天及雨停后24小时内，停止排放基建残土</w:t>
            </w:r>
            <w:r>
              <w:rPr>
                <w:rFonts w:hint="eastAsia" w:ascii="宋体" w:hAnsi="宋体" w:cs="宋体"/>
                <w:color w:val="auto"/>
                <w:sz w:val="24"/>
                <w:highlight w:val="none"/>
                <w:shd w:val="clear" w:color="auto" w:fill="auto"/>
                <w:lang w:eastAsia="zh-CN"/>
              </w:rPr>
              <w:t>；第三十一条：企、事业单位、个体经营户产生的残土、工业废弃物、生活垃圾和居民自修房屋产生的残土需要排放的，必须先到市容和环境卫生行政主管部门办理排放手续，自行运到指定排放地点排放，无自运能力的可委托市容和环境卫生行政主管部门有偿清运，严禁倒入居民生活垃圾收集容器和楼房垃圾道内。”</w:t>
            </w:r>
          </w:p>
          <w:p w14:paraId="098316FE">
            <w:pPr>
              <w:keepNext w:val="0"/>
              <w:keepLines w:val="0"/>
              <w:suppressLineNumbers w:val="0"/>
              <w:spacing w:before="0" w:beforeAutospacing="0" w:after="0" w:afterAutospacing="0" w:line="360" w:lineRule="auto"/>
              <w:ind w:left="0" w:right="0" w:firstLine="482" w:firstLineChars="200"/>
              <w:rPr>
                <w:rFonts w:hint="eastAsia" w:ascii="宋体" w:hAnsi="宋体" w:eastAsia="宋体" w:cs="宋体"/>
                <w:b/>
                <w:color w:val="auto"/>
                <w:sz w:val="24"/>
                <w:highlight w:val="none"/>
                <w:shd w:val="clear" w:color="auto" w:fill="auto"/>
              </w:rPr>
            </w:pPr>
            <w:r>
              <w:rPr>
                <w:rFonts w:hint="eastAsia" w:ascii="宋体" w:hAnsi="宋体" w:eastAsia="宋体" w:cs="宋体"/>
                <w:b/>
                <w:color w:val="auto"/>
                <w:sz w:val="24"/>
                <w:highlight w:val="none"/>
                <w:shd w:val="clear" w:color="auto" w:fill="auto"/>
              </w:rPr>
              <w:t>四、水环境影响分析</w:t>
            </w:r>
          </w:p>
          <w:p w14:paraId="3CC50E34">
            <w:pPr>
              <w:keepNext w:val="0"/>
              <w:keepLines w:val="0"/>
              <w:numPr>
                <w:ilvl w:val="0"/>
                <w:numId w:val="0"/>
              </w:numPr>
              <w:suppressLineNumbers w:val="0"/>
              <w:spacing w:before="0" w:beforeAutospacing="0" w:after="0" w:afterAutospacing="0" w:line="360" w:lineRule="auto"/>
              <w:ind w:left="0" w:leftChars="0" w:right="0" w:firstLine="480" w:firstLineChars="200"/>
              <w:rPr>
                <w:rFonts w:hint="default"/>
                <w:color w:val="auto"/>
                <w:highlight w:val="none"/>
                <w:lang w:val="en-US" w:eastAsia="zh-CN"/>
              </w:rPr>
            </w:pPr>
            <w:r>
              <w:rPr>
                <w:rFonts w:hint="eastAsia" w:ascii="宋体" w:hAnsi="宋体" w:eastAsia="宋体" w:cs="宋体"/>
                <w:color w:val="auto"/>
                <w:sz w:val="24"/>
                <w:highlight w:val="none"/>
                <w:shd w:val="clear" w:color="auto" w:fill="auto"/>
              </w:rPr>
              <w:t>本工程施工期产生的水环境污染主要为清洗搅拌设备排放的含泥浆废水及施工人员产生的很少量的生活污水，随意排放将对区域水环境质量造成的污染；为此，建议建设单位在施工期间设置简易沉淀池，将施工期间产生的含泥浆废水经沉淀处理后洒水降尘，严禁将施工中产生的废水、泥浆等排放到施工场地以外。</w:t>
            </w:r>
          </w:p>
        </w:tc>
      </w:tr>
      <w:tr w14:paraId="199919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06" w:hRule="atLeast"/>
          <w:jc w:val="center"/>
        </w:trPr>
        <w:tc>
          <w:tcPr>
            <w:tcW w:w="401" w:type="dxa"/>
            <w:tcBorders>
              <w:top w:val="single" w:color="auto" w:sz="4" w:space="0"/>
              <w:left w:val="single" w:color="auto" w:sz="8" w:space="0"/>
              <w:bottom w:val="single" w:color="auto" w:sz="8" w:space="0"/>
              <w:right w:val="single" w:color="auto" w:sz="4" w:space="0"/>
            </w:tcBorders>
            <w:noWrap w:val="0"/>
            <w:tcMar>
              <w:left w:w="28" w:type="dxa"/>
              <w:right w:w="28" w:type="dxa"/>
            </w:tcMar>
            <w:vAlign w:val="center"/>
          </w:tcPr>
          <w:p w14:paraId="3C3BF1DD">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Cs/>
                <w:color w:val="auto"/>
                <w:szCs w:val="21"/>
                <w:highlight w:val="none"/>
                <w:shd w:val="clear" w:color="auto" w:fill="auto"/>
              </w:rPr>
            </w:pPr>
            <w:r>
              <w:rPr>
                <w:rFonts w:hint="eastAsia" w:ascii="宋体" w:hAnsi="宋体" w:eastAsia="宋体" w:cs="宋体"/>
                <w:bCs/>
                <w:color w:val="auto"/>
                <w:szCs w:val="21"/>
                <w:highlight w:val="none"/>
                <w:shd w:val="clear" w:color="auto" w:fill="auto"/>
                <w:lang w:bidi="ar"/>
              </w:rPr>
              <w:t>运营</w:t>
            </w:r>
          </w:p>
          <w:p w14:paraId="3C209EA7">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Cs/>
                <w:color w:val="auto"/>
                <w:szCs w:val="21"/>
                <w:highlight w:val="none"/>
                <w:shd w:val="clear" w:color="auto" w:fill="auto"/>
              </w:rPr>
            </w:pPr>
            <w:r>
              <w:rPr>
                <w:rFonts w:hint="eastAsia" w:ascii="宋体" w:hAnsi="宋体" w:eastAsia="宋体" w:cs="宋体"/>
                <w:bCs/>
                <w:color w:val="auto"/>
                <w:szCs w:val="21"/>
                <w:highlight w:val="none"/>
                <w:shd w:val="clear" w:color="auto" w:fill="auto"/>
                <w:lang w:bidi="ar"/>
              </w:rPr>
              <w:t>期环</w:t>
            </w:r>
          </w:p>
          <w:p w14:paraId="43CA6A67">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Cs/>
                <w:color w:val="auto"/>
                <w:szCs w:val="21"/>
                <w:highlight w:val="none"/>
                <w:shd w:val="clear" w:color="auto" w:fill="auto"/>
              </w:rPr>
            </w:pPr>
            <w:r>
              <w:rPr>
                <w:rFonts w:hint="eastAsia" w:ascii="宋体" w:hAnsi="宋体" w:eastAsia="宋体" w:cs="宋体"/>
                <w:bCs/>
                <w:color w:val="auto"/>
                <w:szCs w:val="21"/>
                <w:highlight w:val="none"/>
                <w:shd w:val="clear" w:color="auto" w:fill="auto"/>
                <w:lang w:bidi="ar"/>
              </w:rPr>
              <w:t>境影</w:t>
            </w:r>
          </w:p>
          <w:p w14:paraId="6CA6D941">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Cs/>
                <w:color w:val="auto"/>
                <w:szCs w:val="21"/>
                <w:highlight w:val="none"/>
                <w:shd w:val="clear" w:color="auto" w:fill="auto"/>
              </w:rPr>
            </w:pPr>
            <w:r>
              <w:rPr>
                <w:rFonts w:hint="eastAsia" w:ascii="宋体" w:hAnsi="宋体" w:eastAsia="宋体" w:cs="宋体"/>
                <w:bCs/>
                <w:color w:val="auto"/>
                <w:szCs w:val="21"/>
                <w:highlight w:val="none"/>
                <w:shd w:val="clear" w:color="auto" w:fill="auto"/>
                <w:lang w:bidi="ar"/>
              </w:rPr>
              <w:t>响和</w:t>
            </w:r>
          </w:p>
          <w:p w14:paraId="31A78F24">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Cs/>
                <w:color w:val="auto"/>
                <w:szCs w:val="21"/>
                <w:highlight w:val="none"/>
                <w:shd w:val="clear" w:color="auto" w:fill="auto"/>
              </w:rPr>
            </w:pPr>
            <w:r>
              <w:rPr>
                <w:rFonts w:hint="eastAsia" w:ascii="宋体" w:hAnsi="宋体" w:eastAsia="宋体" w:cs="宋体"/>
                <w:bCs/>
                <w:color w:val="auto"/>
                <w:szCs w:val="21"/>
                <w:highlight w:val="none"/>
                <w:shd w:val="clear" w:color="auto" w:fill="auto"/>
                <w:lang w:bidi="ar"/>
              </w:rPr>
              <w:t>保护</w:t>
            </w:r>
          </w:p>
          <w:p w14:paraId="487E97AE">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Cs/>
                <w:color w:val="auto"/>
                <w:szCs w:val="21"/>
                <w:highlight w:val="none"/>
                <w:shd w:val="clear" w:color="auto" w:fill="auto"/>
              </w:rPr>
            </w:pPr>
            <w:r>
              <w:rPr>
                <w:rFonts w:hint="eastAsia" w:ascii="宋体" w:hAnsi="宋体" w:eastAsia="宋体" w:cs="宋体"/>
                <w:bCs/>
                <w:color w:val="auto"/>
                <w:szCs w:val="21"/>
                <w:highlight w:val="none"/>
                <w:shd w:val="clear" w:color="auto" w:fill="auto"/>
                <w:lang w:bidi="ar"/>
              </w:rPr>
              <w:t>措施</w:t>
            </w:r>
          </w:p>
        </w:tc>
        <w:tc>
          <w:tcPr>
            <w:tcW w:w="8588" w:type="dxa"/>
            <w:tcBorders>
              <w:top w:val="single" w:color="auto" w:sz="4" w:space="0"/>
              <w:left w:val="single" w:color="auto" w:sz="4" w:space="0"/>
              <w:bottom w:val="single" w:color="auto" w:sz="8" w:space="0"/>
              <w:right w:val="single" w:color="auto" w:sz="8" w:space="0"/>
            </w:tcBorders>
            <w:noWrap w:val="0"/>
            <w:vAlign w:val="center"/>
          </w:tcPr>
          <w:p w14:paraId="3B00B09E">
            <w:pPr>
              <w:keepNext w:val="0"/>
              <w:keepLines w:val="0"/>
              <w:suppressLineNumbers w:val="0"/>
              <w:spacing w:before="0" w:beforeAutospacing="0" w:after="0" w:afterAutospacing="0" w:line="360" w:lineRule="auto"/>
              <w:ind w:left="0" w:right="0" w:firstLine="482" w:firstLineChars="200"/>
              <w:rPr>
                <w:rFonts w:ascii="Calibri" w:hAnsi="Calibri" w:eastAsia="宋体" w:cs="Times New Roman"/>
                <w:b/>
                <w:color w:val="auto"/>
                <w:sz w:val="24"/>
                <w:highlight w:val="none"/>
                <w:shd w:val="clear" w:color="auto" w:fill="auto"/>
              </w:rPr>
            </w:pPr>
            <w:r>
              <w:rPr>
                <w:rFonts w:hint="eastAsia" w:ascii="Calibri" w:hAnsi="Calibri" w:eastAsia="宋体" w:cs="Times New Roman"/>
                <w:b/>
                <w:color w:val="auto"/>
                <w:sz w:val="24"/>
                <w:highlight w:val="none"/>
                <w:shd w:val="clear" w:color="auto" w:fill="auto"/>
                <w:lang w:eastAsia="zh-CN"/>
              </w:rPr>
              <w:t>一</w:t>
            </w:r>
            <w:r>
              <w:rPr>
                <w:rFonts w:ascii="Calibri" w:hAnsi="Calibri" w:eastAsia="宋体" w:cs="Times New Roman"/>
                <w:b/>
                <w:color w:val="auto"/>
                <w:sz w:val="24"/>
                <w:highlight w:val="none"/>
                <w:shd w:val="clear" w:color="auto" w:fill="auto"/>
              </w:rPr>
              <w:t>、环境空气影响分析</w:t>
            </w:r>
          </w:p>
          <w:p w14:paraId="6E1961A9">
            <w:pPr>
              <w:keepNext w:val="0"/>
              <w:keepLines w:val="0"/>
              <w:suppressLineNumbers w:val="0"/>
              <w:spacing w:before="0" w:beforeAutospacing="0" w:after="0" w:afterAutospacing="0" w:line="360" w:lineRule="auto"/>
              <w:ind w:left="0" w:right="0" w:firstLine="480" w:firstLineChars="200"/>
              <w:rPr>
                <w:rFonts w:hint="eastAsia" w:ascii="Calibri" w:hAnsi="Calibri" w:eastAsia="宋体" w:cs="Times New Roman"/>
                <w:color w:val="auto"/>
                <w:sz w:val="24"/>
                <w:highlight w:val="none"/>
                <w:shd w:val="clear" w:color="auto" w:fill="auto"/>
                <w:lang w:val="en-US" w:eastAsia="zh-CN"/>
              </w:rPr>
            </w:pPr>
            <w:r>
              <w:rPr>
                <w:rFonts w:hint="eastAsia" w:ascii="Calibri" w:hAnsi="Calibri" w:eastAsia="宋体" w:cs="Times New Roman"/>
                <w:color w:val="auto"/>
                <w:sz w:val="24"/>
                <w:highlight w:val="none"/>
                <w:shd w:val="clear" w:color="auto" w:fill="auto"/>
                <w:lang w:val="en-US" w:eastAsia="zh-CN"/>
              </w:rPr>
              <w:t>1、源强核算</w:t>
            </w:r>
          </w:p>
          <w:p w14:paraId="2D55B50E">
            <w:pPr>
              <w:pStyle w:val="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kern w:val="2"/>
                <w:sz w:val="24"/>
                <w:szCs w:val="24"/>
                <w:highlight w:val="none"/>
                <w:shd w:val="clear" w:color="auto" w:fill="auto"/>
                <w:lang w:val="en-US" w:eastAsia="zh-CN" w:bidi="ar-SA"/>
              </w:rPr>
            </w:pPr>
            <w:r>
              <w:rPr>
                <w:rFonts w:hint="eastAsia" w:ascii="Times New Roman" w:hAnsi="Times New Roman" w:eastAsia="宋体" w:cs="Times New Roman"/>
                <w:color w:val="auto"/>
                <w:kern w:val="2"/>
                <w:sz w:val="24"/>
                <w:szCs w:val="24"/>
                <w:highlight w:val="none"/>
                <w:shd w:val="clear" w:color="auto" w:fill="auto"/>
                <w:lang w:val="en-US" w:eastAsia="zh-CN" w:bidi="ar-SA"/>
              </w:rPr>
              <w:t>本项目运行期间大气污染物主要为</w:t>
            </w:r>
            <w:r>
              <w:rPr>
                <w:rFonts w:hint="eastAsia" w:cs="Times New Roman"/>
                <w:color w:val="auto"/>
                <w:kern w:val="2"/>
                <w:sz w:val="24"/>
                <w:szCs w:val="24"/>
                <w:highlight w:val="none"/>
                <w:shd w:val="clear" w:color="auto" w:fill="auto"/>
                <w:lang w:val="en-US" w:eastAsia="zh-CN" w:bidi="ar-SA"/>
              </w:rPr>
              <w:t>各生产</w:t>
            </w:r>
            <w:r>
              <w:rPr>
                <w:rFonts w:hint="eastAsia" w:ascii="Times New Roman" w:hAnsi="Times New Roman" w:eastAsia="宋体" w:cs="Times New Roman"/>
                <w:color w:val="auto"/>
                <w:kern w:val="2"/>
                <w:sz w:val="24"/>
                <w:szCs w:val="24"/>
                <w:highlight w:val="none"/>
                <w:shd w:val="clear" w:color="auto" w:fill="auto"/>
                <w:lang w:val="en-US" w:eastAsia="zh-CN" w:bidi="ar-SA"/>
              </w:rPr>
              <w:t>车间产生的颗粒物</w:t>
            </w:r>
            <w:r>
              <w:rPr>
                <w:rFonts w:hint="eastAsia" w:cs="Times New Roman"/>
                <w:color w:val="auto"/>
                <w:kern w:val="2"/>
                <w:sz w:val="24"/>
                <w:szCs w:val="24"/>
                <w:highlight w:val="none"/>
                <w:shd w:val="clear" w:color="auto" w:fill="auto"/>
                <w:lang w:val="en-US" w:eastAsia="zh-CN" w:bidi="ar-SA"/>
              </w:rPr>
              <w:t>；原料库房卸料、贮料产生的颗粒物；产品库房贮料产生的颗粒物；运输产生的颗粒物。</w:t>
            </w:r>
          </w:p>
          <w:p w14:paraId="5FAB9C2C">
            <w:pPr>
              <w:keepNext w:val="0"/>
              <w:keepLines w:val="0"/>
              <w:suppressLineNumbers w:val="0"/>
              <w:spacing w:before="0" w:beforeAutospacing="0" w:after="0" w:afterAutospacing="0" w:line="360" w:lineRule="auto"/>
              <w:ind w:left="0" w:right="0" w:firstLine="480" w:firstLineChars="200"/>
              <w:rPr>
                <w:rFonts w:hint="eastAsia" w:ascii="Calibri" w:hAnsi="Calibri" w:eastAsia="宋体" w:cs="Times New Roman"/>
                <w:color w:val="auto"/>
                <w:sz w:val="24"/>
                <w:highlight w:val="none"/>
                <w:shd w:val="clear" w:color="auto" w:fill="auto"/>
                <w:lang w:eastAsia="zh-CN"/>
              </w:rPr>
            </w:pPr>
            <w:r>
              <w:rPr>
                <w:rFonts w:hint="eastAsia" w:cs="Times New Roman"/>
                <w:color w:val="auto"/>
                <w:sz w:val="24"/>
                <w:highlight w:val="none"/>
                <w:shd w:val="clear" w:color="auto" w:fill="auto"/>
                <w:lang w:val="en-US" w:eastAsia="zh-CN"/>
              </w:rPr>
              <w:t>原料贮料置于封闭原料库房内，产生的粉尘量较少，对环境影响不大；水洗白云石清洗后产生粉尘量较少，白云石粉、白云砂</w:t>
            </w:r>
            <w:r>
              <w:rPr>
                <w:rFonts w:hint="eastAsia" w:ascii="Times New Roman" w:hAnsi="Times New Roman" w:eastAsia="宋体" w:cs="Times New Roman"/>
                <w:color w:val="auto"/>
                <w:sz w:val="24"/>
                <w:highlight w:val="none"/>
                <w:shd w:val="clear" w:color="auto" w:fill="auto"/>
                <w:lang w:val="en-US" w:eastAsia="zh-CN"/>
              </w:rPr>
              <w:t>装入</w:t>
            </w:r>
            <w:r>
              <w:rPr>
                <w:rFonts w:hint="eastAsia" w:cs="Times New Roman"/>
                <w:color w:val="auto"/>
                <w:sz w:val="24"/>
                <w:highlight w:val="none"/>
                <w:shd w:val="clear" w:color="auto" w:fill="auto"/>
                <w:lang w:val="en-US" w:eastAsia="zh-CN"/>
              </w:rPr>
              <w:t>吨袋</w:t>
            </w:r>
            <w:r>
              <w:rPr>
                <w:rFonts w:hint="eastAsia" w:ascii="Times New Roman" w:hAnsi="Times New Roman" w:eastAsia="宋体" w:cs="Times New Roman"/>
                <w:color w:val="auto"/>
                <w:sz w:val="24"/>
                <w:highlight w:val="none"/>
                <w:shd w:val="clear" w:color="auto" w:fill="auto"/>
                <w:lang w:val="en-US" w:eastAsia="zh-CN"/>
              </w:rPr>
              <w:t>后外运</w:t>
            </w:r>
            <w:r>
              <w:rPr>
                <w:rFonts w:hint="eastAsia" w:cs="Times New Roman"/>
                <w:color w:val="auto"/>
                <w:sz w:val="24"/>
                <w:highlight w:val="none"/>
                <w:shd w:val="clear" w:color="auto" w:fill="auto"/>
                <w:lang w:val="en-US" w:eastAsia="zh-CN"/>
              </w:rPr>
              <w:t>，</w:t>
            </w:r>
            <w:r>
              <w:rPr>
                <w:rFonts w:hint="eastAsia" w:ascii="Times New Roman" w:hAnsi="Times New Roman" w:eastAsia="宋体" w:cs="Times New Roman"/>
                <w:color w:val="auto"/>
                <w:sz w:val="24"/>
                <w:highlight w:val="none"/>
                <w:shd w:val="clear" w:color="auto" w:fill="auto"/>
                <w:lang w:val="en-US" w:eastAsia="zh-CN"/>
              </w:rPr>
              <w:t>产生的粉尘</w:t>
            </w:r>
            <w:r>
              <w:rPr>
                <w:rFonts w:hint="eastAsia" w:cs="Times New Roman"/>
                <w:color w:val="auto"/>
                <w:sz w:val="24"/>
                <w:highlight w:val="none"/>
                <w:shd w:val="clear" w:color="auto" w:fill="auto"/>
                <w:lang w:val="en-US" w:eastAsia="zh-CN"/>
              </w:rPr>
              <w:t>量</w:t>
            </w:r>
            <w:r>
              <w:rPr>
                <w:rFonts w:hint="eastAsia" w:ascii="Times New Roman" w:hAnsi="Times New Roman" w:eastAsia="宋体" w:cs="Times New Roman"/>
                <w:color w:val="auto"/>
                <w:sz w:val="24"/>
                <w:highlight w:val="none"/>
                <w:shd w:val="clear" w:color="auto" w:fill="auto"/>
                <w:lang w:val="en-US" w:eastAsia="zh-CN"/>
              </w:rPr>
              <w:t>较</w:t>
            </w:r>
            <w:r>
              <w:rPr>
                <w:rFonts w:hint="eastAsia" w:cs="Times New Roman"/>
                <w:color w:val="auto"/>
                <w:sz w:val="24"/>
                <w:highlight w:val="none"/>
                <w:shd w:val="clear" w:color="auto" w:fill="auto"/>
                <w:lang w:val="en-US" w:eastAsia="zh-CN"/>
              </w:rPr>
              <w:t>少；生产工序间物料经由封闭皮带输送，产尘量较小；</w:t>
            </w:r>
            <w:r>
              <w:rPr>
                <w:rFonts w:hint="eastAsia" w:ascii="Times New Roman" w:hAnsi="Times New Roman" w:eastAsia="宋体" w:cs="Times New Roman"/>
                <w:color w:val="auto"/>
                <w:sz w:val="24"/>
                <w:highlight w:val="none"/>
                <w:shd w:val="clear" w:color="auto" w:fill="auto"/>
                <w:lang w:val="en-US" w:eastAsia="zh-CN"/>
              </w:rPr>
              <w:t>产生的废气主要来自</w:t>
            </w:r>
            <w:r>
              <w:rPr>
                <w:rFonts w:ascii="Calibri" w:hAnsi="Calibri" w:eastAsia="宋体" w:cs="Times New Roman"/>
                <w:color w:val="auto"/>
                <w:sz w:val="24"/>
                <w:highlight w:val="none"/>
                <w:shd w:val="clear" w:color="auto" w:fill="auto"/>
              </w:rPr>
              <w:t>原料</w:t>
            </w:r>
            <w:r>
              <w:rPr>
                <w:rFonts w:hint="eastAsia" w:ascii="Calibri" w:hAnsi="Calibri" w:cs="Times New Roman"/>
                <w:color w:val="auto"/>
                <w:sz w:val="24"/>
                <w:highlight w:val="none"/>
                <w:shd w:val="clear" w:color="auto" w:fill="auto"/>
                <w:lang w:eastAsia="zh-CN"/>
              </w:rPr>
              <w:t>装卸、</w:t>
            </w:r>
            <w:r>
              <w:rPr>
                <w:rFonts w:ascii="Calibri" w:hAnsi="Calibri" w:eastAsia="宋体" w:cs="Times New Roman"/>
                <w:color w:val="auto"/>
                <w:sz w:val="24"/>
                <w:highlight w:val="none"/>
                <w:shd w:val="clear" w:color="auto" w:fill="auto"/>
              </w:rPr>
              <w:t>上料</w:t>
            </w:r>
            <w:r>
              <w:rPr>
                <w:rFonts w:hint="eastAsia" w:ascii="Calibri" w:hAnsi="Calibri" w:cs="Times New Roman"/>
                <w:color w:val="auto"/>
                <w:sz w:val="24"/>
                <w:highlight w:val="none"/>
                <w:shd w:val="clear" w:color="auto" w:fill="auto"/>
                <w:lang w:eastAsia="zh-CN"/>
              </w:rPr>
              <w:t>、</w:t>
            </w:r>
            <w:r>
              <w:rPr>
                <w:rFonts w:hint="eastAsia" w:ascii="Calibri" w:hAnsi="Calibri" w:eastAsia="宋体" w:cs="Times New Roman"/>
                <w:color w:val="auto"/>
                <w:sz w:val="24"/>
                <w:highlight w:val="none"/>
                <w:shd w:val="clear" w:color="auto" w:fill="auto"/>
                <w:lang w:eastAsia="zh-CN"/>
              </w:rPr>
              <w:t>颚式破碎机、</w:t>
            </w:r>
            <w:r>
              <w:rPr>
                <w:rFonts w:hint="eastAsia" w:ascii="Calibri" w:hAnsi="Calibri" w:cs="Times New Roman"/>
                <w:color w:val="auto"/>
                <w:sz w:val="24"/>
                <w:highlight w:val="none"/>
                <w:shd w:val="clear" w:color="auto" w:fill="auto"/>
                <w:lang w:eastAsia="zh-CN"/>
              </w:rPr>
              <w:t>中间仓入仓</w:t>
            </w:r>
            <w:r>
              <w:rPr>
                <w:rFonts w:ascii="Calibri" w:hAnsi="Calibri" w:eastAsia="宋体" w:cs="Times New Roman"/>
                <w:color w:val="auto"/>
                <w:sz w:val="24"/>
                <w:highlight w:val="none"/>
                <w:shd w:val="clear" w:color="auto" w:fill="auto"/>
              </w:rPr>
              <w:t>、</w:t>
            </w:r>
            <w:r>
              <w:rPr>
                <w:rFonts w:hint="eastAsia" w:ascii="Calibri" w:hAnsi="Calibri" w:cs="Times New Roman"/>
                <w:color w:val="auto"/>
                <w:sz w:val="24"/>
                <w:highlight w:val="none"/>
                <w:shd w:val="clear" w:color="auto" w:fill="auto"/>
                <w:lang w:eastAsia="zh-CN"/>
              </w:rPr>
              <w:t>锤式破碎机</w:t>
            </w:r>
            <w:r>
              <w:rPr>
                <w:rFonts w:hint="eastAsia" w:ascii="Calibri" w:hAnsi="Calibri" w:eastAsia="宋体" w:cs="Times New Roman"/>
                <w:color w:val="auto"/>
                <w:sz w:val="24"/>
                <w:highlight w:val="none"/>
                <w:shd w:val="clear" w:color="auto" w:fill="auto"/>
                <w:lang w:eastAsia="zh-CN"/>
              </w:rPr>
              <w:t>、</w:t>
            </w:r>
            <w:r>
              <w:rPr>
                <w:rFonts w:hint="eastAsia" w:ascii="Calibri" w:hAnsi="Calibri" w:cs="Times New Roman"/>
                <w:color w:val="auto"/>
                <w:sz w:val="24"/>
                <w:highlight w:val="none"/>
                <w:shd w:val="clear" w:color="auto" w:fill="auto"/>
                <w:lang w:eastAsia="zh-CN"/>
              </w:rPr>
              <w:t>筛分机筛分</w:t>
            </w:r>
            <w:r>
              <w:rPr>
                <w:rFonts w:hint="eastAsia" w:ascii="Calibri" w:hAnsi="Calibri" w:eastAsia="宋体" w:cs="Times New Roman"/>
                <w:color w:val="auto"/>
                <w:sz w:val="24"/>
                <w:highlight w:val="none"/>
                <w:shd w:val="clear" w:color="auto" w:fill="auto"/>
                <w:lang w:eastAsia="zh-CN"/>
              </w:rPr>
              <w:t>、</w:t>
            </w:r>
            <w:r>
              <w:rPr>
                <w:rFonts w:hint="eastAsia" w:ascii="Calibri" w:hAnsi="Calibri" w:cs="Times New Roman"/>
                <w:color w:val="auto"/>
                <w:sz w:val="24"/>
                <w:highlight w:val="none"/>
                <w:shd w:val="clear" w:color="auto" w:fill="auto"/>
                <w:lang w:eastAsia="zh-CN"/>
              </w:rPr>
              <w:t>雷蒙、环辊磨、产品仓入仓、包装等</w:t>
            </w:r>
            <w:r>
              <w:rPr>
                <w:rFonts w:hint="eastAsia" w:ascii="Calibri" w:hAnsi="Calibri" w:eastAsia="宋体" w:cs="Times New Roman"/>
                <w:color w:val="auto"/>
                <w:sz w:val="24"/>
                <w:highlight w:val="none"/>
                <w:shd w:val="clear" w:color="auto" w:fill="auto"/>
                <w:lang w:eastAsia="zh-CN"/>
              </w:rPr>
              <w:t>工序。</w:t>
            </w:r>
          </w:p>
          <w:p w14:paraId="714B9B0D">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highlight w:val="none"/>
                <w:shd w:val="clear" w:color="auto" w:fill="auto"/>
                <w:lang w:eastAsia="zh-CN"/>
              </w:rPr>
            </w:pPr>
            <w:r>
              <w:rPr>
                <w:rFonts w:hint="eastAsia" w:ascii="Times New Roman" w:hAnsi="Times New Roman" w:eastAsia="宋体" w:cs="Times New Roman"/>
                <w:color w:val="auto"/>
                <w:sz w:val="24"/>
                <w:highlight w:val="none"/>
                <w:shd w:val="clear" w:color="auto" w:fill="auto"/>
                <w:lang w:eastAsia="zh-CN"/>
              </w:rPr>
              <w:t>（</w:t>
            </w:r>
            <w:r>
              <w:rPr>
                <w:rFonts w:hint="eastAsia" w:ascii="Times New Roman" w:hAnsi="Times New Roman" w:eastAsia="宋体" w:cs="Times New Roman"/>
                <w:color w:val="auto"/>
                <w:sz w:val="24"/>
                <w:highlight w:val="none"/>
                <w:shd w:val="clear" w:color="auto" w:fill="auto"/>
                <w:lang w:val="en-US" w:eastAsia="zh-CN"/>
              </w:rPr>
              <w:t>1</w:t>
            </w:r>
            <w:r>
              <w:rPr>
                <w:rFonts w:hint="eastAsia" w:ascii="Times New Roman" w:hAnsi="Times New Roman" w:eastAsia="宋体" w:cs="Times New Roman"/>
                <w:color w:val="auto"/>
                <w:sz w:val="24"/>
                <w:highlight w:val="none"/>
                <w:shd w:val="clear" w:color="auto" w:fill="auto"/>
                <w:lang w:eastAsia="zh-CN"/>
              </w:rPr>
              <w:t>）</w:t>
            </w:r>
            <w:r>
              <w:rPr>
                <w:rFonts w:hint="eastAsia" w:ascii="Calibri" w:hAnsi="Calibri" w:cs="Times New Roman"/>
                <w:color w:val="auto"/>
                <w:sz w:val="24"/>
                <w:highlight w:val="none"/>
                <w:shd w:val="clear" w:color="auto" w:fill="auto"/>
                <w:lang w:val="en-US" w:eastAsia="zh-CN"/>
              </w:rPr>
              <w:t>1#原料库房</w:t>
            </w:r>
            <w:r>
              <w:rPr>
                <w:rFonts w:hint="eastAsia" w:ascii="Calibri" w:hAnsi="Calibri" w:cs="Times New Roman"/>
                <w:color w:val="auto"/>
                <w:sz w:val="24"/>
                <w:highlight w:val="none"/>
                <w:shd w:val="clear" w:color="auto" w:fill="auto"/>
                <w:lang w:eastAsia="zh-CN"/>
              </w:rPr>
              <w:t>卸料、</w:t>
            </w:r>
            <w:r>
              <w:rPr>
                <w:rFonts w:hint="eastAsia" w:cs="Times New Roman"/>
                <w:color w:val="auto"/>
                <w:kern w:val="2"/>
                <w:sz w:val="24"/>
                <w:szCs w:val="24"/>
                <w:highlight w:val="none"/>
                <w:shd w:val="clear" w:color="auto" w:fill="auto"/>
                <w:lang w:val="en-US" w:eastAsia="zh-CN" w:bidi="ar-SA"/>
              </w:rPr>
              <w:t>1#、2#生产线</w:t>
            </w:r>
            <w:r>
              <w:rPr>
                <w:rFonts w:hint="eastAsia" w:ascii="Times New Roman" w:hAnsi="Times New Roman" w:eastAsia="宋体" w:cs="Times New Roman"/>
                <w:color w:val="auto"/>
                <w:sz w:val="24"/>
                <w:highlight w:val="none"/>
                <w:shd w:val="clear" w:color="auto" w:fill="auto"/>
                <w:lang w:eastAsia="zh-CN"/>
              </w:rPr>
              <w:t>生产工序粉尘</w:t>
            </w:r>
          </w:p>
          <w:p w14:paraId="56A4879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cs="Times New Roman"/>
                <w:color w:val="auto"/>
                <w:sz w:val="24"/>
                <w:highlight w:val="none"/>
                <w:shd w:val="clear" w:color="auto" w:fill="auto"/>
                <w:lang w:val="en-US" w:eastAsia="zh-CN"/>
              </w:rPr>
            </w:pPr>
            <w:r>
              <w:rPr>
                <w:rFonts w:hint="default" w:ascii="Times New Roman" w:hAnsi="Times New Roman" w:eastAsia="宋体" w:cs="Times New Roman"/>
                <w:color w:val="auto"/>
                <w:sz w:val="24"/>
                <w:highlight w:val="none"/>
                <w:shd w:val="clear" w:color="auto" w:fill="auto"/>
                <w:lang w:eastAsia="zh-CN"/>
              </w:rPr>
              <w:t>本项目</w:t>
            </w:r>
            <w:r>
              <w:rPr>
                <w:rFonts w:hint="eastAsia" w:cs="Times New Roman"/>
                <w:color w:val="auto"/>
                <w:sz w:val="24"/>
                <w:highlight w:val="none"/>
                <w:shd w:val="clear" w:color="auto" w:fill="auto"/>
                <w:lang w:val="en-US" w:eastAsia="zh-CN"/>
              </w:rPr>
              <w:t>1#、2#生产线原料卸料在1#原料库房内；生产位于1#生产车间内。</w:t>
            </w:r>
          </w:p>
          <w:p w14:paraId="4DDF979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highlight w:val="none"/>
                <w:shd w:val="clear" w:color="auto" w:fill="auto"/>
                <w:lang w:eastAsia="zh-CN"/>
              </w:rPr>
            </w:pPr>
            <w:r>
              <w:rPr>
                <w:rFonts w:hint="eastAsia" w:cs="Times New Roman"/>
                <w:color w:val="auto"/>
                <w:sz w:val="24"/>
                <w:highlight w:val="none"/>
                <w:shd w:val="clear" w:color="auto" w:fill="auto"/>
                <w:lang w:val="en-US" w:eastAsia="zh-CN"/>
              </w:rPr>
              <w:t>1#原料库房卸料、1#</w:t>
            </w:r>
            <w:r>
              <w:rPr>
                <w:rFonts w:hint="eastAsia" w:ascii="Times New Roman" w:hAnsi="Times New Roman" w:eastAsia="宋体" w:cs="Times New Roman"/>
                <w:color w:val="auto"/>
                <w:kern w:val="2"/>
                <w:sz w:val="24"/>
                <w:szCs w:val="24"/>
                <w:highlight w:val="none"/>
                <w:shd w:val="clear" w:color="auto" w:fill="auto"/>
                <w:lang w:val="en-US" w:eastAsia="zh-CN" w:bidi="ar-SA"/>
              </w:rPr>
              <w:t>生产线</w:t>
            </w:r>
            <w:r>
              <w:rPr>
                <w:rFonts w:hint="default" w:ascii="Times New Roman" w:hAnsi="Times New Roman" w:eastAsia="宋体" w:cs="Times New Roman"/>
                <w:color w:val="auto"/>
                <w:sz w:val="24"/>
                <w:highlight w:val="none"/>
                <w:shd w:val="clear" w:color="auto" w:fill="auto"/>
              </w:rPr>
              <w:t>上料</w:t>
            </w:r>
            <w:r>
              <w:rPr>
                <w:rFonts w:hint="eastAsia" w:cs="Times New Roman"/>
                <w:color w:val="auto"/>
                <w:sz w:val="24"/>
                <w:highlight w:val="none"/>
                <w:shd w:val="clear" w:color="auto" w:fill="auto"/>
                <w:lang w:eastAsia="zh-CN"/>
              </w:rPr>
              <w:t>、</w:t>
            </w:r>
            <w:r>
              <w:rPr>
                <w:rFonts w:hint="eastAsia" w:cs="Times New Roman"/>
                <w:color w:val="auto"/>
                <w:sz w:val="24"/>
                <w:highlight w:val="none"/>
                <w:shd w:val="clear" w:color="auto" w:fill="auto"/>
                <w:lang w:val="en-US" w:eastAsia="zh-CN"/>
              </w:rPr>
              <w:t>2#生产线</w:t>
            </w:r>
            <w:r>
              <w:rPr>
                <w:rFonts w:hint="default" w:ascii="Times New Roman" w:hAnsi="Times New Roman" w:eastAsia="宋体" w:cs="Times New Roman"/>
                <w:color w:val="auto"/>
                <w:sz w:val="24"/>
                <w:highlight w:val="none"/>
                <w:shd w:val="clear" w:color="auto" w:fill="auto"/>
                <w:lang w:val="en-US" w:eastAsia="zh-CN"/>
              </w:rPr>
              <w:t>上料、颚式破碎机</w:t>
            </w:r>
            <w:r>
              <w:rPr>
                <w:rFonts w:hint="eastAsia" w:cs="Times New Roman"/>
                <w:color w:val="auto"/>
                <w:sz w:val="24"/>
                <w:highlight w:val="none"/>
                <w:shd w:val="clear" w:color="auto" w:fill="auto"/>
                <w:lang w:val="en-US" w:eastAsia="zh-CN"/>
              </w:rPr>
              <w:t>、中间仓</w:t>
            </w:r>
            <w:r>
              <w:rPr>
                <w:rFonts w:hint="eastAsia" w:ascii="Times New Roman" w:hAnsi="Times New Roman" w:eastAsia="宋体" w:cs="Times New Roman"/>
                <w:color w:val="auto"/>
                <w:sz w:val="24"/>
                <w:highlight w:val="none"/>
                <w:shd w:val="clear" w:color="auto" w:fill="auto"/>
                <w:lang w:eastAsia="zh-CN"/>
              </w:rPr>
              <w:t>入仓</w:t>
            </w:r>
            <w:r>
              <w:rPr>
                <w:rFonts w:hint="default" w:ascii="Times New Roman" w:hAnsi="Times New Roman" w:eastAsia="宋体" w:cs="Times New Roman"/>
                <w:color w:val="auto"/>
                <w:sz w:val="24"/>
                <w:highlight w:val="none"/>
                <w:shd w:val="clear" w:color="auto" w:fill="auto"/>
                <w:lang w:val="en-US" w:eastAsia="zh-CN"/>
              </w:rPr>
              <w:t>、锤式破碎机、筛分机筛分、雷蒙</w:t>
            </w:r>
            <w:r>
              <w:rPr>
                <w:rFonts w:hint="eastAsia" w:cs="Times New Roman"/>
                <w:color w:val="auto"/>
                <w:sz w:val="24"/>
                <w:highlight w:val="none"/>
                <w:shd w:val="clear" w:color="auto" w:fill="auto"/>
                <w:lang w:val="en-US" w:eastAsia="zh-CN"/>
              </w:rPr>
              <w:t>、产品仓</w:t>
            </w:r>
            <w:r>
              <w:rPr>
                <w:rFonts w:hint="eastAsia" w:ascii="Times New Roman" w:hAnsi="Times New Roman" w:eastAsia="宋体" w:cs="Times New Roman"/>
                <w:color w:val="auto"/>
                <w:sz w:val="24"/>
                <w:highlight w:val="none"/>
                <w:shd w:val="clear" w:color="auto" w:fill="auto"/>
                <w:lang w:eastAsia="zh-CN"/>
              </w:rPr>
              <w:t>入仓</w:t>
            </w:r>
            <w:r>
              <w:rPr>
                <w:rFonts w:hint="eastAsia" w:cs="Times New Roman"/>
                <w:color w:val="auto"/>
                <w:sz w:val="24"/>
                <w:highlight w:val="none"/>
                <w:shd w:val="clear" w:color="auto" w:fill="auto"/>
                <w:lang w:val="en-US" w:eastAsia="zh-CN"/>
              </w:rPr>
              <w:t>、包装</w:t>
            </w:r>
            <w:r>
              <w:rPr>
                <w:rFonts w:hint="default" w:ascii="Times New Roman" w:hAnsi="Times New Roman" w:eastAsia="宋体" w:cs="Times New Roman"/>
                <w:color w:val="auto"/>
                <w:sz w:val="24"/>
                <w:highlight w:val="none"/>
                <w:shd w:val="clear" w:color="auto" w:fill="auto"/>
                <w:lang w:val="en-US" w:eastAsia="zh-CN"/>
              </w:rPr>
              <w:t>工序</w:t>
            </w:r>
            <w:r>
              <w:rPr>
                <w:rFonts w:hint="default" w:ascii="Times New Roman" w:hAnsi="Times New Roman" w:eastAsia="宋体" w:cs="Times New Roman"/>
                <w:color w:val="auto"/>
                <w:sz w:val="24"/>
                <w:highlight w:val="none"/>
                <w:shd w:val="clear" w:color="auto" w:fill="auto"/>
              </w:rPr>
              <w:t>有粉尘产生</w:t>
            </w:r>
            <w:r>
              <w:rPr>
                <w:rFonts w:hint="eastAsia" w:cs="Times New Roman"/>
                <w:color w:val="auto"/>
                <w:sz w:val="24"/>
                <w:highlight w:val="none"/>
                <w:shd w:val="clear" w:color="auto" w:fill="auto"/>
                <w:lang w:eastAsia="zh-CN"/>
              </w:rPr>
              <w:t>。</w:t>
            </w:r>
            <w:r>
              <w:rPr>
                <w:rFonts w:hint="default" w:ascii="Times New Roman" w:hAnsi="Times New Roman" w:eastAsia="宋体" w:cs="Times New Roman"/>
                <w:color w:val="auto"/>
                <w:sz w:val="24"/>
                <w:highlight w:val="none"/>
                <w:shd w:val="clear" w:color="auto" w:fill="auto"/>
              </w:rPr>
              <w:t>根据</w:t>
            </w:r>
            <w:r>
              <w:rPr>
                <w:rFonts w:hint="default" w:ascii="Times New Roman" w:hAnsi="Times New Roman" w:eastAsia="宋体" w:cs="Times New Roman"/>
                <w:color w:val="auto"/>
                <w:kern w:val="2"/>
                <w:sz w:val="24"/>
                <w:szCs w:val="24"/>
                <w:highlight w:val="none"/>
                <w:lang w:val="en-US" w:eastAsia="zh-CN" w:bidi="ar-SA"/>
              </w:rPr>
              <w:t>《排放源统计调查产排污核算方法和系数手册》（公告2021年第24号）中“3099 其他非金属矿物制品制造行业系数手册”，</w:t>
            </w:r>
            <w:r>
              <w:rPr>
                <w:rFonts w:hint="eastAsia" w:cs="Times New Roman"/>
                <w:color w:val="auto"/>
                <w:kern w:val="2"/>
                <w:sz w:val="24"/>
                <w:szCs w:val="24"/>
                <w:highlight w:val="none"/>
                <w:lang w:val="en-US" w:eastAsia="zh-CN" w:bidi="ar-SA"/>
              </w:rPr>
              <w:t>颚破</w:t>
            </w:r>
            <w:r>
              <w:rPr>
                <w:rFonts w:hint="default" w:ascii="Times New Roman" w:hAnsi="Times New Roman" w:eastAsia="宋体" w:cs="Times New Roman"/>
                <w:color w:val="auto"/>
                <w:sz w:val="24"/>
                <w:highlight w:val="none"/>
                <w:shd w:val="clear" w:color="auto" w:fill="auto"/>
              </w:rPr>
              <w:t>的粉尘产生系数为</w:t>
            </w:r>
            <w:r>
              <w:rPr>
                <w:rFonts w:hint="default" w:ascii="Times New Roman" w:hAnsi="Times New Roman" w:eastAsia="宋体" w:cs="Times New Roman"/>
                <w:color w:val="auto"/>
                <w:kern w:val="2"/>
                <w:sz w:val="24"/>
                <w:szCs w:val="24"/>
                <w:highlight w:val="none"/>
                <w:lang w:val="en-US" w:eastAsia="zh-CN" w:bidi="ar-SA"/>
              </w:rPr>
              <w:t>1.13kg/t-</w:t>
            </w:r>
            <w:r>
              <w:rPr>
                <w:rFonts w:hint="eastAsia" w:ascii="Times New Roman" w:hAnsi="Times New Roman" w:eastAsia="宋体" w:cs="Times New Roman"/>
                <w:color w:val="auto"/>
                <w:kern w:val="2"/>
                <w:sz w:val="24"/>
                <w:szCs w:val="24"/>
                <w:highlight w:val="none"/>
                <w:lang w:val="en-US" w:eastAsia="zh-CN" w:bidi="ar-SA"/>
              </w:rPr>
              <w:t>产品</w:t>
            </w:r>
            <w:r>
              <w:rPr>
                <w:rFonts w:hint="eastAsia" w:ascii="Times New Roman" w:hAnsi="Times New Roman" w:eastAsia="宋体" w:cs="Times New Roman"/>
                <w:color w:val="auto"/>
                <w:sz w:val="24"/>
                <w:highlight w:val="none"/>
                <w:shd w:val="clear" w:color="auto" w:fill="auto"/>
                <w:lang w:eastAsia="zh-CN"/>
              </w:rPr>
              <w:t>，制砂分级</w:t>
            </w:r>
            <w:r>
              <w:rPr>
                <w:rFonts w:hint="default" w:ascii="Times New Roman" w:hAnsi="Times New Roman" w:eastAsia="宋体" w:cs="Times New Roman"/>
                <w:color w:val="auto"/>
                <w:sz w:val="24"/>
                <w:highlight w:val="none"/>
                <w:shd w:val="clear" w:color="auto" w:fill="auto"/>
              </w:rPr>
              <w:t>的粉尘产生系数为</w:t>
            </w:r>
            <w:r>
              <w:rPr>
                <w:rFonts w:hint="default" w:ascii="Times New Roman" w:hAnsi="Times New Roman" w:eastAsia="宋体" w:cs="Times New Roman"/>
                <w:color w:val="auto"/>
                <w:kern w:val="2"/>
                <w:sz w:val="24"/>
                <w:szCs w:val="24"/>
                <w:highlight w:val="none"/>
                <w:lang w:val="en-US" w:eastAsia="zh-CN" w:bidi="ar-SA"/>
              </w:rPr>
              <w:t>1.13kg/t-</w:t>
            </w:r>
            <w:r>
              <w:rPr>
                <w:rFonts w:hint="eastAsia" w:ascii="Times New Roman" w:hAnsi="Times New Roman" w:eastAsia="宋体" w:cs="Times New Roman"/>
                <w:color w:val="auto"/>
                <w:kern w:val="2"/>
                <w:sz w:val="24"/>
                <w:szCs w:val="24"/>
                <w:highlight w:val="none"/>
                <w:lang w:val="en-US" w:eastAsia="zh-CN" w:bidi="ar-SA"/>
              </w:rPr>
              <w:t>产品</w:t>
            </w:r>
            <w:r>
              <w:rPr>
                <w:rFonts w:hint="eastAsia" w:ascii="Times New Roman" w:hAnsi="Times New Roman" w:eastAsia="宋体" w:cs="Times New Roman"/>
                <w:color w:val="auto"/>
                <w:sz w:val="24"/>
                <w:highlight w:val="none"/>
                <w:shd w:val="clear" w:color="auto" w:fill="auto"/>
                <w:lang w:eastAsia="zh-CN"/>
              </w:rPr>
              <w:t>，</w:t>
            </w:r>
            <w:r>
              <w:rPr>
                <w:rFonts w:hint="eastAsia" w:ascii="Times New Roman" w:hAnsi="Times New Roman" w:eastAsia="宋体" w:cs="Times New Roman"/>
                <w:color w:val="auto"/>
                <w:kern w:val="2"/>
                <w:sz w:val="24"/>
                <w:szCs w:val="24"/>
                <w:highlight w:val="none"/>
                <w:lang w:val="en-US" w:eastAsia="zh-CN" w:bidi="ar-SA"/>
              </w:rPr>
              <w:t>筛分</w:t>
            </w:r>
            <w:r>
              <w:rPr>
                <w:rFonts w:hint="default" w:ascii="Times New Roman" w:hAnsi="Times New Roman" w:eastAsia="宋体" w:cs="Times New Roman"/>
                <w:color w:val="auto"/>
                <w:kern w:val="2"/>
                <w:sz w:val="24"/>
                <w:szCs w:val="24"/>
                <w:highlight w:val="none"/>
                <w:lang w:val="en-US" w:eastAsia="zh-CN" w:bidi="ar-SA"/>
              </w:rPr>
              <w:t>粉尘产生系数为1.13kg/t-</w:t>
            </w:r>
            <w:r>
              <w:rPr>
                <w:rFonts w:hint="eastAsia" w:ascii="Times New Roman" w:hAnsi="Times New Roman" w:eastAsia="宋体" w:cs="Times New Roman"/>
                <w:color w:val="auto"/>
                <w:kern w:val="2"/>
                <w:sz w:val="24"/>
                <w:szCs w:val="24"/>
                <w:highlight w:val="none"/>
                <w:lang w:val="en-US" w:eastAsia="zh-CN" w:bidi="ar-SA"/>
              </w:rPr>
              <w:t>产品，</w:t>
            </w:r>
            <w:r>
              <w:rPr>
                <w:rFonts w:hint="eastAsia" w:cs="Times New Roman"/>
                <w:color w:val="auto"/>
                <w:kern w:val="2"/>
                <w:sz w:val="24"/>
                <w:szCs w:val="24"/>
                <w:highlight w:val="none"/>
                <w:lang w:val="en-US" w:eastAsia="zh-CN" w:bidi="ar-SA"/>
              </w:rPr>
              <w:t>雷蒙</w:t>
            </w:r>
            <w:r>
              <w:rPr>
                <w:rFonts w:hint="default" w:ascii="Times New Roman" w:hAnsi="Times New Roman" w:eastAsia="宋体" w:cs="Times New Roman"/>
                <w:color w:val="auto"/>
                <w:kern w:val="2"/>
                <w:sz w:val="24"/>
                <w:szCs w:val="24"/>
                <w:highlight w:val="none"/>
                <w:lang w:val="en-US" w:eastAsia="zh-CN" w:bidi="ar-SA"/>
              </w:rPr>
              <w:t>粉尘产生系数为1.</w:t>
            </w:r>
            <w:r>
              <w:rPr>
                <w:rFonts w:hint="eastAsia" w:ascii="Times New Roman" w:hAnsi="Times New Roman" w:eastAsia="宋体" w:cs="Times New Roman"/>
                <w:color w:val="auto"/>
                <w:kern w:val="2"/>
                <w:sz w:val="24"/>
                <w:szCs w:val="24"/>
                <w:highlight w:val="none"/>
                <w:lang w:val="en-US" w:eastAsia="zh-CN" w:bidi="ar-SA"/>
              </w:rPr>
              <w:t>17</w:t>
            </w:r>
            <w:r>
              <w:rPr>
                <w:rFonts w:hint="default" w:ascii="Times New Roman" w:hAnsi="Times New Roman" w:eastAsia="宋体" w:cs="Times New Roman"/>
                <w:color w:val="auto"/>
                <w:kern w:val="2"/>
                <w:sz w:val="24"/>
                <w:szCs w:val="24"/>
                <w:highlight w:val="none"/>
                <w:lang w:val="en-US" w:eastAsia="zh-CN" w:bidi="ar-SA"/>
              </w:rPr>
              <w:t>kg/t-</w:t>
            </w:r>
            <w:r>
              <w:rPr>
                <w:rFonts w:hint="eastAsia" w:ascii="Times New Roman" w:hAnsi="Times New Roman" w:eastAsia="宋体" w:cs="Times New Roman"/>
                <w:color w:val="auto"/>
                <w:kern w:val="2"/>
                <w:sz w:val="24"/>
                <w:szCs w:val="24"/>
                <w:highlight w:val="none"/>
                <w:lang w:val="en-US" w:eastAsia="zh-CN" w:bidi="ar-SA"/>
              </w:rPr>
              <w:t>产品</w:t>
            </w:r>
            <w:r>
              <w:rPr>
                <w:rFonts w:hint="default" w:ascii="Times New Roman" w:hAnsi="Times New Roman" w:eastAsia="宋体" w:cs="Times New Roman"/>
                <w:color w:val="auto"/>
                <w:sz w:val="24"/>
                <w:highlight w:val="none"/>
                <w:shd w:val="clear" w:color="auto" w:fill="auto"/>
              </w:rPr>
              <w:t>。</w:t>
            </w:r>
            <w:r>
              <w:rPr>
                <w:rFonts w:hint="eastAsia" w:cs="Times New Roman"/>
                <w:color w:val="auto"/>
                <w:sz w:val="24"/>
                <w:highlight w:val="none"/>
                <w:shd w:val="clear" w:color="auto" w:fill="auto"/>
                <w:lang w:eastAsia="zh-CN"/>
              </w:rPr>
              <w:t>卸料、</w:t>
            </w:r>
            <w:r>
              <w:rPr>
                <w:rFonts w:hint="eastAsia" w:ascii="Times New Roman" w:hAnsi="Times New Roman" w:eastAsia="宋体" w:cs="Times New Roman"/>
                <w:color w:val="auto"/>
                <w:sz w:val="24"/>
                <w:highlight w:val="none"/>
                <w:shd w:val="clear" w:color="auto" w:fill="auto"/>
                <w:lang w:eastAsia="zh-CN"/>
              </w:rPr>
              <w:t>上料，入仓等工序参照</w:t>
            </w:r>
            <w:r>
              <w:rPr>
                <w:rFonts w:hint="default" w:ascii="Times New Roman" w:hAnsi="Times New Roman" w:eastAsia="宋体" w:cs="Times New Roman"/>
                <w:color w:val="auto"/>
                <w:sz w:val="24"/>
                <w:highlight w:val="none"/>
                <w:shd w:val="clear" w:color="auto" w:fill="auto"/>
              </w:rPr>
              <w:t>《逸散性工业粉尘控制技术》（中国环境出版社，1989年）</w:t>
            </w:r>
            <w:r>
              <w:rPr>
                <w:rFonts w:hint="eastAsia"/>
                <w:color w:val="auto"/>
                <w:highlight w:val="none"/>
                <w:lang w:eastAsia="zh-CN"/>
              </w:rPr>
              <w:t>，</w:t>
            </w:r>
            <w:r>
              <w:rPr>
                <w:rFonts w:hint="default" w:ascii="Times New Roman" w:hAnsi="Times New Roman" w:eastAsia="宋体" w:cs="Times New Roman"/>
                <w:color w:val="auto"/>
                <w:sz w:val="24"/>
                <w:highlight w:val="none"/>
                <w:shd w:val="clear" w:color="auto" w:fill="auto"/>
              </w:rPr>
              <w:t>颗粒物的产生系数为：</w:t>
            </w:r>
            <w:r>
              <w:rPr>
                <w:rFonts w:hint="eastAsia" w:cs="Times New Roman"/>
                <w:color w:val="auto"/>
                <w:sz w:val="24"/>
                <w:highlight w:val="none"/>
                <w:shd w:val="clear" w:color="auto" w:fill="auto"/>
                <w:lang w:eastAsia="zh-CN"/>
              </w:rPr>
              <w:t>卸料</w:t>
            </w:r>
            <w:r>
              <w:rPr>
                <w:rFonts w:hint="default" w:ascii="Times New Roman" w:hAnsi="Times New Roman" w:eastAsia="宋体" w:cs="Times New Roman"/>
                <w:color w:val="auto"/>
                <w:sz w:val="24"/>
                <w:highlight w:val="none"/>
                <w:shd w:val="clear" w:color="auto" w:fill="auto"/>
              </w:rPr>
              <w:t>的粉尘产生系数为</w:t>
            </w:r>
            <w:r>
              <w:rPr>
                <w:rFonts w:hint="eastAsia" w:cs="Times New Roman"/>
                <w:color w:val="auto"/>
                <w:sz w:val="24"/>
                <w:highlight w:val="none"/>
                <w:shd w:val="clear" w:color="auto" w:fill="auto"/>
                <w:lang w:val="en-US" w:eastAsia="zh-CN"/>
              </w:rPr>
              <w:t>0.02kg/t原料；</w:t>
            </w:r>
            <w:r>
              <w:rPr>
                <w:rFonts w:hint="default" w:ascii="Times New Roman" w:hAnsi="Times New Roman" w:eastAsia="宋体" w:cs="Times New Roman"/>
                <w:color w:val="auto"/>
                <w:sz w:val="24"/>
                <w:highlight w:val="none"/>
                <w:shd w:val="clear" w:color="auto" w:fill="auto"/>
              </w:rPr>
              <w:t>上料的粉尘产生系数为0.0</w:t>
            </w:r>
            <w:r>
              <w:rPr>
                <w:rFonts w:hint="eastAsia" w:ascii="Times New Roman" w:hAnsi="Times New Roman" w:eastAsia="宋体" w:cs="Times New Roman"/>
                <w:color w:val="auto"/>
                <w:sz w:val="24"/>
                <w:highlight w:val="none"/>
                <w:shd w:val="clear" w:color="auto" w:fill="auto"/>
                <w:lang w:val="en-US" w:eastAsia="zh-CN"/>
              </w:rPr>
              <w:t>2</w:t>
            </w:r>
            <w:r>
              <w:rPr>
                <w:rFonts w:hint="default" w:ascii="Times New Roman" w:hAnsi="Times New Roman" w:eastAsia="宋体" w:cs="Times New Roman"/>
                <w:color w:val="auto"/>
                <w:sz w:val="24"/>
                <w:highlight w:val="none"/>
                <w:shd w:val="clear" w:color="auto" w:fill="auto"/>
              </w:rPr>
              <w:t>kg/t</w:t>
            </w:r>
            <w:r>
              <w:rPr>
                <w:rFonts w:hint="eastAsia" w:ascii="Calibri" w:hAnsi="Calibri" w:eastAsia="宋体" w:cs="Times New Roman"/>
                <w:color w:val="auto"/>
                <w:sz w:val="24"/>
                <w:szCs w:val="24"/>
                <w:highlight w:val="none"/>
                <w:lang w:val="en-US" w:eastAsia="zh-CN"/>
              </w:rPr>
              <w:t>原料</w:t>
            </w:r>
            <w:r>
              <w:rPr>
                <w:rFonts w:hint="default" w:ascii="Times New Roman" w:hAnsi="Times New Roman" w:eastAsia="宋体" w:cs="Times New Roman"/>
                <w:color w:val="auto"/>
                <w:sz w:val="24"/>
                <w:highlight w:val="none"/>
                <w:shd w:val="clear" w:color="auto" w:fill="auto"/>
              </w:rPr>
              <w:t>，</w:t>
            </w:r>
            <w:r>
              <w:rPr>
                <w:rFonts w:hint="eastAsia" w:ascii="Calibri" w:hAnsi="Calibri" w:eastAsia="宋体" w:cs="Times New Roman"/>
                <w:color w:val="auto"/>
                <w:sz w:val="24"/>
                <w:highlight w:val="none"/>
                <w:shd w:val="clear" w:color="auto" w:fill="auto"/>
                <w:lang w:eastAsia="zh-CN"/>
              </w:rPr>
              <w:t>中间仓入仓</w:t>
            </w:r>
            <w:r>
              <w:rPr>
                <w:rFonts w:hint="default" w:ascii="Times New Roman" w:hAnsi="Times New Roman" w:eastAsia="宋体" w:cs="Times New Roman"/>
                <w:color w:val="auto"/>
                <w:sz w:val="24"/>
                <w:highlight w:val="none"/>
                <w:shd w:val="clear" w:color="auto" w:fill="auto"/>
              </w:rPr>
              <w:t>的粉尘</w:t>
            </w:r>
            <w:r>
              <w:rPr>
                <w:rFonts w:hint="eastAsia" w:ascii="Times New Roman" w:hAnsi="Times New Roman" w:eastAsia="宋体" w:cs="Times New Roman"/>
                <w:color w:val="auto"/>
                <w:sz w:val="24"/>
                <w:highlight w:val="none"/>
                <w:shd w:val="clear" w:color="auto" w:fill="auto"/>
                <w:lang w:eastAsia="zh-CN"/>
              </w:rPr>
              <w:t>取</w:t>
            </w:r>
            <w:r>
              <w:rPr>
                <w:rFonts w:hint="eastAsia" w:ascii="Calibri" w:hAnsi="Calibri" w:eastAsia="宋体" w:cs="Times New Roman"/>
                <w:color w:val="auto"/>
                <w:sz w:val="24"/>
                <w:szCs w:val="24"/>
                <w:highlight w:val="none"/>
                <w:lang w:val="en-US" w:eastAsia="zh-CN"/>
              </w:rPr>
              <w:t>物料转运粉尘产生系数为0.15kg/t-原料</w:t>
            </w:r>
            <w:r>
              <w:rPr>
                <w:rFonts w:hint="eastAsia" w:ascii="Times New Roman" w:hAnsi="Times New Roman" w:eastAsia="宋体" w:cs="Times New Roman"/>
                <w:color w:val="auto"/>
                <w:sz w:val="24"/>
                <w:highlight w:val="none"/>
                <w:shd w:val="clear" w:color="auto" w:fill="auto"/>
                <w:lang w:eastAsia="zh-CN"/>
              </w:rPr>
              <w:t>，</w:t>
            </w:r>
            <w:r>
              <w:rPr>
                <w:rFonts w:hint="eastAsia" w:ascii="Calibri" w:hAnsi="Calibri" w:eastAsia="宋体" w:cs="Times New Roman"/>
                <w:color w:val="auto"/>
                <w:sz w:val="24"/>
                <w:highlight w:val="none"/>
                <w:shd w:val="clear" w:color="auto" w:fill="auto"/>
                <w:lang w:eastAsia="zh-CN"/>
              </w:rPr>
              <w:t>产品仓入仓</w:t>
            </w:r>
            <w:r>
              <w:rPr>
                <w:rFonts w:hint="default" w:ascii="Times New Roman" w:hAnsi="Times New Roman" w:eastAsia="宋体" w:cs="Times New Roman"/>
                <w:color w:val="auto"/>
                <w:sz w:val="24"/>
                <w:highlight w:val="none"/>
                <w:shd w:val="clear" w:color="auto" w:fill="auto"/>
              </w:rPr>
              <w:t>的粉尘</w:t>
            </w:r>
            <w:r>
              <w:rPr>
                <w:rFonts w:hint="eastAsia" w:ascii="Times New Roman" w:hAnsi="Times New Roman" w:eastAsia="宋体" w:cs="Times New Roman"/>
                <w:color w:val="auto"/>
                <w:sz w:val="24"/>
                <w:highlight w:val="none"/>
                <w:shd w:val="clear" w:color="auto" w:fill="auto"/>
                <w:lang w:eastAsia="zh-CN"/>
              </w:rPr>
              <w:t>取</w:t>
            </w:r>
            <w:r>
              <w:rPr>
                <w:rFonts w:hint="eastAsia" w:ascii="Calibri" w:hAnsi="Calibri" w:eastAsia="宋体" w:cs="Times New Roman"/>
                <w:color w:val="auto"/>
                <w:sz w:val="24"/>
                <w:szCs w:val="24"/>
                <w:highlight w:val="none"/>
                <w:lang w:val="en-US" w:eastAsia="zh-CN"/>
              </w:rPr>
              <w:t>物料转运粉尘产生系数为0.15kg/t-原料</w:t>
            </w:r>
            <w:r>
              <w:rPr>
                <w:rFonts w:hint="eastAsia" w:ascii="Times New Roman" w:hAnsi="Times New Roman" w:eastAsia="宋体" w:cs="Times New Roman"/>
                <w:color w:val="auto"/>
                <w:sz w:val="24"/>
                <w:highlight w:val="none"/>
                <w:shd w:val="clear" w:color="auto" w:fill="auto"/>
                <w:lang w:eastAsia="zh-CN"/>
              </w:rPr>
              <w:t>，</w:t>
            </w:r>
            <w:r>
              <w:rPr>
                <w:rFonts w:hint="eastAsia" w:cs="Times New Roman"/>
                <w:color w:val="auto"/>
                <w:sz w:val="24"/>
                <w:highlight w:val="none"/>
                <w:shd w:val="clear" w:color="auto" w:fill="auto"/>
                <w:lang w:eastAsia="zh-CN"/>
              </w:rPr>
              <w:t>本项目在产品仓出料口</w:t>
            </w:r>
            <w:r>
              <w:rPr>
                <w:rFonts w:hint="eastAsia" w:ascii="Times New Roman" w:hAnsi="Times New Roman" w:eastAsia="宋体" w:cs="Times New Roman"/>
                <w:color w:val="auto"/>
                <w:sz w:val="24"/>
                <w:highlight w:val="none"/>
                <w:shd w:val="clear" w:color="auto" w:fill="auto"/>
                <w:lang w:val="en-US" w:eastAsia="zh-CN"/>
              </w:rPr>
              <w:t>包装，包装工序</w:t>
            </w:r>
            <w:r>
              <w:rPr>
                <w:rFonts w:hint="default" w:ascii="Times New Roman" w:hAnsi="Times New Roman" w:eastAsia="宋体" w:cs="Times New Roman"/>
                <w:color w:val="auto"/>
                <w:sz w:val="24"/>
                <w:highlight w:val="none"/>
                <w:shd w:val="clear" w:color="auto" w:fill="auto"/>
              </w:rPr>
              <w:t>粉尘产生系数</w:t>
            </w:r>
            <w:r>
              <w:rPr>
                <w:rFonts w:hint="eastAsia" w:cs="Times New Roman"/>
                <w:color w:val="auto"/>
                <w:sz w:val="24"/>
                <w:highlight w:val="none"/>
                <w:shd w:val="clear" w:color="auto" w:fill="auto"/>
                <w:lang w:eastAsia="zh-CN"/>
              </w:rPr>
              <w:t>参照出料系数，取</w:t>
            </w:r>
            <w:r>
              <w:rPr>
                <w:rFonts w:hint="default" w:ascii="Times New Roman" w:hAnsi="Times New Roman" w:eastAsia="宋体" w:cs="Times New Roman"/>
                <w:color w:val="auto"/>
                <w:sz w:val="24"/>
                <w:highlight w:val="none"/>
                <w:shd w:val="clear" w:color="auto" w:fill="auto"/>
              </w:rPr>
              <w:t>0.</w:t>
            </w:r>
            <w:r>
              <w:rPr>
                <w:rFonts w:hint="eastAsia" w:ascii="Times New Roman" w:hAnsi="Times New Roman" w:eastAsia="宋体" w:cs="Times New Roman"/>
                <w:color w:val="auto"/>
                <w:sz w:val="24"/>
                <w:highlight w:val="none"/>
                <w:shd w:val="clear" w:color="auto" w:fill="auto"/>
                <w:lang w:val="en-US" w:eastAsia="zh-CN"/>
              </w:rPr>
              <w:t>00115</w:t>
            </w:r>
            <w:r>
              <w:rPr>
                <w:rFonts w:hint="default" w:ascii="Times New Roman" w:hAnsi="Times New Roman" w:eastAsia="宋体" w:cs="Times New Roman"/>
                <w:color w:val="auto"/>
                <w:sz w:val="24"/>
                <w:highlight w:val="none"/>
                <w:shd w:val="clear" w:color="auto" w:fill="auto"/>
              </w:rPr>
              <w:t>kg/t</w:t>
            </w:r>
            <w:r>
              <w:rPr>
                <w:rFonts w:hint="eastAsia" w:ascii="Times New Roman" w:hAnsi="Times New Roman" w:eastAsia="宋体" w:cs="Times New Roman"/>
                <w:color w:val="auto"/>
                <w:kern w:val="2"/>
                <w:sz w:val="24"/>
                <w:szCs w:val="24"/>
                <w:highlight w:val="none"/>
                <w:lang w:val="en-US" w:eastAsia="zh-CN" w:bidi="ar-SA"/>
              </w:rPr>
              <w:t>产品</w:t>
            </w:r>
            <w:r>
              <w:rPr>
                <w:rFonts w:hint="eastAsia" w:ascii="Times New Roman" w:hAnsi="Times New Roman" w:eastAsia="宋体" w:cs="Times New Roman"/>
                <w:color w:val="auto"/>
                <w:sz w:val="24"/>
                <w:highlight w:val="none"/>
                <w:shd w:val="clear" w:color="auto" w:fill="auto"/>
                <w:lang w:eastAsia="zh-CN"/>
              </w:rPr>
              <w:t>。</w:t>
            </w:r>
          </w:p>
          <w:p w14:paraId="4AA247AB">
            <w:pPr>
              <w:pStyle w:val="16"/>
              <w:keepNext w:val="0"/>
              <w:keepLines w:val="0"/>
              <w:suppressLineNumbers w:val="0"/>
              <w:spacing w:before="0" w:beforeAutospacing="0" w:after="0" w:afterAutospacing="0"/>
              <w:ind w:left="0" w:right="0"/>
              <w:rPr>
                <w:rFonts w:hint="eastAsia" w:ascii="Calibri" w:hAnsi="Calibri" w:eastAsia="宋体" w:cs="Times New Roman"/>
                <w:color w:val="auto"/>
                <w:sz w:val="24"/>
                <w:highlight w:val="none"/>
                <w:shd w:val="clear" w:color="auto" w:fill="auto"/>
                <w:lang w:val="en-US" w:eastAsia="zh-CN"/>
              </w:rPr>
            </w:pPr>
            <w:r>
              <w:rPr>
                <w:rFonts w:hint="eastAsia" w:ascii="Calibri" w:hAnsi="Calibri" w:cs="Times New Roman"/>
                <w:color w:val="auto"/>
                <w:sz w:val="24"/>
                <w:highlight w:val="none"/>
                <w:shd w:val="clear" w:color="auto" w:fill="auto"/>
                <w:lang w:val="en-US" w:eastAsia="zh-CN"/>
              </w:rPr>
              <w:t>1#原料库房</w:t>
            </w:r>
            <w:r>
              <w:rPr>
                <w:rFonts w:hint="eastAsia" w:ascii="Calibri" w:hAnsi="Calibri" w:cs="Times New Roman"/>
                <w:color w:val="auto"/>
                <w:sz w:val="24"/>
                <w:highlight w:val="none"/>
                <w:shd w:val="clear" w:color="auto" w:fill="auto"/>
                <w:lang w:eastAsia="zh-CN"/>
              </w:rPr>
              <w:t>卸料、1#生产线</w:t>
            </w:r>
            <w:r>
              <w:rPr>
                <w:rFonts w:hint="eastAsia" w:ascii="Times New Roman" w:hAnsi="Times New Roman" w:eastAsia="宋体" w:cs="Times New Roman"/>
                <w:color w:val="auto"/>
                <w:highlight w:val="none"/>
                <w:shd w:val="clear" w:color="auto" w:fill="auto"/>
                <w:lang w:val="en-US" w:eastAsia="zh-CN"/>
              </w:rPr>
              <w:t>上料</w:t>
            </w:r>
            <w:r>
              <w:rPr>
                <w:rFonts w:hint="eastAsia" w:cs="Times New Roman"/>
                <w:color w:val="auto"/>
                <w:highlight w:val="none"/>
                <w:shd w:val="clear" w:color="auto" w:fill="auto"/>
                <w:lang w:val="en-US" w:eastAsia="zh-CN"/>
              </w:rPr>
              <w:t>；2#生产线上料、颚破</w:t>
            </w:r>
            <w:r>
              <w:rPr>
                <w:rFonts w:hint="eastAsia" w:ascii="Times New Roman" w:hAnsi="Times New Roman" w:eastAsia="宋体" w:cs="Times New Roman"/>
                <w:color w:val="auto"/>
                <w:highlight w:val="none"/>
                <w:shd w:val="clear" w:color="auto" w:fill="auto"/>
                <w:lang w:val="en-US" w:eastAsia="zh-CN"/>
              </w:rPr>
              <w:t>、</w:t>
            </w:r>
            <w:r>
              <w:rPr>
                <w:rFonts w:hint="eastAsia" w:cs="Times New Roman"/>
                <w:color w:val="auto"/>
                <w:highlight w:val="none"/>
                <w:shd w:val="clear" w:color="auto" w:fill="auto"/>
                <w:lang w:val="en-US" w:eastAsia="zh-CN"/>
              </w:rPr>
              <w:t>中间仓</w:t>
            </w:r>
            <w:r>
              <w:rPr>
                <w:rFonts w:hint="eastAsia" w:ascii="Times New Roman" w:hAnsi="Times New Roman" w:eastAsia="宋体" w:cs="Times New Roman"/>
                <w:color w:val="auto"/>
                <w:sz w:val="24"/>
                <w:highlight w:val="none"/>
                <w:shd w:val="clear" w:color="auto" w:fill="auto"/>
                <w:lang w:eastAsia="zh-CN"/>
              </w:rPr>
              <w:t>入仓</w:t>
            </w:r>
            <w:r>
              <w:rPr>
                <w:rFonts w:hint="eastAsia" w:cs="Times New Roman"/>
                <w:color w:val="auto"/>
                <w:highlight w:val="none"/>
                <w:shd w:val="clear" w:color="auto" w:fill="auto"/>
                <w:lang w:val="en-US" w:eastAsia="zh-CN"/>
              </w:rPr>
              <w:t>、锤破</w:t>
            </w:r>
            <w:r>
              <w:rPr>
                <w:rFonts w:hint="eastAsia" w:ascii="Times New Roman" w:hAnsi="Times New Roman" w:eastAsia="宋体" w:cs="Times New Roman"/>
                <w:color w:val="auto"/>
                <w:highlight w:val="none"/>
                <w:shd w:val="clear" w:color="auto" w:fill="auto"/>
                <w:lang w:val="en-US" w:eastAsia="zh-CN"/>
              </w:rPr>
              <w:t>、筛选</w:t>
            </w:r>
            <w:r>
              <w:rPr>
                <w:rFonts w:hint="eastAsia" w:cs="Times New Roman"/>
                <w:color w:val="auto"/>
                <w:highlight w:val="none"/>
                <w:shd w:val="clear" w:color="auto" w:fill="auto"/>
                <w:lang w:val="en-US" w:eastAsia="zh-CN"/>
              </w:rPr>
              <w:t>、产品仓</w:t>
            </w:r>
            <w:r>
              <w:rPr>
                <w:rFonts w:hint="eastAsia" w:ascii="Times New Roman" w:hAnsi="Times New Roman" w:eastAsia="宋体" w:cs="Times New Roman"/>
                <w:color w:val="auto"/>
                <w:sz w:val="24"/>
                <w:highlight w:val="none"/>
                <w:shd w:val="clear" w:color="auto" w:fill="auto"/>
                <w:lang w:eastAsia="zh-CN"/>
              </w:rPr>
              <w:t>入仓</w:t>
            </w:r>
            <w:r>
              <w:rPr>
                <w:rFonts w:hint="eastAsia" w:cs="Times New Roman"/>
                <w:color w:val="auto"/>
                <w:highlight w:val="none"/>
                <w:shd w:val="clear" w:color="auto" w:fill="auto"/>
                <w:lang w:val="en-US" w:eastAsia="zh-CN"/>
              </w:rPr>
              <w:t>、包装</w:t>
            </w:r>
            <w:r>
              <w:rPr>
                <w:rFonts w:hint="eastAsia" w:ascii="Times New Roman" w:hAnsi="Times New Roman" w:eastAsia="宋体" w:cs="Times New Roman"/>
                <w:color w:val="auto"/>
                <w:highlight w:val="none"/>
                <w:shd w:val="clear" w:color="auto" w:fill="auto"/>
                <w:lang w:val="en-US" w:eastAsia="zh-CN"/>
              </w:rPr>
              <w:t>工序产生的颗粒物</w:t>
            </w:r>
            <w:r>
              <w:rPr>
                <w:rFonts w:hint="eastAsia" w:cs="Times New Roman"/>
                <w:color w:val="auto"/>
                <w:highlight w:val="none"/>
                <w:shd w:val="clear" w:color="auto" w:fill="auto"/>
                <w:lang w:val="en-US" w:eastAsia="zh-CN"/>
              </w:rPr>
              <w:t>经集气罩收集后</w:t>
            </w:r>
            <w:r>
              <w:rPr>
                <w:rFonts w:hint="eastAsia" w:ascii="Times New Roman" w:hAnsi="Times New Roman" w:eastAsia="宋体" w:cs="Times New Roman"/>
                <w:color w:val="auto"/>
                <w:highlight w:val="none"/>
                <w:shd w:val="clear" w:color="auto" w:fill="auto"/>
                <w:lang w:val="en-US" w:eastAsia="zh-CN"/>
              </w:rPr>
              <w:t>由布袋除尘器</w:t>
            </w:r>
            <w:r>
              <w:rPr>
                <w:rFonts w:hint="eastAsia" w:cs="Times New Roman"/>
                <w:color w:val="auto"/>
                <w:highlight w:val="none"/>
                <w:shd w:val="clear" w:color="auto" w:fill="auto"/>
                <w:lang w:val="en-US" w:eastAsia="zh-CN"/>
              </w:rPr>
              <w:t>TA001</w:t>
            </w:r>
            <w:r>
              <w:rPr>
                <w:rFonts w:hint="eastAsia" w:ascii="Times New Roman" w:hAnsi="Times New Roman" w:eastAsia="宋体" w:cs="Times New Roman"/>
                <w:color w:val="auto"/>
                <w:highlight w:val="none"/>
                <w:shd w:val="clear" w:color="auto" w:fill="auto"/>
                <w:lang w:val="en-US" w:eastAsia="zh-CN"/>
              </w:rPr>
              <w:t>净化，</w:t>
            </w:r>
            <w:r>
              <w:rPr>
                <w:rFonts w:hint="default" w:ascii="Times New Roman" w:hAnsi="Times New Roman" w:eastAsia="宋体" w:cs="Times New Roman"/>
                <w:color w:val="auto"/>
                <w:sz w:val="24"/>
                <w:highlight w:val="none"/>
                <w:shd w:val="clear" w:color="auto" w:fill="auto"/>
                <w:lang w:val="en-US" w:eastAsia="zh-CN"/>
              </w:rPr>
              <w:t>雷蒙</w:t>
            </w:r>
            <w:r>
              <w:rPr>
                <w:rFonts w:hint="eastAsia" w:cs="Times New Roman"/>
                <w:color w:val="auto"/>
                <w:highlight w:val="none"/>
                <w:shd w:val="clear" w:color="auto" w:fill="auto"/>
                <w:lang w:val="en-US" w:eastAsia="zh-CN"/>
              </w:rPr>
              <w:t>产生的废气经由自带布袋除尘器TA002净化。经各自除尘器</w:t>
            </w:r>
            <w:r>
              <w:rPr>
                <w:rFonts w:hint="eastAsia" w:ascii="Times New Roman" w:hAnsi="Times New Roman" w:eastAsia="宋体" w:cs="Times New Roman"/>
                <w:color w:val="auto"/>
                <w:highlight w:val="none"/>
                <w:shd w:val="clear" w:color="auto" w:fill="auto"/>
                <w:lang w:val="en-US" w:eastAsia="zh-CN"/>
              </w:rPr>
              <w:t>净化后的废气由1根15m高排气筒</w:t>
            </w:r>
            <w:r>
              <w:rPr>
                <w:rFonts w:hint="eastAsia" w:cs="Times New Roman"/>
                <w:color w:val="auto"/>
                <w:highlight w:val="none"/>
                <w:shd w:val="clear" w:color="auto" w:fill="auto"/>
                <w:lang w:val="en-US" w:eastAsia="zh-CN"/>
              </w:rPr>
              <w:t>DA001</w:t>
            </w:r>
            <w:r>
              <w:rPr>
                <w:rFonts w:hint="eastAsia" w:ascii="Times New Roman" w:hAnsi="Times New Roman" w:eastAsia="宋体" w:cs="Times New Roman"/>
                <w:color w:val="auto"/>
                <w:highlight w:val="none"/>
                <w:shd w:val="clear" w:color="auto" w:fill="auto"/>
                <w:lang w:val="en-US" w:eastAsia="zh-CN"/>
              </w:rPr>
              <w:t>有组织排放；</w:t>
            </w:r>
            <w:r>
              <w:rPr>
                <w:rFonts w:hint="eastAsia" w:ascii="Calibri" w:hAnsi="Calibri" w:cs="Times New Roman"/>
                <w:color w:val="auto"/>
                <w:sz w:val="24"/>
                <w:highlight w:val="none"/>
                <w:shd w:val="clear" w:color="auto" w:fill="auto"/>
                <w:lang w:eastAsia="zh-CN"/>
              </w:rPr>
              <w:t>本项目在卸料、</w:t>
            </w:r>
            <w:r>
              <w:rPr>
                <w:rFonts w:hint="eastAsia" w:ascii="Times New Roman" w:hAnsi="Times New Roman" w:eastAsia="宋体" w:cs="Times New Roman"/>
                <w:color w:val="auto"/>
                <w:highlight w:val="none"/>
                <w:shd w:val="clear" w:color="auto" w:fill="auto"/>
                <w:lang w:val="en-US" w:eastAsia="zh-CN"/>
              </w:rPr>
              <w:t>上料、</w:t>
            </w:r>
            <w:r>
              <w:rPr>
                <w:rFonts w:hint="eastAsia" w:cs="Times New Roman"/>
                <w:color w:val="auto"/>
                <w:highlight w:val="none"/>
                <w:shd w:val="clear" w:color="auto" w:fill="auto"/>
                <w:lang w:val="en-US" w:eastAsia="zh-CN"/>
              </w:rPr>
              <w:t>颚破</w:t>
            </w:r>
            <w:r>
              <w:rPr>
                <w:rFonts w:hint="eastAsia" w:ascii="Times New Roman" w:hAnsi="Times New Roman" w:eastAsia="宋体" w:cs="Times New Roman"/>
                <w:color w:val="auto"/>
                <w:highlight w:val="none"/>
                <w:shd w:val="clear" w:color="auto" w:fill="auto"/>
                <w:lang w:val="en-US" w:eastAsia="zh-CN"/>
              </w:rPr>
              <w:t>、</w:t>
            </w:r>
            <w:r>
              <w:rPr>
                <w:rFonts w:hint="eastAsia" w:cs="Times New Roman"/>
                <w:color w:val="auto"/>
                <w:highlight w:val="none"/>
                <w:shd w:val="clear" w:color="auto" w:fill="auto"/>
                <w:lang w:val="en-US" w:eastAsia="zh-CN"/>
              </w:rPr>
              <w:t>中间仓</w:t>
            </w:r>
            <w:r>
              <w:rPr>
                <w:rFonts w:hint="eastAsia" w:ascii="Times New Roman" w:hAnsi="Times New Roman" w:eastAsia="宋体" w:cs="Times New Roman"/>
                <w:color w:val="auto"/>
                <w:sz w:val="24"/>
                <w:highlight w:val="none"/>
                <w:shd w:val="clear" w:color="auto" w:fill="auto"/>
                <w:lang w:eastAsia="zh-CN"/>
              </w:rPr>
              <w:t>入仓</w:t>
            </w:r>
            <w:r>
              <w:rPr>
                <w:rFonts w:hint="eastAsia" w:cs="Times New Roman"/>
                <w:color w:val="auto"/>
                <w:sz w:val="24"/>
                <w:highlight w:val="none"/>
                <w:shd w:val="clear" w:color="auto" w:fill="auto"/>
                <w:lang w:val="en-US" w:eastAsia="zh-CN"/>
              </w:rPr>
              <w:t>/</w:t>
            </w:r>
            <w:r>
              <w:rPr>
                <w:rFonts w:hint="eastAsia" w:cs="Times New Roman"/>
                <w:color w:val="auto"/>
                <w:highlight w:val="none"/>
                <w:shd w:val="clear" w:color="auto" w:fill="auto"/>
                <w:lang w:val="en-US" w:eastAsia="zh-CN"/>
              </w:rPr>
              <w:t>锤破</w:t>
            </w:r>
            <w:r>
              <w:rPr>
                <w:rFonts w:hint="eastAsia" w:ascii="Times New Roman" w:hAnsi="Times New Roman" w:eastAsia="宋体" w:cs="Times New Roman"/>
                <w:color w:val="auto"/>
                <w:highlight w:val="none"/>
                <w:shd w:val="clear" w:color="auto" w:fill="auto"/>
                <w:lang w:val="en-US" w:eastAsia="zh-CN"/>
              </w:rPr>
              <w:t>、筛选</w:t>
            </w:r>
            <w:r>
              <w:rPr>
                <w:rFonts w:hint="eastAsia" w:cs="Times New Roman"/>
                <w:color w:val="auto"/>
                <w:highlight w:val="none"/>
                <w:shd w:val="clear" w:color="auto" w:fill="auto"/>
                <w:lang w:val="en-US" w:eastAsia="zh-CN"/>
              </w:rPr>
              <w:t>、产品仓</w:t>
            </w:r>
            <w:r>
              <w:rPr>
                <w:rFonts w:hint="eastAsia" w:ascii="Times New Roman" w:hAnsi="Times New Roman" w:eastAsia="宋体" w:cs="Times New Roman"/>
                <w:color w:val="auto"/>
                <w:sz w:val="24"/>
                <w:highlight w:val="none"/>
                <w:shd w:val="clear" w:color="auto" w:fill="auto"/>
                <w:lang w:eastAsia="zh-CN"/>
              </w:rPr>
              <w:t>入仓</w:t>
            </w:r>
            <w:r>
              <w:rPr>
                <w:rFonts w:hint="eastAsia" w:cs="Times New Roman"/>
                <w:color w:val="auto"/>
                <w:highlight w:val="none"/>
                <w:shd w:val="clear" w:color="auto" w:fill="auto"/>
                <w:lang w:val="en-US" w:eastAsia="zh-CN"/>
              </w:rPr>
              <w:t>、包装</w:t>
            </w:r>
            <w:r>
              <w:rPr>
                <w:rFonts w:hint="eastAsia" w:ascii="Times New Roman" w:hAnsi="Times New Roman" w:eastAsia="宋体" w:cs="Times New Roman"/>
                <w:color w:val="auto"/>
                <w:highlight w:val="none"/>
                <w:shd w:val="clear" w:color="auto" w:fill="auto"/>
                <w:lang w:val="en-US" w:eastAsia="zh-CN"/>
              </w:rPr>
              <w:t>工序</w:t>
            </w:r>
            <w:r>
              <w:rPr>
                <w:rFonts w:hint="eastAsia" w:ascii="Calibri" w:hAnsi="Calibri" w:cs="Times New Roman"/>
                <w:color w:val="auto"/>
                <w:sz w:val="24"/>
                <w:highlight w:val="none"/>
                <w:shd w:val="clear" w:color="auto" w:fill="auto"/>
                <w:lang w:eastAsia="zh-CN"/>
              </w:rPr>
              <w:t>产尘点上方各设一个集气罩，共</w:t>
            </w:r>
            <w:r>
              <w:rPr>
                <w:rFonts w:hint="eastAsia" w:ascii="Calibri" w:hAnsi="Calibri" w:cs="Times New Roman"/>
                <w:color w:val="auto"/>
                <w:sz w:val="24"/>
                <w:highlight w:val="none"/>
                <w:shd w:val="clear" w:color="auto" w:fill="auto"/>
                <w:lang w:val="en-US" w:eastAsia="zh-CN"/>
              </w:rPr>
              <w:t>9个</w:t>
            </w:r>
            <w:r>
              <w:rPr>
                <w:rFonts w:hint="eastAsia" w:ascii="Calibri" w:hAnsi="Calibri" w:eastAsia="宋体" w:cs="Times New Roman"/>
                <w:color w:val="auto"/>
                <w:sz w:val="24"/>
                <w:highlight w:val="none"/>
                <w:shd w:val="clear" w:color="auto" w:fill="auto"/>
                <w:lang w:eastAsia="zh-CN"/>
              </w:rPr>
              <w:t>，</w:t>
            </w:r>
            <w:r>
              <w:rPr>
                <w:rFonts w:hint="eastAsia" w:ascii="Calibri" w:hAnsi="Calibri" w:cs="Times New Roman"/>
                <w:color w:val="auto"/>
                <w:sz w:val="24"/>
                <w:highlight w:val="none"/>
                <w:shd w:val="clear" w:color="auto" w:fill="auto"/>
                <w:lang w:eastAsia="zh-CN"/>
              </w:rPr>
              <w:t>负压收集废气，</w:t>
            </w:r>
            <w:r>
              <w:rPr>
                <w:rFonts w:ascii="Calibri" w:hAnsi="Calibri" w:eastAsia="宋体" w:cs="Times New Roman"/>
                <w:color w:val="auto"/>
                <w:sz w:val="24"/>
                <w:highlight w:val="none"/>
                <w:shd w:val="clear" w:color="auto" w:fill="auto"/>
              </w:rPr>
              <w:t>集气罩</w:t>
            </w:r>
            <w:r>
              <w:rPr>
                <w:rFonts w:hint="eastAsia" w:ascii="Calibri" w:hAnsi="Calibri" w:eastAsia="宋体" w:cs="Times New Roman"/>
                <w:color w:val="auto"/>
                <w:sz w:val="24"/>
                <w:highlight w:val="none"/>
                <w:shd w:val="clear" w:color="auto" w:fill="auto"/>
                <w:lang w:eastAsia="zh-CN"/>
              </w:rPr>
              <w:t>的</w:t>
            </w:r>
            <w:r>
              <w:rPr>
                <w:rFonts w:ascii="Calibri" w:hAnsi="Calibri" w:eastAsia="宋体" w:cs="Times New Roman"/>
                <w:color w:val="auto"/>
                <w:sz w:val="24"/>
                <w:highlight w:val="none"/>
                <w:shd w:val="clear" w:color="auto" w:fill="auto"/>
              </w:rPr>
              <w:t>捕集率为</w:t>
            </w:r>
            <w:r>
              <w:rPr>
                <w:rFonts w:hint="eastAsia" w:ascii="Calibri" w:hAnsi="Calibri" w:cs="Times New Roman"/>
                <w:color w:val="auto"/>
                <w:sz w:val="24"/>
                <w:highlight w:val="none"/>
                <w:shd w:val="clear" w:color="auto" w:fill="auto"/>
                <w:lang w:val="en-US" w:eastAsia="zh-CN"/>
              </w:rPr>
              <w:t>8</w:t>
            </w:r>
            <w:r>
              <w:rPr>
                <w:rFonts w:hint="eastAsia" w:ascii="Calibri" w:hAnsi="Calibri" w:eastAsia="宋体" w:cs="Times New Roman"/>
                <w:color w:val="auto"/>
                <w:sz w:val="24"/>
                <w:highlight w:val="none"/>
                <w:shd w:val="clear" w:color="auto" w:fill="auto"/>
              </w:rPr>
              <w:t>0</w:t>
            </w:r>
            <w:r>
              <w:rPr>
                <w:rFonts w:ascii="Calibri" w:hAnsi="Calibri" w:eastAsia="宋体" w:cs="Times New Roman"/>
                <w:color w:val="auto"/>
                <w:sz w:val="24"/>
                <w:highlight w:val="none"/>
                <w:shd w:val="clear" w:color="auto" w:fill="auto"/>
              </w:rPr>
              <w:t>%</w:t>
            </w:r>
            <w:r>
              <w:rPr>
                <w:rFonts w:hint="eastAsia" w:ascii="Calibri" w:hAnsi="Calibri" w:eastAsia="宋体" w:cs="Times New Roman"/>
                <w:color w:val="auto"/>
                <w:sz w:val="24"/>
                <w:highlight w:val="none"/>
                <w:shd w:val="clear" w:color="auto" w:fill="auto"/>
                <w:lang w:eastAsia="zh-CN"/>
              </w:rPr>
              <w:t>，</w:t>
            </w:r>
            <w:r>
              <w:rPr>
                <w:rFonts w:hint="eastAsia" w:ascii="Calibri" w:hAnsi="Calibri" w:cs="Times New Roman"/>
                <w:color w:val="auto"/>
                <w:sz w:val="24"/>
                <w:highlight w:val="none"/>
                <w:shd w:val="clear" w:color="auto" w:fill="auto"/>
                <w:lang w:eastAsia="zh-CN"/>
              </w:rPr>
              <w:t>收集后的废气经布袋除尘器</w:t>
            </w:r>
            <w:r>
              <w:rPr>
                <w:rFonts w:hint="eastAsia" w:ascii="Calibri" w:hAnsi="Calibri" w:cs="Times New Roman"/>
                <w:color w:val="auto"/>
                <w:sz w:val="24"/>
                <w:highlight w:val="none"/>
                <w:shd w:val="clear" w:color="auto" w:fill="auto"/>
                <w:lang w:val="en-US" w:eastAsia="zh-CN"/>
              </w:rPr>
              <w:t>TA001</w:t>
            </w:r>
            <w:r>
              <w:rPr>
                <w:rFonts w:hint="eastAsia" w:ascii="Calibri" w:hAnsi="Calibri" w:cs="Times New Roman"/>
                <w:color w:val="auto"/>
                <w:sz w:val="24"/>
                <w:highlight w:val="none"/>
                <w:shd w:val="clear" w:color="auto" w:fill="auto"/>
                <w:lang w:eastAsia="zh-CN"/>
              </w:rPr>
              <w:t>处理，布袋除尘器</w:t>
            </w:r>
            <w:r>
              <w:rPr>
                <w:rFonts w:ascii="Calibri" w:hAnsi="Calibri" w:eastAsia="宋体" w:cs="Times New Roman"/>
                <w:color w:val="auto"/>
                <w:sz w:val="24"/>
                <w:highlight w:val="none"/>
                <w:shd w:val="clear" w:color="auto" w:fill="auto"/>
              </w:rPr>
              <w:t>除尘效率为9</w:t>
            </w:r>
            <w:r>
              <w:rPr>
                <w:rFonts w:hint="eastAsia" w:ascii="Calibri" w:hAnsi="Calibri" w:eastAsia="宋体" w:cs="Times New Roman"/>
                <w:color w:val="auto"/>
                <w:sz w:val="24"/>
                <w:highlight w:val="none"/>
                <w:shd w:val="clear" w:color="auto" w:fill="auto"/>
                <w:lang w:val="en-US" w:eastAsia="zh-CN"/>
              </w:rPr>
              <w:t>9</w:t>
            </w:r>
            <w:r>
              <w:rPr>
                <w:rFonts w:hint="eastAsia" w:ascii="Calibri" w:hAnsi="Calibri" w:cs="Times New Roman"/>
                <w:color w:val="auto"/>
                <w:sz w:val="24"/>
                <w:highlight w:val="none"/>
                <w:shd w:val="clear" w:color="auto" w:fill="auto"/>
                <w:lang w:val="en-US" w:eastAsia="zh-CN"/>
              </w:rPr>
              <w:t>.5</w:t>
            </w:r>
            <w:r>
              <w:rPr>
                <w:rFonts w:ascii="Calibri" w:hAnsi="Calibri" w:eastAsia="宋体" w:cs="Times New Roman"/>
                <w:color w:val="auto"/>
                <w:sz w:val="24"/>
                <w:highlight w:val="none"/>
                <w:shd w:val="clear" w:color="auto" w:fill="auto"/>
              </w:rPr>
              <w:t>%，</w:t>
            </w:r>
            <w:r>
              <w:rPr>
                <w:rFonts w:hint="eastAsia" w:ascii="Calibri" w:hAnsi="Calibri" w:eastAsia="宋体" w:cs="Times New Roman"/>
                <w:color w:val="auto"/>
                <w:sz w:val="24"/>
                <w:szCs w:val="24"/>
                <w:highlight w:val="none"/>
                <w:shd w:val="clear" w:color="auto" w:fill="auto"/>
                <w:lang w:val="en-US" w:eastAsia="zh-CN"/>
              </w:rPr>
              <w:t>风机风量为</w:t>
            </w:r>
            <w:r>
              <w:rPr>
                <w:rFonts w:hint="eastAsia" w:ascii="Calibri" w:hAnsi="Calibri" w:cs="Times New Roman"/>
                <w:color w:val="auto"/>
                <w:sz w:val="24"/>
                <w:szCs w:val="24"/>
                <w:highlight w:val="none"/>
                <w:shd w:val="clear" w:color="auto" w:fill="auto"/>
                <w:lang w:val="en-US" w:eastAsia="zh-CN"/>
              </w:rPr>
              <w:t>20</w:t>
            </w:r>
            <w:r>
              <w:rPr>
                <w:rFonts w:hint="eastAsia" w:ascii="Calibri" w:hAnsi="Calibri" w:eastAsia="宋体" w:cs="Times New Roman"/>
                <w:color w:val="auto"/>
                <w:sz w:val="24"/>
                <w:szCs w:val="24"/>
                <w:highlight w:val="none"/>
                <w:shd w:val="clear" w:color="auto" w:fill="auto"/>
                <w:lang w:val="en-US" w:eastAsia="zh-CN"/>
              </w:rPr>
              <w:t>000m</w:t>
            </w:r>
            <w:r>
              <w:rPr>
                <w:rFonts w:hint="eastAsia" w:ascii="Calibri" w:hAnsi="Calibri" w:eastAsia="宋体" w:cs="Times New Roman"/>
                <w:color w:val="auto"/>
                <w:sz w:val="24"/>
                <w:szCs w:val="24"/>
                <w:highlight w:val="none"/>
                <w:shd w:val="clear" w:color="auto" w:fill="auto"/>
                <w:vertAlign w:val="superscript"/>
                <w:lang w:val="en-US" w:eastAsia="zh-CN"/>
              </w:rPr>
              <w:t>3</w:t>
            </w:r>
            <w:r>
              <w:rPr>
                <w:rFonts w:hint="eastAsia" w:ascii="Calibri" w:hAnsi="Calibri" w:eastAsia="宋体" w:cs="Times New Roman"/>
                <w:color w:val="auto"/>
                <w:sz w:val="24"/>
                <w:szCs w:val="24"/>
                <w:highlight w:val="none"/>
                <w:shd w:val="clear" w:color="auto" w:fill="auto"/>
                <w:lang w:val="en-US" w:eastAsia="zh-CN"/>
              </w:rPr>
              <w:t>/h</w:t>
            </w:r>
            <w:r>
              <w:rPr>
                <w:rFonts w:hint="eastAsia" w:ascii="Calibri" w:hAnsi="Calibri" w:cs="Times New Roman"/>
                <w:color w:val="auto"/>
                <w:sz w:val="24"/>
                <w:highlight w:val="none"/>
                <w:shd w:val="clear" w:color="auto" w:fill="auto"/>
                <w:lang w:eastAsia="zh-CN"/>
              </w:rPr>
              <w:t>；</w:t>
            </w:r>
            <w:r>
              <w:rPr>
                <w:rFonts w:hint="default" w:ascii="Times New Roman" w:hAnsi="Times New Roman" w:eastAsia="宋体" w:cs="Times New Roman"/>
                <w:color w:val="auto"/>
                <w:sz w:val="24"/>
                <w:highlight w:val="none"/>
                <w:shd w:val="clear" w:color="auto" w:fill="auto"/>
                <w:lang w:val="en-US" w:eastAsia="zh-CN"/>
              </w:rPr>
              <w:t>雷蒙</w:t>
            </w:r>
            <w:r>
              <w:rPr>
                <w:rFonts w:hint="eastAsia" w:ascii="Calibri" w:hAnsi="Calibri" w:cs="Times New Roman"/>
                <w:color w:val="auto"/>
                <w:sz w:val="24"/>
                <w:highlight w:val="none"/>
                <w:shd w:val="clear" w:color="auto" w:fill="auto"/>
                <w:lang w:eastAsia="zh-CN"/>
              </w:rPr>
              <w:t>工序捕集率为</w:t>
            </w:r>
            <w:r>
              <w:rPr>
                <w:rFonts w:hint="eastAsia" w:ascii="Calibri" w:hAnsi="Calibri" w:cs="Times New Roman"/>
                <w:color w:val="auto"/>
                <w:sz w:val="24"/>
                <w:highlight w:val="none"/>
                <w:shd w:val="clear" w:color="auto" w:fill="auto"/>
                <w:lang w:val="en-US" w:eastAsia="zh-CN"/>
              </w:rPr>
              <w:t>100%，经自带的布袋除尘器TA002处理；</w:t>
            </w:r>
            <w:r>
              <w:rPr>
                <w:rFonts w:hint="eastAsia" w:ascii="Calibri" w:hAnsi="Calibri" w:eastAsia="宋体" w:cs="Times New Roman"/>
                <w:color w:val="auto"/>
                <w:sz w:val="24"/>
                <w:highlight w:val="none"/>
                <w:shd w:val="clear" w:color="auto" w:fill="auto"/>
                <w:lang w:eastAsia="zh-CN"/>
              </w:rPr>
              <w:t>布袋除尘器</w:t>
            </w:r>
            <w:r>
              <w:rPr>
                <w:rFonts w:ascii="Calibri" w:hAnsi="Calibri" w:eastAsia="宋体" w:cs="Times New Roman"/>
                <w:color w:val="auto"/>
                <w:sz w:val="24"/>
                <w:highlight w:val="none"/>
                <w:shd w:val="clear" w:color="auto" w:fill="auto"/>
              </w:rPr>
              <w:t>除尘效率为9</w:t>
            </w:r>
            <w:r>
              <w:rPr>
                <w:rFonts w:hint="eastAsia" w:ascii="Calibri" w:hAnsi="Calibri" w:eastAsia="宋体" w:cs="Times New Roman"/>
                <w:color w:val="auto"/>
                <w:sz w:val="24"/>
                <w:highlight w:val="none"/>
                <w:shd w:val="clear" w:color="auto" w:fill="auto"/>
                <w:lang w:val="en-US" w:eastAsia="zh-CN"/>
              </w:rPr>
              <w:t>9</w:t>
            </w:r>
            <w:r>
              <w:rPr>
                <w:rFonts w:hint="eastAsia" w:ascii="Calibri" w:hAnsi="Calibri" w:cs="Times New Roman"/>
                <w:color w:val="auto"/>
                <w:sz w:val="24"/>
                <w:highlight w:val="none"/>
                <w:shd w:val="clear" w:color="auto" w:fill="auto"/>
                <w:lang w:val="en-US" w:eastAsia="zh-CN"/>
              </w:rPr>
              <w:t>.8</w:t>
            </w:r>
            <w:r>
              <w:rPr>
                <w:rFonts w:ascii="Calibri" w:hAnsi="Calibri" w:eastAsia="宋体" w:cs="Times New Roman"/>
                <w:color w:val="auto"/>
                <w:sz w:val="24"/>
                <w:highlight w:val="none"/>
                <w:shd w:val="clear" w:color="auto" w:fill="auto"/>
              </w:rPr>
              <w:t>%</w:t>
            </w:r>
            <w:r>
              <w:rPr>
                <w:rFonts w:hint="eastAsia" w:ascii="Calibri" w:hAnsi="Calibri" w:cs="Times New Roman"/>
                <w:color w:val="auto"/>
                <w:sz w:val="24"/>
                <w:highlight w:val="none"/>
                <w:shd w:val="clear" w:color="auto" w:fill="auto"/>
                <w:lang w:eastAsia="zh-CN"/>
              </w:rPr>
              <w:t>，</w:t>
            </w:r>
            <w:r>
              <w:rPr>
                <w:rFonts w:hint="eastAsia" w:ascii="Calibri" w:hAnsi="Calibri" w:cs="Times New Roman"/>
                <w:color w:val="auto"/>
                <w:sz w:val="24"/>
                <w:szCs w:val="24"/>
                <w:highlight w:val="none"/>
                <w:shd w:val="clear" w:color="auto" w:fill="auto"/>
                <w:lang w:val="en-US" w:eastAsia="zh-CN"/>
              </w:rPr>
              <w:t>雷蒙</w:t>
            </w:r>
            <w:r>
              <w:rPr>
                <w:rFonts w:hint="eastAsia" w:ascii="Calibri" w:hAnsi="Calibri" w:cs="Times New Roman"/>
                <w:color w:val="auto"/>
                <w:sz w:val="24"/>
                <w:highlight w:val="none"/>
                <w:shd w:val="clear" w:color="auto" w:fill="auto"/>
                <w:lang w:eastAsia="zh-CN"/>
              </w:rPr>
              <w:t>余风风量为</w:t>
            </w:r>
            <w:r>
              <w:rPr>
                <w:rFonts w:hint="eastAsia" w:ascii="Calibri" w:hAnsi="Calibri" w:cs="Times New Roman"/>
                <w:color w:val="auto"/>
                <w:sz w:val="24"/>
                <w:highlight w:val="none"/>
                <w:shd w:val="clear" w:color="auto" w:fill="auto"/>
                <w:lang w:val="en-US" w:eastAsia="zh-CN"/>
              </w:rPr>
              <w:t>3000</w:t>
            </w:r>
            <w:r>
              <w:rPr>
                <w:rFonts w:hint="eastAsia" w:ascii="Calibri" w:hAnsi="Calibri" w:eastAsia="宋体" w:cs="Times New Roman"/>
                <w:color w:val="auto"/>
                <w:sz w:val="24"/>
                <w:szCs w:val="24"/>
                <w:highlight w:val="none"/>
                <w:shd w:val="clear" w:color="auto" w:fill="auto"/>
                <w:lang w:val="en-US" w:eastAsia="zh-CN"/>
              </w:rPr>
              <w:t>m</w:t>
            </w:r>
            <w:r>
              <w:rPr>
                <w:rFonts w:hint="eastAsia" w:ascii="Calibri" w:hAnsi="Calibri" w:eastAsia="宋体" w:cs="Times New Roman"/>
                <w:color w:val="auto"/>
                <w:sz w:val="24"/>
                <w:szCs w:val="24"/>
                <w:highlight w:val="none"/>
                <w:shd w:val="clear" w:color="auto" w:fill="auto"/>
                <w:vertAlign w:val="superscript"/>
                <w:lang w:val="en-US" w:eastAsia="zh-CN"/>
              </w:rPr>
              <w:t>3</w:t>
            </w:r>
            <w:r>
              <w:rPr>
                <w:rFonts w:hint="eastAsia" w:ascii="Calibri" w:hAnsi="Calibri" w:eastAsia="宋体" w:cs="Times New Roman"/>
                <w:color w:val="auto"/>
                <w:sz w:val="24"/>
                <w:szCs w:val="24"/>
                <w:highlight w:val="none"/>
                <w:shd w:val="clear" w:color="auto" w:fill="auto"/>
                <w:lang w:val="en-US" w:eastAsia="zh-CN"/>
              </w:rPr>
              <w:t>/h；</w:t>
            </w:r>
            <w:r>
              <w:rPr>
                <w:rFonts w:hint="eastAsia" w:ascii="Calibri" w:hAnsi="Calibri" w:eastAsia="宋体" w:cs="Times New Roman"/>
                <w:color w:val="auto"/>
                <w:sz w:val="24"/>
                <w:highlight w:val="none"/>
                <w:shd w:val="clear" w:color="auto" w:fill="auto"/>
                <w:lang w:eastAsia="zh-CN"/>
              </w:rPr>
              <w:t>本项目未被除尘系统捕集的颗粒物无组织排放到厂房内</w:t>
            </w:r>
            <w:r>
              <w:rPr>
                <w:rFonts w:ascii="Calibri" w:hAnsi="Calibri" w:eastAsia="宋体" w:cs="Times New Roman"/>
                <w:color w:val="auto"/>
                <w:sz w:val="24"/>
                <w:highlight w:val="none"/>
                <w:shd w:val="clear" w:color="auto" w:fill="auto"/>
              </w:rPr>
              <w:t>，其中</w:t>
            </w:r>
            <w:r>
              <w:rPr>
                <w:rFonts w:hint="eastAsia" w:ascii="Calibri" w:hAnsi="Calibri" w:eastAsia="宋体" w:cs="Times New Roman"/>
                <w:color w:val="auto"/>
                <w:sz w:val="24"/>
                <w:highlight w:val="none"/>
                <w:shd w:val="clear" w:color="auto" w:fill="auto"/>
                <w:lang w:val="en-US" w:eastAsia="zh-CN"/>
              </w:rPr>
              <w:t>80</w:t>
            </w:r>
            <w:r>
              <w:rPr>
                <w:rFonts w:ascii="Calibri" w:hAnsi="Calibri" w:eastAsia="宋体" w:cs="Times New Roman"/>
                <w:color w:val="auto"/>
                <w:sz w:val="24"/>
                <w:highlight w:val="none"/>
                <w:shd w:val="clear" w:color="auto" w:fill="auto"/>
              </w:rPr>
              <w:t>%沉降在厂房内，其余</w:t>
            </w:r>
            <w:r>
              <w:rPr>
                <w:rFonts w:hint="eastAsia" w:ascii="Calibri" w:hAnsi="Calibri" w:eastAsia="宋体" w:cs="Times New Roman"/>
                <w:color w:val="auto"/>
                <w:sz w:val="24"/>
                <w:highlight w:val="none"/>
                <w:shd w:val="clear" w:color="auto" w:fill="auto"/>
                <w:lang w:val="en-US" w:eastAsia="zh-CN"/>
              </w:rPr>
              <w:t>20</w:t>
            </w:r>
            <w:r>
              <w:rPr>
                <w:rFonts w:ascii="Calibri" w:hAnsi="Calibri" w:eastAsia="宋体" w:cs="Times New Roman"/>
                <w:color w:val="auto"/>
                <w:sz w:val="24"/>
                <w:highlight w:val="none"/>
                <w:shd w:val="clear" w:color="auto" w:fill="auto"/>
              </w:rPr>
              <w:t>%通过厂房门排放。</w:t>
            </w:r>
          </w:p>
          <w:p w14:paraId="45BCEC8F">
            <w:pPr>
              <w:pStyle w:val="16"/>
              <w:keepNext w:val="0"/>
              <w:keepLines w:val="0"/>
              <w:suppressLineNumbers w:val="0"/>
              <w:spacing w:before="0" w:beforeAutospacing="0" w:after="0" w:afterAutospacing="0"/>
              <w:ind w:left="0" w:right="0"/>
              <w:rPr>
                <w:rFonts w:hint="default"/>
                <w:color w:val="auto"/>
                <w:highlight w:val="none"/>
              </w:rPr>
            </w:pPr>
            <w:r>
              <w:rPr>
                <w:rFonts w:ascii="Calibri" w:hAnsi="Calibri" w:eastAsia="宋体" w:cs="Times New Roman"/>
                <w:color w:val="auto"/>
                <w:sz w:val="24"/>
                <w:highlight w:val="none"/>
                <w:shd w:val="clear" w:color="auto" w:fill="auto"/>
              </w:rPr>
              <w:t>项目</w:t>
            </w:r>
            <w:r>
              <w:rPr>
                <w:rFonts w:hint="eastAsia" w:ascii="Calibri" w:hAnsi="Calibri" w:cs="Times New Roman"/>
                <w:color w:val="auto"/>
                <w:sz w:val="24"/>
                <w:highlight w:val="none"/>
                <w:shd w:val="clear" w:color="auto" w:fill="auto"/>
                <w:lang w:eastAsia="zh-CN"/>
              </w:rPr>
              <w:t>1#原料库房</w:t>
            </w:r>
            <w:r>
              <w:rPr>
                <w:rFonts w:hint="default" w:ascii="Times New Roman" w:hAnsi="Times New Roman" w:eastAsia="宋体" w:cs="Times New Roman"/>
                <w:color w:val="auto"/>
                <w:spacing w:val="0"/>
                <w:sz w:val="24"/>
                <w:szCs w:val="24"/>
                <w:highlight w:val="none"/>
              </w:rPr>
              <w:t>散装原料卸料量为</w:t>
            </w:r>
            <w:r>
              <w:rPr>
                <w:rFonts w:hint="eastAsia" w:cs="Times New Roman"/>
                <w:color w:val="auto"/>
                <w:spacing w:val="0"/>
                <w:sz w:val="24"/>
                <w:szCs w:val="24"/>
                <w:highlight w:val="none"/>
                <w:lang w:val="en-US" w:eastAsia="zh-CN"/>
              </w:rPr>
              <w:t>300506.193</w:t>
            </w:r>
            <w:r>
              <w:rPr>
                <w:rFonts w:hint="default" w:ascii="Times New Roman" w:hAnsi="Times New Roman" w:eastAsia="宋体" w:cs="Times New Roman"/>
                <w:color w:val="auto"/>
                <w:spacing w:val="0"/>
                <w:sz w:val="24"/>
                <w:szCs w:val="24"/>
                <w:highlight w:val="none"/>
              </w:rPr>
              <w:t>t/a，平均每车装载30t矿石，</w:t>
            </w:r>
            <w:r>
              <w:rPr>
                <w:rFonts w:hint="eastAsia" w:ascii="Times New Roman" w:hAnsi="Times New Roman" w:cs="Times New Roman"/>
                <w:color w:val="auto"/>
                <w:spacing w:val="0"/>
                <w:sz w:val="24"/>
                <w:szCs w:val="24"/>
                <w:highlight w:val="none"/>
                <w:lang w:eastAsia="zh-CN"/>
              </w:rPr>
              <w:t>进料车次约为</w:t>
            </w:r>
            <w:r>
              <w:rPr>
                <w:rFonts w:hint="eastAsia" w:cs="Times New Roman"/>
                <w:color w:val="auto"/>
                <w:spacing w:val="0"/>
                <w:sz w:val="24"/>
                <w:szCs w:val="24"/>
                <w:highlight w:val="none"/>
                <w:lang w:val="en-US" w:eastAsia="zh-CN"/>
              </w:rPr>
              <w:t>10017</w:t>
            </w:r>
            <w:r>
              <w:rPr>
                <w:rFonts w:hint="eastAsia" w:ascii="Times New Roman" w:hAnsi="Times New Roman" w:cs="Times New Roman"/>
                <w:color w:val="auto"/>
                <w:spacing w:val="0"/>
                <w:sz w:val="24"/>
                <w:szCs w:val="24"/>
                <w:highlight w:val="none"/>
                <w:lang w:val="en-US" w:eastAsia="zh-CN"/>
              </w:rPr>
              <w:t>辆，</w:t>
            </w:r>
            <w:r>
              <w:rPr>
                <w:rFonts w:hint="default" w:ascii="Times New Roman" w:hAnsi="Times New Roman" w:eastAsia="宋体" w:cs="Times New Roman"/>
                <w:color w:val="auto"/>
                <w:spacing w:val="0"/>
                <w:sz w:val="24"/>
                <w:szCs w:val="24"/>
                <w:highlight w:val="none"/>
              </w:rPr>
              <w:t>单车卸料时长以1</w:t>
            </w:r>
            <w:r>
              <w:rPr>
                <w:rFonts w:hint="eastAsia" w:ascii="Times New Roman" w:hAnsi="Times New Roman" w:cs="Times New Roman"/>
                <w:color w:val="auto"/>
                <w:spacing w:val="0"/>
                <w:sz w:val="24"/>
                <w:szCs w:val="24"/>
                <w:highlight w:val="none"/>
                <w:lang w:val="en-US" w:eastAsia="zh-CN"/>
              </w:rPr>
              <w:t>5</w:t>
            </w:r>
            <w:r>
              <w:rPr>
                <w:rFonts w:hint="default" w:ascii="Times New Roman" w:hAnsi="Times New Roman" w:eastAsia="宋体" w:cs="Times New Roman"/>
                <w:color w:val="auto"/>
                <w:spacing w:val="0"/>
                <w:sz w:val="24"/>
                <w:szCs w:val="24"/>
                <w:highlight w:val="none"/>
              </w:rPr>
              <w:t>min计，则卸料时长为</w:t>
            </w:r>
            <w:r>
              <w:rPr>
                <w:rFonts w:hint="eastAsia" w:cs="Times New Roman"/>
                <w:color w:val="auto"/>
                <w:spacing w:val="0"/>
                <w:sz w:val="24"/>
                <w:szCs w:val="24"/>
                <w:highlight w:val="none"/>
                <w:lang w:val="en-US" w:eastAsia="zh-CN"/>
              </w:rPr>
              <w:t>2504.25</w:t>
            </w:r>
            <w:r>
              <w:rPr>
                <w:rFonts w:hint="default" w:ascii="Times New Roman" w:hAnsi="Times New Roman" w:eastAsia="宋体" w:cs="Times New Roman"/>
                <w:color w:val="auto"/>
                <w:spacing w:val="0"/>
                <w:sz w:val="24"/>
                <w:szCs w:val="24"/>
                <w:highlight w:val="none"/>
              </w:rPr>
              <w:t>h/a</w:t>
            </w:r>
            <w:r>
              <w:rPr>
                <w:rFonts w:hint="eastAsia" w:ascii="Calibri" w:hAnsi="Calibri" w:cs="Times New Roman"/>
                <w:color w:val="auto"/>
                <w:sz w:val="24"/>
                <w:highlight w:val="none"/>
                <w:shd w:val="clear" w:color="auto" w:fill="auto"/>
                <w:lang w:val="en-US" w:eastAsia="zh-CN"/>
              </w:rPr>
              <w:t>.</w:t>
            </w:r>
          </w:p>
          <w:p w14:paraId="47752BDC">
            <w:pPr>
              <w:keepNext w:val="0"/>
              <w:keepLines w:val="0"/>
              <w:suppressLineNumbers w:val="0"/>
              <w:spacing w:before="0" w:beforeAutospacing="0" w:after="0" w:afterAutospacing="0" w:line="360" w:lineRule="auto"/>
              <w:ind w:left="0" w:right="0" w:firstLine="480" w:firstLineChars="200"/>
              <w:rPr>
                <w:rFonts w:ascii="Calibri" w:hAnsi="Calibri" w:eastAsia="宋体" w:cs="Times New Roman"/>
                <w:color w:val="auto"/>
                <w:sz w:val="24"/>
                <w:highlight w:val="none"/>
                <w:shd w:val="clear" w:color="auto" w:fill="auto"/>
              </w:rPr>
            </w:pPr>
            <w:r>
              <w:rPr>
                <w:rFonts w:ascii="Calibri" w:hAnsi="Calibri" w:eastAsia="宋体" w:cs="Times New Roman"/>
                <w:color w:val="auto"/>
                <w:sz w:val="24"/>
                <w:highlight w:val="none"/>
                <w:shd w:val="clear" w:color="auto" w:fill="auto"/>
              </w:rPr>
              <w:t>项目</w:t>
            </w:r>
            <w:r>
              <w:rPr>
                <w:rFonts w:hint="eastAsia" w:ascii="Calibri" w:hAnsi="Calibri" w:eastAsia="宋体" w:cs="Times New Roman"/>
                <w:color w:val="auto"/>
                <w:sz w:val="24"/>
                <w:highlight w:val="none"/>
                <w:shd w:val="clear" w:color="auto" w:fill="auto"/>
                <w:lang w:eastAsia="zh-CN"/>
              </w:rPr>
              <w:t>1#</w:t>
            </w:r>
            <w:r>
              <w:rPr>
                <w:rFonts w:hint="eastAsia" w:ascii="Calibri" w:hAnsi="Calibri" w:cs="Times New Roman"/>
                <w:color w:val="auto"/>
                <w:sz w:val="24"/>
                <w:highlight w:val="none"/>
                <w:shd w:val="clear" w:color="auto" w:fill="auto"/>
                <w:lang w:eastAsia="zh-CN"/>
              </w:rPr>
              <w:t>、</w:t>
            </w:r>
            <w:r>
              <w:rPr>
                <w:rFonts w:hint="eastAsia" w:ascii="Calibri" w:hAnsi="Calibri" w:cs="Times New Roman"/>
                <w:color w:val="auto"/>
                <w:sz w:val="24"/>
                <w:highlight w:val="none"/>
                <w:shd w:val="clear" w:color="auto" w:fill="auto"/>
                <w:lang w:val="en-US" w:eastAsia="zh-CN"/>
              </w:rPr>
              <w:t>2#</w:t>
            </w:r>
            <w:r>
              <w:rPr>
                <w:rFonts w:hint="eastAsia" w:ascii="Calibri" w:hAnsi="Calibri" w:eastAsia="宋体" w:cs="Times New Roman"/>
                <w:color w:val="auto"/>
                <w:sz w:val="24"/>
                <w:highlight w:val="none"/>
                <w:shd w:val="clear" w:color="auto" w:fill="auto"/>
                <w:lang w:eastAsia="zh-CN"/>
              </w:rPr>
              <w:t>生产线废气</w:t>
            </w:r>
            <w:r>
              <w:rPr>
                <w:rFonts w:ascii="Calibri" w:hAnsi="Calibri" w:eastAsia="宋体" w:cs="Times New Roman"/>
                <w:color w:val="auto"/>
                <w:sz w:val="24"/>
                <w:highlight w:val="none"/>
                <w:shd w:val="clear" w:color="auto" w:fill="auto"/>
              </w:rPr>
              <w:t>产</w:t>
            </w:r>
            <w:r>
              <w:rPr>
                <w:rFonts w:hint="eastAsia" w:ascii="Calibri" w:hAnsi="Calibri" w:cs="Times New Roman"/>
                <w:color w:val="auto"/>
                <w:sz w:val="24"/>
                <w:highlight w:val="none"/>
                <w:shd w:val="clear" w:color="auto" w:fill="auto"/>
                <w:lang w:eastAsia="zh-CN"/>
              </w:rPr>
              <w:t>排</w:t>
            </w:r>
            <w:r>
              <w:rPr>
                <w:rFonts w:ascii="Calibri" w:hAnsi="Calibri" w:eastAsia="宋体" w:cs="Times New Roman"/>
                <w:color w:val="auto"/>
                <w:sz w:val="24"/>
                <w:highlight w:val="none"/>
                <w:shd w:val="clear" w:color="auto" w:fill="auto"/>
              </w:rPr>
              <w:t>情况详见表</w:t>
            </w:r>
            <w:r>
              <w:rPr>
                <w:rFonts w:hint="eastAsia" w:ascii="Calibri" w:hAnsi="Calibri" w:cs="Times New Roman"/>
                <w:color w:val="auto"/>
                <w:sz w:val="24"/>
                <w:highlight w:val="none"/>
                <w:shd w:val="clear" w:color="auto" w:fill="auto"/>
                <w:lang w:val="en-US" w:eastAsia="zh-CN"/>
              </w:rPr>
              <w:t>4-2、4-3</w:t>
            </w:r>
            <w:r>
              <w:rPr>
                <w:rFonts w:ascii="Calibri" w:hAnsi="Calibri" w:eastAsia="宋体" w:cs="Times New Roman"/>
                <w:color w:val="auto"/>
                <w:sz w:val="24"/>
                <w:highlight w:val="none"/>
                <w:shd w:val="clear" w:color="auto" w:fill="auto"/>
              </w:rPr>
              <w:t>。</w:t>
            </w:r>
          </w:p>
          <w:p w14:paraId="713D4387">
            <w:pPr>
              <w:keepNext w:val="0"/>
              <w:keepLines w:val="0"/>
              <w:suppressLineNumbers w:val="0"/>
              <w:spacing w:before="0" w:beforeAutospacing="0" w:after="0" w:afterAutospacing="0" w:line="360" w:lineRule="auto"/>
              <w:ind w:left="0" w:right="0"/>
              <w:jc w:val="center"/>
              <w:rPr>
                <w:rFonts w:ascii="Calibri" w:hAnsi="Calibri" w:eastAsia="宋体" w:cs="Times New Roman"/>
                <w:color w:val="auto"/>
                <w:sz w:val="24"/>
                <w:highlight w:val="none"/>
                <w:shd w:val="clear" w:color="auto" w:fill="auto"/>
              </w:rPr>
            </w:pPr>
            <w:r>
              <w:rPr>
                <w:rFonts w:ascii="Calibri" w:hAnsi="Calibri" w:eastAsia="宋体" w:cs="Times New Roman"/>
                <w:color w:val="auto"/>
                <w:sz w:val="24"/>
                <w:highlight w:val="none"/>
                <w:shd w:val="clear" w:color="auto" w:fill="auto"/>
              </w:rPr>
              <w:t>表</w:t>
            </w:r>
            <w:r>
              <w:rPr>
                <w:rFonts w:hint="eastAsia" w:ascii="Calibri" w:hAnsi="Calibri" w:cs="Times New Roman"/>
                <w:color w:val="auto"/>
                <w:sz w:val="24"/>
                <w:highlight w:val="none"/>
                <w:shd w:val="clear" w:color="auto" w:fill="auto"/>
                <w:lang w:val="en-US" w:eastAsia="zh-CN"/>
              </w:rPr>
              <w:t>4-2</w:t>
            </w:r>
            <w:r>
              <w:rPr>
                <w:rFonts w:ascii="Calibri" w:hAnsi="Calibri" w:eastAsia="宋体" w:cs="Times New Roman"/>
                <w:color w:val="auto"/>
                <w:sz w:val="24"/>
                <w:highlight w:val="none"/>
                <w:shd w:val="clear" w:color="auto" w:fill="auto"/>
              </w:rPr>
              <w:t xml:space="preserve">      </w:t>
            </w:r>
            <w:r>
              <w:rPr>
                <w:rFonts w:hint="eastAsia" w:ascii="Calibri" w:hAnsi="Calibri" w:eastAsia="宋体" w:cs="Times New Roman"/>
                <w:color w:val="auto"/>
                <w:sz w:val="24"/>
                <w:highlight w:val="none"/>
                <w:shd w:val="clear" w:color="auto" w:fill="auto"/>
                <w:lang w:val="en-US" w:eastAsia="zh-CN"/>
              </w:rPr>
              <w:t>项目</w:t>
            </w:r>
            <w:r>
              <w:rPr>
                <w:rFonts w:hint="eastAsia" w:ascii="Calibri" w:hAnsi="Calibri" w:cs="Times New Roman"/>
                <w:color w:val="auto"/>
                <w:sz w:val="24"/>
                <w:highlight w:val="none"/>
                <w:shd w:val="clear" w:color="auto" w:fill="auto"/>
                <w:lang w:val="en-US" w:eastAsia="zh-CN"/>
              </w:rPr>
              <w:t>1#原料库房；</w:t>
            </w:r>
            <w:r>
              <w:rPr>
                <w:rFonts w:hint="eastAsia" w:ascii="Calibri" w:hAnsi="Calibri" w:eastAsia="宋体" w:cs="Times New Roman"/>
                <w:color w:val="auto"/>
                <w:sz w:val="24"/>
                <w:highlight w:val="none"/>
                <w:shd w:val="clear" w:color="auto" w:fill="auto"/>
                <w:lang w:eastAsia="zh-CN"/>
              </w:rPr>
              <w:t>1#</w:t>
            </w:r>
            <w:r>
              <w:rPr>
                <w:rFonts w:hint="eastAsia" w:ascii="Calibri" w:hAnsi="Calibri" w:cs="Times New Roman"/>
                <w:color w:val="auto"/>
                <w:sz w:val="24"/>
                <w:highlight w:val="none"/>
                <w:shd w:val="clear" w:color="auto" w:fill="auto"/>
                <w:lang w:eastAsia="zh-CN"/>
              </w:rPr>
              <w:t>、</w:t>
            </w:r>
            <w:r>
              <w:rPr>
                <w:rFonts w:hint="eastAsia" w:ascii="Calibri" w:hAnsi="Calibri" w:cs="Times New Roman"/>
                <w:color w:val="auto"/>
                <w:sz w:val="24"/>
                <w:highlight w:val="none"/>
                <w:shd w:val="clear" w:color="auto" w:fill="auto"/>
                <w:lang w:val="en-US" w:eastAsia="zh-CN"/>
              </w:rPr>
              <w:t>2#</w:t>
            </w:r>
            <w:r>
              <w:rPr>
                <w:rFonts w:hint="eastAsia" w:ascii="Calibri" w:hAnsi="Calibri" w:cs="Times New Roman"/>
                <w:color w:val="auto"/>
                <w:sz w:val="24"/>
                <w:highlight w:val="none"/>
                <w:shd w:val="clear" w:color="auto" w:fill="auto"/>
                <w:lang w:eastAsia="zh-CN"/>
              </w:rPr>
              <w:t>生产线</w:t>
            </w:r>
            <w:r>
              <w:rPr>
                <w:rFonts w:ascii="Calibri" w:hAnsi="Calibri" w:eastAsia="宋体" w:cs="Times New Roman"/>
                <w:color w:val="auto"/>
                <w:sz w:val="24"/>
                <w:highlight w:val="none"/>
                <w:shd w:val="clear" w:color="auto" w:fill="auto"/>
              </w:rPr>
              <w:t>颗粒物有组织产排情况</w:t>
            </w:r>
          </w:p>
          <w:tbl>
            <w:tblPr>
              <w:tblStyle w:val="25"/>
              <w:tblW w:w="850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59"/>
              <w:gridCol w:w="795"/>
              <w:gridCol w:w="810"/>
              <w:gridCol w:w="870"/>
              <w:gridCol w:w="885"/>
              <w:gridCol w:w="628"/>
              <w:gridCol w:w="609"/>
              <w:gridCol w:w="780"/>
              <w:gridCol w:w="728"/>
              <w:gridCol w:w="735"/>
              <w:gridCol w:w="904"/>
            </w:tblGrid>
            <w:tr w14:paraId="692570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4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7522F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污染源</w:t>
                  </w:r>
                </w:p>
              </w:tc>
              <w:tc>
                <w:tcPr>
                  <w:tcW w:w="46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835A3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产污环节</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327AA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产尘速率</w:t>
                  </w:r>
                  <w:r>
                    <w:rPr>
                      <w:rStyle w:val="81"/>
                      <w:rFonts w:hint="default" w:ascii="Times New Roman" w:hAnsi="Times New Roman" w:eastAsia="宋体" w:cs="Times New Roman"/>
                      <w:color w:val="auto"/>
                      <w:sz w:val="18"/>
                      <w:szCs w:val="18"/>
                      <w:highlight w:val="none"/>
                      <w:lang w:val="en-US" w:eastAsia="zh-CN" w:bidi="ar"/>
                    </w:rPr>
                    <w:t>kg/h</w:t>
                  </w:r>
                </w:p>
              </w:tc>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BD9B4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产生浓度mg/m</w:t>
                  </w:r>
                  <w:r>
                    <w:rPr>
                      <w:rStyle w:val="82"/>
                      <w:rFonts w:hint="default" w:ascii="Times New Roman" w:hAnsi="Times New Roman" w:eastAsia="宋体" w:cs="Times New Roman"/>
                      <w:color w:val="auto"/>
                      <w:sz w:val="18"/>
                      <w:szCs w:val="18"/>
                      <w:highlight w:val="none"/>
                      <w:lang w:val="en-US" w:eastAsia="zh-CN" w:bidi="ar"/>
                    </w:rPr>
                    <w:t>3</w:t>
                  </w:r>
                </w:p>
              </w:tc>
              <w:tc>
                <w:tcPr>
                  <w:tcW w:w="5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794ED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产尘量</w:t>
                  </w:r>
                  <w:r>
                    <w:rPr>
                      <w:rStyle w:val="81"/>
                      <w:rFonts w:hint="default" w:ascii="Times New Roman" w:hAnsi="Times New Roman" w:eastAsia="宋体" w:cs="Times New Roman"/>
                      <w:color w:val="auto"/>
                      <w:sz w:val="18"/>
                      <w:szCs w:val="18"/>
                      <w:highlight w:val="none"/>
                      <w:lang w:val="en-US" w:eastAsia="zh-CN" w:bidi="ar"/>
                    </w:rPr>
                    <w:t>t/a</w:t>
                  </w:r>
                </w:p>
              </w:tc>
              <w:tc>
                <w:tcPr>
                  <w:tcW w:w="369" w:type="pct"/>
                  <w:tcBorders>
                    <w:top w:val="single" w:color="000000" w:sz="4" w:space="0"/>
                    <w:left w:val="single" w:color="000000" w:sz="4" w:space="0"/>
                    <w:bottom w:val="nil"/>
                    <w:right w:val="single" w:color="000000" w:sz="4" w:space="0"/>
                  </w:tcBorders>
                  <w:shd w:val="clear" w:color="auto" w:fill="auto"/>
                  <w:vAlign w:val="center"/>
                </w:tcPr>
                <w:p w14:paraId="0485847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除尘效率</w:t>
                  </w:r>
                </w:p>
                <w:p w14:paraId="4DC4B50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w:t>
                  </w:r>
                </w:p>
              </w:tc>
              <w:tc>
                <w:tcPr>
                  <w:tcW w:w="358" w:type="pct"/>
                  <w:tcBorders>
                    <w:top w:val="single" w:color="000000" w:sz="4" w:space="0"/>
                    <w:left w:val="single" w:color="000000" w:sz="4" w:space="0"/>
                    <w:bottom w:val="nil"/>
                    <w:right w:val="single" w:color="000000" w:sz="4" w:space="0"/>
                  </w:tcBorders>
                  <w:shd w:val="clear" w:color="auto" w:fill="auto"/>
                  <w:vAlign w:val="center"/>
                </w:tcPr>
                <w:p w14:paraId="2E4B97D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捕集率%</w:t>
                  </w:r>
                </w:p>
              </w:tc>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7C230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排放速率</w:t>
                  </w:r>
                  <w:r>
                    <w:rPr>
                      <w:rStyle w:val="81"/>
                      <w:rFonts w:hint="default" w:ascii="Times New Roman" w:hAnsi="Times New Roman" w:eastAsia="宋体" w:cs="Times New Roman"/>
                      <w:color w:val="auto"/>
                      <w:sz w:val="18"/>
                      <w:szCs w:val="18"/>
                      <w:highlight w:val="none"/>
                      <w:lang w:val="en-US" w:eastAsia="zh-CN" w:bidi="ar"/>
                    </w:rPr>
                    <w:t>kg/h</w:t>
                  </w:r>
                </w:p>
              </w:tc>
              <w:tc>
                <w:tcPr>
                  <w:tcW w:w="4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4B335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排放浓度mg/m</w:t>
                  </w:r>
                  <w:r>
                    <w:rPr>
                      <w:rStyle w:val="82"/>
                      <w:rFonts w:hint="default" w:ascii="Times New Roman" w:hAnsi="Times New Roman" w:eastAsia="宋体" w:cs="Times New Roman"/>
                      <w:color w:val="auto"/>
                      <w:sz w:val="18"/>
                      <w:szCs w:val="18"/>
                      <w:highlight w:val="none"/>
                      <w:lang w:val="en-US" w:eastAsia="zh-CN" w:bidi="ar"/>
                    </w:rPr>
                    <w:t>3</w:t>
                  </w:r>
                </w:p>
              </w:tc>
              <w:tc>
                <w:tcPr>
                  <w:tcW w:w="4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13EE2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年排放量</w:t>
                  </w:r>
                  <w:r>
                    <w:rPr>
                      <w:rStyle w:val="81"/>
                      <w:rFonts w:hint="default" w:ascii="Times New Roman" w:hAnsi="Times New Roman" w:eastAsia="宋体" w:cs="Times New Roman"/>
                      <w:color w:val="auto"/>
                      <w:sz w:val="18"/>
                      <w:szCs w:val="18"/>
                      <w:highlight w:val="none"/>
                      <w:lang w:val="en-US" w:eastAsia="zh-CN" w:bidi="ar"/>
                    </w:rPr>
                    <w:t>t/a</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BB1B7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除尘灰</w:t>
                  </w:r>
                  <w:r>
                    <w:rPr>
                      <w:rStyle w:val="81"/>
                      <w:rFonts w:hint="default" w:ascii="Times New Roman" w:hAnsi="Times New Roman" w:eastAsia="宋体" w:cs="Times New Roman"/>
                      <w:color w:val="auto"/>
                      <w:sz w:val="18"/>
                      <w:szCs w:val="18"/>
                      <w:highlight w:val="none"/>
                      <w:lang w:val="en-US" w:eastAsia="zh-CN" w:bidi="ar"/>
                    </w:rPr>
                    <w:t>t/a</w:t>
                  </w:r>
                </w:p>
              </w:tc>
            </w:tr>
            <w:tr w14:paraId="496511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4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2564A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1#原料库房</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010DA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卸料</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A7477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2.4</w:t>
                  </w:r>
                </w:p>
              </w:tc>
              <w:tc>
                <w:tcPr>
                  <w:tcW w:w="51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2B0B4E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lang w:val="en-US"/>
                    </w:rPr>
                  </w:pPr>
                  <w:r>
                    <w:rPr>
                      <w:rFonts w:hint="eastAsia" w:cs="Times New Roman"/>
                      <w:i w:val="0"/>
                      <w:iCs w:val="0"/>
                      <w:color w:val="auto"/>
                      <w:kern w:val="0"/>
                      <w:sz w:val="18"/>
                      <w:szCs w:val="18"/>
                      <w:highlight w:val="none"/>
                      <w:u w:val="none"/>
                      <w:lang w:val="en-US" w:eastAsia="zh-CN" w:bidi="ar"/>
                    </w:rPr>
                    <w:t>6729.816</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2C6F4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4.808</w:t>
                  </w:r>
                </w:p>
              </w:tc>
              <w:tc>
                <w:tcPr>
                  <w:tcW w:w="36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6A1ECD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99.5</w:t>
                  </w:r>
                </w:p>
              </w:tc>
              <w:tc>
                <w:tcPr>
                  <w:tcW w:w="35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AFEEEF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80</w:t>
                  </w:r>
                </w:p>
              </w:tc>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E8913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0.010</w:t>
                  </w:r>
                </w:p>
              </w:tc>
              <w:tc>
                <w:tcPr>
                  <w:tcW w:w="42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3B3023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25.91</w:t>
                  </w:r>
                </w:p>
              </w:tc>
              <w:tc>
                <w:tcPr>
                  <w:tcW w:w="4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DB1E5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0.024</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F0AB3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4.784</w:t>
                  </w:r>
                </w:p>
              </w:tc>
            </w:tr>
            <w:tr w14:paraId="278CBB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4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C091A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1#生产线</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1532F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上料</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A1C8A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2.4</w:t>
                  </w:r>
                </w:p>
              </w:tc>
              <w:tc>
                <w:tcPr>
                  <w:tcW w:w="51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9E9D3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84EF7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3.2</w:t>
                  </w:r>
                </w:p>
              </w:tc>
              <w:tc>
                <w:tcPr>
                  <w:tcW w:w="36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2C906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5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1A325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93B5F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0.010</w:t>
                  </w:r>
                </w:p>
              </w:tc>
              <w:tc>
                <w:tcPr>
                  <w:tcW w:w="4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66F70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A1A80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0.016</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6D33C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3.184</w:t>
                  </w:r>
                </w:p>
              </w:tc>
            </w:tr>
            <w:tr w14:paraId="3640AF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44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BD404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2#生产线</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0D1C7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上料</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79654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2.4</w:t>
                  </w:r>
                </w:p>
              </w:tc>
              <w:tc>
                <w:tcPr>
                  <w:tcW w:w="51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F3862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0187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1.608</w:t>
                  </w:r>
                </w:p>
              </w:tc>
              <w:tc>
                <w:tcPr>
                  <w:tcW w:w="36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E9734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5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CEA3C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2EC31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0.010</w:t>
                  </w:r>
                </w:p>
              </w:tc>
              <w:tc>
                <w:tcPr>
                  <w:tcW w:w="4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7809E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6F60F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0.008</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0EED7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1.600</w:t>
                  </w:r>
                </w:p>
              </w:tc>
            </w:tr>
            <w:tr w14:paraId="185EC7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44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5259D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C4199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eastAsia" w:cs="Times New Roman"/>
                      <w:i w:val="0"/>
                      <w:iCs w:val="0"/>
                      <w:color w:val="auto"/>
                      <w:kern w:val="0"/>
                      <w:sz w:val="18"/>
                      <w:szCs w:val="18"/>
                      <w:highlight w:val="none"/>
                      <w:u w:val="none"/>
                      <w:lang w:val="en-US" w:eastAsia="zh-CN" w:bidi="ar"/>
                    </w:rPr>
                    <w:t>颚破</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2AC5B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25.111</w:t>
                  </w:r>
                </w:p>
              </w:tc>
              <w:tc>
                <w:tcPr>
                  <w:tcW w:w="51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C0EC0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6EBB7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90.4</w:t>
                  </w:r>
                </w:p>
              </w:tc>
              <w:tc>
                <w:tcPr>
                  <w:tcW w:w="36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0D866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5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CAD7F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4F82A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0.126</w:t>
                  </w:r>
                </w:p>
              </w:tc>
              <w:tc>
                <w:tcPr>
                  <w:tcW w:w="4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95752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02527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0.452</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E7223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89.948</w:t>
                  </w:r>
                </w:p>
              </w:tc>
            </w:tr>
            <w:tr w14:paraId="383809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44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26E5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5CB74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中间仓</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E029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3.346</w:t>
                  </w:r>
                </w:p>
              </w:tc>
              <w:tc>
                <w:tcPr>
                  <w:tcW w:w="51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6F653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3C4F0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12.045</w:t>
                  </w:r>
                </w:p>
              </w:tc>
              <w:tc>
                <w:tcPr>
                  <w:tcW w:w="36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66E74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5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47EEE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D99B0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0.017</w:t>
                  </w:r>
                </w:p>
              </w:tc>
              <w:tc>
                <w:tcPr>
                  <w:tcW w:w="4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988A6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54C4F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0.060</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CF07B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11.985</w:t>
                  </w:r>
                </w:p>
              </w:tc>
            </w:tr>
            <w:tr w14:paraId="6CDB7E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44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A188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ACB3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锤破</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E8900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11.414</w:t>
                  </w:r>
                </w:p>
              </w:tc>
              <w:tc>
                <w:tcPr>
                  <w:tcW w:w="51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2391E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83498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90.4</w:t>
                  </w:r>
                </w:p>
              </w:tc>
              <w:tc>
                <w:tcPr>
                  <w:tcW w:w="36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601BD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5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7FDDC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457A1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0.057</w:t>
                  </w:r>
                </w:p>
              </w:tc>
              <w:tc>
                <w:tcPr>
                  <w:tcW w:w="4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41827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73652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0.452</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07042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89.948</w:t>
                  </w:r>
                </w:p>
              </w:tc>
            </w:tr>
            <w:tr w14:paraId="4CD541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44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B7C04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F5D0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筛分</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7239C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11.414</w:t>
                  </w:r>
                </w:p>
              </w:tc>
              <w:tc>
                <w:tcPr>
                  <w:tcW w:w="51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61FCA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F1C98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90.4</w:t>
                  </w:r>
                </w:p>
              </w:tc>
              <w:tc>
                <w:tcPr>
                  <w:tcW w:w="36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DC811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5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F03EF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087DA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0.057</w:t>
                  </w:r>
                </w:p>
              </w:tc>
              <w:tc>
                <w:tcPr>
                  <w:tcW w:w="4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8AEF7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6E0C8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0.452</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9F5CA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89.948</w:t>
                  </w:r>
                </w:p>
              </w:tc>
            </w:tr>
            <w:tr w14:paraId="6A7B04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44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07E0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E9498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产品仓</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557EC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3.334</w:t>
                  </w:r>
                </w:p>
              </w:tc>
              <w:tc>
                <w:tcPr>
                  <w:tcW w:w="51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9DABF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852FB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12.002</w:t>
                  </w:r>
                </w:p>
              </w:tc>
              <w:tc>
                <w:tcPr>
                  <w:tcW w:w="36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74639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5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A0E16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66B11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0.017</w:t>
                  </w:r>
                </w:p>
              </w:tc>
              <w:tc>
                <w:tcPr>
                  <w:tcW w:w="4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6166E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4E04C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0.060</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3FAD9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11.942</w:t>
                  </w:r>
                </w:p>
              </w:tc>
            </w:tr>
            <w:tr w14:paraId="705D62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44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0677F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0DBF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包装</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E3E64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0.026</w:t>
                  </w:r>
                </w:p>
              </w:tc>
              <w:tc>
                <w:tcPr>
                  <w:tcW w:w="51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DEA82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0F12A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0.092</w:t>
                  </w:r>
                </w:p>
              </w:tc>
              <w:tc>
                <w:tcPr>
                  <w:tcW w:w="36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FECEF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5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99F92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109E3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lang w:val="en-US"/>
                    </w:rPr>
                  </w:pPr>
                  <w:r>
                    <w:rPr>
                      <w:rFonts w:hint="default" w:ascii="Times New Roman" w:hAnsi="Times New Roman" w:eastAsia="宋体" w:cs="Times New Roman"/>
                      <w:i w:val="0"/>
                      <w:iCs w:val="0"/>
                      <w:color w:val="auto"/>
                      <w:kern w:val="0"/>
                      <w:sz w:val="18"/>
                      <w:szCs w:val="18"/>
                      <w:highlight w:val="none"/>
                      <w:u w:val="none"/>
                      <w:lang w:val="en-US" w:eastAsia="zh-CN" w:bidi="ar"/>
                    </w:rPr>
                    <w:t>0.000</w:t>
                  </w:r>
                </w:p>
              </w:tc>
              <w:tc>
                <w:tcPr>
                  <w:tcW w:w="4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3913C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EF082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0.000</w:t>
                  </w:r>
                </w:p>
              </w:tc>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8C571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0.092</w:t>
                  </w:r>
                </w:p>
              </w:tc>
            </w:tr>
            <w:tr w14:paraId="79B324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44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107FE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94829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雷蒙</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D7E86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14.773</w:t>
                  </w:r>
                </w:p>
              </w:tc>
              <w:tc>
                <w:tcPr>
                  <w:tcW w:w="51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AE308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CA350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117</w:t>
                  </w:r>
                </w:p>
              </w:tc>
              <w:tc>
                <w:tcPr>
                  <w:tcW w:w="36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7D1CA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99.8</w:t>
                  </w:r>
                </w:p>
              </w:tc>
              <w:tc>
                <w:tcPr>
                  <w:tcW w:w="3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623A9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100</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EE80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0.03</w:t>
                  </w:r>
                </w:p>
              </w:tc>
              <w:tc>
                <w:tcPr>
                  <w:tcW w:w="42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ABA27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4CB58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0.234</w:t>
                  </w:r>
                </w:p>
              </w:tc>
              <w:tc>
                <w:tcPr>
                  <w:tcW w:w="5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D89D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116.766</w:t>
                  </w:r>
                </w:p>
              </w:tc>
            </w:tr>
            <w:tr w14:paraId="11643C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91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DA274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合计</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8F5F3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76.617</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1510E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lang w:val="en-US" w:eastAsia="zh-CN"/>
                    </w:rPr>
                  </w:pP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B1E4A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421.955</w:t>
                  </w:r>
                </w:p>
              </w:tc>
              <w:tc>
                <w:tcPr>
                  <w:tcW w:w="36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513D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lang w:val="en-US" w:eastAsia="zh-CN"/>
                    </w:rPr>
                  </w:pPr>
                  <w:r>
                    <w:rPr>
                      <w:rFonts w:hint="default" w:ascii="Times New Roman" w:hAnsi="Times New Roman" w:eastAsia="宋体" w:cs="Times New Roman"/>
                      <w:i w:val="0"/>
                      <w:iCs w:val="0"/>
                      <w:color w:val="auto"/>
                      <w:sz w:val="18"/>
                      <w:szCs w:val="18"/>
                      <w:highlight w:val="none"/>
                      <w:u w:val="none"/>
                      <w:lang w:val="en-US" w:eastAsia="zh-CN"/>
                    </w:rPr>
                    <w:t>-</w:t>
                  </w:r>
                </w:p>
              </w:tc>
              <w:tc>
                <w:tcPr>
                  <w:tcW w:w="3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7E4DF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lang w:val="en-US" w:eastAsia="zh-CN"/>
                    </w:rPr>
                  </w:pPr>
                  <w:r>
                    <w:rPr>
                      <w:rFonts w:hint="default" w:ascii="Times New Roman" w:hAnsi="Times New Roman" w:eastAsia="宋体" w:cs="Times New Roman"/>
                      <w:i w:val="0"/>
                      <w:iCs w:val="0"/>
                      <w:color w:val="auto"/>
                      <w:sz w:val="18"/>
                      <w:szCs w:val="18"/>
                      <w:highlight w:val="none"/>
                      <w:u w:val="none"/>
                      <w:lang w:val="en-US" w:eastAsia="zh-CN"/>
                    </w:rPr>
                    <w:t>-</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C4C26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0.332</w:t>
                  </w:r>
                </w:p>
              </w:tc>
              <w:tc>
                <w:tcPr>
                  <w:tcW w:w="4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2B698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bidi="ar"/>
                    </w:rPr>
                    <w:t>25.91</w:t>
                  </w:r>
                </w:p>
              </w:tc>
              <w:tc>
                <w:tcPr>
                  <w:tcW w:w="4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566FA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1.759</w:t>
                  </w:r>
                </w:p>
              </w:tc>
              <w:tc>
                <w:tcPr>
                  <w:tcW w:w="5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2A90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420.196</w:t>
                  </w:r>
                </w:p>
              </w:tc>
            </w:tr>
          </w:tbl>
          <w:p w14:paraId="18115263">
            <w:pPr>
              <w:keepNext w:val="0"/>
              <w:keepLines w:val="0"/>
              <w:suppressLineNumbers w:val="0"/>
              <w:spacing w:before="0" w:beforeAutospacing="0" w:after="0" w:afterAutospacing="0" w:line="360" w:lineRule="auto"/>
              <w:ind w:left="0" w:right="0" w:firstLine="480" w:firstLineChars="200"/>
              <w:rPr>
                <w:rFonts w:ascii="Calibri" w:hAnsi="Calibri" w:eastAsia="宋体" w:cs="Times New Roman"/>
                <w:color w:val="auto"/>
                <w:sz w:val="24"/>
                <w:highlight w:val="none"/>
                <w:shd w:val="clear" w:color="auto" w:fill="auto"/>
              </w:rPr>
            </w:pPr>
            <w:r>
              <w:rPr>
                <w:rFonts w:hint="eastAsia" w:ascii="Calibri" w:hAnsi="Calibri" w:eastAsia="宋体" w:cs="Times New Roman"/>
                <w:color w:val="auto"/>
                <w:sz w:val="24"/>
                <w:highlight w:val="none"/>
                <w:shd w:val="clear" w:color="auto" w:fill="auto"/>
                <w:lang w:eastAsia="zh-CN"/>
              </w:rPr>
              <w:t>本</w:t>
            </w:r>
            <w:r>
              <w:rPr>
                <w:rFonts w:hint="eastAsia" w:ascii="Calibri" w:hAnsi="Calibri" w:cs="Times New Roman"/>
                <w:color w:val="auto"/>
                <w:sz w:val="24"/>
                <w:highlight w:val="none"/>
                <w:shd w:val="clear" w:color="auto" w:fill="auto"/>
                <w:lang w:eastAsia="zh-CN"/>
              </w:rPr>
              <w:t>项目</w:t>
            </w:r>
            <w:r>
              <w:rPr>
                <w:rFonts w:hint="eastAsia" w:ascii="Calibri" w:hAnsi="Calibri" w:cs="Times New Roman"/>
                <w:color w:val="auto"/>
                <w:sz w:val="24"/>
                <w:highlight w:val="none"/>
                <w:shd w:val="clear" w:color="auto" w:fill="auto"/>
                <w:lang w:val="en-US" w:eastAsia="zh-CN"/>
              </w:rPr>
              <w:t>1#原料库房；</w:t>
            </w:r>
            <w:r>
              <w:rPr>
                <w:rFonts w:hint="eastAsia" w:ascii="Calibri" w:hAnsi="Calibri" w:eastAsia="宋体" w:cs="Times New Roman"/>
                <w:color w:val="auto"/>
                <w:sz w:val="24"/>
                <w:highlight w:val="none"/>
                <w:shd w:val="clear" w:color="auto" w:fill="auto"/>
                <w:lang w:eastAsia="zh-CN"/>
              </w:rPr>
              <w:t>1#</w:t>
            </w:r>
            <w:r>
              <w:rPr>
                <w:rFonts w:hint="eastAsia" w:ascii="Calibri" w:hAnsi="Calibri" w:cs="Times New Roman"/>
                <w:color w:val="auto"/>
                <w:sz w:val="24"/>
                <w:highlight w:val="none"/>
                <w:shd w:val="clear" w:color="auto" w:fill="auto"/>
                <w:lang w:eastAsia="zh-CN"/>
              </w:rPr>
              <w:t>、</w:t>
            </w:r>
            <w:r>
              <w:rPr>
                <w:rFonts w:hint="eastAsia" w:ascii="Calibri" w:hAnsi="Calibri" w:cs="Times New Roman"/>
                <w:color w:val="auto"/>
                <w:sz w:val="24"/>
                <w:highlight w:val="none"/>
                <w:shd w:val="clear" w:color="auto" w:fill="auto"/>
                <w:lang w:val="en-US" w:eastAsia="zh-CN"/>
              </w:rPr>
              <w:t>2#</w:t>
            </w:r>
            <w:r>
              <w:rPr>
                <w:rFonts w:hint="eastAsia" w:ascii="Calibri" w:hAnsi="Calibri" w:cs="Times New Roman"/>
                <w:color w:val="auto"/>
                <w:sz w:val="24"/>
                <w:highlight w:val="none"/>
                <w:shd w:val="clear" w:color="auto" w:fill="auto"/>
                <w:lang w:eastAsia="zh-CN"/>
              </w:rPr>
              <w:t>生产线</w:t>
            </w:r>
            <w:r>
              <w:rPr>
                <w:rFonts w:ascii="Calibri" w:hAnsi="Calibri" w:eastAsia="宋体" w:cs="Times New Roman"/>
                <w:color w:val="auto"/>
                <w:sz w:val="24"/>
                <w:highlight w:val="none"/>
                <w:shd w:val="clear" w:color="auto" w:fill="auto"/>
              </w:rPr>
              <w:t>无组织</w:t>
            </w:r>
            <w:r>
              <w:rPr>
                <w:rFonts w:hint="eastAsia" w:ascii="Calibri" w:hAnsi="Calibri" w:eastAsia="宋体" w:cs="Times New Roman"/>
                <w:color w:val="auto"/>
                <w:sz w:val="24"/>
                <w:highlight w:val="none"/>
                <w:shd w:val="clear" w:color="auto" w:fill="auto"/>
                <w:lang w:eastAsia="zh-CN"/>
              </w:rPr>
              <w:t>废气</w:t>
            </w:r>
            <w:r>
              <w:rPr>
                <w:rFonts w:ascii="Calibri" w:hAnsi="Calibri" w:eastAsia="宋体" w:cs="Times New Roman"/>
                <w:color w:val="auto"/>
                <w:sz w:val="24"/>
                <w:highlight w:val="none"/>
                <w:shd w:val="clear" w:color="auto" w:fill="auto"/>
              </w:rPr>
              <w:t>产排情况详见</w:t>
            </w:r>
            <w:r>
              <w:rPr>
                <w:rFonts w:hint="eastAsia" w:ascii="Calibri" w:hAnsi="Calibri" w:eastAsia="宋体" w:cs="Times New Roman"/>
                <w:color w:val="auto"/>
                <w:sz w:val="24"/>
                <w:highlight w:val="none"/>
                <w:shd w:val="clear" w:color="auto" w:fill="auto"/>
                <w:lang w:val="en-US" w:eastAsia="zh-CN"/>
              </w:rPr>
              <w:t>表</w:t>
            </w:r>
            <w:r>
              <w:rPr>
                <w:rFonts w:hint="eastAsia" w:ascii="Calibri" w:hAnsi="Calibri" w:cs="Times New Roman"/>
                <w:color w:val="auto"/>
                <w:sz w:val="24"/>
                <w:highlight w:val="none"/>
                <w:shd w:val="clear" w:color="auto" w:fill="auto"/>
                <w:lang w:val="en-US" w:eastAsia="zh-CN"/>
              </w:rPr>
              <w:t>4-3</w:t>
            </w:r>
            <w:r>
              <w:rPr>
                <w:rFonts w:ascii="Calibri" w:hAnsi="Calibri" w:eastAsia="宋体" w:cs="Times New Roman"/>
                <w:color w:val="auto"/>
                <w:sz w:val="24"/>
                <w:highlight w:val="none"/>
                <w:shd w:val="clear" w:color="auto" w:fill="auto"/>
              </w:rPr>
              <w:t>。</w:t>
            </w:r>
          </w:p>
          <w:p w14:paraId="717978F3">
            <w:pPr>
              <w:keepNext w:val="0"/>
              <w:keepLines w:val="0"/>
              <w:suppressLineNumbers w:val="0"/>
              <w:spacing w:before="0" w:beforeAutospacing="0" w:after="0" w:afterAutospacing="0" w:line="360" w:lineRule="auto"/>
              <w:ind w:left="0" w:right="0"/>
              <w:jc w:val="center"/>
              <w:rPr>
                <w:rFonts w:ascii="Calibri" w:hAnsi="Calibri" w:eastAsia="宋体" w:cs="Times New Roman"/>
                <w:color w:val="auto"/>
                <w:sz w:val="24"/>
                <w:highlight w:val="none"/>
                <w:shd w:val="clear" w:color="auto" w:fill="auto"/>
              </w:rPr>
            </w:pPr>
            <w:r>
              <w:rPr>
                <w:rFonts w:ascii="Calibri" w:hAnsi="Calibri" w:eastAsia="宋体" w:cs="Times New Roman"/>
                <w:color w:val="auto"/>
                <w:sz w:val="24"/>
                <w:highlight w:val="none"/>
                <w:shd w:val="clear" w:color="auto" w:fill="auto"/>
              </w:rPr>
              <w:t>表</w:t>
            </w:r>
            <w:r>
              <w:rPr>
                <w:rFonts w:hint="eastAsia" w:ascii="Calibri" w:hAnsi="Calibri" w:cs="Times New Roman"/>
                <w:color w:val="auto"/>
                <w:sz w:val="24"/>
                <w:highlight w:val="none"/>
                <w:shd w:val="clear" w:color="auto" w:fill="auto"/>
                <w:lang w:val="en-US" w:eastAsia="zh-CN"/>
              </w:rPr>
              <w:t>4-3</w:t>
            </w:r>
            <w:r>
              <w:rPr>
                <w:rFonts w:ascii="Calibri" w:hAnsi="Calibri" w:eastAsia="宋体" w:cs="Times New Roman"/>
                <w:color w:val="auto"/>
                <w:sz w:val="24"/>
                <w:highlight w:val="none"/>
                <w:shd w:val="clear" w:color="auto" w:fill="auto"/>
              </w:rPr>
              <w:t xml:space="preserve">      </w:t>
            </w:r>
            <w:r>
              <w:rPr>
                <w:rFonts w:hint="eastAsia" w:ascii="Calibri" w:hAnsi="Calibri" w:eastAsia="宋体" w:cs="Times New Roman"/>
                <w:color w:val="auto"/>
                <w:sz w:val="24"/>
                <w:highlight w:val="none"/>
                <w:shd w:val="clear" w:color="auto" w:fill="auto"/>
                <w:lang w:val="en-US" w:eastAsia="zh-CN"/>
              </w:rPr>
              <w:t>项目</w:t>
            </w:r>
            <w:r>
              <w:rPr>
                <w:rFonts w:hint="eastAsia" w:ascii="Calibri" w:hAnsi="Calibri" w:eastAsia="宋体" w:cs="Times New Roman"/>
                <w:color w:val="auto"/>
                <w:sz w:val="24"/>
                <w:highlight w:val="none"/>
                <w:shd w:val="clear" w:color="auto" w:fill="auto"/>
                <w:lang w:eastAsia="zh-CN"/>
              </w:rPr>
              <w:t>1#</w:t>
            </w:r>
            <w:r>
              <w:rPr>
                <w:rFonts w:hint="eastAsia" w:ascii="Calibri" w:hAnsi="Calibri" w:cs="Times New Roman"/>
                <w:color w:val="auto"/>
                <w:sz w:val="24"/>
                <w:highlight w:val="none"/>
                <w:shd w:val="clear" w:color="auto" w:fill="auto"/>
                <w:lang w:eastAsia="zh-CN"/>
              </w:rPr>
              <w:t>、</w:t>
            </w:r>
            <w:r>
              <w:rPr>
                <w:rFonts w:hint="eastAsia" w:ascii="Calibri" w:hAnsi="Calibri" w:cs="Times New Roman"/>
                <w:color w:val="auto"/>
                <w:sz w:val="24"/>
                <w:highlight w:val="none"/>
                <w:shd w:val="clear" w:color="auto" w:fill="auto"/>
                <w:lang w:val="en-US" w:eastAsia="zh-CN"/>
              </w:rPr>
              <w:t>2#</w:t>
            </w:r>
            <w:r>
              <w:rPr>
                <w:rFonts w:hint="eastAsia" w:ascii="Calibri" w:hAnsi="Calibri" w:cs="Times New Roman"/>
                <w:color w:val="auto"/>
                <w:sz w:val="24"/>
                <w:highlight w:val="none"/>
                <w:shd w:val="clear" w:color="auto" w:fill="auto"/>
                <w:lang w:eastAsia="zh-CN"/>
              </w:rPr>
              <w:t>生产线</w:t>
            </w:r>
            <w:r>
              <w:rPr>
                <w:rFonts w:ascii="Calibri" w:hAnsi="Calibri" w:eastAsia="宋体" w:cs="Times New Roman"/>
                <w:color w:val="auto"/>
                <w:sz w:val="24"/>
                <w:highlight w:val="none"/>
                <w:shd w:val="clear" w:color="auto" w:fill="auto"/>
              </w:rPr>
              <w:t>颗粒物</w:t>
            </w:r>
            <w:r>
              <w:rPr>
                <w:rFonts w:hint="eastAsia" w:ascii="Calibri" w:hAnsi="Calibri" w:cs="Times New Roman"/>
                <w:color w:val="auto"/>
                <w:sz w:val="24"/>
                <w:highlight w:val="none"/>
                <w:shd w:val="clear" w:color="auto" w:fill="auto"/>
                <w:lang w:eastAsia="zh-CN"/>
              </w:rPr>
              <w:t>无</w:t>
            </w:r>
            <w:r>
              <w:rPr>
                <w:rFonts w:ascii="Calibri" w:hAnsi="Calibri" w:eastAsia="宋体" w:cs="Times New Roman"/>
                <w:color w:val="auto"/>
                <w:sz w:val="24"/>
                <w:highlight w:val="none"/>
                <w:shd w:val="clear" w:color="auto" w:fill="auto"/>
              </w:rPr>
              <w:t>组织产排情况</w:t>
            </w:r>
          </w:p>
          <w:tbl>
            <w:tblPr>
              <w:tblStyle w:val="25"/>
              <w:tblW w:w="508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41"/>
              <w:gridCol w:w="925"/>
              <w:gridCol w:w="1177"/>
              <w:gridCol w:w="1155"/>
              <w:gridCol w:w="1104"/>
              <w:gridCol w:w="1064"/>
              <w:gridCol w:w="1202"/>
              <w:gridCol w:w="938"/>
            </w:tblGrid>
            <w:tr w14:paraId="436034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0" w:hRule="atLeast"/>
                <w:jc w:val="center"/>
              </w:trPr>
              <w:tc>
                <w:tcPr>
                  <w:tcW w:w="1096" w:type="pct"/>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D37C4A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污染源</w:t>
                  </w:r>
                </w:p>
              </w:tc>
              <w:tc>
                <w:tcPr>
                  <w:tcW w:w="69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826462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产生速率</w:t>
                  </w:r>
                  <w:r>
                    <w:rPr>
                      <w:rFonts w:hint="default" w:ascii="Times New Roman" w:hAnsi="Times New Roman" w:eastAsia="宋体" w:cs="Times New Roman"/>
                      <w:i w:val="0"/>
                      <w:iCs w:val="0"/>
                      <w:color w:val="auto"/>
                      <w:kern w:val="0"/>
                      <w:sz w:val="18"/>
                      <w:szCs w:val="18"/>
                      <w:highlight w:val="none"/>
                      <w:u w:val="none"/>
                      <w:lang w:val="en-US" w:eastAsia="zh-CN" w:bidi="ar"/>
                    </w:rPr>
                    <w:br w:type="textWrapping"/>
                  </w:r>
                  <w:r>
                    <w:rPr>
                      <w:rFonts w:hint="default" w:ascii="Times New Roman" w:hAnsi="Times New Roman" w:eastAsia="宋体" w:cs="Times New Roman"/>
                      <w:i w:val="0"/>
                      <w:iCs w:val="0"/>
                      <w:color w:val="auto"/>
                      <w:kern w:val="0"/>
                      <w:sz w:val="18"/>
                      <w:szCs w:val="18"/>
                      <w:highlight w:val="none"/>
                      <w:u w:val="none"/>
                      <w:lang w:val="en-US" w:eastAsia="zh-CN" w:bidi="ar"/>
                    </w:rPr>
                    <w:t>(kg/h)</w:t>
                  </w:r>
                </w:p>
              </w:tc>
              <w:tc>
                <w:tcPr>
                  <w:tcW w:w="67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6DFEF4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产生量（t/a）</w:t>
                  </w:r>
                </w:p>
              </w:tc>
              <w:tc>
                <w:tcPr>
                  <w:tcW w:w="64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E9385A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沉降率（%）</w:t>
                  </w:r>
                </w:p>
              </w:tc>
              <w:tc>
                <w:tcPr>
                  <w:tcW w:w="62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ADA452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沉降灰（t/a）</w:t>
                  </w:r>
                </w:p>
              </w:tc>
              <w:tc>
                <w:tcPr>
                  <w:tcW w:w="70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2D7E2E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排放速率（kg/h）</w:t>
                  </w:r>
                </w:p>
              </w:tc>
              <w:tc>
                <w:tcPr>
                  <w:tcW w:w="55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520AB4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年排放量（t/a）</w:t>
                  </w:r>
                </w:p>
              </w:tc>
            </w:tr>
            <w:tr w14:paraId="65DB95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096"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E3643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9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6FEC8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16D66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4AD53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2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7E1C8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0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08294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5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9A206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r>
            <w:tr w14:paraId="2439A3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096"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9634C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9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46875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7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1FC4A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6A649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2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EA85D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0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09961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5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4BFD1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r>
            <w:tr w14:paraId="75D650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C59DF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1#原料库房</w:t>
                  </w: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88882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卸料</w:t>
                  </w:r>
                </w:p>
              </w:tc>
              <w:tc>
                <w:tcPr>
                  <w:tcW w:w="6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967CF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0.48</w:t>
                  </w:r>
                </w:p>
              </w:tc>
              <w:tc>
                <w:tcPr>
                  <w:tcW w:w="6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E3914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1.202</w:t>
                  </w:r>
                </w:p>
              </w:tc>
              <w:tc>
                <w:tcPr>
                  <w:tcW w:w="64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D38BA4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80</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8B5F3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0.962</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A0A52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0.096</w:t>
                  </w:r>
                </w:p>
              </w:tc>
              <w:tc>
                <w:tcPr>
                  <w:tcW w:w="5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91219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0.16</w:t>
                  </w:r>
                </w:p>
              </w:tc>
            </w:tr>
            <w:tr w14:paraId="2E3E08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2E5C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1#生产线</w:t>
                  </w: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48947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上料</w:t>
                  </w:r>
                </w:p>
              </w:tc>
              <w:tc>
                <w:tcPr>
                  <w:tcW w:w="6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97C4A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0.48</w:t>
                  </w:r>
                </w:p>
              </w:tc>
              <w:tc>
                <w:tcPr>
                  <w:tcW w:w="6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E09A4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0.800</w:t>
                  </w:r>
                </w:p>
              </w:tc>
              <w:tc>
                <w:tcPr>
                  <w:tcW w:w="6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3CD21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B1805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0.64</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EB699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0.096</w:t>
                  </w:r>
                </w:p>
              </w:tc>
              <w:tc>
                <w:tcPr>
                  <w:tcW w:w="5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84A08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0.16</w:t>
                  </w:r>
                </w:p>
              </w:tc>
            </w:tr>
            <w:tr w14:paraId="27380D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5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6C1BF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2#生产线</w:t>
                  </w: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CD2C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上料</w:t>
                  </w:r>
                </w:p>
              </w:tc>
              <w:tc>
                <w:tcPr>
                  <w:tcW w:w="6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EA61D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0.48</w:t>
                  </w:r>
                </w:p>
              </w:tc>
              <w:tc>
                <w:tcPr>
                  <w:tcW w:w="6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E04C3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0.402</w:t>
                  </w:r>
                </w:p>
              </w:tc>
              <w:tc>
                <w:tcPr>
                  <w:tcW w:w="6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D6B83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42ED5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0.322</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39CC1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0.096</w:t>
                  </w:r>
                </w:p>
              </w:tc>
              <w:tc>
                <w:tcPr>
                  <w:tcW w:w="5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AE05E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0.08</w:t>
                  </w:r>
                </w:p>
              </w:tc>
            </w:tr>
            <w:tr w14:paraId="1DB510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5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DA107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2536F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eastAsia" w:cs="Times New Roman"/>
                      <w:i w:val="0"/>
                      <w:iCs w:val="0"/>
                      <w:color w:val="auto"/>
                      <w:kern w:val="0"/>
                      <w:sz w:val="18"/>
                      <w:szCs w:val="18"/>
                      <w:highlight w:val="none"/>
                      <w:u w:val="none"/>
                      <w:lang w:val="en-US" w:eastAsia="zh-CN" w:bidi="ar"/>
                    </w:rPr>
                    <w:t>颚破</w:t>
                  </w:r>
                </w:p>
              </w:tc>
              <w:tc>
                <w:tcPr>
                  <w:tcW w:w="6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9F970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6.278</w:t>
                  </w:r>
                </w:p>
              </w:tc>
              <w:tc>
                <w:tcPr>
                  <w:tcW w:w="6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98ECD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22.6</w:t>
                  </w:r>
                </w:p>
              </w:tc>
              <w:tc>
                <w:tcPr>
                  <w:tcW w:w="6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2F988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66F9A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18.08</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C0A1F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1.256</w:t>
                  </w:r>
                </w:p>
              </w:tc>
              <w:tc>
                <w:tcPr>
                  <w:tcW w:w="5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48D8E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4.52</w:t>
                  </w:r>
                </w:p>
              </w:tc>
            </w:tr>
            <w:tr w14:paraId="39681C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5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6FAEE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E48D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中间仓</w:t>
                  </w:r>
                </w:p>
              </w:tc>
              <w:tc>
                <w:tcPr>
                  <w:tcW w:w="6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879FE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0.836</w:t>
                  </w:r>
                </w:p>
              </w:tc>
              <w:tc>
                <w:tcPr>
                  <w:tcW w:w="6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CF6A5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3.011</w:t>
                  </w:r>
                </w:p>
              </w:tc>
              <w:tc>
                <w:tcPr>
                  <w:tcW w:w="6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7E837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73948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2.409</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3E17B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0.167</w:t>
                  </w:r>
                </w:p>
              </w:tc>
              <w:tc>
                <w:tcPr>
                  <w:tcW w:w="5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5D415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0.602</w:t>
                  </w:r>
                </w:p>
              </w:tc>
            </w:tr>
            <w:tr w14:paraId="7A1EDA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5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8D0D8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5A225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锤破</w:t>
                  </w:r>
                </w:p>
              </w:tc>
              <w:tc>
                <w:tcPr>
                  <w:tcW w:w="6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D2983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2.854</w:t>
                  </w:r>
                </w:p>
              </w:tc>
              <w:tc>
                <w:tcPr>
                  <w:tcW w:w="6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FD356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22.6</w:t>
                  </w:r>
                </w:p>
              </w:tc>
              <w:tc>
                <w:tcPr>
                  <w:tcW w:w="6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88447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25579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18.08</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723C6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0.571</w:t>
                  </w:r>
                </w:p>
              </w:tc>
              <w:tc>
                <w:tcPr>
                  <w:tcW w:w="5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2A48D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4.52</w:t>
                  </w:r>
                </w:p>
              </w:tc>
            </w:tr>
            <w:tr w14:paraId="3277BB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5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798D6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BC15F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筛分</w:t>
                  </w:r>
                </w:p>
              </w:tc>
              <w:tc>
                <w:tcPr>
                  <w:tcW w:w="6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A1C06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2.854</w:t>
                  </w:r>
                </w:p>
              </w:tc>
              <w:tc>
                <w:tcPr>
                  <w:tcW w:w="6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C0C92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22.6</w:t>
                  </w:r>
                </w:p>
              </w:tc>
              <w:tc>
                <w:tcPr>
                  <w:tcW w:w="6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6E7E9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CD90C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18.08</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D239E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0.571</w:t>
                  </w:r>
                </w:p>
              </w:tc>
              <w:tc>
                <w:tcPr>
                  <w:tcW w:w="5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88270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4.52</w:t>
                  </w:r>
                </w:p>
              </w:tc>
            </w:tr>
            <w:tr w14:paraId="4120A9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5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C4918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25CB2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产品仓</w:t>
                  </w:r>
                </w:p>
              </w:tc>
              <w:tc>
                <w:tcPr>
                  <w:tcW w:w="6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D499C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0.833</w:t>
                  </w:r>
                </w:p>
              </w:tc>
              <w:tc>
                <w:tcPr>
                  <w:tcW w:w="6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B9644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3</w:t>
                  </w:r>
                </w:p>
              </w:tc>
              <w:tc>
                <w:tcPr>
                  <w:tcW w:w="6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DF028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CB455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2.4</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28DD5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0.167</w:t>
                  </w:r>
                </w:p>
              </w:tc>
              <w:tc>
                <w:tcPr>
                  <w:tcW w:w="5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42BB3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0.6</w:t>
                  </w:r>
                </w:p>
              </w:tc>
            </w:tr>
            <w:tr w14:paraId="6CCC32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5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8EF7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1DC37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包装</w:t>
                  </w:r>
                </w:p>
              </w:tc>
              <w:tc>
                <w:tcPr>
                  <w:tcW w:w="6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F1D8C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0.006</w:t>
                  </w:r>
                </w:p>
              </w:tc>
              <w:tc>
                <w:tcPr>
                  <w:tcW w:w="6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54672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0.023</w:t>
                  </w:r>
                </w:p>
              </w:tc>
              <w:tc>
                <w:tcPr>
                  <w:tcW w:w="6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0182C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0D783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0.018</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67B84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0.001</w:t>
                  </w:r>
                </w:p>
              </w:tc>
              <w:tc>
                <w:tcPr>
                  <w:tcW w:w="5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207EB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0.005</w:t>
                  </w:r>
                </w:p>
              </w:tc>
            </w:tr>
            <w:tr w14:paraId="08A54D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096"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FFF53A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合计</w:t>
                  </w:r>
                </w:p>
              </w:tc>
              <w:tc>
                <w:tcPr>
                  <w:tcW w:w="6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31819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15.101</w:t>
                  </w:r>
                </w:p>
              </w:tc>
              <w:tc>
                <w:tcPr>
                  <w:tcW w:w="6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B1A4D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76.239</w:t>
                  </w:r>
                </w:p>
              </w:tc>
              <w:tc>
                <w:tcPr>
                  <w:tcW w:w="6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2A001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84D0A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60.991</w:t>
                  </w:r>
                </w:p>
              </w:tc>
              <w:tc>
                <w:tcPr>
                  <w:tcW w:w="7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7D8F3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3.02</w:t>
                  </w:r>
                </w:p>
              </w:tc>
              <w:tc>
                <w:tcPr>
                  <w:tcW w:w="5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5796A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15.167</w:t>
                  </w:r>
                </w:p>
              </w:tc>
            </w:tr>
          </w:tbl>
          <w:p w14:paraId="07586E9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eastAsia" w:cs="Times New Roman"/>
                <w:color w:val="auto"/>
                <w:sz w:val="24"/>
                <w:szCs w:val="24"/>
                <w:highlight w:val="none"/>
                <w:shd w:val="clear" w:color="auto" w:fill="auto"/>
                <w:lang w:eastAsia="zh-CN"/>
              </w:rPr>
            </w:pPr>
          </w:p>
          <w:p w14:paraId="1124C2F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cs="Times New Roman"/>
                <w:color w:val="auto"/>
                <w:sz w:val="24"/>
                <w:szCs w:val="24"/>
                <w:highlight w:val="none"/>
                <w:shd w:val="clear" w:color="auto" w:fill="auto"/>
                <w:lang w:eastAsia="zh-CN"/>
              </w:rPr>
            </w:pPr>
            <w:r>
              <w:rPr>
                <w:rFonts w:hint="eastAsia" w:cs="Times New Roman"/>
                <w:color w:val="auto"/>
                <w:sz w:val="24"/>
                <w:szCs w:val="24"/>
                <w:highlight w:val="none"/>
                <w:shd w:val="clear" w:color="auto" w:fill="auto"/>
                <w:lang w:val="en-US" w:eastAsia="zh-CN"/>
              </w:rPr>
              <w:t>1#原料库房、</w:t>
            </w:r>
            <w:r>
              <w:rPr>
                <w:rFonts w:hint="eastAsia" w:cs="Times New Roman"/>
                <w:color w:val="auto"/>
                <w:sz w:val="24"/>
                <w:szCs w:val="24"/>
                <w:highlight w:val="none"/>
                <w:shd w:val="clear" w:color="auto" w:fill="auto"/>
                <w:lang w:eastAsia="zh-CN"/>
              </w:rPr>
              <w:t>1#、</w:t>
            </w:r>
            <w:r>
              <w:rPr>
                <w:rFonts w:hint="eastAsia" w:cs="Times New Roman"/>
                <w:color w:val="auto"/>
                <w:sz w:val="24"/>
                <w:szCs w:val="24"/>
                <w:highlight w:val="none"/>
                <w:shd w:val="clear" w:color="auto" w:fill="auto"/>
                <w:lang w:val="en-US" w:eastAsia="zh-CN"/>
              </w:rPr>
              <w:t>2#</w:t>
            </w:r>
            <w:r>
              <w:rPr>
                <w:rFonts w:hint="eastAsia" w:cs="Times New Roman"/>
                <w:color w:val="auto"/>
                <w:sz w:val="24"/>
                <w:szCs w:val="24"/>
                <w:highlight w:val="none"/>
                <w:shd w:val="clear" w:color="auto" w:fill="auto"/>
                <w:lang w:eastAsia="zh-CN"/>
              </w:rPr>
              <w:t>生产线</w:t>
            </w:r>
            <w:r>
              <w:rPr>
                <w:rFonts w:hint="eastAsia" w:ascii="Calibri" w:hAnsi="Calibri" w:eastAsia="宋体" w:cs="Times New Roman"/>
                <w:color w:val="auto"/>
                <w:sz w:val="24"/>
                <w:highlight w:val="none"/>
                <w:shd w:val="clear" w:color="auto" w:fill="auto"/>
                <w:lang w:eastAsia="zh-CN"/>
              </w:rPr>
              <w:t>生产</w:t>
            </w:r>
            <w:r>
              <w:rPr>
                <w:rFonts w:hint="eastAsia" w:ascii="Times New Roman" w:hAnsi="Times New Roman" w:eastAsia="宋体" w:cs="Times New Roman"/>
                <w:color w:val="auto"/>
                <w:sz w:val="24"/>
                <w:highlight w:val="none"/>
                <w:shd w:val="clear" w:color="auto" w:fill="auto"/>
                <w:lang w:val="en-US" w:eastAsia="zh-CN"/>
              </w:rPr>
              <w:t>废气经除尘器净化后统一由1根15m高排气筒（DA001）有组织排放，</w:t>
            </w:r>
            <w:r>
              <w:rPr>
                <w:rFonts w:hint="eastAsia" w:ascii="Times New Roman" w:hAnsi="Times New Roman" w:eastAsia="宋体" w:cs="Times New Roman"/>
                <w:color w:val="auto"/>
                <w:sz w:val="24"/>
                <w:szCs w:val="24"/>
                <w:highlight w:val="none"/>
                <w:shd w:val="clear" w:color="auto" w:fill="auto"/>
                <w:lang w:val="en-US" w:eastAsia="zh-CN"/>
              </w:rPr>
              <w:t>有组织排放浓度25.91</w:t>
            </w:r>
            <w:r>
              <w:rPr>
                <w:rFonts w:hint="eastAsia" w:ascii="宋体" w:hAnsi="宋体" w:eastAsia="宋体" w:cs="宋体"/>
                <w:i w:val="0"/>
                <w:iCs w:val="0"/>
                <w:color w:val="auto"/>
                <w:kern w:val="0"/>
                <w:sz w:val="24"/>
                <w:szCs w:val="24"/>
                <w:highlight w:val="none"/>
                <w:u w:val="none"/>
                <w:lang w:val="en-US" w:eastAsia="zh-CN" w:bidi="ar"/>
              </w:rPr>
              <w:t>mg/m</w:t>
            </w:r>
            <w:r>
              <w:rPr>
                <w:rFonts w:hint="eastAsia" w:ascii="宋体" w:hAnsi="宋体" w:eastAsia="宋体" w:cs="宋体"/>
                <w:i w:val="0"/>
                <w:iCs w:val="0"/>
                <w:color w:val="auto"/>
                <w:kern w:val="0"/>
                <w:sz w:val="24"/>
                <w:szCs w:val="24"/>
                <w:highlight w:val="none"/>
                <w:u w:val="none"/>
                <w:vertAlign w:val="superscript"/>
                <w:lang w:val="en-US" w:eastAsia="zh-CN" w:bidi="ar"/>
              </w:rPr>
              <w:t>3</w:t>
            </w:r>
            <w:r>
              <w:rPr>
                <w:rFonts w:hint="eastAsia" w:cs="Times New Roman"/>
                <w:color w:val="auto"/>
                <w:sz w:val="24"/>
                <w:szCs w:val="24"/>
                <w:highlight w:val="none"/>
                <w:shd w:val="clear" w:color="auto" w:fill="auto"/>
                <w:lang w:eastAsia="zh-CN"/>
              </w:rPr>
              <w:t>；</w:t>
            </w:r>
          </w:p>
          <w:p w14:paraId="3D1C65A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cs="Times New Roman"/>
                <w:color w:val="auto"/>
                <w:sz w:val="24"/>
                <w:szCs w:val="24"/>
                <w:highlight w:val="none"/>
                <w:shd w:val="clear" w:color="auto" w:fill="auto"/>
                <w:lang w:eastAsia="zh-CN"/>
              </w:rPr>
            </w:pPr>
            <w:r>
              <w:rPr>
                <w:rFonts w:hint="eastAsia" w:cs="Times New Roman"/>
                <w:color w:val="auto"/>
                <w:sz w:val="24"/>
                <w:szCs w:val="24"/>
                <w:highlight w:val="none"/>
                <w:shd w:val="clear" w:color="auto" w:fill="auto"/>
                <w:lang w:eastAsia="zh-CN"/>
              </w:rPr>
              <w:t>本项目</w:t>
            </w:r>
            <w:r>
              <w:rPr>
                <w:rFonts w:hint="eastAsia" w:ascii="Times New Roman" w:hAnsi="Times New Roman" w:eastAsia="宋体" w:cs="Times New Roman"/>
                <w:color w:val="auto"/>
                <w:sz w:val="24"/>
                <w:szCs w:val="24"/>
                <w:highlight w:val="none"/>
                <w:shd w:val="clear" w:color="auto" w:fill="auto"/>
                <w:lang w:eastAsia="zh-CN"/>
              </w:rPr>
              <w:t>无组织颗粒物</w:t>
            </w:r>
            <w:r>
              <w:rPr>
                <w:rFonts w:hint="eastAsia" w:cs="Times New Roman"/>
                <w:color w:val="auto"/>
                <w:sz w:val="24"/>
                <w:szCs w:val="24"/>
                <w:highlight w:val="none"/>
                <w:shd w:val="clear" w:color="auto" w:fill="auto"/>
                <w:lang w:eastAsia="zh-CN"/>
              </w:rPr>
              <w:t>控制</w:t>
            </w:r>
            <w:r>
              <w:rPr>
                <w:rFonts w:hint="eastAsia" w:ascii="Times New Roman" w:hAnsi="Times New Roman" w:eastAsia="宋体" w:cs="Times New Roman"/>
                <w:color w:val="auto"/>
                <w:sz w:val="24"/>
                <w:szCs w:val="24"/>
                <w:highlight w:val="none"/>
                <w:shd w:val="clear" w:color="auto" w:fill="auto"/>
                <w:lang w:eastAsia="zh-CN"/>
              </w:rPr>
              <w:t>采取封闭厂房，原料库及生产车间安装电动门，封闭输送，沉降粉尘定期由吸尘车回收，厂区进行地面硬化，道路洒水抑尘，加强精细化管理，控制无组织粉尘污染</w:t>
            </w:r>
            <w:r>
              <w:rPr>
                <w:rFonts w:hint="eastAsia" w:cs="Times New Roman"/>
                <w:color w:val="auto"/>
                <w:sz w:val="24"/>
                <w:szCs w:val="24"/>
                <w:highlight w:val="none"/>
                <w:shd w:val="clear" w:color="auto" w:fill="auto"/>
                <w:lang w:eastAsia="zh-CN"/>
              </w:rPr>
              <w:t>，满足</w:t>
            </w:r>
            <w:r>
              <w:rPr>
                <w:rFonts w:hint="default" w:ascii="Calibri" w:hAnsi="Calibri" w:eastAsia="宋体" w:cs="Times New Roman"/>
                <w:color w:val="auto"/>
                <w:sz w:val="24"/>
                <w:szCs w:val="24"/>
                <w:highlight w:val="none"/>
              </w:rPr>
              <w:t>《镁质耐火材料工业大气污染物排放标准》（DB21/3011-2018）</w:t>
            </w:r>
            <w:r>
              <w:rPr>
                <w:rFonts w:hint="eastAsia" w:ascii="Times New Roman" w:hAnsi="Times New Roman" w:eastAsia="宋体" w:cs="Times New Roman"/>
                <w:color w:val="auto"/>
                <w:sz w:val="24"/>
                <w:szCs w:val="24"/>
                <w:highlight w:val="none"/>
                <w:shd w:val="clear" w:color="auto" w:fill="auto"/>
                <w:lang w:eastAsia="zh-CN"/>
              </w:rPr>
              <w:t>无组织排放控制措施要求</w:t>
            </w:r>
            <w:r>
              <w:rPr>
                <w:rFonts w:hint="eastAsia" w:cs="Times New Roman"/>
                <w:color w:val="auto"/>
                <w:sz w:val="24"/>
                <w:szCs w:val="24"/>
                <w:highlight w:val="none"/>
                <w:shd w:val="clear" w:color="auto" w:fill="auto"/>
                <w:lang w:eastAsia="zh-CN"/>
              </w:rPr>
              <w:t>，对环境影响不大。</w:t>
            </w:r>
          </w:p>
          <w:p w14:paraId="62393F6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shd w:val="clear" w:color="auto" w:fill="auto"/>
                <w:lang w:eastAsia="zh-CN"/>
              </w:rPr>
            </w:pPr>
            <w:r>
              <w:rPr>
                <w:rFonts w:hint="eastAsia" w:cs="Times New Roman"/>
                <w:color w:val="auto"/>
                <w:sz w:val="24"/>
                <w:szCs w:val="24"/>
                <w:highlight w:val="none"/>
                <w:shd w:val="clear" w:color="auto" w:fill="auto"/>
                <w:lang w:eastAsia="zh-CN"/>
              </w:rPr>
              <w:t>综上本项目1#、</w:t>
            </w:r>
            <w:r>
              <w:rPr>
                <w:rFonts w:hint="eastAsia" w:cs="Times New Roman"/>
                <w:color w:val="auto"/>
                <w:sz w:val="24"/>
                <w:szCs w:val="24"/>
                <w:highlight w:val="none"/>
                <w:shd w:val="clear" w:color="auto" w:fill="auto"/>
                <w:lang w:val="en-US" w:eastAsia="zh-CN"/>
              </w:rPr>
              <w:t>2#</w:t>
            </w:r>
            <w:r>
              <w:rPr>
                <w:rFonts w:hint="eastAsia" w:cs="Times New Roman"/>
                <w:color w:val="auto"/>
                <w:sz w:val="24"/>
                <w:szCs w:val="24"/>
                <w:highlight w:val="none"/>
                <w:shd w:val="clear" w:color="auto" w:fill="auto"/>
                <w:lang w:eastAsia="zh-CN"/>
              </w:rPr>
              <w:t>生产线排气筒高度；</w:t>
            </w:r>
            <w:r>
              <w:rPr>
                <w:rFonts w:hint="eastAsia" w:ascii="Times New Roman" w:hAnsi="Times New Roman" w:eastAsia="宋体" w:cs="Times New Roman"/>
                <w:color w:val="auto"/>
                <w:sz w:val="24"/>
                <w:szCs w:val="24"/>
                <w:highlight w:val="none"/>
                <w:shd w:val="clear" w:color="auto" w:fill="auto"/>
                <w:lang w:val="en-US" w:eastAsia="zh-CN"/>
              </w:rPr>
              <w:t>有组织及无组织均能</w:t>
            </w:r>
            <w:r>
              <w:rPr>
                <w:rFonts w:ascii="Calibri" w:hAnsi="Calibri" w:eastAsia="宋体" w:cs="Times New Roman"/>
                <w:color w:val="auto"/>
                <w:sz w:val="24"/>
                <w:szCs w:val="24"/>
                <w:highlight w:val="none"/>
                <w:shd w:val="clear" w:color="auto" w:fill="auto"/>
              </w:rPr>
              <w:t>满足</w:t>
            </w:r>
            <w:r>
              <w:rPr>
                <w:rFonts w:hint="default" w:ascii="Calibri" w:hAnsi="Calibri" w:eastAsia="宋体" w:cs="Times New Roman"/>
                <w:color w:val="auto"/>
                <w:sz w:val="24"/>
                <w:szCs w:val="24"/>
                <w:highlight w:val="none"/>
              </w:rPr>
              <w:t>《镁质耐火材料工业大气污染物排放标准》（DB21/3011-2018）</w:t>
            </w:r>
            <w:r>
              <w:rPr>
                <w:rFonts w:hint="eastAsia" w:ascii="Calibri" w:hAnsi="Calibri" w:eastAsia="宋体" w:cs="Times New Roman"/>
                <w:color w:val="auto"/>
                <w:sz w:val="24"/>
                <w:szCs w:val="24"/>
                <w:highlight w:val="none"/>
                <w:lang w:val="en-US" w:eastAsia="zh-CN"/>
              </w:rPr>
              <w:t>要求</w:t>
            </w:r>
            <w:r>
              <w:rPr>
                <w:rFonts w:hint="eastAsia" w:ascii="Calibri" w:hAnsi="Calibri" w:eastAsia="宋体" w:cs="Times New Roman"/>
                <w:color w:val="auto"/>
                <w:kern w:val="0"/>
                <w:sz w:val="21"/>
                <w:szCs w:val="21"/>
                <w:highlight w:val="none"/>
                <w:lang w:eastAsia="zh-CN"/>
              </w:rPr>
              <w:t>。</w:t>
            </w:r>
          </w:p>
          <w:p w14:paraId="4C6A0242">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highlight w:val="none"/>
                <w:shd w:val="clear" w:color="auto" w:fill="auto"/>
                <w:lang w:eastAsia="zh-CN"/>
              </w:rPr>
            </w:pPr>
            <w:r>
              <w:rPr>
                <w:rFonts w:hint="eastAsia" w:ascii="Times New Roman" w:hAnsi="Times New Roman" w:eastAsia="宋体" w:cs="Times New Roman"/>
                <w:color w:val="auto"/>
                <w:sz w:val="24"/>
                <w:highlight w:val="none"/>
                <w:shd w:val="clear" w:color="auto" w:fill="auto"/>
                <w:lang w:eastAsia="zh-CN"/>
              </w:rPr>
              <w:t>（</w:t>
            </w:r>
            <w:r>
              <w:rPr>
                <w:rFonts w:hint="eastAsia" w:cs="Times New Roman"/>
                <w:color w:val="auto"/>
                <w:sz w:val="24"/>
                <w:highlight w:val="none"/>
                <w:shd w:val="clear" w:color="auto" w:fill="auto"/>
                <w:lang w:val="en-US" w:eastAsia="zh-CN"/>
              </w:rPr>
              <w:t>2</w:t>
            </w:r>
            <w:r>
              <w:rPr>
                <w:rFonts w:hint="eastAsia" w:ascii="Times New Roman" w:hAnsi="Times New Roman" w:eastAsia="宋体" w:cs="Times New Roman"/>
                <w:color w:val="auto"/>
                <w:sz w:val="24"/>
                <w:highlight w:val="none"/>
                <w:shd w:val="clear" w:color="auto" w:fill="auto"/>
                <w:lang w:eastAsia="zh-CN"/>
              </w:rPr>
              <w:t>）</w:t>
            </w:r>
            <w:r>
              <w:rPr>
                <w:rFonts w:hint="eastAsia" w:cs="Times New Roman"/>
                <w:color w:val="auto"/>
                <w:kern w:val="2"/>
                <w:sz w:val="24"/>
                <w:szCs w:val="24"/>
                <w:highlight w:val="none"/>
                <w:shd w:val="clear" w:color="auto" w:fill="auto"/>
                <w:lang w:val="en-US" w:eastAsia="zh-CN" w:bidi="ar-SA"/>
              </w:rPr>
              <w:t>3#生产线</w:t>
            </w:r>
            <w:r>
              <w:rPr>
                <w:rFonts w:hint="eastAsia" w:ascii="Times New Roman" w:hAnsi="Times New Roman" w:eastAsia="宋体" w:cs="Times New Roman"/>
                <w:color w:val="auto"/>
                <w:sz w:val="24"/>
                <w:highlight w:val="none"/>
                <w:shd w:val="clear" w:color="auto" w:fill="auto"/>
                <w:lang w:eastAsia="zh-CN"/>
              </w:rPr>
              <w:t>生产工序粉尘</w:t>
            </w:r>
          </w:p>
          <w:p w14:paraId="49FC899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highlight w:val="none"/>
                <w:shd w:val="clear" w:color="auto" w:fill="auto"/>
                <w:lang w:eastAsia="zh-CN"/>
              </w:rPr>
            </w:pPr>
            <w:r>
              <w:rPr>
                <w:rFonts w:hint="default" w:ascii="Times New Roman" w:hAnsi="Times New Roman" w:eastAsia="宋体" w:cs="Times New Roman"/>
                <w:color w:val="auto"/>
                <w:sz w:val="24"/>
                <w:highlight w:val="none"/>
                <w:shd w:val="clear" w:color="auto" w:fill="auto"/>
                <w:lang w:eastAsia="zh-CN"/>
              </w:rPr>
              <w:t>本项目</w:t>
            </w:r>
            <w:r>
              <w:rPr>
                <w:rFonts w:hint="eastAsia" w:cs="Times New Roman"/>
                <w:color w:val="auto"/>
                <w:kern w:val="2"/>
                <w:sz w:val="24"/>
                <w:szCs w:val="24"/>
                <w:highlight w:val="none"/>
                <w:shd w:val="clear" w:color="auto" w:fill="auto"/>
                <w:lang w:val="en-US" w:eastAsia="zh-CN" w:bidi="ar-SA"/>
              </w:rPr>
              <w:t>3#生产线为</w:t>
            </w:r>
            <w:r>
              <w:rPr>
                <w:rFonts w:hint="eastAsia" w:cs="Times New Roman"/>
                <w:color w:val="auto"/>
                <w:sz w:val="24"/>
                <w:highlight w:val="none"/>
                <w:shd w:val="clear" w:color="auto" w:fill="auto"/>
                <w:lang w:eastAsia="zh-CN"/>
              </w:rPr>
              <w:t>白云石粉生产线，</w:t>
            </w:r>
            <w:r>
              <w:rPr>
                <w:rFonts w:hint="default" w:ascii="Times New Roman" w:hAnsi="Times New Roman" w:eastAsia="宋体" w:cs="Times New Roman"/>
                <w:color w:val="auto"/>
                <w:sz w:val="24"/>
                <w:highlight w:val="none"/>
                <w:shd w:val="clear" w:color="auto" w:fill="auto"/>
                <w:lang w:val="en-US" w:eastAsia="zh-CN"/>
              </w:rPr>
              <w:t>上料、颚式破碎机</w:t>
            </w:r>
            <w:r>
              <w:rPr>
                <w:rFonts w:hint="eastAsia" w:cs="Times New Roman"/>
                <w:color w:val="auto"/>
                <w:sz w:val="24"/>
                <w:highlight w:val="none"/>
                <w:shd w:val="clear" w:color="auto" w:fill="auto"/>
                <w:lang w:val="en-US" w:eastAsia="zh-CN"/>
              </w:rPr>
              <w:t>、中间仓</w:t>
            </w:r>
            <w:r>
              <w:rPr>
                <w:rFonts w:hint="eastAsia" w:ascii="Times New Roman" w:hAnsi="Times New Roman" w:eastAsia="宋体" w:cs="Times New Roman"/>
                <w:color w:val="auto"/>
                <w:sz w:val="24"/>
                <w:highlight w:val="none"/>
                <w:shd w:val="clear" w:color="auto" w:fill="auto"/>
                <w:lang w:eastAsia="zh-CN"/>
              </w:rPr>
              <w:t>入仓</w:t>
            </w:r>
            <w:r>
              <w:rPr>
                <w:rFonts w:hint="default" w:ascii="Times New Roman" w:hAnsi="Times New Roman" w:eastAsia="宋体" w:cs="Times New Roman"/>
                <w:color w:val="auto"/>
                <w:sz w:val="24"/>
                <w:highlight w:val="none"/>
                <w:shd w:val="clear" w:color="auto" w:fill="auto"/>
                <w:lang w:val="en-US" w:eastAsia="zh-CN"/>
              </w:rPr>
              <w:t>、锤式破碎机、筛分机筛分、雷蒙</w:t>
            </w:r>
            <w:r>
              <w:rPr>
                <w:rFonts w:hint="eastAsia" w:cs="Times New Roman"/>
                <w:color w:val="auto"/>
                <w:sz w:val="24"/>
                <w:highlight w:val="none"/>
                <w:shd w:val="clear" w:color="auto" w:fill="auto"/>
                <w:lang w:val="en-US" w:eastAsia="zh-CN"/>
              </w:rPr>
              <w:t>、产品仓</w:t>
            </w:r>
            <w:r>
              <w:rPr>
                <w:rFonts w:hint="eastAsia" w:ascii="Times New Roman" w:hAnsi="Times New Roman" w:eastAsia="宋体" w:cs="Times New Roman"/>
                <w:color w:val="auto"/>
                <w:sz w:val="24"/>
                <w:highlight w:val="none"/>
                <w:shd w:val="clear" w:color="auto" w:fill="auto"/>
                <w:lang w:eastAsia="zh-CN"/>
              </w:rPr>
              <w:t>入仓</w:t>
            </w:r>
            <w:r>
              <w:rPr>
                <w:rFonts w:hint="eastAsia" w:cs="Times New Roman"/>
                <w:color w:val="auto"/>
                <w:sz w:val="24"/>
                <w:highlight w:val="none"/>
                <w:shd w:val="clear" w:color="auto" w:fill="auto"/>
                <w:lang w:val="en-US" w:eastAsia="zh-CN"/>
              </w:rPr>
              <w:t>、包装</w:t>
            </w:r>
            <w:r>
              <w:rPr>
                <w:rFonts w:hint="default" w:ascii="Times New Roman" w:hAnsi="Times New Roman" w:eastAsia="宋体" w:cs="Times New Roman"/>
                <w:color w:val="auto"/>
                <w:sz w:val="24"/>
                <w:highlight w:val="none"/>
                <w:shd w:val="clear" w:color="auto" w:fill="auto"/>
                <w:lang w:val="en-US" w:eastAsia="zh-CN"/>
              </w:rPr>
              <w:t>工序</w:t>
            </w:r>
            <w:r>
              <w:rPr>
                <w:rFonts w:hint="default" w:ascii="Times New Roman" w:hAnsi="Times New Roman" w:eastAsia="宋体" w:cs="Times New Roman"/>
                <w:color w:val="auto"/>
                <w:sz w:val="24"/>
                <w:highlight w:val="none"/>
                <w:shd w:val="clear" w:color="auto" w:fill="auto"/>
              </w:rPr>
              <w:t>有粉尘产生</w:t>
            </w:r>
            <w:r>
              <w:rPr>
                <w:rFonts w:hint="eastAsia" w:cs="Times New Roman"/>
                <w:color w:val="auto"/>
                <w:sz w:val="24"/>
                <w:highlight w:val="none"/>
                <w:shd w:val="clear" w:color="auto" w:fill="auto"/>
                <w:lang w:eastAsia="zh-CN"/>
              </w:rPr>
              <w:t>。</w:t>
            </w:r>
            <w:r>
              <w:rPr>
                <w:rFonts w:hint="default" w:ascii="Times New Roman" w:hAnsi="Times New Roman" w:eastAsia="宋体" w:cs="Times New Roman"/>
                <w:color w:val="auto"/>
                <w:sz w:val="24"/>
                <w:highlight w:val="none"/>
                <w:shd w:val="clear" w:color="auto" w:fill="auto"/>
              </w:rPr>
              <w:t>根据</w:t>
            </w:r>
            <w:r>
              <w:rPr>
                <w:rFonts w:hint="default" w:ascii="Times New Roman" w:hAnsi="Times New Roman" w:eastAsia="宋体" w:cs="Times New Roman"/>
                <w:color w:val="auto"/>
                <w:kern w:val="2"/>
                <w:sz w:val="24"/>
                <w:szCs w:val="24"/>
                <w:highlight w:val="none"/>
                <w:lang w:val="en-US" w:eastAsia="zh-CN" w:bidi="ar-SA"/>
              </w:rPr>
              <w:t>《排放源统计调查产排污核算方法和系数手册》（公告2021年第24号）中“3099 其他非金属矿物制品制造行业系数手册”，</w:t>
            </w:r>
            <w:r>
              <w:rPr>
                <w:rFonts w:hint="eastAsia" w:cs="Times New Roman"/>
                <w:color w:val="auto"/>
                <w:kern w:val="2"/>
                <w:sz w:val="24"/>
                <w:szCs w:val="24"/>
                <w:highlight w:val="none"/>
                <w:lang w:val="en-US" w:eastAsia="zh-CN" w:bidi="ar-SA"/>
              </w:rPr>
              <w:t>颚破</w:t>
            </w:r>
            <w:r>
              <w:rPr>
                <w:rFonts w:hint="default" w:ascii="Times New Roman" w:hAnsi="Times New Roman" w:eastAsia="宋体" w:cs="Times New Roman"/>
                <w:color w:val="auto"/>
                <w:sz w:val="24"/>
                <w:highlight w:val="none"/>
                <w:shd w:val="clear" w:color="auto" w:fill="auto"/>
              </w:rPr>
              <w:t>的粉尘产生系数为</w:t>
            </w:r>
            <w:r>
              <w:rPr>
                <w:rFonts w:hint="default" w:ascii="Times New Roman" w:hAnsi="Times New Roman" w:eastAsia="宋体" w:cs="Times New Roman"/>
                <w:color w:val="auto"/>
                <w:kern w:val="2"/>
                <w:sz w:val="24"/>
                <w:szCs w:val="24"/>
                <w:highlight w:val="none"/>
                <w:lang w:val="en-US" w:eastAsia="zh-CN" w:bidi="ar-SA"/>
              </w:rPr>
              <w:t>1.13kg/t-</w:t>
            </w:r>
            <w:r>
              <w:rPr>
                <w:rFonts w:hint="eastAsia" w:ascii="Times New Roman" w:hAnsi="Times New Roman" w:eastAsia="宋体" w:cs="Times New Roman"/>
                <w:color w:val="auto"/>
                <w:kern w:val="2"/>
                <w:sz w:val="24"/>
                <w:szCs w:val="24"/>
                <w:highlight w:val="none"/>
                <w:lang w:val="en-US" w:eastAsia="zh-CN" w:bidi="ar-SA"/>
              </w:rPr>
              <w:t>产品</w:t>
            </w:r>
            <w:r>
              <w:rPr>
                <w:rFonts w:hint="eastAsia" w:ascii="Times New Roman" w:hAnsi="Times New Roman" w:eastAsia="宋体" w:cs="Times New Roman"/>
                <w:color w:val="auto"/>
                <w:sz w:val="24"/>
                <w:highlight w:val="none"/>
                <w:shd w:val="clear" w:color="auto" w:fill="auto"/>
                <w:lang w:eastAsia="zh-CN"/>
              </w:rPr>
              <w:t>，制砂分级</w:t>
            </w:r>
            <w:r>
              <w:rPr>
                <w:rFonts w:hint="default" w:ascii="Times New Roman" w:hAnsi="Times New Roman" w:eastAsia="宋体" w:cs="Times New Roman"/>
                <w:color w:val="auto"/>
                <w:sz w:val="24"/>
                <w:highlight w:val="none"/>
                <w:shd w:val="clear" w:color="auto" w:fill="auto"/>
              </w:rPr>
              <w:t>的粉尘产生系数为</w:t>
            </w:r>
            <w:r>
              <w:rPr>
                <w:rFonts w:hint="default" w:ascii="Times New Roman" w:hAnsi="Times New Roman" w:eastAsia="宋体" w:cs="Times New Roman"/>
                <w:color w:val="auto"/>
                <w:kern w:val="2"/>
                <w:sz w:val="24"/>
                <w:szCs w:val="24"/>
                <w:highlight w:val="none"/>
                <w:lang w:val="en-US" w:eastAsia="zh-CN" w:bidi="ar-SA"/>
              </w:rPr>
              <w:t>1.13kg/t-</w:t>
            </w:r>
            <w:r>
              <w:rPr>
                <w:rFonts w:hint="eastAsia" w:ascii="Times New Roman" w:hAnsi="Times New Roman" w:eastAsia="宋体" w:cs="Times New Roman"/>
                <w:color w:val="auto"/>
                <w:kern w:val="2"/>
                <w:sz w:val="24"/>
                <w:szCs w:val="24"/>
                <w:highlight w:val="none"/>
                <w:lang w:val="en-US" w:eastAsia="zh-CN" w:bidi="ar-SA"/>
              </w:rPr>
              <w:t>产品</w:t>
            </w:r>
            <w:r>
              <w:rPr>
                <w:rFonts w:hint="eastAsia" w:ascii="Times New Roman" w:hAnsi="Times New Roman" w:eastAsia="宋体" w:cs="Times New Roman"/>
                <w:color w:val="auto"/>
                <w:sz w:val="24"/>
                <w:highlight w:val="none"/>
                <w:shd w:val="clear" w:color="auto" w:fill="auto"/>
                <w:lang w:eastAsia="zh-CN"/>
              </w:rPr>
              <w:t>，</w:t>
            </w:r>
            <w:r>
              <w:rPr>
                <w:rFonts w:hint="eastAsia" w:ascii="Times New Roman" w:hAnsi="Times New Roman" w:eastAsia="宋体" w:cs="Times New Roman"/>
                <w:color w:val="auto"/>
                <w:kern w:val="2"/>
                <w:sz w:val="24"/>
                <w:szCs w:val="24"/>
                <w:highlight w:val="none"/>
                <w:lang w:val="en-US" w:eastAsia="zh-CN" w:bidi="ar-SA"/>
              </w:rPr>
              <w:t>筛分</w:t>
            </w:r>
            <w:r>
              <w:rPr>
                <w:rFonts w:hint="default" w:ascii="Times New Roman" w:hAnsi="Times New Roman" w:eastAsia="宋体" w:cs="Times New Roman"/>
                <w:color w:val="auto"/>
                <w:kern w:val="2"/>
                <w:sz w:val="24"/>
                <w:szCs w:val="24"/>
                <w:highlight w:val="none"/>
                <w:lang w:val="en-US" w:eastAsia="zh-CN" w:bidi="ar-SA"/>
              </w:rPr>
              <w:t>粉尘产生系数为1.13kg/t-</w:t>
            </w:r>
            <w:r>
              <w:rPr>
                <w:rFonts w:hint="eastAsia" w:ascii="Times New Roman" w:hAnsi="Times New Roman" w:eastAsia="宋体" w:cs="Times New Roman"/>
                <w:color w:val="auto"/>
                <w:kern w:val="2"/>
                <w:sz w:val="24"/>
                <w:szCs w:val="24"/>
                <w:highlight w:val="none"/>
                <w:lang w:val="en-US" w:eastAsia="zh-CN" w:bidi="ar-SA"/>
              </w:rPr>
              <w:t>产品，</w:t>
            </w:r>
            <w:r>
              <w:rPr>
                <w:rFonts w:hint="eastAsia" w:cs="Times New Roman"/>
                <w:color w:val="auto"/>
                <w:kern w:val="2"/>
                <w:sz w:val="24"/>
                <w:szCs w:val="24"/>
                <w:highlight w:val="none"/>
                <w:lang w:val="en-US" w:eastAsia="zh-CN" w:bidi="ar-SA"/>
              </w:rPr>
              <w:t>雷蒙</w:t>
            </w:r>
            <w:r>
              <w:rPr>
                <w:rFonts w:hint="default" w:ascii="Times New Roman" w:hAnsi="Times New Roman" w:eastAsia="宋体" w:cs="Times New Roman"/>
                <w:color w:val="auto"/>
                <w:kern w:val="2"/>
                <w:sz w:val="24"/>
                <w:szCs w:val="24"/>
                <w:highlight w:val="none"/>
                <w:lang w:val="en-US" w:eastAsia="zh-CN" w:bidi="ar-SA"/>
              </w:rPr>
              <w:t>粉尘产生系数为1.</w:t>
            </w:r>
            <w:r>
              <w:rPr>
                <w:rFonts w:hint="eastAsia" w:ascii="Times New Roman" w:hAnsi="Times New Roman" w:eastAsia="宋体" w:cs="Times New Roman"/>
                <w:color w:val="auto"/>
                <w:kern w:val="2"/>
                <w:sz w:val="24"/>
                <w:szCs w:val="24"/>
                <w:highlight w:val="none"/>
                <w:lang w:val="en-US" w:eastAsia="zh-CN" w:bidi="ar-SA"/>
              </w:rPr>
              <w:t>17</w:t>
            </w:r>
            <w:r>
              <w:rPr>
                <w:rFonts w:hint="default" w:ascii="Times New Roman" w:hAnsi="Times New Roman" w:eastAsia="宋体" w:cs="Times New Roman"/>
                <w:color w:val="auto"/>
                <w:kern w:val="2"/>
                <w:sz w:val="24"/>
                <w:szCs w:val="24"/>
                <w:highlight w:val="none"/>
                <w:lang w:val="en-US" w:eastAsia="zh-CN" w:bidi="ar-SA"/>
              </w:rPr>
              <w:t>kg/t-</w:t>
            </w:r>
            <w:r>
              <w:rPr>
                <w:rFonts w:hint="eastAsia" w:ascii="Times New Roman" w:hAnsi="Times New Roman" w:eastAsia="宋体" w:cs="Times New Roman"/>
                <w:color w:val="auto"/>
                <w:kern w:val="2"/>
                <w:sz w:val="24"/>
                <w:szCs w:val="24"/>
                <w:highlight w:val="none"/>
                <w:lang w:val="en-US" w:eastAsia="zh-CN" w:bidi="ar-SA"/>
              </w:rPr>
              <w:t>产品</w:t>
            </w:r>
            <w:r>
              <w:rPr>
                <w:rFonts w:hint="default" w:ascii="Times New Roman" w:hAnsi="Times New Roman" w:eastAsia="宋体" w:cs="Times New Roman"/>
                <w:color w:val="auto"/>
                <w:sz w:val="24"/>
                <w:highlight w:val="none"/>
                <w:shd w:val="clear" w:color="auto" w:fill="auto"/>
              </w:rPr>
              <w:t>。</w:t>
            </w:r>
            <w:r>
              <w:rPr>
                <w:rFonts w:hint="eastAsia" w:cs="Times New Roman"/>
                <w:color w:val="auto"/>
                <w:sz w:val="24"/>
                <w:highlight w:val="none"/>
                <w:shd w:val="clear" w:color="auto" w:fill="auto"/>
                <w:lang w:eastAsia="zh-CN"/>
              </w:rPr>
              <w:t>卸料、</w:t>
            </w:r>
            <w:r>
              <w:rPr>
                <w:rFonts w:hint="eastAsia" w:ascii="Times New Roman" w:hAnsi="Times New Roman" w:eastAsia="宋体" w:cs="Times New Roman"/>
                <w:color w:val="auto"/>
                <w:sz w:val="24"/>
                <w:highlight w:val="none"/>
                <w:shd w:val="clear" w:color="auto" w:fill="auto"/>
                <w:lang w:eastAsia="zh-CN"/>
              </w:rPr>
              <w:t>上料，入仓等工序参照</w:t>
            </w:r>
            <w:r>
              <w:rPr>
                <w:rFonts w:hint="default" w:ascii="Times New Roman" w:hAnsi="Times New Roman" w:eastAsia="宋体" w:cs="Times New Roman"/>
                <w:color w:val="auto"/>
                <w:sz w:val="24"/>
                <w:highlight w:val="none"/>
                <w:shd w:val="clear" w:color="auto" w:fill="auto"/>
              </w:rPr>
              <w:t>《逸散性工业粉尘控制技术》（中国环境出版社，1989年）</w:t>
            </w:r>
            <w:r>
              <w:rPr>
                <w:rFonts w:hint="eastAsia"/>
                <w:color w:val="auto"/>
                <w:highlight w:val="none"/>
                <w:lang w:eastAsia="zh-CN"/>
              </w:rPr>
              <w:t>，</w:t>
            </w:r>
            <w:r>
              <w:rPr>
                <w:rFonts w:hint="default" w:ascii="Times New Roman" w:hAnsi="Times New Roman" w:eastAsia="宋体" w:cs="Times New Roman"/>
                <w:color w:val="auto"/>
                <w:sz w:val="24"/>
                <w:highlight w:val="none"/>
                <w:shd w:val="clear" w:color="auto" w:fill="auto"/>
              </w:rPr>
              <w:t>颗粒物的产生系数为：</w:t>
            </w:r>
            <w:r>
              <w:rPr>
                <w:rFonts w:hint="eastAsia" w:cs="Times New Roman"/>
                <w:color w:val="auto"/>
                <w:sz w:val="24"/>
                <w:highlight w:val="none"/>
                <w:shd w:val="clear" w:color="auto" w:fill="auto"/>
                <w:lang w:eastAsia="zh-CN"/>
              </w:rPr>
              <w:t>卸料</w:t>
            </w:r>
            <w:r>
              <w:rPr>
                <w:rFonts w:hint="default" w:ascii="Times New Roman" w:hAnsi="Times New Roman" w:eastAsia="宋体" w:cs="Times New Roman"/>
                <w:color w:val="auto"/>
                <w:sz w:val="24"/>
                <w:highlight w:val="none"/>
                <w:shd w:val="clear" w:color="auto" w:fill="auto"/>
              </w:rPr>
              <w:t>的粉尘产生系数为</w:t>
            </w:r>
            <w:r>
              <w:rPr>
                <w:rFonts w:hint="eastAsia" w:cs="Times New Roman"/>
                <w:color w:val="auto"/>
                <w:sz w:val="24"/>
                <w:highlight w:val="none"/>
                <w:shd w:val="clear" w:color="auto" w:fill="auto"/>
                <w:lang w:val="en-US" w:eastAsia="zh-CN"/>
              </w:rPr>
              <w:t>0.02kg/t原料；</w:t>
            </w:r>
            <w:r>
              <w:rPr>
                <w:rFonts w:hint="default" w:ascii="Times New Roman" w:hAnsi="Times New Roman" w:eastAsia="宋体" w:cs="Times New Roman"/>
                <w:color w:val="auto"/>
                <w:sz w:val="24"/>
                <w:highlight w:val="none"/>
                <w:shd w:val="clear" w:color="auto" w:fill="auto"/>
              </w:rPr>
              <w:t>上料的粉尘产生系数为0.0</w:t>
            </w:r>
            <w:r>
              <w:rPr>
                <w:rFonts w:hint="eastAsia" w:ascii="Times New Roman" w:hAnsi="Times New Roman" w:eastAsia="宋体" w:cs="Times New Roman"/>
                <w:color w:val="auto"/>
                <w:sz w:val="24"/>
                <w:highlight w:val="none"/>
                <w:shd w:val="clear" w:color="auto" w:fill="auto"/>
                <w:lang w:val="en-US" w:eastAsia="zh-CN"/>
              </w:rPr>
              <w:t>2</w:t>
            </w:r>
            <w:r>
              <w:rPr>
                <w:rFonts w:hint="default" w:ascii="Times New Roman" w:hAnsi="Times New Roman" w:eastAsia="宋体" w:cs="Times New Roman"/>
                <w:color w:val="auto"/>
                <w:sz w:val="24"/>
                <w:highlight w:val="none"/>
                <w:shd w:val="clear" w:color="auto" w:fill="auto"/>
              </w:rPr>
              <w:t>kg/t</w:t>
            </w:r>
            <w:r>
              <w:rPr>
                <w:rFonts w:hint="eastAsia" w:ascii="Calibri" w:hAnsi="Calibri" w:eastAsia="宋体" w:cs="Times New Roman"/>
                <w:color w:val="auto"/>
                <w:sz w:val="24"/>
                <w:szCs w:val="24"/>
                <w:highlight w:val="none"/>
                <w:lang w:val="en-US" w:eastAsia="zh-CN"/>
              </w:rPr>
              <w:t>原料</w:t>
            </w:r>
            <w:r>
              <w:rPr>
                <w:rFonts w:hint="default" w:ascii="Times New Roman" w:hAnsi="Times New Roman" w:eastAsia="宋体" w:cs="Times New Roman"/>
                <w:color w:val="auto"/>
                <w:sz w:val="24"/>
                <w:highlight w:val="none"/>
                <w:shd w:val="clear" w:color="auto" w:fill="auto"/>
              </w:rPr>
              <w:t>，</w:t>
            </w:r>
            <w:r>
              <w:rPr>
                <w:rFonts w:hint="eastAsia" w:ascii="Calibri" w:hAnsi="Calibri" w:eastAsia="宋体" w:cs="Times New Roman"/>
                <w:color w:val="auto"/>
                <w:sz w:val="24"/>
                <w:highlight w:val="none"/>
                <w:shd w:val="clear" w:color="auto" w:fill="auto"/>
                <w:lang w:eastAsia="zh-CN"/>
              </w:rPr>
              <w:t>中间仓入仓</w:t>
            </w:r>
            <w:r>
              <w:rPr>
                <w:rFonts w:hint="default" w:ascii="Times New Roman" w:hAnsi="Times New Roman" w:eastAsia="宋体" w:cs="Times New Roman"/>
                <w:color w:val="auto"/>
                <w:sz w:val="24"/>
                <w:highlight w:val="none"/>
                <w:shd w:val="clear" w:color="auto" w:fill="auto"/>
              </w:rPr>
              <w:t>的粉尘</w:t>
            </w:r>
            <w:r>
              <w:rPr>
                <w:rFonts w:hint="eastAsia" w:ascii="Times New Roman" w:hAnsi="Times New Roman" w:eastAsia="宋体" w:cs="Times New Roman"/>
                <w:color w:val="auto"/>
                <w:sz w:val="24"/>
                <w:highlight w:val="none"/>
                <w:shd w:val="clear" w:color="auto" w:fill="auto"/>
                <w:lang w:eastAsia="zh-CN"/>
              </w:rPr>
              <w:t>取</w:t>
            </w:r>
            <w:r>
              <w:rPr>
                <w:rFonts w:hint="eastAsia" w:ascii="Calibri" w:hAnsi="Calibri" w:eastAsia="宋体" w:cs="Times New Roman"/>
                <w:color w:val="auto"/>
                <w:sz w:val="24"/>
                <w:szCs w:val="24"/>
                <w:highlight w:val="none"/>
                <w:lang w:val="en-US" w:eastAsia="zh-CN"/>
              </w:rPr>
              <w:t>物料转运粉尘产生系数为0.15kg/t-原料</w:t>
            </w:r>
            <w:r>
              <w:rPr>
                <w:rFonts w:hint="eastAsia" w:ascii="Times New Roman" w:hAnsi="Times New Roman" w:eastAsia="宋体" w:cs="Times New Roman"/>
                <w:color w:val="auto"/>
                <w:sz w:val="24"/>
                <w:highlight w:val="none"/>
                <w:shd w:val="clear" w:color="auto" w:fill="auto"/>
                <w:lang w:eastAsia="zh-CN"/>
              </w:rPr>
              <w:t>，</w:t>
            </w:r>
            <w:r>
              <w:rPr>
                <w:rFonts w:hint="eastAsia" w:ascii="Calibri" w:hAnsi="Calibri" w:eastAsia="宋体" w:cs="Times New Roman"/>
                <w:color w:val="auto"/>
                <w:sz w:val="24"/>
                <w:highlight w:val="none"/>
                <w:shd w:val="clear" w:color="auto" w:fill="auto"/>
                <w:lang w:eastAsia="zh-CN"/>
              </w:rPr>
              <w:t>产品仓入仓</w:t>
            </w:r>
            <w:r>
              <w:rPr>
                <w:rFonts w:hint="default" w:ascii="Times New Roman" w:hAnsi="Times New Roman" w:eastAsia="宋体" w:cs="Times New Roman"/>
                <w:color w:val="auto"/>
                <w:sz w:val="24"/>
                <w:highlight w:val="none"/>
                <w:shd w:val="clear" w:color="auto" w:fill="auto"/>
              </w:rPr>
              <w:t>的粉尘</w:t>
            </w:r>
            <w:r>
              <w:rPr>
                <w:rFonts w:hint="eastAsia" w:ascii="Times New Roman" w:hAnsi="Times New Roman" w:eastAsia="宋体" w:cs="Times New Roman"/>
                <w:color w:val="auto"/>
                <w:sz w:val="24"/>
                <w:highlight w:val="none"/>
                <w:shd w:val="clear" w:color="auto" w:fill="auto"/>
                <w:lang w:eastAsia="zh-CN"/>
              </w:rPr>
              <w:t>取</w:t>
            </w:r>
            <w:r>
              <w:rPr>
                <w:rFonts w:hint="eastAsia" w:ascii="Calibri" w:hAnsi="Calibri" w:eastAsia="宋体" w:cs="Times New Roman"/>
                <w:color w:val="auto"/>
                <w:sz w:val="24"/>
                <w:szCs w:val="24"/>
                <w:highlight w:val="none"/>
                <w:lang w:val="en-US" w:eastAsia="zh-CN"/>
              </w:rPr>
              <w:t>物料转运粉尘产生系数为0.15kg/t-原料</w:t>
            </w:r>
            <w:r>
              <w:rPr>
                <w:rFonts w:hint="eastAsia" w:ascii="Times New Roman" w:hAnsi="Times New Roman" w:eastAsia="宋体" w:cs="Times New Roman"/>
                <w:color w:val="auto"/>
                <w:sz w:val="24"/>
                <w:highlight w:val="none"/>
                <w:shd w:val="clear" w:color="auto" w:fill="auto"/>
                <w:lang w:eastAsia="zh-CN"/>
              </w:rPr>
              <w:t>，</w:t>
            </w:r>
            <w:r>
              <w:rPr>
                <w:rFonts w:hint="eastAsia" w:cs="Times New Roman"/>
                <w:color w:val="auto"/>
                <w:sz w:val="24"/>
                <w:highlight w:val="none"/>
                <w:shd w:val="clear" w:color="auto" w:fill="auto"/>
                <w:lang w:eastAsia="zh-CN"/>
              </w:rPr>
              <w:t>本项目在产品仓出料口</w:t>
            </w:r>
            <w:r>
              <w:rPr>
                <w:rFonts w:hint="eastAsia" w:ascii="Times New Roman" w:hAnsi="Times New Roman" w:eastAsia="宋体" w:cs="Times New Roman"/>
                <w:color w:val="auto"/>
                <w:sz w:val="24"/>
                <w:highlight w:val="none"/>
                <w:shd w:val="clear" w:color="auto" w:fill="auto"/>
                <w:lang w:val="en-US" w:eastAsia="zh-CN"/>
              </w:rPr>
              <w:t>包装，包装工序</w:t>
            </w:r>
            <w:r>
              <w:rPr>
                <w:rFonts w:hint="default" w:ascii="Times New Roman" w:hAnsi="Times New Roman" w:eastAsia="宋体" w:cs="Times New Roman"/>
                <w:color w:val="auto"/>
                <w:sz w:val="24"/>
                <w:highlight w:val="none"/>
                <w:shd w:val="clear" w:color="auto" w:fill="auto"/>
              </w:rPr>
              <w:t>粉尘产生系数</w:t>
            </w:r>
            <w:r>
              <w:rPr>
                <w:rFonts w:hint="eastAsia" w:cs="Times New Roman"/>
                <w:color w:val="auto"/>
                <w:sz w:val="24"/>
                <w:highlight w:val="none"/>
                <w:shd w:val="clear" w:color="auto" w:fill="auto"/>
                <w:lang w:eastAsia="zh-CN"/>
              </w:rPr>
              <w:t>参照出料系数，取</w:t>
            </w:r>
            <w:r>
              <w:rPr>
                <w:rFonts w:hint="default" w:ascii="Times New Roman" w:hAnsi="Times New Roman" w:eastAsia="宋体" w:cs="Times New Roman"/>
                <w:color w:val="auto"/>
                <w:sz w:val="24"/>
                <w:highlight w:val="none"/>
                <w:shd w:val="clear" w:color="auto" w:fill="auto"/>
              </w:rPr>
              <w:t>0.</w:t>
            </w:r>
            <w:r>
              <w:rPr>
                <w:rFonts w:hint="eastAsia" w:ascii="Times New Roman" w:hAnsi="Times New Roman" w:eastAsia="宋体" w:cs="Times New Roman"/>
                <w:color w:val="auto"/>
                <w:sz w:val="24"/>
                <w:highlight w:val="none"/>
                <w:shd w:val="clear" w:color="auto" w:fill="auto"/>
                <w:lang w:val="en-US" w:eastAsia="zh-CN"/>
              </w:rPr>
              <w:t>00115</w:t>
            </w:r>
            <w:r>
              <w:rPr>
                <w:rFonts w:hint="default" w:ascii="Times New Roman" w:hAnsi="Times New Roman" w:eastAsia="宋体" w:cs="Times New Roman"/>
                <w:color w:val="auto"/>
                <w:sz w:val="24"/>
                <w:highlight w:val="none"/>
                <w:shd w:val="clear" w:color="auto" w:fill="auto"/>
              </w:rPr>
              <w:t>kg/t</w:t>
            </w:r>
            <w:r>
              <w:rPr>
                <w:rFonts w:hint="eastAsia" w:ascii="Times New Roman" w:hAnsi="Times New Roman" w:eastAsia="宋体" w:cs="Times New Roman"/>
                <w:color w:val="auto"/>
                <w:kern w:val="2"/>
                <w:sz w:val="24"/>
                <w:szCs w:val="24"/>
                <w:highlight w:val="none"/>
                <w:lang w:val="en-US" w:eastAsia="zh-CN" w:bidi="ar-SA"/>
              </w:rPr>
              <w:t>产品</w:t>
            </w:r>
            <w:r>
              <w:rPr>
                <w:rFonts w:hint="eastAsia" w:ascii="Times New Roman" w:hAnsi="Times New Roman" w:eastAsia="宋体" w:cs="Times New Roman"/>
                <w:color w:val="auto"/>
                <w:sz w:val="24"/>
                <w:highlight w:val="none"/>
                <w:shd w:val="clear" w:color="auto" w:fill="auto"/>
                <w:lang w:eastAsia="zh-CN"/>
              </w:rPr>
              <w:t>。</w:t>
            </w:r>
          </w:p>
          <w:p w14:paraId="148859AD">
            <w:pPr>
              <w:pStyle w:val="16"/>
              <w:keepNext w:val="0"/>
              <w:keepLines w:val="0"/>
              <w:suppressLineNumbers w:val="0"/>
              <w:spacing w:before="0" w:beforeAutospacing="0" w:after="0" w:afterAutospacing="0"/>
              <w:ind w:left="0" w:right="0"/>
              <w:rPr>
                <w:rFonts w:hint="eastAsia" w:ascii="Calibri" w:hAnsi="Calibri" w:eastAsia="宋体" w:cs="Times New Roman"/>
                <w:color w:val="auto"/>
                <w:sz w:val="24"/>
                <w:highlight w:val="none"/>
                <w:shd w:val="clear" w:color="auto" w:fill="auto"/>
                <w:lang w:val="en-US" w:eastAsia="zh-CN"/>
              </w:rPr>
            </w:pPr>
            <w:r>
              <w:rPr>
                <w:rFonts w:hint="eastAsia" w:ascii="Calibri" w:hAnsi="Calibri" w:cs="Times New Roman"/>
                <w:color w:val="auto"/>
                <w:sz w:val="24"/>
                <w:highlight w:val="none"/>
                <w:shd w:val="clear" w:color="auto" w:fill="auto"/>
                <w:lang w:val="en-US" w:eastAsia="zh-CN"/>
              </w:rPr>
              <w:t>3</w:t>
            </w:r>
            <w:r>
              <w:rPr>
                <w:rFonts w:hint="eastAsia" w:cs="Times New Roman"/>
                <w:color w:val="auto"/>
                <w:highlight w:val="none"/>
                <w:shd w:val="clear" w:color="auto" w:fill="auto"/>
                <w:lang w:val="en-US" w:eastAsia="zh-CN"/>
              </w:rPr>
              <w:t>#生产线上料、颚破</w:t>
            </w:r>
            <w:r>
              <w:rPr>
                <w:rFonts w:hint="eastAsia" w:ascii="Times New Roman" w:hAnsi="Times New Roman" w:eastAsia="宋体" w:cs="Times New Roman"/>
                <w:color w:val="auto"/>
                <w:highlight w:val="none"/>
                <w:shd w:val="clear" w:color="auto" w:fill="auto"/>
                <w:lang w:val="en-US" w:eastAsia="zh-CN"/>
              </w:rPr>
              <w:t>、</w:t>
            </w:r>
            <w:r>
              <w:rPr>
                <w:rFonts w:hint="eastAsia" w:cs="Times New Roman"/>
                <w:color w:val="auto"/>
                <w:highlight w:val="none"/>
                <w:shd w:val="clear" w:color="auto" w:fill="auto"/>
                <w:lang w:val="en-US" w:eastAsia="zh-CN"/>
              </w:rPr>
              <w:t>中间仓</w:t>
            </w:r>
            <w:r>
              <w:rPr>
                <w:rFonts w:hint="eastAsia" w:ascii="Times New Roman" w:hAnsi="Times New Roman" w:eastAsia="宋体" w:cs="Times New Roman"/>
                <w:color w:val="auto"/>
                <w:sz w:val="24"/>
                <w:highlight w:val="none"/>
                <w:shd w:val="clear" w:color="auto" w:fill="auto"/>
                <w:lang w:eastAsia="zh-CN"/>
              </w:rPr>
              <w:t>入仓</w:t>
            </w:r>
            <w:r>
              <w:rPr>
                <w:rFonts w:hint="eastAsia" w:cs="Times New Roman"/>
                <w:color w:val="auto"/>
                <w:highlight w:val="none"/>
                <w:shd w:val="clear" w:color="auto" w:fill="auto"/>
                <w:lang w:val="en-US" w:eastAsia="zh-CN"/>
              </w:rPr>
              <w:t>、锤破</w:t>
            </w:r>
            <w:r>
              <w:rPr>
                <w:rFonts w:hint="eastAsia" w:ascii="Times New Roman" w:hAnsi="Times New Roman" w:eastAsia="宋体" w:cs="Times New Roman"/>
                <w:color w:val="auto"/>
                <w:highlight w:val="none"/>
                <w:shd w:val="clear" w:color="auto" w:fill="auto"/>
                <w:lang w:val="en-US" w:eastAsia="zh-CN"/>
              </w:rPr>
              <w:t>、筛选</w:t>
            </w:r>
            <w:r>
              <w:rPr>
                <w:rFonts w:hint="eastAsia" w:cs="Times New Roman"/>
                <w:color w:val="auto"/>
                <w:highlight w:val="none"/>
                <w:shd w:val="clear" w:color="auto" w:fill="auto"/>
                <w:lang w:val="en-US" w:eastAsia="zh-CN"/>
              </w:rPr>
              <w:t>、产品仓</w:t>
            </w:r>
            <w:r>
              <w:rPr>
                <w:rFonts w:hint="eastAsia" w:ascii="Times New Roman" w:hAnsi="Times New Roman" w:eastAsia="宋体" w:cs="Times New Roman"/>
                <w:color w:val="auto"/>
                <w:sz w:val="24"/>
                <w:highlight w:val="none"/>
                <w:shd w:val="clear" w:color="auto" w:fill="auto"/>
                <w:lang w:eastAsia="zh-CN"/>
              </w:rPr>
              <w:t>入仓</w:t>
            </w:r>
            <w:r>
              <w:rPr>
                <w:rFonts w:hint="eastAsia" w:cs="Times New Roman"/>
                <w:color w:val="auto"/>
                <w:highlight w:val="none"/>
                <w:shd w:val="clear" w:color="auto" w:fill="auto"/>
                <w:lang w:val="en-US" w:eastAsia="zh-CN"/>
              </w:rPr>
              <w:t>、包装</w:t>
            </w:r>
            <w:r>
              <w:rPr>
                <w:rFonts w:hint="eastAsia" w:ascii="Times New Roman" w:hAnsi="Times New Roman" w:eastAsia="宋体" w:cs="Times New Roman"/>
                <w:color w:val="auto"/>
                <w:highlight w:val="none"/>
                <w:shd w:val="clear" w:color="auto" w:fill="auto"/>
                <w:lang w:val="en-US" w:eastAsia="zh-CN"/>
              </w:rPr>
              <w:t>工序产生的颗粒物</w:t>
            </w:r>
            <w:r>
              <w:rPr>
                <w:rFonts w:hint="eastAsia" w:cs="Times New Roman"/>
                <w:color w:val="auto"/>
                <w:highlight w:val="none"/>
                <w:shd w:val="clear" w:color="auto" w:fill="auto"/>
                <w:lang w:val="en-US" w:eastAsia="zh-CN"/>
              </w:rPr>
              <w:t>经集气罩收集后</w:t>
            </w:r>
            <w:r>
              <w:rPr>
                <w:rFonts w:hint="eastAsia" w:ascii="Times New Roman" w:hAnsi="Times New Roman" w:eastAsia="宋体" w:cs="Times New Roman"/>
                <w:color w:val="auto"/>
                <w:highlight w:val="none"/>
                <w:shd w:val="clear" w:color="auto" w:fill="auto"/>
                <w:lang w:val="en-US" w:eastAsia="zh-CN"/>
              </w:rPr>
              <w:t>由布袋除尘器</w:t>
            </w:r>
            <w:r>
              <w:rPr>
                <w:rFonts w:hint="eastAsia" w:cs="Times New Roman"/>
                <w:color w:val="auto"/>
                <w:highlight w:val="none"/>
                <w:shd w:val="clear" w:color="auto" w:fill="auto"/>
                <w:lang w:val="en-US" w:eastAsia="zh-CN"/>
              </w:rPr>
              <w:t>TA003</w:t>
            </w:r>
            <w:r>
              <w:rPr>
                <w:rFonts w:hint="eastAsia" w:ascii="Times New Roman" w:hAnsi="Times New Roman" w:eastAsia="宋体" w:cs="Times New Roman"/>
                <w:color w:val="auto"/>
                <w:highlight w:val="none"/>
                <w:shd w:val="clear" w:color="auto" w:fill="auto"/>
                <w:lang w:val="en-US" w:eastAsia="zh-CN"/>
              </w:rPr>
              <w:t>净化，</w:t>
            </w:r>
            <w:r>
              <w:rPr>
                <w:rFonts w:hint="default" w:ascii="Times New Roman" w:hAnsi="Times New Roman" w:eastAsia="宋体" w:cs="Times New Roman"/>
                <w:color w:val="auto"/>
                <w:sz w:val="24"/>
                <w:highlight w:val="none"/>
                <w:shd w:val="clear" w:color="auto" w:fill="auto"/>
                <w:lang w:val="en-US" w:eastAsia="zh-CN"/>
              </w:rPr>
              <w:t>雷蒙</w:t>
            </w:r>
            <w:r>
              <w:rPr>
                <w:rFonts w:hint="eastAsia" w:cs="Times New Roman"/>
                <w:color w:val="auto"/>
                <w:highlight w:val="none"/>
                <w:shd w:val="clear" w:color="auto" w:fill="auto"/>
                <w:lang w:val="en-US" w:eastAsia="zh-CN"/>
              </w:rPr>
              <w:t>产生的废气经由自带布袋除尘器TA004净化。经各自除尘器</w:t>
            </w:r>
            <w:r>
              <w:rPr>
                <w:rFonts w:hint="eastAsia" w:ascii="Times New Roman" w:hAnsi="Times New Roman" w:eastAsia="宋体" w:cs="Times New Roman"/>
                <w:color w:val="auto"/>
                <w:highlight w:val="none"/>
                <w:shd w:val="clear" w:color="auto" w:fill="auto"/>
                <w:lang w:val="en-US" w:eastAsia="zh-CN"/>
              </w:rPr>
              <w:t>净化后的废气由1根15m高排气筒</w:t>
            </w:r>
            <w:r>
              <w:rPr>
                <w:rFonts w:hint="eastAsia" w:cs="Times New Roman"/>
                <w:color w:val="auto"/>
                <w:highlight w:val="none"/>
                <w:shd w:val="clear" w:color="auto" w:fill="auto"/>
                <w:lang w:val="en-US" w:eastAsia="zh-CN"/>
              </w:rPr>
              <w:t>DA002</w:t>
            </w:r>
            <w:r>
              <w:rPr>
                <w:rFonts w:hint="eastAsia" w:ascii="Times New Roman" w:hAnsi="Times New Roman" w:eastAsia="宋体" w:cs="Times New Roman"/>
                <w:color w:val="auto"/>
                <w:highlight w:val="none"/>
                <w:shd w:val="clear" w:color="auto" w:fill="auto"/>
                <w:lang w:val="en-US" w:eastAsia="zh-CN"/>
              </w:rPr>
              <w:t>有组织排放；</w:t>
            </w:r>
            <w:r>
              <w:rPr>
                <w:rFonts w:hint="eastAsia" w:ascii="Calibri" w:hAnsi="Calibri" w:cs="Times New Roman"/>
                <w:color w:val="auto"/>
                <w:sz w:val="24"/>
                <w:highlight w:val="none"/>
                <w:shd w:val="clear" w:color="auto" w:fill="auto"/>
                <w:lang w:eastAsia="zh-CN"/>
              </w:rPr>
              <w:t>本项目在</w:t>
            </w:r>
            <w:r>
              <w:rPr>
                <w:rFonts w:hint="eastAsia" w:ascii="Calibri" w:hAnsi="Calibri" w:cs="Times New Roman"/>
                <w:color w:val="auto"/>
                <w:sz w:val="24"/>
                <w:highlight w:val="none"/>
                <w:shd w:val="clear" w:color="auto" w:fill="auto"/>
                <w:lang w:val="en-US" w:eastAsia="zh-CN"/>
              </w:rPr>
              <w:t>3#生产线</w:t>
            </w:r>
            <w:r>
              <w:rPr>
                <w:rFonts w:hint="eastAsia" w:cs="Times New Roman"/>
                <w:color w:val="auto"/>
                <w:highlight w:val="none"/>
                <w:shd w:val="clear" w:color="auto" w:fill="auto"/>
                <w:lang w:val="en-US" w:eastAsia="zh-CN"/>
              </w:rPr>
              <w:t>上料、颚破</w:t>
            </w:r>
            <w:r>
              <w:rPr>
                <w:rFonts w:hint="eastAsia" w:ascii="Times New Roman" w:hAnsi="Times New Roman" w:eastAsia="宋体" w:cs="Times New Roman"/>
                <w:color w:val="auto"/>
                <w:highlight w:val="none"/>
                <w:shd w:val="clear" w:color="auto" w:fill="auto"/>
                <w:lang w:val="en-US" w:eastAsia="zh-CN"/>
              </w:rPr>
              <w:t>、</w:t>
            </w:r>
            <w:r>
              <w:rPr>
                <w:rFonts w:hint="eastAsia" w:cs="Times New Roman"/>
                <w:color w:val="auto"/>
                <w:highlight w:val="none"/>
                <w:shd w:val="clear" w:color="auto" w:fill="auto"/>
                <w:lang w:val="en-US" w:eastAsia="zh-CN"/>
              </w:rPr>
              <w:t>中间仓</w:t>
            </w:r>
            <w:r>
              <w:rPr>
                <w:rFonts w:hint="eastAsia" w:ascii="Times New Roman" w:hAnsi="Times New Roman" w:eastAsia="宋体" w:cs="Times New Roman"/>
                <w:color w:val="auto"/>
                <w:sz w:val="24"/>
                <w:highlight w:val="none"/>
                <w:shd w:val="clear" w:color="auto" w:fill="auto"/>
                <w:lang w:eastAsia="zh-CN"/>
              </w:rPr>
              <w:t>入仓</w:t>
            </w:r>
            <w:r>
              <w:rPr>
                <w:rFonts w:hint="eastAsia" w:cs="Times New Roman"/>
                <w:color w:val="auto"/>
                <w:highlight w:val="none"/>
                <w:shd w:val="clear" w:color="auto" w:fill="auto"/>
                <w:lang w:val="en-US" w:eastAsia="zh-CN"/>
              </w:rPr>
              <w:t>、锤破</w:t>
            </w:r>
            <w:r>
              <w:rPr>
                <w:rFonts w:hint="eastAsia" w:ascii="Times New Roman" w:hAnsi="Times New Roman" w:eastAsia="宋体" w:cs="Times New Roman"/>
                <w:color w:val="auto"/>
                <w:highlight w:val="none"/>
                <w:shd w:val="clear" w:color="auto" w:fill="auto"/>
                <w:lang w:val="en-US" w:eastAsia="zh-CN"/>
              </w:rPr>
              <w:t>、筛选</w:t>
            </w:r>
            <w:r>
              <w:rPr>
                <w:rFonts w:hint="eastAsia" w:cs="Times New Roman"/>
                <w:color w:val="auto"/>
                <w:highlight w:val="none"/>
                <w:shd w:val="clear" w:color="auto" w:fill="auto"/>
                <w:lang w:val="en-US" w:eastAsia="zh-CN"/>
              </w:rPr>
              <w:t>、产品仓</w:t>
            </w:r>
            <w:r>
              <w:rPr>
                <w:rFonts w:hint="eastAsia" w:ascii="Times New Roman" w:hAnsi="Times New Roman" w:eastAsia="宋体" w:cs="Times New Roman"/>
                <w:color w:val="auto"/>
                <w:sz w:val="24"/>
                <w:highlight w:val="none"/>
                <w:shd w:val="clear" w:color="auto" w:fill="auto"/>
                <w:lang w:eastAsia="zh-CN"/>
              </w:rPr>
              <w:t>入仓</w:t>
            </w:r>
            <w:r>
              <w:rPr>
                <w:rFonts w:hint="eastAsia" w:cs="Times New Roman"/>
                <w:color w:val="auto"/>
                <w:highlight w:val="none"/>
                <w:shd w:val="clear" w:color="auto" w:fill="auto"/>
                <w:lang w:val="en-US" w:eastAsia="zh-CN"/>
              </w:rPr>
              <w:t>、包装</w:t>
            </w:r>
            <w:r>
              <w:rPr>
                <w:rFonts w:hint="eastAsia" w:ascii="Times New Roman" w:hAnsi="Times New Roman" w:eastAsia="宋体" w:cs="Times New Roman"/>
                <w:color w:val="auto"/>
                <w:highlight w:val="none"/>
                <w:shd w:val="clear" w:color="auto" w:fill="auto"/>
                <w:lang w:val="en-US" w:eastAsia="zh-CN"/>
              </w:rPr>
              <w:t>工序</w:t>
            </w:r>
            <w:r>
              <w:rPr>
                <w:rFonts w:hint="eastAsia" w:ascii="Calibri" w:hAnsi="Calibri" w:cs="Times New Roman"/>
                <w:color w:val="auto"/>
                <w:sz w:val="24"/>
                <w:highlight w:val="none"/>
                <w:shd w:val="clear" w:color="auto" w:fill="auto"/>
                <w:lang w:eastAsia="zh-CN"/>
              </w:rPr>
              <w:t>产尘点上方各设一个集气罩，共</w:t>
            </w:r>
            <w:r>
              <w:rPr>
                <w:rFonts w:hint="eastAsia" w:ascii="Calibri" w:hAnsi="Calibri" w:cs="Times New Roman"/>
                <w:color w:val="auto"/>
                <w:sz w:val="24"/>
                <w:highlight w:val="none"/>
                <w:shd w:val="clear" w:color="auto" w:fill="auto"/>
                <w:lang w:val="en-US" w:eastAsia="zh-CN"/>
              </w:rPr>
              <w:t>7个</w:t>
            </w:r>
            <w:r>
              <w:rPr>
                <w:rFonts w:hint="eastAsia" w:ascii="Calibri" w:hAnsi="Calibri" w:eastAsia="宋体" w:cs="Times New Roman"/>
                <w:color w:val="auto"/>
                <w:sz w:val="24"/>
                <w:highlight w:val="none"/>
                <w:shd w:val="clear" w:color="auto" w:fill="auto"/>
                <w:lang w:eastAsia="zh-CN"/>
              </w:rPr>
              <w:t>，</w:t>
            </w:r>
            <w:r>
              <w:rPr>
                <w:rFonts w:hint="eastAsia" w:ascii="Calibri" w:hAnsi="Calibri" w:cs="Times New Roman"/>
                <w:color w:val="auto"/>
                <w:sz w:val="24"/>
                <w:highlight w:val="none"/>
                <w:shd w:val="clear" w:color="auto" w:fill="auto"/>
                <w:lang w:eastAsia="zh-CN"/>
              </w:rPr>
              <w:t>负压收集废气，</w:t>
            </w:r>
            <w:r>
              <w:rPr>
                <w:rFonts w:ascii="Calibri" w:hAnsi="Calibri" w:eastAsia="宋体" w:cs="Times New Roman"/>
                <w:color w:val="auto"/>
                <w:sz w:val="24"/>
                <w:highlight w:val="none"/>
                <w:shd w:val="clear" w:color="auto" w:fill="auto"/>
              </w:rPr>
              <w:t>集气罩</w:t>
            </w:r>
            <w:r>
              <w:rPr>
                <w:rFonts w:hint="eastAsia" w:ascii="Calibri" w:hAnsi="Calibri" w:eastAsia="宋体" w:cs="Times New Roman"/>
                <w:color w:val="auto"/>
                <w:sz w:val="24"/>
                <w:highlight w:val="none"/>
                <w:shd w:val="clear" w:color="auto" w:fill="auto"/>
                <w:lang w:eastAsia="zh-CN"/>
              </w:rPr>
              <w:t>的</w:t>
            </w:r>
            <w:r>
              <w:rPr>
                <w:rFonts w:ascii="Calibri" w:hAnsi="Calibri" w:eastAsia="宋体" w:cs="Times New Roman"/>
                <w:color w:val="auto"/>
                <w:sz w:val="24"/>
                <w:highlight w:val="none"/>
                <w:shd w:val="clear" w:color="auto" w:fill="auto"/>
              </w:rPr>
              <w:t>捕集率为</w:t>
            </w:r>
            <w:r>
              <w:rPr>
                <w:rFonts w:hint="eastAsia" w:ascii="Calibri" w:hAnsi="Calibri" w:cs="Times New Roman"/>
                <w:color w:val="auto"/>
                <w:sz w:val="24"/>
                <w:highlight w:val="none"/>
                <w:shd w:val="clear" w:color="auto" w:fill="auto"/>
                <w:lang w:val="en-US" w:eastAsia="zh-CN"/>
              </w:rPr>
              <w:t>8</w:t>
            </w:r>
            <w:r>
              <w:rPr>
                <w:rFonts w:hint="eastAsia" w:ascii="Calibri" w:hAnsi="Calibri" w:eastAsia="宋体" w:cs="Times New Roman"/>
                <w:color w:val="auto"/>
                <w:sz w:val="24"/>
                <w:highlight w:val="none"/>
                <w:shd w:val="clear" w:color="auto" w:fill="auto"/>
              </w:rPr>
              <w:t>0</w:t>
            </w:r>
            <w:r>
              <w:rPr>
                <w:rFonts w:ascii="Calibri" w:hAnsi="Calibri" w:eastAsia="宋体" w:cs="Times New Roman"/>
                <w:color w:val="auto"/>
                <w:sz w:val="24"/>
                <w:highlight w:val="none"/>
                <w:shd w:val="clear" w:color="auto" w:fill="auto"/>
              </w:rPr>
              <w:t>%</w:t>
            </w:r>
            <w:r>
              <w:rPr>
                <w:rFonts w:hint="eastAsia" w:ascii="Calibri" w:hAnsi="Calibri" w:eastAsia="宋体" w:cs="Times New Roman"/>
                <w:color w:val="auto"/>
                <w:sz w:val="24"/>
                <w:highlight w:val="none"/>
                <w:shd w:val="clear" w:color="auto" w:fill="auto"/>
                <w:lang w:eastAsia="zh-CN"/>
              </w:rPr>
              <w:t>，</w:t>
            </w:r>
            <w:r>
              <w:rPr>
                <w:rFonts w:hint="eastAsia" w:ascii="Calibri" w:hAnsi="Calibri" w:cs="Times New Roman"/>
                <w:color w:val="auto"/>
                <w:sz w:val="24"/>
                <w:highlight w:val="none"/>
                <w:shd w:val="clear" w:color="auto" w:fill="auto"/>
                <w:lang w:eastAsia="zh-CN"/>
              </w:rPr>
              <w:t>收集后的废气经布袋除尘器</w:t>
            </w:r>
            <w:r>
              <w:rPr>
                <w:rFonts w:hint="eastAsia" w:ascii="Calibri" w:hAnsi="Calibri" w:cs="Times New Roman"/>
                <w:color w:val="auto"/>
                <w:sz w:val="24"/>
                <w:highlight w:val="none"/>
                <w:shd w:val="clear" w:color="auto" w:fill="auto"/>
                <w:lang w:val="en-US" w:eastAsia="zh-CN"/>
              </w:rPr>
              <w:t>TA003</w:t>
            </w:r>
            <w:r>
              <w:rPr>
                <w:rFonts w:hint="eastAsia" w:ascii="Calibri" w:hAnsi="Calibri" w:cs="Times New Roman"/>
                <w:color w:val="auto"/>
                <w:sz w:val="24"/>
                <w:highlight w:val="none"/>
                <w:shd w:val="clear" w:color="auto" w:fill="auto"/>
                <w:lang w:eastAsia="zh-CN"/>
              </w:rPr>
              <w:t>处理，布袋除尘器</w:t>
            </w:r>
            <w:r>
              <w:rPr>
                <w:rFonts w:ascii="Calibri" w:hAnsi="Calibri" w:eastAsia="宋体" w:cs="Times New Roman"/>
                <w:color w:val="auto"/>
                <w:sz w:val="24"/>
                <w:highlight w:val="none"/>
                <w:shd w:val="clear" w:color="auto" w:fill="auto"/>
              </w:rPr>
              <w:t>除尘效率为9</w:t>
            </w:r>
            <w:r>
              <w:rPr>
                <w:rFonts w:hint="eastAsia" w:ascii="Calibri" w:hAnsi="Calibri" w:eastAsia="宋体" w:cs="Times New Roman"/>
                <w:color w:val="auto"/>
                <w:sz w:val="24"/>
                <w:highlight w:val="none"/>
                <w:shd w:val="clear" w:color="auto" w:fill="auto"/>
                <w:lang w:val="en-US" w:eastAsia="zh-CN"/>
              </w:rPr>
              <w:t>9</w:t>
            </w:r>
            <w:r>
              <w:rPr>
                <w:rFonts w:hint="eastAsia" w:ascii="Calibri" w:hAnsi="Calibri" w:cs="Times New Roman"/>
                <w:color w:val="auto"/>
                <w:sz w:val="24"/>
                <w:highlight w:val="none"/>
                <w:shd w:val="clear" w:color="auto" w:fill="auto"/>
                <w:lang w:val="en-US" w:eastAsia="zh-CN"/>
              </w:rPr>
              <w:t>.5</w:t>
            </w:r>
            <w:r>
              <w:rPr>
                <w:rFonts w:ascii="Calibri" w:hAnsi="Calibri" w:eastAsia="宋体" w:cs="Times New Roman"/>
                <w:color w:val="auto"/>
                <w:sz w:val="24"/>
                <w:highlight w:val="none"/>
                <w:shd w:val="clear" w:color="auto" w:fill="auto"/>
              </w:rPr>
              <w:t>%，</w:t>
            </w:r>
            <w:r>
              <w:rPr>
                <w:rFonts w:hint="eastAsia" w:ascii="Calibri" w:hAnsi="Calibri" w:eastAsia="宋体" w:cs="Times New Roman"/>
                <w:color w:val="auto"/>
                <w:sz w:val="24"/>
                <w:szCs w:val="24"/>
                <w:highlight w:val="none"/>
                <w:shd w:val="clear" w:color="auto" w:fill="auto"/>
                <w:lang w:val="en-US" w:eastAsia="zh-CN"/>
              </w:rPr>
              <w:t>风机风量为</w:t>
            </w:r>
            <w:r>
              <w:rPr>
                <w:rFonts w:hint="eastAsia" w:ascii="Calibri" w:hAnsi="Calibri" w:cs="Times New Roman"/>
                <w:color w:val="auto"/>
                <w:sz w:val="24"/>
                <w:szCs w:val="24"/>
                <w:highlight w:val="none"/>
                <w:shd w:val="clear" w:color="auto" w:fill="auto"/>
                <w:lang w:val="en-US" w:eastAsia="zh-CN"/>
              </w:rPr>
              <w:t>20</w:t>
            </w:r>
            <w:r>
              <w:rPr>
                <w:rFonts w:hint="eastAsia" w:ascii="Calibri" w:hAnsi="Calibri" w:eastAsia="宋体" w:cs="Times New Roman"/>
                <w:color w:val="auto"/>
                <w:sz w:val="24"/>
                <w:szCs w:val="24"/>
                <w:highlight w:val="none"/>
                <w:shd w:val="clear" w:color="auto" w:fill="auto"/>
                <w:lang w:val="en-US" w:eastAsia="zh-CN"/>
              </w:rPr>
              <w:t>000m</w:t>
            </w:r>
            <w:r>
              <w:rPr>
                <w:rFonts w:hint="eastAsia" w:ascii="Calibri" w:hAnsi="Calibri" w:eastAsia="宋体" w:cs="Times New Roman"/>
                <w:color w:val="auto"/>
                <w:sz w:val="24"/>
                <w:szCs w:val="24"/>
                <w:highlight w:val="none"/>
                <w:shd w:val="clear" w:color="auto" w:fill="auto"/>
                <w:vertAlign w:val="superscript"/>
                <w:lang w:val="en-US" w:eastAsia="zh-CN"/>
              </w:rPr>
              <w:t>3</w:t>
            </w:r>
            <w:r>
              <w:rPr>
                <w:rFonts w:hint="eastAsia" w:ascii="Calibri" w:hAnsi="Calibri" w:eastAsia="宋体" w:cs="Times New Roman"/>
                <w:color w:val="auto"/>
                <w:sz w:val="24"/>
                <w:szCs w:val="24"/>
                <w:highlight w:val="none"/>
                <w:shd w:val="clear" w:color="auto" w:fill="auto"/>
                <w:lang w:val="en-US" w:eastAsia="zh-CN"/>
              </w:rPr>
              <w:t>/h</w:t>
            </w:r>
            <w:r>
              <w:rPr>
                <w:rFonts w:hint="eastAsia" w:ascii="Calibri" w:hAnsi="Calibri" w:cs="Times New Roman"/>
                <w:color w:val="auto"/>
                <w:sz w:val="24"/>
                <w:highlight w:val="none"/>
                <w:shd w:val="clear" w:color="auto" w:fill="auto"/>
                <w:lang w:eastAsia="zh-CN"/>
              </w:rPr>
              <w:t>；</w:t>
            </w:r>
            <w:r>
              <w:rPr>
                <w:rFonts w:hint="default" w:ascii="Times New Roman" w:hAnsi="Times New Roman" w:eastAsia="宋体" w:cs="Times New Roman"/>
                <w:color w:val="auto"/>
                <w:sz w:val="24"/>
                <w:highlight w:val="none"/>
                <w:shd w:val="clear" w:color="auto" w:fill="auto"/>
                <w:lang w:val="en-US" w:eastAsia="zh-CN"/>
              </w:rPr>
              <w:t>雷蒙</w:t>
            </w:r>
            <w:r>
              <w:rPr>
                <w:rFonts w:hint="eastAsia" w:ascii="Calibri" w:hAnsi="Calibri" w:cs="Times New Roman"/>
                <w:color w:val="auto"/>
                <w:sz w:val="24"/>
                <w:highlight w:val="none"/>
                <w:shd w:val="clear" w:color="auto" w:fill="auto"/>
                <w:lang w:eastAsia="zh-CN"/>
              </w:rPr>
              <w:t>工序捕集率为</w:t>
            </w:r>
            <w:r>
              <w:rPr>
                <w:rFonts w:hint="eastAsia" w:ascii="Calibri" w:hAnsi="Calibri" w:cs="Times New Roman"/>
                <w:color w:val="auto"/>
                <w:sz w:val="24"/>
                <w:highlight w:val="none"/>
                <w:shd w:val="clear" w:color="auto" w:fill="auto"/>
                <w:lang w:val="en-US" w:eastAsia="zh-CN"/>
              </w:rPr>
              <w:t>100%，经自带的布袋除尘器TA004处理；</w:t>
            </w:r>
            <w:r>
              <w:rPr>
                <w:rFonts w:hint="eastAsia" w:ascii="Calibri" w:hAnsi="Calibri" w:eastAsia="宋体" w:cs="Times New Roman"/>
                <w:color w:val="auto"/>
                <w:sz w:val="24"/>
                <w:highlight w:val="none"/>
                <w:shd w:val="clear" w:color="auto" w:fill="auto"/>
                <w:lang w:eastAsia="zh-CN"/>
              </w:rPr>
              <w:t>布袋除尘器</w:t>
            </w:r>
            <w:r>
              <w:rPr>
                <w:rFonts w:ascii="Calibri" w:hAnsi="Calibri" w:eastAsia="宋体" w:cs="Times New Roman"/>
                <w:color w:val="auto"/>
                <w:sz w:val="24"/>
                <w:highlight w:val="none"/>
                <w:shd w:val="clear" w:color="auto" w:fill="auto"/>
              </w:rPr>
              <w:t>除尘效率为9</w:t>
            </w:r>
            <w:r>
              <w:rPr>
                <w:rFonts w:hint="eastAsia" w:ascii="Calibri" w:hAnsi="Calibri" w:eastAsia="宋体" w:cs="Times New Roman"/>
                <w:color w:val="auto"/>
                <w:sz w:val="24"/>
                <w:highlight w:val="none"/>
                <w:shd w:val="clear" w:color="auto" w:fill="auto"/>
                <w:lang w:val="en-US" w:eastAsia="zh-CN"/>
              </w:rPr>
              <w:t>9</w:t>
            </w:r>
            <w:r>
              <w:rPr>
                <w:rFonts w:hint="eastAsia" w:ascii="Calibri" w:hAnsi="Calibri" w:cs="Times New Roman"/>
                <w:color w:val="auto"/>
                <w:sz w:val="24"/>
                <w:highlight w:val="none"/>
                <w:shd w:val="clear" w:color="auto" w:fill="auto"/>
                <w:lang w:val="en-US" w:eastAsia="zh-CN"/>
              </w:rPr>
              <w:t>.8</w:t>
            </w:r>
            <w:r>
              <w:rPr>
                <w:rFonts w:ascii="Calibri" w:hAnsi="Calibri" w:eastAsia="宋体" w:cs="Times New Roman"/>
                <w:color w:val="auto"/>
                <w:sz w:val="24"/>
                <w:highlight w:val="none"/>
                <w:shd w:val="clear" w:color="auto" w:fill="auto"/>
              </w:rPr>
              <w:t>%</w:t>
            </w:r>
            <w:r>
              <w:rPr>
                <w:rFonts w:hint="eastAsia" w:ascii="Calibri" w:hAnsi="Calibri" w:cs="Times New Roman"/>
                <w:color w:val="auto"/>
                <w:sz w:val="24"/>
                <w:highlight w:val="none"/>
                <w:shd w:val="clear" w:color="auto" w:fill="auto"/>
                <w:lang w:eastAsia="zh-CN"/>
              </w:rPr>
              <w:t>，</w:t>
            </w:r>
            <w:r>
              <w:rPr>
                <w:rFonts w:hint="eastAsia" w:ascii="Calibri" w:hAnsi="Calibri" w:cs="Times New Roman"/>
                <w:color w:val="auto"/>
                <w:sz w:val="24"/>
                <w:szCs w:val="24"/>
                <w:highlight w:val="none"/>
                <w:shd w:val="clear" w:color="auto" w:fill="auto"/>
                <w:lang w:val="en-US" w:eastAsia="zh-CN"/>
              </w:rPr>
              <w:t>雷蒙</w:t>
            </w:r>
            <w:r>
              <w:rPr>
                <w:rFonts w:hint="eastAsia" w:ascii="Calibri" w:hAnsi="Calibri" w:cs="Times New Roman"/>
                <w:color w:val="auto"/>
                <w:sz w:val="24"/>
                <w:highlight w:val="none"/>
                <w:shd w:val="clear" w:color="auto" w:fill="auto"/>
                <w:lang w:eastAsia="zh-CN"/>
              </w:rPr>
              <w:t>余风风量为</w:t>
            </w:r>
            <w:r>
              <w:rPr>
                <w:rFonts w:hint="eastAsia" w:ascii="Calibri" w:hAnsi="Calibri" w:cs="Times New Roman"/>
                <w:color w:val="auto"/>
                <w:sz w:val="24"/>
                <w:highlight w:val="none"/>
                <w:shd w:val="clear" w:color="auto" w:fill="auto"/>
                <w:lang w:val="en-US" w:eastAsia="zh-CN"/>
              </w:rPr>
              <w:t>3000</w:t>
            </w:r>
            <w:r>
              <w:rPr>
                <w:rFonts w:hint="eastAsia" w:ascii="Calibri" w:hAnsi="Calibri" w:eastAsia="宋体" w:cs="Times New Roman"/>
                <w:color w:val="auto"/>
                <w:sz w:val="24"/>
                <w:szCs w:val="24"/>
                <w:highlight w:val="none"/>
                <w:shd w:val="clear" w:color="auto" w:fill="auto"/>
                <w:lang w:val="en-US" w:eastAsia="zh-CN"/>
              </w:rPr>
              <w:t>m</w:t>
            </w:r>
            <w:r>
              <w:rPr>
                <w:rFonts w:hint="eastAsia" w:ascii="Calibri" w:hAnsi="Calibri" w:eastAsia="宋体" w:cs="Times New Roman"/>
                <w:color w:val="auto"/>
                <w:sz w:val="24"/>
                <w:szCs w:val="24"/>
                <w:highlight w:val="none"/>
                <w:shd w:val="clear" w:color="auto" w:fill="auto"/>
                <w:vertAlign w:val="superscript"/>
                <w:lang w:val="en-US" w:eastAsia="zh-CN"/>
              </w:rPr>
              <w:t>3</w:t>
            </w:r>
            <w:r>
              <w:rPr>
                <w:rFonts w:hint="eastAsia" w:ascii="Calibri" w:hAnsi="Calibri" w:eastAsia="宋体" w:cs="Times New Roman"/>
                <w:color w:val="auto"/>
                <w:sz w:val="24"/>
                <w:szCs w:val="24"/>
                <w:highlight w:val="none"/>
                <w:shd w:val="clear" w:color="auto" w:fill="auto"/>
                <w:lang w:val="en-US" w:eastAsia="zh-CN"/>
              </w:rPr>
              <w:t>/h；</w:t>
            </w:r>
            <w:r>
              <w:rPr>
                <w:rFonts w:hint="eastAsia" w:ascii="Calibri" w:hAnsi="Calibri" w:eastAsia="宋体" w:cs="Times New Roman"/>
                <w:color w:val="auto"/>
                <w:sz w:val="24"/>
                <w:highlight w:val="none"/>
                <w:shd w:val="clear" w:color="auto" w:fill="auto"/>
                <w:lang w:eastAsia="zh-CN"/>
              </w:rPr>
              <w:t>本项目未被除尘系统捕集的颗粒物无组织排放到厂房内</w:t>
            </w:r>
            <w:r>
              <w:rPr>
                <w:rFonts w:ascii="Calibri" w:hAnsi="Calibri" w:eastAsia="宋体" w:cs="Times New Roman"/>
                <w:color w:val="auto"/>
                <w:sz w:val="24"/>
                <w:highlight w:val="none"/>
                <w:shd w:val="clear" w:color="auto" w:fill="auto"/>
              </w:rPr>
              <w:t>，其中</w:t>
            </w:r>
            <w:r>
              <w:rPr>
                <w:rFonts w:hint="eastAsia" w:ascii="Calibri" w:hAnsi="Calibri" w:eastAsia="宋体" w:cs="Times New Roman"/>
                <w:color w:val="auto"/>
                <w:sz w:val="24"/>
                <w:highlight w:val="none"/>
                <w:shd w:val="clear" w:color="auto" w:fill="auto"/>
                <w:lang w:val="en-US" w:eastAsia="zh-CN"/>
              </w:rPr>
              <w:t>80</w:t>
            </w:r>
            <w:r>
              <w:rPr>
                <w:rFonts w:ascii="Calibri" w:hAnsi="Calibri" w:eastAsia="宋体" w:cs="Times New Roman"/>
                <w:color w:val="auto"/>
                <w:sz w:val="24"/>
                <w:highlight w:val="none"/>
                <w:shd w:val="clear" w:color="auto" w:fill="auto"/>
              </w:rPr>
              <w:t>%沉降在厂房内，其余</w:t>
            </w:r>
            <w:r>
              <w:rPr>
                <w:rFonts w:hint="eastAsia" w:ascii="Calibri" w:hAnsi="Calibri" w:eastAsia="宋体" w:cs="Times New Roman"/>
                <w:color w:val="auto"/>
                <w:sz w:val="24"/>
                <w:highlight w:val="none"/>
                <w:shd w:val="clear" w:color="auto" w:fill="auto"/>
                <w:lang w:val="en-US" w:eastAsia="zh-CN"/>
              </w:rPr>
              <w:t>20</w:t>
            </w:r>
            <w:r>
              <w:rPr>
                <w:rFonts w:ascii="Calibri" w:hAnsi="Calibri" w:eastAsia="宋体" w:cs="Times New Roman"/>
                <w:color w:val="auto"/>
                <w:sz w:val="24"/>
                <w:highlight w:val="none"/>
                <w:shd w:val="clear" w:color="auto" w:fill="auto"/>
              </w:rPr>
              <w:t>%通过厂房门排放。</w:t>
            </w:r>
          </w:p>
          <w:p w14:paraId="5CFE83CB">
            <w:pPr>
              <w:keepNext w:val="0"/>
              <w:keepLines w:val="0"/>
              <w:suppressLineNumbers w:val="0"/>
              <w:spacing w:before="0" w:beforeAutospacing="0" w:after="0" w:afterAutospacing="0" w:line="360" w:lineRule="auto"/>
              <w:ind w:left="0" w:right="0" w:firstLine="480" w:firstLineChars="200"/>
              <w:rPr>
                <w:rFonts w:ascii="Calibri" w:hAnsi="Calibri" w:eastAsia="宋体" w:cs="Times New Roman"/>
                <w:color w:val="auto"/>
                <w:sz w:val="24"/>
                <w:highlight w:val="none"/>
                <w:shd w:val="clear" w:color="auto" w:fill="auto"/>
              </w:rPr>
            </w:pPr>
            <w:r>
              <w:rPr>
                <w:rFonts w:ascii="Calibri" w:hAnsi="Calibri" w:eastAsia="宋体" w:cs="Times New Roman"/>
                <w:color w:val="auto"/>
                <w:sz w:val="24"/>
                <w:highlight w:val="none"/>
                <w:shd w:val="clear" w:color="auto" w:fill="auto"/>
              </w:rPr>
              <w:t>项目</w:t>
            </w:r>
            <w:r>
              <w:rPr>
                <w:rFonts w:hint="eastAsia" w:ascii="Calibri" w:hAnsi="Calibri" w:cs="Times New Roman"/>
                <w:color w:val="auto"/>
                <w:sz w:val="24"/>
                <w:highlight w:val="none"/>
                <w:shd w:val="clear" w:color="auto" w:fill="auto"/>
                <w:lang w:val="en-US" w:eastAsia="zh-CN"/>
              </w:rPr>
              <w:t>3#</w:t>
            </w:r>
            <w:r>
              <w:rPr>
                <w:rFonts w:hint="eastAsia" w:ascii="Calibri" w:hAnsi="Calibri" w:eastAsia="宋体" w:cs="Times New Roman"/>
                <w:color w:val="auto"/>
                <w:sz w:val="24"/>
                <w:highlight w:val="none"/>
                <w:shd w:val="clear" w:color="auto" w:fill="auto"/>
                <w:lang w:eastAsia="zh-CN"/>
              </w:rPr>
              <w:t>生产线废气</w:t>
            </w:r>
            <w:r>
              <w:rPr>
                <w:rFonts w:ascii="Calibri" w:hAnsi="Calibri" w:eastAsia="宋体" w:cs="Times New Roman"/>
                <w:color w:val="auto"/>
                <w:sz w:val="24"/>
                <w:highlight w:val="none"/>
                <w:shd w:val="clear" w:color="auto" w:fill="auto"/>
              </w:rPr>
              <w:t>产</w:t>
            </w:r>
            <w:r>
              <w:rPr>
                <w:rFonts w:hint="eastAsia" w:ascii="Calibri" w:hAnsi="Calibri" w:cs="Times New Roman"/>
                <w:color w:val="auto"/>
                <w:sz w:val="24"/>
                <w:highlight w:val="none"/>
                <w:shd w:val="clear" w:color="auto" w:fill="auto"/>
                <w:lang w:eastAsia="zh-CN"/>
              </w:rPr>
              <w:t>排</w:t>
            </w:r>
            <w:r>
              <w:rPr>
                <w:rFonts w:ascii="Calibri" w:hAnsi="Calibri" w:eastAsia="宋体" w:cs="Times New Roman"/>
                <w:color w:val="auto"/>
                <w:sz w:val="24"/>
                <w:highlight w:val="none"/>
                <w:shd w:val="clear" w:color="auto" w:fill="auto"/>
              </w:rPr>
              <w:t>情况详见表</w:t>
            </w:r>
            <w:r>
              <w:rPr>
                <w:rFonts w:hint="eastAsia" w:ascii="Calibri" w:hAnsi="Calibri" w:cs="Times New Roman"/>
                <w:color w:val="auto"/>
                <w:sz w:val="24"/>
                <w:highlight w:val="none"/>
                <w:shd w:val="clear" w:color="auto" w:fill="auto"/>
                <w:lang w:val="en-US" w:eastAsia="zh-CN"/>
              </w:rPr>
              <w:t>4-4、4-5</w:t>
            </w:r>
            <w:r>
              <w:rPr>
                <w:rFonts w:ascii="Calibri" w:hAnsi="Calibri" w:eastAsia="宋体" w:cs="Times New Roman"/>
                <w:color w:val="auto"/>
                <w:sz w:val="24"/>
                <w:highlight w:val="none"/>
                <w:shd w:val="clear" w:color="auto" w:fill="auto"/>
              </w:rPr>
              <w:t>。</w:t>
            </w:r>
          </w:p>
          <w:p w14:paraId="09F1144D">
            <w:pPr>
              <w:keepNext w:val="0"/>
              <w:keepLines w:val="0"/>
              <w:suppressLineNumbers w:val="0"/>
              <w:spacing w:before="0" w:beforeAutospacing="0" w:after="0" w:afterAutospacing="0" w:line="360" w:lineRule="auto"/>
              <w:ind w:left="0" w:right="0"/>
              <w:jc w:val="center"/>
              <w:rPr>
                <w:rFonts w:ascii="Calibri" w:hAnsi="Calibri" w:eastAsia="宋体" w:cs="Times New Roman"/>
                <w:color w:val="auto"/>
                <w:sz w:val="24"/>
                <w:highlight w:val="none"/>
                <w:shd w:val="clear" w:color="auto" w:fill="auto"/>
              </w:rPr>
            </w:pPr>
            <w:r>
              <w:rPr>
                <w:rFonts w:ascii="Calibri" w:hAnsi="Calibri" w:eastAsia="宋体" w:cs="Times New Roman"/>
                <w:color w:val="auto"/>
                <w:sz w:val="24"/>
                <w:highlight w:val="none"/>
                <w:shd w:val="clear" w:color="auto" w:fill="auto"/>
              </w:rPr>
              <w:t>表</w:t>
            </w:r>
            <w:r>
              <w:rPr>
                <w:rFonts w:hint="eastAsia" w:ascii="Calibri" w:hAnsi="Calibri" w:cs="Times New Roman"/>
                <w:color w:val="auto"/>
                <w:sz w:val="24"/>
                <w:highlight w:val="none"/>
                <w:shd w:val="clear" w:color="auto" w:fill="auto"/>
                <w:lang w:val="en-US" w:eastAsia="zh-CN"/>
              </w:rPr>
              <w:t>4-4</w:t>
            </w:r>
            <w:r>
              <w:rPr>
                <w:rFonts w:ascii="Calibri" w:hAnsi="Calibri" w:eastAsia="宋体" w:cs="Times New Roman"/>
                <w:color w:val="auto"/>
                <w:sz w:val="24"/>
                <w:highlight w:val="none"/>
                <w:shd w:val="clear" w:color="auto" w:fill="auto"/>
              </w:rPr>
              <w:t xml:space="preserve">      </w:t>
            </w:r>
            <w:r>
              <w:rPr>
                <w:rFonts w:hint="eastAsia" w:ascii="Calibri" w:hAnsi="Calibri" w:eastAsia="宋体" w:cs="Times New Roman"/>
                <w:color w:val="auto"/>
                <w:sz w:val="24"/>
                <w:highlight w:val="none"/>
                <w:shd w:val="clear" w:color="auto" w:fill="auto"/>
                <w:lang w:val="en-US" w:eastAsia="zh-CN"/>
              </w:rPr>
              <w:t>项目</w:t>
            </w:r>
            <w:r>
              <w:rPr>
                <w:rFonts w:hint="eastAsia" w:ascii="Calibri" w:hAnsi="Calibri" w:cs="Times New Roman"/>
                <w:color w:val="auto"/>
                <w:sz w:val="24"/>
                <w:highlight w:val="none"/>
                <w:shd w:val="clear" w:color="auto" w:fill="auto"/>
                <w:lang w:val="en-US" w:eastAsia="zh-CN"/>
              </w:rPr>
              <w:t>3#</w:t>
            </w:r>
            <w:r>
              <w:rPr>
                <w:rFonts w:hint="eastAsia" w:ascii="Calibri" w:hAnsi="Calibri" w:cs="Times New Roman"/>
                <w:color w:val="auto"/>
                <w:sz w:val="24"/>
                <w:highlight w:val="none"/>
                <w:shd w:val="clear" w:color="auto" w:fill="auto"/>
                <w:lang w:eastAsia="zh-CN"/>
              </w:rPr>
              <w:t>生产线</w:t>
            </w:r>
            <w:r>
              <w:rPr>
                <w:rFonts w:ascii="Calibri" w:hAnsi="Calibri" w:eastAsia="宋体" w:cs="Times New Roman"/>
                <w:color w:val="auto"/>
                <w:sz w:val="24"/>
                <w:highlight w:val="none"/>
                <w:shd w:val="clear" w:color="auto" w:fill="auto"/>
              </w:rPr>
              <w:t>颗粒物有组织产排情况</w:t>
            </w:r>
          </w:p>
          <w:tbl>
            <w:tblPr>
              <w:tblStyle w:val="25"/>
              <w:tblW w:w="82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625"/>
              <w:gridCol w:w="800"/>
              <w:gridCol w:w="765"/>
              <w:gridCol w:w="833"/>
              <w:gridCol w:w="833"/>
              <w:gridCol w:w="647"/>
              <w:gridCol w:w="642"/>
              <w:gridCol w:w="870"/>
              <w:gridCol w:w="675"/>
              <w:gridCol w:w="750"/>
              <w:gridCol w:w="834"/>
            </w:tblGrid>
            <w:tr w14:paraId="39A5D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jc w:val="center"/>
              </w:trPr>
              <w:tc>
                <w:tcPr>
                  <w:tcW w:w="625" w:type="dxa"/>
                  <w:shd w:val="clear" w:color="auto" w:fill="auto"/>
                  <w:vAlign w:val="center"/>
                </w:tcPr>
                <w:p w14:paraId="7B132C6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污染源</w:t>
                  </w:r>
                </w:p>
              </w:tc>
              <w:tc>
                <w:tcPr>
                  <w:tcW w:w="800" w:type="dxa"/>
                  <w:shd w:val="clear" w:color="auto" w:fill="auto"/>
                  <w:vAlign w:val="center"/>
                </w:tcPr>
                <w:p w14:paraId="27AA1A8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产污环节</w:t>
                  </w:r>
                </w:p>
              </w:tc>
              <w:tc>
                <w:tcPr>
                  <w:tcW w:w="765" w:type="dxa"/>
                  <w:shd w:val="clear" w:color="auto" w:fill="auto"/>
                  <w:vAlign w:val="center"/>
                </w:tcPr>
                <w:p w14:paraId="36FE4F2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产尘速率kg/h</w:t>
                  </w:r>
                </w:p>
              </w:tc>
              <w:tc>
                <w:tcPr>
                  <w:tcW w:w="833" w:type="dxa"/>
                  <w:shd w:val="clear" w:color="auto" w:fill="auto"/>
                  <w:vAlign w:val="center"/>
                </w:tcPr>
                <w:p w14:paraId="7BF088D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产生浓度mg/m3</w:t>
                  </w:r>
                </w:p>
              </w:tc>
              <w:tc>
                <w:tcPr>
                  <w:tcW w:w="833" w:type="dxa"/>
                  <w:shd w:val="clear" w:color="auto" w:fill="auto"/>
                  <w:vAlign w:val="center"/>
                </w:tcPr>
                <w:p w14:paraId="4267AEF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产尘量t/a</w:t>
                  </w:r>
                </w:p>
              </w:tc>
              <w:tc>
                <w:tcPr>
                  <w:tcW w:w="647" w:type="dxa"/>
                  <w:shd w:val="clear" w:color="auto" w:fill="auto"/>
                  <w:vAlign w:val="center"/>
                </w:tcPr>
                <w:p w14:paraId="02E6596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除尘</w:t>
                  </w:r>
                  <w:r>
                    <w:rPr>
                      <w:rFonts w:hint="default" w:ascii="Times New Roman" w:hAnsi="Times New Roman" w:eastAsia="宋体" w:cs="Times New Roman"/>
                      <w:i w:val="0"/>
                      <w:iCs w:val="0"/>
                      <w:color w:val="auto"/>
                      <w:kern w:val="0"/>
                      <w:sz w:val="18"/>
                      <w:szCs w:val="18"/>
                      <w:highlight w:val="none"/>
                      <w:u w:val="none"/>
                      <w:lang w:val="en-US" w:eastAsia="zh-CN" w:bidi="ar"/>
                    </w:rPr>
                    <w:br w:type="textWrapping"/>
                  </w:r>
                  <w:r>
                    <w:rPr>
                      <w:rFonts w:hint="default" w:ascii="Times New Roman" w:hAnsi="Times New Roman" w:eastAsia="宋体" w:cs="Times New Roman"/>
                      <w:i w:val="0"/>
                      <w:iCs w:val="0"/>
                      <w:color w:val="auto"/>
                      <w:kern w:val="0"/>
                      <w:sz w:val="18"/>
                      <w:szCs w:val="18"/>
                      <w:highlight w:val="none"/>
                      <w:u w:val="none"/>
                      <w:lang w:val="en-US" w:eastAsia="zh-CN" w:bidi="ar"/>
                    </w:rPr>
                    <w:t>效率</w:t>
                  </w:r>
                  <w:r>
                    <w:rPr>
                      <w:rFonts w:hint="default" w:ascii="Times New Roman" w:hAnsi="Times New Roman" w:eastAsia="宋体" w:cs="Times New Roman"/>
                      <w:i w:val="0"/>
                      <w:iCs w:val="0"/>
                      <w:color w:val="auto"/>
                      <w:kern w:val="0"/>
                      <w:sz w:val="18"/>
                      <w:szCs w:val="18"/>
                      <w:highlight w:val="none"/>
                      <w:u w:val="none"/>
                      <w:lang w:val="en-US" w:eastAsia="zh-CN" w:bidi="ar"/>
                    </w:rPr>
                    <w:br w:type="textWrapping"/>
                  </w:r>
                  <w:r>
                    <w:rPr>
                      <w:rFonts w:hint="default" w:ascii="Times New Roman" w:hAnsi="Times New Roman" w:eastAsia="宋体" w:cs="Times New Roman"/>
                      <w:i w:val="0"/>
                      <w:iCs w:val="0"/>
                      <w:color w:val="auto"/>
                      <w:kern w:val="0"/>
                      <w:sz w:val="18"/>
                      <w:szCs w:val="18"/>
                      <w:highlight w:val="none"/>
                      <w:u w:val="none"/>
                      <w:lang w:val="en-US" w:eastAsia="zh-CN" w:bidi="ar"/>
                    </w:rPr>
                    <w:t>%</w:t>
                  </w:r>
                </w:p>
              </w:tc>
              <w:tc>
                <w:tcPr>
                  <w:tcW w:w="642" w:type="dxa"/>
                  <w:shd w:val="clear" w:color="auto" w:fill="auto"/>
                  <w:vAlign w:val="center"/>
                </w:tcPr>
                <w:p w14:paraId="7DB1503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捕集率</w:t>
                  </w:r>
                  <w:r>
                    <w:rPr>
                      <w:rFonts w:hint="default" w:ascii="Times New Roman" w:hAnsi="Times New Roman" w:eastAsia="宋体" w:cs="Times New Roman"/>
                      <w:i w:val="0"/>
                      <w:iCs w:val="0"/>
                      <w:color w:val="auto"/>
                      <w:kern w:val="0"/>
                      <w:sz w:val="18"/>
                      <w:szCs w:val="18"/>
                      <w:highlight w:val="none"/>
                      <w:u w:val="none"/>
                      <w:lang w:val="en-US" w:eastAsia="zh-CN" w:bidi="ar"/>
                    </w:rPr>
                    <w:br w:type="textWrapping"/>
                  </w:r>
                  <w:r>
                    <w:rPr>
                      <w:rFonts w:hint="default" w:ascii="Times New Roman" w:hAnsi="Times New Roman" w:eastAsia="宋体" w:cs="Times New Roman"/>
                      <w:i w:val="0"/>
                      <w:iCs w:val="0"/>
                      <w:color w:val="auto"/>
                      <w:kern w:val="0"/>
                      <w:sz w:val="18"/>
                      <w:szCs w:val="18"/>
                      <w:highlight w:val="none"/>
                      <w:u w:val="none"/>
                      <w:lang w:val="en-US" w:eastAsia="zh-CN" w:bidi="ar"/>
                    </w:rPr>
                    <w:t>%</w:t>
                  </w:r>
                </w:p>
              </w:tc>
              <w:tc>
                <w:tcPr>
                  <w:tcW w:w="870" w:type="dxa"/>
                  <w:shd w:val="clear" w:color="auto" w:fill="auto"/>
                  <w:vAlign w:val="center"/>
                </w:tcPr>
                <w:p w14:paraId="63A1AD5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排放速率kg/h</w:t>
                  </w:r>
                </w:p>
              </w:tc>
              <w:tc>
                <w:tcPr>
                  <w:tcW w:w="675" w:type="dxa"/>
                  <w:shd w:val="clear" w:color="auto" w:fill="auto"/>
                  <w:vAlign w:val="center"/>
                </w:tcPr>
                <w:p w14:paraId="6AEFDBB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排放浓度mg/m3</w:t>
                  </w:r>
                </w:p>
              </w:tc>
              <w:tc>
                <w:tcPr>
                  <w:tcW w:w="750" w:type="dxa"/>
                  <w:shd w:val="clear" w:color="auto" w:fill="auto"/>
                  <w:vAlign w:val="center"/>
                </w:tcPr>
                <w:p w14:paraId="39D8F43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年排放量t/a</w:t>
                  </w:r>
                </w:p>
              </w:tc>
              <w:tc>
                <w:tcPr>
                  <w:tcW w:w="834" w:type="dxa"/>
                  <w:shd w:val="clear" w:color="auto" w:fill="auto"/>
                  <w:vAlign w:val="center"/>
                </w:tcPr>
                <w:p w14:paraId="63686EC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除尘灰t/a</w:t>
                  </w:r>
                </w:p>
              </w:tc>
            </w:tr>
            <w:tr w14:paraId="3C6FF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25" w:type="dxa"/>
                  <w:vMerge w:val="restart"/>
                  <w:shd w:val="clear" w:color="auto" w:fill="auto"/>
                  <w:noWrap/>
                  <w:vAlign w:val="center"/>
                </w:tcPr>
                <w:p w14:paraId="6ABF07C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3#生产线</w:t>
                  </w:r>
                </w:p>
              </w:tc>
              <w:tc>
                <w:tcPr>
                  <w:tcW w:w="800" w:type="dxa"/>
                  <w:shd w:val="clear" w:color="auto" w:fill="auto"/>
                  <w:noWrap/>
                  <w:vAlign w:val="center"/>
                </w:tcPr>
                <w:p w14:paraId="43699AB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上料</w:t>
                  </w:r>
                </w:p>
              </w:tc>
              <w:tc>
                <w:tcPr>
                  <w:tcW w:w="765" w:type="dxa"/>
                  <w:shd w:val="clear" w:color="auto" w:fill="auto"/>
                  <w:noWrap/>
                  <w:vAlign w:val="center"/>
                </w:tcPr>
                <w:p w14:paraId="0B51972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2.4 </w:t>
                  </w:r>
                </w:p>
              </w:tc>
              <w:tc>
                <w:tcPr>
                  <w:tcW w:w="833" w:type="dxa"/>
                  <w:vMerge w:val="restart"/>
                  <w:shd w:val="clear" w:color="auto" w:fill="auto"/>
                  <w:vAlign w:val="center"/>
                </w:tcPr>
                <w:p w14:paraId="4045E4B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6489.816</w:t>
                  </w:r>
                </w:p>
              </w:tc>
              <w:tc>
                <w:tcPr>
                  <w:tcW w:w="833" w:type="dxa"/>
                  <w:shd w:val="clear" w:color="auto" w:fill="auto"/>
                  <w:noWrap/>
                  <w:vAlign w:val="center"/>
                </w:tcPr>
                <w:p w14:paraId="78DD88B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1.608 </w:t>
                  </w:r>
                </w:p>
              </w:tc>
              <w:tc>
                <w:tcPr>
                  <w:tcW w:w="647" w:type="dxa"/>
                  <w:vMerge w:val="restart"/>
                  <w:shd w:val="clear" w:color="auto" w:fill="auto"/>
                  <w:vAlign w:val="center"/>
                </w:tcPr>
                <w:p w14:paraId="52FEC5C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99.5</w:t>
                  </w:r>
                </w:p>
              </w:tc>
              <w:tc>
                <w:tcPr>
                  <w:tcW w:w="642" w:type="dxa"/>
                  <w:vMerge w:val="restart"/>
                  <w:shd w:val="clear" w:color="auto" w:fill="auto"/>
                  <w:vAlign w:val="center"/>
                </w:tcPr>
                <w:p w14:paraId="65A8093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80</w:t>
                  </w:r>
                </w:p>
              </w:tc>
              <w:tc>
                <w:tcPr>
                  <w:tcW w:w="870" w:type="dxa"/>
                  <w:shd w:val="clear" w:color="auto" w:fill="auto"/>
                  <w:vAlign w:val="center"/>
                </w:tcPr>
                <w:p w14:paraId="23FFDE1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0.010 </w:t>
                  </w:r>
                </w:p>
              </w:tc>
              <w:tc>
                <w:tcPr>
                  <w:tcW w:w="675" w:type="dxa"/>
                  <w:vMerge w:val="restart"/>
                  <w:shd w:val="clear" w:color="auto" w:fill="auto"/>
                  <w:vAlign w:val="center"/>
                </w:tcPr>
                <w:p w14:paraId="0E6E53E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23.99 </w:t>
                  </w:r>
                </w:p>
              </w:tc>
              <w:tc>
                <w:tcPr>
                  <w:tcW w:w="750" w:type="dxa"/>
                  <w:shd w:val="clear" w:color="auto" w:fill="auto"/>
                  <w:vAlign w:val="center"/>
                </w:tcPr>
                <w:p w14:paraId="79B762D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0.008 </w:t>
                  </w:r>
                </w:p>
              </w:tc>
              <w:tc>
                <w:tcPr>
                  <w:tcW w:w="834" w:type="dxa"/>
                  <w:shd w:val="clear" w:color="auto" w:fill="auto"/>
                  <w:vAlign w:val="center"/>
                </w:tcPr>
                <w:p w14:paraId="4B019B2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1.6</w:t>
                  </w:r>
                </w:p>
              </w:tc>
            </w:tr>
            <w:tr w14:paraId="069B7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25" w:type="dxa"/>
                  <w:vMerge w:val="continue"/>
                  <w:shd w:val="clear" w:color="auto" w:fill="auto"/>
                  <w:noWrap/>
                  <w:vAlign w:val="center"/>
                </w:tcPr>
                <w:p w14:paraId="62A2B2C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00" w:type="dxa"/>
                  <w:shd w:val="clear" w:color="auto" w:fill="auto"/>
                  <w:noWrap/>
                  <w:vAlign w:val="center"/>
                </w:tcPr>
                <w:p w14:paraId="7274EB5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颚破</w:t>
                  </w:r>
                </w:p>
              </w:tc>
              <w:tc>
                <w:tcPr>
                  <w:tcW w:w="765" w:type="dxa"/>
                  <w:shd w:val="clear" w:color="auto" w:fill="auto"/>
                  <w:noWrap/>
                  <w:vAlign w:val="center"/>
                </w:tcPr>
                <w:p w14:paraId="4175630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31.389 </w:t>
                  </w:r>
                </w:p>
              </w:tc>
              <w:tc>
                <w:tcPr>
                  <w:tcW w:w="833" w:type="dxa"/>
                  <w:vMerge w:val="continue"/>
                  <w:shd w:val="clear" w:color="auto" w:fill="auto"/>
                  <w:vAlign w:val="center"/>
                </w:tcPr>
                <w:p w14:paraId="13517BB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33" w:type="dxa"/>
                  <w:shd w:val="clear" w:color="auto" w:fill="auto"/>
                  <w:noWrap/>
                  <w:vAlign w:val="center"/>
                </w:tcPr>
                <w:p w14:paraId="48683F9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90.4 </w:t>
                  </w:r>
                </w:p>
              </w:tc>
              <w:tc>
                <w:tcPr>
                  <w:tcW w:w="647" w:type="dxa"/>
                  <w:vMerge w:val="continue"/>
                  <w:shd w:val="clear" w:color="auto" w:fill="auto"/>
                  <w:vAlign w:val="center"/>
                </w:tcPr>
                <w:p w14:paraId="347DE09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42" w:type="dxa"/>
                  <w:vMerge w:val="continue"/>
                  <w:shd w:val="clear" w:color="auto" w:fill="auto"/>
                  <w:vAlign w:val="center"/>
                </w:tcPr>
                <w:p w14:paraId="0636599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70" w:type="dxa"/>
                  <w:shd w:val="clear" w:color="auto" w:fill="auto"/>
                  <w:vAlign w:val="center"/>
                </w:tcPr>
                <w:p w14:paraId="282E789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0.126 </w:t>
                  </w:r>
                </w:p>
              </w:tc>
              <w:tc>
                <w:tcPr>
                  <w:tcW w:w="675" w:type="dxa"/>
                  <w:vMerge w:val="continue"/>
                  <w:shd w:val="clear" w:color="auto" w:fill="auto"/>
                  <w:vAlign w:val="center"/>
                </w:tcPr>
                <w:p w14:paraId="022DC8C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750" w:type="dxa"/>
                  <w:shd w:val="clear" w:color="auto" w:fill="auto"/>
                  <w:vAlign w:val="center"/>
                </w:tcPr>
                <w:p w14:paraId="1C14484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0.452 </w:t>
                  </w:r>
                </w:p>
              </w:tc>
              <w:tc>
                <w:tcPr>
                  <w:tcW w:w="834" w:type="dxa"/>
                  <w:shd w:val="clear" w:color="auto" w:fill="auto"/>
                  <w:vAlign w:val="center"/>
                </w:tcPr>
                <w:p w14:paraId="69302EF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89.948 </w:t>
                  </w:r>
                </w:p>
              </w:tc>
            </w:tr>
            <w:tr w14:paraId="63528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25" w:type="dxa"/>
                  <w:vMerge w:val="continue"/>
                  <w:shd w:val="clear" w:color="auto" w:fill="auto"/>
                  <w:noWrap/>
                  <w:vAlign w:val="center"/>
                </w:tcPr>
                <w:p w14:paraId="751A942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00" w:type="dxa"/>
                  <w:shd w:val="clear" w:color="auto" w:fill="auto"/>
                  <w:noWrap/>
                  <w:vAlign w:val="center"/>
                </w:tcPr>
                <w:p w14:paraId="70BB2CD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中间仓</w:t>
                  </w:r>
                </w:p>
              </w:tc>
              <w:tc>
                <w:tcPr>
                  <w:tcW w:w="765" w:type="dxa"/>
                  <w:shd w:val="clear" w:color="auto" w:fill="auto"/>
                  <w:noWrap/>
                  <w:vAlign w:val="center"/>
                </w:tcPr>
                <w:p w14:paraId="7FEDC38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4.182 </w:t>
                  </w:r>
                </w:p>
              </w:tc>
              <w:tc>
                <w:tcPr>
                  <w:tcW w:w="833" w:type="dxa"/>
                  <w:vMerge w:val="continue"/>
                  <w:shd w:val="clear" w:color="auto" w:fill="auto"/>
                  <w:vAlign w:val="center"/>
                </w:tcPr>
                <w:p w14:paraId="5E16B92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33" w:type="dxa"/>
                  <w:shd w:val="clear" w:color="auto" w:fill="auto"/>
                  <w:noWrap/>
                  <w:vAlign w:val="center"/>
                </w:tcPr>
                <w:p w14:paraId="1F72615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12.045 </w:t>
                  </w:r>
                </w:p>
              </w:tc>
              <w:tc>
                <w:tcPr>
                  <w:tcW w:w="647" w:type="dxa"/>
                  <w:vMerge w:val="continue"/>
                  <w:shd w:val="clear" w:color="auto" w:fill="auto"/>
                  <w:vAlign w:val="center"/>
                </w:tcPr>
                <w:p w14:paraId="2FF4C25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42" w:type="dxa"/>
                  <w:vMerge w:val="continue"/>
                  <w:shd w:val="clear" w:color="auto" w:fill="auto"/>
                  <w:vAlign w:val="center"/>
                </w:tcPr>
                <w:p w14:paraId="2E84BEB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70" w:type="dxa"/>
                  <w:shd w:val="clear" w:color="auto" w:fill="auto"/>
                  <w:vAlign w:val="center"/>
                </w:tcPr>
                <w:p w14:paraId="0BE3F37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0.017 </w:t>
                  </w:r>
                </w:p>
              </w:tc>
              <w:tc>
                <w:tcPr>
                  <w:tcW w:w="675" w:type="dxa"/>
                  <w:vMerge w:val="continue"/>
                  <w:shd w:val="clear" w:color="auto" w:fill="auto"/>
                  <w:vAlign w:val="center"/>
                </w:tcPr>
                <w:p w14:paraId="1292767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750" w:type="dxa"/>
                  <w:shd w:val="clear" w:color="auto" w:fill="auto"/>
                  <w:vAlign w:val="center"/>
                </w:tcPr>
                <w:p w14:paraId="756A6C3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0.06 </w:t>
                  </w:r>
                </w:p>
              </w:tc>
              <w:tc>
                <w:tcPr>
                  <w:tcW w:w="834" w:type="dxa"/>
                  <w:shd w:val="clear" w:color="auto" w:fill="auto"/>
                  <w:vAlign w:val="center"/>
                </w:tcPr>
                <w:p w14:paraId="5ABDC43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11.985 </w:t>
                  </w:r>
                </w:p>
              </w:tc>
            </w:tr>
            <w:tr w14:paraId="3C909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25" w:type="dxa"/>
                  <w:vMerge w:val="continue"/>
                  <w:shd w:val="clear" w:color="auto" w:fill="auto"/>
                  <w:noWrap/>
                  <w:vAlign w:val="center"/>
                </w:tcPr>
                <w:p w14:paraId="09CD8D6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00" w:type="dxa"/>
                  <w:shd w:val="clear" w:color="auto" w:fill="auto"/>
                  <w:noWrap/>
                  <w:vAlign w:val="center"/>
                </w:tcPr>
                <w:p w14:paraId="5D0E352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锤破</w:t>
                  </w:r>
                </w:p>
              </w:tc>
              <w:tc>
                <w:tcPr>
                  <w:tcW w:w="765" w:type="dxa"/>
                  <w:shd w:val="clear" w:color="auto" w:fill="auto"/>
                  <w:noWrap/>
                  <w:vAlign w:val="center"/>
                </w:tcPr>
                <w:p w14:paraId="586EEB8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14.268 </w:t>
                  </w:r>
                </w:p>
              </w:tc>
              <w:tc>
                <w:tcPr>
                  <w:tcW w:w="833" w:type="dxa"/>
                  <w:vMerge w:val="continue"/>
                  <w:shd w:val="clear" w:color="auto" w:fill="auto"/>
                  <w:vAlign w:val="center"/>
                </w:tcPr>
                <w:p w14:paraId="3A86BC7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33" w:type="dxa"/>
                  <w:shd w:val="clear" w:color="auto" w:fill="auto"/>
                  <w:noWrap/>
                  <w:vAlign w:val="center"/>
                </w:tcPr>
                <w:p w14:paraId="4063D40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90.4 </w:t>
                  </w:r>
                </w:p>
              </w:tc>
              <w:tc>
                <w:tcPr>
                  <w:tcW w:w="647" w:type="dxa"/>
                  <w:vMerge w:val="continue"/>
                  <w:shd w:val="clear" w:color="auto" w:fill="auto"/>
                  <w:vAlign w:val="center"/>
                </w:tcPr>
                <w:p w14:paraId="52CFA96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42" w:type="dxa"/>
                  <w:vMerge w:val="continue"/>
                  <w:shd w:val="clear" w:color="auto" w:fill="auto"/>
                  <w:vAlign w:val="center"/>
                </w:tcPr>
                <w:p w14:paraId="3E5A01F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70" w:type="dxa"/>
                  <w:shd w:val="clear" w:color="auto" w:fill="auto"/>
                  <w:vAlign w:val="center"/>
                </w:tcPr>
                <w:p w14:paraId="4DCBED8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0.057 </w:t>
                  </w:r>
                </w:p>
              </w:tc>
              <w:tc>
                <w:tcPr>
                  <w:tcW w:w="675" w:type="dxa"/>
                  <w:vMerge w:val="continue"/>
                  <w:shd w:val="clear" w:color="auto" w:fill="auto"/>
                  <w:vAlign w:val="center"/>
                </w:tcPr>
                <w:p w14:paraId="47CF4E5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750" w:type="dxa"/>
                  <w:shd w:val="clear" w:color="auto" w:fill="auto"/>
                  <w:vAlign w:val="center"/>
                </w:tcPr>
                <w:p w14:paraId="566F454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0.452 </w:t>
                  </w:r>
                </w:p>
              </w:tc>
              <w:tc>
                <w:tcPr>
                  <w:tcW w:w="834" w:type="dxa"/>
                  <w:shd w:val="clear" w:color="auto" w:fill="auto"/>
                  <w:vAlign w:val="center"/>
                </w:tcPr>
                <w:p w14:paraId="2DB3657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89.948 </w:t>
                  </w:r>
                </w:p>
              </w:tc>
            </w:tr>
            <w:tr w14:paraId="134EE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25" w:type="dxa"/>
                  <w:vMerge w:val="continue"/>
                  <w:shd w:val="clear" w:color="auto" w:fill="auto"/>
                  <w:noWrap/>
                  <w:vAlign w:val="center"/>
                </w:tcPr>
                <w:p w14:paraId="3609A97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00" w:type="dxa"/>
                  <w:shd w:val="clear" w:color="auto" w:fill="auto"/>
                  <w:noWrap/>
                  <w:vAlign w:val="center"/>
                </w:tcPr>
                <w:p w14:paraId="174EFEE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筛分</w:t>
                  </w:r>
                </w:p>
              </w:tc>
              <w:tc>
                <w:tcPr>
                  <w:tcW w:w="765" w:type="dxa"/>
                  <w:shd w:val="clear" w:color="auto" w:fill="auto"/>
                  <w:noWrap/>
                  <w:vAlign w:val="center"/>
                </w:tcPr>
                <w:p w14:paraId="25342D4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14.268 </w:t>
                  </w:r>
                </w:p>
              </w:tc>
              <w:tc>
                <w:tcPr>
                  <w:tcW w:w="833" w:type="dxa"/>
                  <w:vMerge w:val="continue"/>
                  <w:shd w:val="clear" w:color="auto" w:fill="auto"/>
                  <w:vAlign w:val="center"/>
                </w:tcPr>
                <w:p w14:paraId="5EDF3F7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33" w:type="dxa"/>
                  <w:shd w:val="clear" w:color="auto" w:fill="auto"/>
                  <w:noWrap/>
                  <w:vAlign w:val="center"/>
                </w:tcPr>
                <w:p w14:paraId="709D959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90.4 </w:t>
                  </w:r>
                </w:p>
              </w:tc>
              <w:tc>
                <w:tcPr>
                  <w:tcW w:w="647" w:type="dxa"/>
                  <w:vMerge w:val="continue"/>
                  <w:shd w:val="clear" w:color="auto" w:fill="auto"/>
                  <w:vAlign w:val="center"/>
                </w:tcPr>
                <w:p w14:paraId="0924565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42" w:type="dxa"/>
                  <w:vMerge w:val="continue"/>
                  <w:shd w:val="clear" w:color="auto" w:fill="auto"/>
                  <w:vAlign w:val="center"/>
                </w:tcPr>
                <w:p w14:paraId="48E01B8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70" w:type="dxa"/>
                  <w:shd w:val="clear" w:color="auto" w:fill="auto"/>
                  <w:vAlign w:val="center"/>
                </w:tcPr>
                <w:p w14:paraId="0956D89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0.057 </w:t>
                  </w:r>
                </w:p>
              </w:tc>
              <w:tc>
                <w:tcPr>
                  <w:tcW w:w="675" w:type="dxa"/>
                  <w:vMerge w:val="continue"/>
                  <w:shd w:val="clear" w:color="auto" w:fill="auto"/>
                  <w:vAlign w:val="center"/>
                </w:tcPr>
                <w:p w14:paraId="2EAD45E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750" w:type="dxa"/>
                  <w:shd w:val="clear" w:color="auto" w:fill="auto"/>
                  <w:vAlign w:val="center"/>
                </w:tcPr>
                <w:p w14:paraId="2F971E5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0.452 </w:t>
                  </w:r>
                </w:p>
              </w:tc>
              <w:tc>
                <w:tcPr>
                  <w:tcW w:w="834" w:type="dxa"/>
                  <w:shd w:val="clear" w:color="auto" w:fill="auto"/>
                  <w:vAlign w:val="center"/>
                </w:tcPr>
                <w:p w14:paraId="34D55E9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89.948 </w:t>
                  </w:r>
                </w:p>
              </w:tc>
            </w:tr>
            <w:tr w14:paraId="0DC8F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25" w:type="dxa"/>
                  <w:vMerge w:val="continue"/>
                  <w:shd w:val="clear" w:color="auto" w:fill="auto"/>
                  <w:noWrap/>
                  <w:vAlign w:val="center"/>
                </w:tcPr>
                <w:p w14:paraId="4F1855F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00" w:type="dxa"/>
                  <w:shd w:val="clear" w:color="auto" w:fill="auto"/>
                  <w:noWrap/>
                  <w:vAlign w:val="center"/>
                </w:tcPr>
                <w:p w14:paraId="6677E0C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产品仓</w:t>
                  </w:r>
                </w:p>
              </w:tc>
              <w:tc>
                <w:tcPr>
                  <w:tcW w:w="765" w:type="dxa"/>
                  <w:shd w:val="clear" w:color="auto" w:fill="auto"/>
                  <w:noWrap/>
                  <w:vAlign w:val="center"/>
                </w:tcPr>
                <w:p w14:paraId="22A9BAC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4.167 </w:t>
                  </w:r>
                </w:p>
              </w:tc>
              <w:tc>
                <w:tcPr>
                  <w:tcW w:w="833" w:type="dxa"/>
                  <w:vMerge w:val="continue"/>
                  <w:shd w:val="clear" w:color="auto" w:fill="auto"/>
                  <w:vAlign w:val="center"/>
                </w:tcPr>
                <w:p w14:paraId="68C0AB9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33" w:type="dxa"/>
                  <w:shd w:val="clear" w:color="auto" w:fill="auto"/>
                  <w:noWrap/>
                  <w:vAlign w:val="center"/>
                </w:tcPr>
                <w:p w14:paraId="04D289B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12.002 </w:t>
                  </w:r>
                </w:p>
              </w:tc>
              <w:tc>
                <w:tcPr>
                  <w:tcW w:w="647" w:type="dxa"/>
                  <w:vMerge w:val="continue"/>
                  <w:shd w:val="clear" w:color="auto" w:fill="auto"/>
                  <w:vAlign w:val="center"/>
                </w:tcPr>
                <w:p w14:paraId="1A24358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42" w:type="dxa"/>
                  <w:vMerge w:val="continue"/>
                  <w:shd w:val="clear" w:color="auto" w:fill="auto"/>
                  <w:vAlign w:val="center"/>
                </w:tcPr>
                <w:p w14:paraId="61FAE7A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70" w:type="dxa"/>
                  <w:shd w:val="clear" w:color="auto" w:fill="auto"/>
                  <w:vAlign w:val="center"/>
                </w:tcPr>
                <w:p w14:paraId="5FCAFCB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0.017 </w:t>
                  </w:r>
                </w:p>
              </w:tc>
              <w:tc>
                <w:tcPr>
                  <w:tcW w:w="675" w:type="dxa"/>
                  <w:vMerge w:val="continue"/>
                  <w:shd w:val="clear" w:color="auto" w:fill="auto"/>
                  <w:vAlign w:val="center"/>
                </w:tcPr>
                <w:p w14:paraId="2BEDB3E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750" w:type="dxa"/>
                  <w:shd w:val="clear" w:color="auto" w:fill="auto"/>
                  <w:vAlign w:val="center"/>
                </w:tcPr>
                <w:p w14:paraId="5F762BA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0.060 </w:t>
                  </w:r>
                </w:p>
              </w:tc>
              <w:tc>
                <w:tcPr>
                  <w:tcW w:w="834" w:type="dxa"/>
                  <w:shd w:val="clear" w:color="auto" w:fill="auto"/>
                  <w:vAlign w:val="center"/>
                </w:tcPr>
                <w:p w14:paraId="6190A97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11.942 </w:t>
                  </w:r>
                </w:p>
              </w:tc>
            </w:tr>
            <w:tr w14:paraId="667E9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25" w:type="dxa"/>
                  <w:vMerge w:val="continue"/>
                  <w:shd w:val="clear" w:color="auto" w:fill="auto"/>
                  <w:noWrap/>
                  <w:vAlign w:val="center"/>
                </w:tcPr>
                <w:p w14:paraId="5D471FB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00" w:type="dxa"/>
                  <w:shd w:val="clear" w:color="auto" w:fill="auto"/>
                  <w:noWrap/>
                  <w:vAlign w:val="center"/>
                </w:tcPr>
                <w:p w14:paraId="21BA2CD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包装</w:t>
                  </w:r>
                </w:p>
              </w:tc>
              <w:tc>
                <w:tcPr>
                  <w:tcW w:w="765" w:type="dxa"/>
                  <w:shd w:val="clear" w:color="auto" w:fill="auto"/>
                  <w:noWrap/>
                  <w:vAlign w:val="center"/>
                </w:tcPr>
                <w:p w14:paraId="00A94B7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0.032 </w:t>
                  </w:r>
                </w:p>
              </w:tc>
              <w:tc>
                <w:tcPr>
                  <w:tcW w:w="833" w:type="dxa"/>
                  <w:vMerge w:val="continue"/>
                  <w:shd w:val="clear" w:color="auto" w:fill="auto"/>
                  <w:vAlign w:val="center"/>
                </w:tcPr>
                <w:p w14:paraId="5E9BA30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33" w:type="dxa"/>
                  <w:shd w:val="clear" w:color="auto" w:fill="auto"/>
                  <w:noWrap/>
                  <w:vAlign w:val="center"/>
                </w:tcPr>
                <w:p w14:paraId="6A241BA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0.092 </w:t>
                  </w:r>
                </w:p>
              </w:tc>
              <w:tc>
                <w:tcPr>
                  <w:tcW w:w="647" w:type="dxa"/>
                  <w:vMerge w:val="continue"/>
                  <w:shd w:val="clear" w:color="auto" w:fill="auto"/>
                  <w:vAlign w:val="center"/>
                </w:tcPr>
                <w:p w14:paraId="2D97909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42" w:type="dxa"/>
                  <w:vMerge w:val="continue"/>
                  <w:shd w:val="clear" w:color="auto" w:fill="auto"/>
                  <w:vAlign w:val="center"/>
                </w:tcPr>
                <w:p w14:paraId="70590F0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70" w:type="dxa"/>
                  <w:shd w:val="clear" w:color="auto" w:fill="auto"/>
                  <w:vAlign w:val="center"/>
                </w:tcPr>
                <w:p w14:paraId="02049A4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0.000</w:t>
                  </w:r>
                  <w:r>
                    <w:rPr>
                      <w:rFonts w:hint="eastAsia" w:cs="Times New Roman"/>
                      <w:i w:val="0"/>
                      <w:iCs w:val="0"/>
                      <w:color w:val="auto"/>
                      <w:kern w:val="0"/>
                      <w:sz w:val="18"/>
                      <w:szCs w:val="18"/>
                      <w:highlight w:val="none"/>
                      <w:u w:val="none"/>
                      <w:lang w:val="en-US" w:eastAsia="zh-CN" w:bidi="ar"/>
                    </w:rPr>
                    <w:t>1</w:t>
                  </w:r>
                  <w:r>
                    <w:rPr>
                      <w:rFonts w:hint="default" w:ascii="Times New Roman" w:hAnsi="Times New Roman" w:eastAsia="宋体" w:cs="Times New Roman"/>
                      <w:i w:val="0"/>
                      <w:iCs w:val="0"/>
                      <w:color w:val="auto"/>
                      <w:kern w:val="0"/>
                      <w:sz w:val="18"/>
                      <w:szCs w:val="18"/>
                      <w:highlight w:val="none"/>
                      <w:u w:val="none"/>
                      <w:lang w:val="en-US" w:eastAsia="zh-CN" w:bidi="ar"/>
                    </w:rPr>
                    <w:t xml:space="preserve"> </w:t>
                  </w:r>
                </w:p>
              </w:tc>
              <w:tc>
                <w:tcPr>
                  <w:tcW w:w="675" w:type="dxa"/>
                  <w:vMerge w:val="continue"/>
                  <w:shd w:val="clear" w:color="auto" w:fill="auto"/>
                  <w:vAlign w:val="center"/>
                </w:tcPr>
                <w:p w14:paraId="005B184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750" w:type="dxa"/>
                  <w:shd w:val="clear" w:color="auto" w:fill="auto"/>
                  <w:vAlign w:val="center"/>
                </w:tcPr>
                <w:p w14:paraId="6406D4C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0.000</w:t>
                  </w:r>
                  <w:r>
                    <w:rPr>
                      <w:rFonts w:hint="eastAsia" w:cs="Times New Roman"/>
                      <w:i w:val="0"/>
                      <w:iCs w:val="0"/>
                      <w:color w:val="auto"/>
                      <w:kern w:val="0"/>
                      <w:sz w:val="18"/>
                      <w:szCs w:val="18"/>
                      <w:highlight w:val="none"/>
                      <w:u w:val="none"/>
                      <w:lang w:val="en-US" w:eastAsia="zh-CN" w:bidi="ar"/>
                    </w:rPr>
                    <w:t>4</w:t>
                  </w:r>
                  <w:r>
                    <w:rPr>
                      <w:rFonts w:hint="default" w:ascii="Times New Roman" w:hAnsi="Times New Roman" w:eastAsia="宋体" w:cs="Times New Roman"/>
                      <w:i w:val="0"/>
                      <w:iCs w:val="0"/>
                      <w:color w:val="auto"/>
                      <w:kern w:val="0"/>
                      <w:sz w:val="18"/>
                      <w:szCs w:val="18"/>
                      <w:highlight w:val="none"/>
                      <w:u w:val="none"/>
                      <w:lang w:val="en-US" w:eastAsia="zh-CN" w:bidi="ar"/>
                    </w:rPr>
                    <w:t xml:space="preserve"> </w:t>
                  </w:r>
                </w:p>
              </w:tc>
              <w:tc>
                <w:tcPr>
                  <w:tcW w:w="834" w:type="dxa"/>
                  <w:shd w:val="clear" w:color="auto" w:fill="auto"/>
                  <w:vAlign w:val="center"/>
                </w:tcPr>
                <w:p w14:paraId="00BFF0F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0.092 </w:t>
                  </w:r>
                </w:p>
              </w:tc>
            </w:tr>
            <w:tr w14:paraId="1F9BF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25" w:type="dxa"/>
                  <w:vMerge w:val="continue"/>
                  <w:shd w:val="clear" w:color="auto" w:fill="auto"/>
                  <w:noWrap/>
                  <w:vAlign w:val="center"/>
                </w:tcPr>
                <w:p w14:paraId="74980EC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00" w:type="dxa"/>
                  <w:shd w:val="clear" w:color="auto" w:fill="auto"/>
                  <w:noWrap/>
                  <w:vAlign w:val="center"/>
                </w:tcPr>
                <w:p w14:paraId="1F190AA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雷蒙</w:t>
                  </w:r>
                </w:p>
              </w:tc>
              <w:tc>
                <w:tcPr>
                  <w:tcW w:w="765" w:type="dxa"/>
                  <w:shd w:val="clear" w:color="auto" w:fill="auto"/>
                  <w:noWrap/>
                  <w:vAlign w:val="center"/>
                </w:tcPr>
                <w:p w14:paraId="6715623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14.773 </w:t>
                  </w:r>
                </w:p>
              </w:tc>
              <w:tc>
                <w:tcPr>
                  <w:tcW w:w="833" w:type="dxa"/>
                  <w:vMerge w:val="continue"/>
                  <w:shd w:val="clear" w:color="auto" w:fill="auto"/>
                  <w:vAlign w:val="center"/>
                </w:tcPr>
                <w:p w14:paraId="49BE8B8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33" w:type="dxa"/>
                  <w:shd w:val="clear" w:color="auto" w:fill="auto"/>
                  <w:noWrap/>
                  <w:vAlign w:val="center"/>
                </w:tcPr>
                <w:p w14:paraId="5A2A22C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117</w:t>
                  </w:r>
                </w:p>
              </w:tc>
              <w:tc>
                <w:tcPr>
                  <w:tcW w:w="647" w:type="dxa"/>
                  <w:shd w:val="clear" w:color="auto" w:fill="auto"/>
                  <w:vAlign w:val="center"/>
                </w:tcPr>
                <w:p w14:paraId="37A7C2D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99.8</w:t>
                  </w:r>
                </w:p>
              </w:tc>
              <w:tc>
                <w:tcPr>
                  <w:tcW w:w="642" w:type="dxa"/>
                  <w:shd w:val="clear" w:color="auto" w:fill="auto"/>
                  <w:vAlign w:val="center"/>
                </w:tcPr>
                <w:p w14:paraId="010E3D6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100</w:t>
                  </w:r>
                </w:p>
              </w:tc>
              <w:tc>
                <w:tcPr>
                  <w:tcW w:w="870" w:type="dxa"/>
                  <w:shd w:val="clear" w:color="auto" w:fill="auto"/>
                  <w:vAlign w:val="center"/>
                </w:tcPr>
                <w:p w14:paraId="76E0E80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0.03</w:t>
                  </w:r>
                </w:p>
              </w:tc>
              <w:tc>
                <w:tcPr>
                  <w:tcW w:w="675" w:type="dxa"/>
                  <w:vMerge w:val="continue"/>
                  <w:shd w:val="clear" w:color="auto" w:fill="auto"/>
                  <w:vAlign w:val="center"/>
                </w:tcPr>
                <w:p w14:paraId="0A6814C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750" w:type="dxa"/>
                  <w:shd w:val="clear" w:color="auto" w:fill="auto"/>
                  <w:vAlign w:val="center"/>
                </w:tcPr>
                <w:p w14:paraId="62A0295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0.234 </w:t>
                  </w:r>
                </w:p>
              </w:tc>
              <w:tc>
                <w:tcPr>
                  <w:tcW w:w="834" w:type="dxa"/>
                  <w:shd w:val="clear" w:color="auto" w:fill="auto"/>
                  <w:vAlign w:val="center"/>
                </w:tcPr>
                <w:p w14:paraId="725E5E9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116.766 </w:t>
                  </w:r>
                </w:p>
              </w:tc>
            </w:tr>
            <w:tr w14:paraId="5B207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425" w:type="dxa"/>
                  <w:gridSpan w:val="2"/>
                  <w:shd w:val="clear" w:color="auto" w:fill="auto"/>
                  <w:noWrap/>
                  <w:vAlign w:val="center"/>
                </w:tcPr>
                <w:p w14:paraId="6F1C955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合计</w:t>
                  </w:r>
                </w:p>
              </w:tc>
              <w:tc>
                <w:tcPr>
                  <w:tcW w:w="765" w:type="dxa"/>
                  <w:shd w:val="clear" w:color="auto" w:fill="auto"/>
                  <w:noWrap/>
                  <w:vAlign w:val="center"/>
                </w:tcPr>
                <w:p w14:paraId="11371E1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85.478 </w:t>
                  </w:r>
                </w:p>
              </w:tc>
              <w:tc>
                <w:tcPr>
                  <w:tcW w:w="833" w:type="dxa"/>
                  <w:shd w:val="clear" w:color="auto" w:fill="auto"/>
                  <w:noWrap/>
                  <w:vAlign w:val="center"/>
                </w:tcPr>
                <w:p w14:paraId="71D787F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33" w:type="dxa"/>
                  <w:shd w:val="clear" w:color="auto" w:fill="auto"/>
                  <w:noWrap/>
                  <w:vAlign w:val="center"/>
                </w:tcPr>
                <w:p w14:paraId="078AA23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413.946 </w:t>
                  </w:r>
                </w:p>
              </w:tc>
              <w:tc>
                <w:tcPr>
                  <w:tcW w:w="647" w:type="dxa"/>
                  <w:shd w:val="clear" w:color="auto" w:fill="auto"/>
                  <w:noWrap/>
                  <w:vAlign w:val="center"/>
                </w:tcPr>
                <w:p w14:paraId="55D3B84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42" w:type="dxa"/>
                  <w:shd w:val="clear" w:color="auto" w:fill="auto"/>
                  <w:noWrap/>
                  <w:vAlign w:val="center"/>
                </w:tcPr>
                <w:p w14:paraId="1AA71C1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70" w:type="dxa"/>
                  <w:shd w:val="clear" w:color="auto" w:fill="auto"/>
                  <w:noWrap/>
                  <w:vAlign w:val="center"/>
                </w:tcPr>
                <w:p w14:paraId="489A127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0.312 </w:t>
                  </w:r>
                </w:p>
              </w:tc>
              <w:tc>
                <w:tcPr>
                  <w:tcW w:w="675" w:type="dxa"/>
                  <w:shd w:val="clear" w:color="auto" w:fill="auto"/>
                  <w:noWrap/>
                  <w:vAlign w:val="center"/>
                </w:tcPr>
                <w:p w14:paraId="1CE93A4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23.99</w:t>
                  </w:r>
                </w:p>
              </w:tc>
              <w:tc>
                <w:tcPr>
                  <w:tcW w:w="750" w:type="dxa"/>
                  <w:shd w:val="clear" w:color="auto" w:fill="auto"/>
                  <w:noWrap/>
                  <w:vAlign w:val="center"/>
                </w:tcPr>
                <w:p w14:paraId="7D37075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1.719 </w:t>
                  </w:r>
                </w:p>
              </w:tc>
              <w:tc>
                <w:tcPr>
                  <w:tcW w:w="834" w:type="dxa"/>
                  <w:shd w:val="clear" w:color="auto" w:fill="auto"/>
                  <w:noWrap/>
                  <w:vAlign w:val="center"/>
                </w:tcPr>
                <w:p w14:paraId="4E50E7C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412.228 </w:t>
                  </w:r>
                </w:p>
              </w:tc>
            </w:tr>
          </w:tbl>
          <w:p w14:paraId="443548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Times New Roman" w:hAnsi="Times New Roman" w:eastAsia="宋体" w:cs="Times New Roman"/>
                <w:color w:val="auto"/>
                <w:spacing w:val="0"/>
                <w:sz w:val="24"/>
                <w:szCs w:val="24"/>
                <w:highlight w:val="none"/>
                <w:lang w:eastAsia="zh-CN"/>
              </w:rPr>
            </w:pPr>
          </w:p>
          <w:p w14:paraId="3350CBBF">
            <w:pPr>
              <w:keepNext w:val="0"/>
              <w:keepLines w:val="0"/>
              <w:suppressLineNumbers w:val="0"/>
              <w:spacing w:before="0" w:beforeAutospacing="0" w:after="0" w:afterAutospacing="0" w:line="360" w:lineRule="auto"/>
              <w:ind w:left="0" w:right="0" w:firstLine="480" w:firstLineChars="200"/>
              <w:rPr>
                <w:rFonts w:ascii="Calibri" w:hAnsi="Calibri" w:eastAsia="宋体" w:cs="Times New Roman"/>
                <w:color w:val="auto"/>
                <w:sz w:val="24"/>
                <w:highlight w:val="none"/>
                <w:shd w:val="clear" w:color="auto" w:fill="auto"/>
              </w:rPr>
            </w:pPr>
            <w:r>
              <w:rPr>
                <w:rFonts w:hint="eastAsia" w:ascii="Calibri" w:hAnsi="Calibri" w:eastAsia="宋体" w:cs="Times New Roman"/>
                <w:color w:val="auto"/>
                <w:sz w:val="24"/>
                <w:highlight w:val="none"/>
                <w:shd w:val="clear" w:color="auto" w:fill="auto"/>
                <w:lang w:eastAsia="zh-CN"/>
              </w:rPr>
              <w:t>本</w:t>
            </w:r>
            <w:r>
              <w:rPr>
                <w:rFonts w:ascii="Calibri" w:hAnsi="Calibri" w:eastAsia="宋体" w:cs="Times New Roman"/>
                <w:color w:val="auto"/>
                <w:sz w:val="24"/>
                <w:highlight w:val="none"/>
                <w:shd w:val="clear" w:color="auto" w:fill="auto"/>
              </w:rPr>
              <w:t>项目</w:t>
            </w:r>
            <w:r>
              <w:rPr>
                <w:rFonts w:hint="eastAsia" w:ascii="Calibri" w:hAnsi="Calibri" w:cs="Times New Roman"/>
                <w:color w:val="auto"/>
                <w:sz w:val="24"/>
                <w:highlight w:val="none"/>
                <w:shd w:val="clear" w:color="auto" w:fill="auto"/>
                <w:lang w:val="en-US" w:eastAsia="zh-CN"/>
              </w:rPr>
              <w:t>3#</w:t>
            </w:r>
            <w:r>
              <w:rPr>
                <w:rFonts w:hint="eastAsia" w:ascii="Calibri" w:hAnsi="Calibri" w:cs="Times New Roman"/>
                <w:color w:val="auto"/>
                <w:sz w:val="24"/>
                <w:highlight w:val="none"/>
                <w:shd w:val="clear" w:color="auto" w:fill="auto"/>
                <w:lang w:eastAsia="zh-CN"/>
              </w:rPr>
              <w:t>生产线</w:t>
            </w:r>
            <w:r>
              <w:rPr>
                <w:rFonts w:ascii="Calibri" w:hAnsi="Calibri" w:eastAsia="宋体" w:cs="Times New Roman"/>
                <w:color w:val="auto"/>
                <w:sz w:val="24"/>
                <w:highlight w:val="none"/>
                <w:shd w:val="clear" w:color="auto" w:fill="auto"/>
              </w:rPr>
              <w:t>无组织</w:t>
            </w:r>
            <w:r>
              <w:rPr>
                <w:rFonts w:hint="eastAsia" w:ascii="Calibri" w:hAnsi="Calibri" w:eastAsia="宋体" w:cs="Times New Roman"/>
                <w:color w:val="auto"/>
                <w:sz w:val="24"/>
                <w:highlight w:val="none"/>
                <w:shd w:val="clear" w:color="auto" w:fill="auto"/>
                <w:lang w:eastAsia="zh-CN"/>
              </w:rPr>
              <w:t>废气</w:t>
            </w:r>
            <w:r>
              <w:rPr>
                <w:rFonts w:ascii="Calibri" w:hAnsi="Calibri" w:eastAsia="宋体" w:cs="Times New Roman"/>
                <w:color w:val="auto"/>
                <w:sz w:val="24"/>
                <w:highlight w:val="none"/>
                <w:shd w:val="clear" w:color="auto" w:fill="auto"/>
              </w:rPr>
              <w:t>产排情况详见</w:t>
            </w:r>
            <w:r>
              <w:rPr>
                <w:rFonts w:hint="eastAsia" w:ascii="Calibri" w:hAnsi="Calibri" w:eastAsia="宋体" w:cs="Times New Roman"/>
                <w:color w:val="auto"/>
                <w:sz w:val="24"/>
                <w:highlight w:val="none"/>
                <w:shd w:val="clear" w:color="auto" w:fill="auto"/>
                <w:lang w:val="en-US" w:eastAsia="zh-CN"/>
              </w:rPr>
              <w:t>表</w:t>
            </w:r>
            <w:r>
              <w:rPr>
                <w:rFonts w:hint="eastAsia" w:ascii="Calibri" w:hAnsi="Calibri" w:cs="Times New Roman"/>
                <w:color w:val="auto"/>
                <w:sz w:val="24"/>
                <w:highlight w:val="none"/>
                <w:shd w:val="clear" w:color="auto" w:fill="auto"/>
                <w:lang w:val="en-US" w:eastAsia="zh-CN"/>
              </w:rPr>
              <w:t>4-5</w:t>
            </w:r>
            <w:r>
              <w:rPr>
                <w:rFonts w:ascii="Calibri" w:hAnsi="Calibri" w:eastAsia="宋体" w:cs="Times New Roman"/>
                <w:color w:val="auto"/>
                <w:sz w:val="24"/>
                <w:highlight w:val="none"/>
                <w:shd w:val="clear" w:color="auto" w:fill="auto"/>
              </w:rPr>
              <w:t>。</w:t>
            </w:r>
          </w:p>
          <w:p w14:paraId="14638320">
            <w:pPr>
              <w:keepNext w:val="0"/>
              <w:keepLines w:val="0"/>
              <w:suppressLineNumbers w:val="0"/>
              <w:spacing w:before="0" w:beforeAutospacing="0" w:after="0" w:afterAutospacing="0" w:line="360" w:lineRule="auto"/>
              <w:ind w:left="0" w:right="0"/>
              <w:jc w:val="center"/>
              <w:rPr>
                <w:rFonts w:ascii="Calibri" w:hAnsi="Calibri" w:eastAsia="宋体" w:cs="Times New Roman"/>
                <w:color w:val="auto"/>
                <w:sz w:val="24"/>
                <w:highlight w:val="none"/>
                <w:shd w:val="clear" w:color="auto" w:fill="auto"/>
              </w:rPr>
            </w:pPr>
            <w:r>
              <w:rPr>
                <w:rFonts w:ascii="Calibri" w:hAnsi="Calibri" w:eastAsia="宋体" w:cs="Times New Roman"/>
                <w:color w:val="auto"/>
                <w:sz w:val="24"/>
                <w:highlight w:val="none"/>
                <w:shd w:val="clear" w:color="auto" w:fill="auto"/>
              </w:rPr>
              <w:t>表</w:t>
            </w:r>
            <w:r>
              <w:rPr>
                <w:rFonts w:hint="eastAsia" w:ascii="Calibri" w:hAnsi="Calibri" w:cs="Times New Roman"/>
                <w:color w:val="auto"/>
                <w:sz w:val="24"/>
                <w:highlight w:val="none"/>
                <w:shd w:val="clear" w:color="auto" w:fill="auto"/>
                <w:lang w:val="en-US" w:eastAsia="zh-CN"/>
              </w:rPr>
              <w:t>4-5</w:t>
            </w:r>
            <w:r>
              <w:rPr>
                <w:rFonts w:ascii="Calibri" w:hAnsi="Calibri" w:eastAsia="宋体" w:cs="Times New Roman"/>
                <w:color w:val="auto"/>
                <w:sz w:val="24"/>
                <w:highlight w:val="none"/>
                <w:shd w:val="clear" w:color="auto" w:fill="auto"/>
              </w:rPr>
              <w:t xml:space="preserve">      </w:t>
            </w:r>
            <w:r>
              <w:rPr>
                <w:rFonts w:hint="eastAsia" w:ascii="Calibri" w:hAnsi="Calibri" w:eastAsia="宋体" w:cs="Times New Roman"/>
                <w:color w:val="auto"/>
                <w:sz w:val="24"/>
                <w:highlight w:val="none"/>
                <w:shd w:val="clear" w:color="auto" w:fill="auto"/>
                <w:lang w:val="en-US" w:eastAsia="zh-CN"/>
              </w:rPr>
              <w:t>项目</w:t>
            </w:r>
            <w:r>
              <w:rPr>
                <w:rFonts w:hint="eastAsia" w:ascii="Calibri" w:hAnsi="Calibri" w:cs="Times New Roman"/>
                <w:color w:val="auto"/>
                <w:sz w:val="24"/>
                <w:highlight w:val="none"/>
                <w:shd w:val="clear" w:color="auto" w:fill="auto"/>
                <w:lang w:val="en-US" w:eastAsia="zh-CN"/>
              </w:rPr>
              <w:t>3#</w:t>
            </w:r>
            <w:r>
              <w:rPr>
                <w:rFonts w:hint="eastAsia" w:ascii="Calibri" w:hAnsi="Calibri" w:cs="Times New Roman"/>
                <w:color w:val="auto"/>
                <w:sz w:val="24"/>
                <w:highlight w:val="none"/>
                <w:shd w:val="clear" w:color="auto" w:fill="auto"/>
                <w:lang w:eastAsia="zh-CN"/>
              </w:rPr>
              <w:t>生产线</w:t>
            </w:r>
            <w:r>
              <w:rPr>
                <w:rFonts w:ascii="Calibri" w:hAnsi="Calibri" w:eastAsia="宋体" w:cs="Times New Roman"/>
                <w:color w:val="auto"/>
                <w:sz w:val="24"/>
                <w:highlight w:val="none"/>
                <w:shd w:val="clear" w:color="auto" w:fill="auto"/>
              </w:rPr>
              <w:t>颗粒物</w:t>
            </w:r>
            <w:r>
              <w:rPr>
                <w:rFonts w:hint="eastAsia" w:ascii="Calibri" w:hAnsi="Calibri" w:cs="Times New Roman"/>
                <w:color w:val="auto"/>
                <w:sz w:val="24"/>
                <w:highlight w:val="none"/>
                <w:shd w:val="clear" w:color="auto" w:fill="auto"/>
                <w:lang w:eastAsia="zh-CN"/>
              </w:rPr>
              <w:t>无</w:t>
            </w:r>
            <w:r>
              <w:rPr>
                <w:rFonts w:ascii="Calibri" w:hAnsi="Calibri" w:eastAsia="宋体" w:cs="Times New Roman"/>
                <w:color w:val="auto"/>
                <w:sz w:val="24"/>
                <w:highlight w:val="none"/>
                <w:shd w:val="clear" w:color="auto" w:fill="auto"/>
              </w:rPr>
              <w:t>组织产排情况</w:t>
            </w:r>
          </w:p>
          <w:tbl>
            <w:tblPr>
              <w:tblStyle w:val="25"/>
              <w:tblW w:w="508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35"/>
              <w:gridCol w:w="1192"/>
              <w:gridCol w:w="1047"/>
              <w:gridCol w:w="1110"/>
              <w:gridCol w:w="974"/>
              <w:gridCol w:w="1125"/>
              <w:gridCol w:w="1093"/>
              <w:gridCol w:w="1030"/>
            </w:tblGrid>
            <w:tr w14:paraId="506668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250" w:type="pct"/>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958A79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污染源</w:t>
                  </w:r>
                </w:p>
              </w:tc>
              <w:tc>
                <w:tcPr>
                  <w:tcW w:w="61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6B0743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产生</w:t>
                  </w:r>
                  <w:r>
                    <w:rPr>
                      <w:rFonts w:hint="default" w:ascii="Times New Roman" w:hAnsi="Times New Roman" w:eastAsia="宋体" w:cs="Times New Roman"/>
                      <w:i w:val="0"/>
                      <w:iCs w:val="0"/>
                      <w:color w:val="auto"/>
                      <w:kern w:val="0"/>
                      <w:sz w:val="18"/>
                      <w:szCs w:val="18"/>
                      <w:highlight w:val="none"/>
                      <w:u w:val="none"/>
                      <w:lang w:val="en-US" w:eastAsia="zh-CN" w:bidi="ar"/>
                    </w:rPr>
                    <w:br w:type="textWrapping"/>
                  </w:r>
                  <w:r>
                    <w:rPr>
                      <w:rFonts w:hint="default" w:ascii="Times New Roman" w:hAnsi="Times New Roman" w:eastAsia="宋体" w:cs="Times New Roman"/>
                      <w:i w:val="0"/>
                      <w:iCs w:val="0"/>
                      <w:color w:val="auto"/>
                      <w:kern w:val="0"/>
                      <w:sz w:val="18"/>
                      <w:szCs w:val="18"/>
                      <w:highlight w:val="none"/>
                      <w:u w:val="none"/>
                      <w:lang w:val="en-US" w:eastAsia="zh-CN" w:bidi="ar"/>
                    </w:rPr>
                    <w:t>速率</w:t>
                  </w:r>
                  <w:r>
                    <w:rPr>
                      <w:rFonts w:hint="default" w:ascii="Times New Roman" w:hAnsi="Times New Roman" w:eastAsia="宋体" w:cs="Times New Roman"/>
                      <w:i w:val="0"/>
                      <w:iCs w:val="0"/>
                      <w:color w:val="auto"/>
                      <w:kern w:val="0"/>
                      <w:sz w:val="18"/>
                      <w:szCs w:val="18"/>
                      <w:highlight w:val="none"/>
                      <w:u w:val="none"/>
                      <w:lang w:val="en-US" w:eastAsia="zh-CN" w:bidi="ar"/>
                    </w:rPr>
                    <w:br w:type="textWrapping"/>
                  </w:r>
                  <w:r>
                    <w:rPr>
                      <w:rFonts w:hint="default" w:ascii="Times New Roman" w:hAnsi="Times New Roman" w:eastAsia="宋体" w:cs="Times New Roman"/>
                      <w:i w:val="0"/>
                      <w:iCs w:val="0"/>
                      <w:color w:val="auto"/>
                      <w:kern w:val="0"/>
                      <w:sz w:val="18"/>
                      <w:szCs w:val="18"/>
                      <w:highlight w:val="none"/>
                      <w:u w:val="none"/>
                      <w:lang w:val="en-US" w:eastAsia="zh-CN" w:bidi="ar"/>
                    </w:rPr>
                    <w:t>(kg/h)</w:t>
                  </w:r>
                </w:p>
              </w:tc>
              <w:tc>
                <w:tcPr>
                  <w:tcW w:w="65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02396A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产生量（t/a）</w:t>
                  </w:r>
                </w:p>
              </w:tc>
              <w:tc>
                <w:tcPr>
                  <w:tcW w:w="57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9F471A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沉降率（%）</w:t>
                  </w:r>
                </w:p>
              </w:tc>
              <w:tc>
                <w:tcPr>
                  <w:tcW w:w="66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DD071D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沉降灰（t/a）</w:t>
                  </w:r>
                </w:p>
              </w:tc>
              <w:tc>
                <w:tcPr>
                  <w:tcW w:w="64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258952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排放速率（kg/h）</w:t>
                  </w:r>
                </w:p>
              </w:tc>
              <w:tc>
                <w:tcPr>
                  <w:tcW w:w="60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DC3700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年排放量（t/a）</w:t>
                  </w:r>
                </w:p>
              </w:tc>
            </w:tr>
            <w:tr w14:paraId="3A4DA7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250"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81BCF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1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9BF22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5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D5196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57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27629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6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8B313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4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A71B2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0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A348A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r>
            <w:tr w14:paraId="576979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250"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1B070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1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4D4F4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5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B76A8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57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94578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6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26353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4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B58D3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0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8EB2F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r>
            <w:tr w14:paraId="4E937C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5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9A24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3#生产线</w:t>
                  </w:r>
                </w:p>
              </w:tc>
              <w:tc>
                <w:tcPr>
                  <w:tcW w:w="7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A1220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上料</w:t>
                  </w:r>
                </w:p>
              </w:tc>
              <w:tc>
                <w:tcPr>
                  <w:tcW w:w="6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C7E61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0.4</w:t>
                  </w:r>
                  <w:r>
                    <w:rPr>
                      <w:rFonts w:hint="eastAsia" w:cs="Times New Roman"/>
                      <w:i w:val="0"/>
                      <w:iCs w:val="0"/>
                      <w:color w:val="auto"/>
                      <w:kern w:val="0"/>
                      <w:sz w:val="18"/>
                      <w:szCs w:val="18"/>
                      <w:highlight w:val="none"/>
                      <w:u w:val="none"/>
                      <w:lang w:val="en-US" w:eastAsia="zh-CN" w:bidi="ar"/>
                    </w:rPr>
                    <w:t>8</w:t>
                  </w:r>
                  <w:r>
                    <w:rPr>
                      <w:rFonts w:hint="default" w:ascii="Times New Roman" w:hAnsi="Times New Roman" w:eastAsia="宋体" w:cs="Times New Roman"/>
                      <w:i w:val="0"/>
                      <w:iCs w:val="0"/>
                      <w:color w:val="auto"/>
                      <w:kern w:val="0"/>
                      <w:sz w:val="18"/>
                      <w:szCs w:val="18"/>
                      <w:highlight w:val="none"/>
                      <w:u w:val="none"/>
                      <w:lang w:val="en-US" w:eastAsia="zh-CN" w:bidi="ar"/>
                    </w:rPr>
                    <w:t xml:space="preserve"> </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0A4B3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0.402 </w:t>
                  </w:r>
                </w:p>
              </w:tc>
              <w:tc>
                <w:tcPr>
                  <w:tcW w:w="57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B04488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1B222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0.322 </w:t>
                  </w:r>
                </w:p>
              </w:tc>
              <w:tc>
                <w:tcPr>
                  <w:tcW w:w="6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3B944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0.096 </w:t>
                  </w:r>
                </w:p>
              </w:tc>
              <w:tc>
                <w:tcPr>
                  <w:tcW w:w="6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2CB6E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0.08 </w:t>
                  </w:r>
                </w:p>
              </w:tc>
            </w:tr>
            <w:tr w14:paraId="2CF60B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5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6220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7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EE616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颚破</w:t>
                  </w:r>
                </w:p>
              </w:tc>
              <w:tc>
                <w:tcPr>
                  <w:tcW w:w="6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BC345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6.278 </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089E5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22.6</w:t>
                  </w:r>
                </w:p>
              </w:tc>
              <w:tc>
                <w:tcPr>
                  <w:tcW w:w="57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EFA7A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DC99F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18.08</w:t>
                  </w:r>
                </w:p>
              </w:tc>
              <w:tc>
                <w:tcPr>
                  <w:tcW w:w="6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0677C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1.256 </w:t>
                  </w:r>
                </w:p>
              </w:tc>
              <w:tc>
                <w:tcPr>
                  <w:tcW w:w="6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39C9D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4.52 </w:t>
                  </w:r>
                </w:p>
              </w:tc>
            </w:tr>
            <w:tr w14:paraId="5195D2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5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A38F4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7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56A6F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中间仓</w:t>
                  </w:r>
                </w:p>
              </w:tc>
              <w:tc>
                <w:tcPr>
                  <w:tcW w:w="6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68BEB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0.836 </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D4711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3.011 </w:t>
                  </w:r>
                </w:p>
              </w:tc>
              <w:tc>
                <w:tcPr>
                  <w:tcW w:w="57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F34E1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69B89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2.409 </w:t>
                  </w:r>
                </w:p>
              </w:tc>
              <w:tc>
                <w:tcPr>
                  <w:tcW w:w="6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95A9C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0.167 </w:t>
                  </w:r>
                </w:p>
              </w:tc>
              <w:tc>
                <w:tcPr>
                  <w:tcW w:w="6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1DB9F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0.602 </w:t>
                  </w:r>
                </w:p>
              </w:tc>
            </w:tr>
            <w:tr w14:paraId="5CDC85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5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CF5AD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7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2421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锤破</w:t>
                  </w:r>
                </w:p>
              </w:tc>
              <w:tc>
                <w:tcPr>
                  <w:tcW w:w="6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AE5B9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2.854 </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B329F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22.6</w:t>
                  </w:r>
                </w:p>
              </w:tc>
              <w:tc>
                <w:tcPr>
                  <w:tcW w:w="57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E10DB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FF5D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18.08</w:t>
                  </w:r>
                </w:p>
              </w:tc>
              <w:tc>
                <w:tcPr>
                  <w:tcW w:w="6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24863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0.571 </w:t>
                  </w:r>
                </w:p>
              </w:tc>
              <w:tc>
                <w:tcPr>
                  <w:tcW w:w="6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13221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4.52</w:t>
                  </w:r>
                </w:p>
              </w:tc>
            </w:tr>
            <w:tr w14:paraId="7119F6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5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D0110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7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85418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筛分</w:t>
                  </w:r>
                </w:p>
              </w:tc>
              <w:tc>
                <w:tcPr>
                  <w:tcW w:w="6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1841E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2.854 </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78603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22.6</w:t>
                  </w:r>
                </w:p>
              </w:tc>
              <w:tc>
                <w:tcPr>
                  <w:tcW w:w="57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DCEBF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8656F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18.08</w:t>
                  </w:r>
                </w:p>
              </w:tc>
              <w:tc>
                <w:tcPr>
                  <w:tcW w:w="6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74EDA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0.571 </w:t>
                  </w:r>
                </w:p>
              </w:tc>
              <w:tc>
                <w:tcPr>
                  <w:tcW w:w="6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A243B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4.52</w:t>
                  </w:r>
                </w:p>
              </w:tc>
            </w:tr>
            <w:tr w14:paraId="232FCD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5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514E0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7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8C832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产品仓</w:t>
                  </w:r>
                </w:p>
              </w:tc>
              <w:tc>
                <w:tcPr>
                  <w:tcW w:w="6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FFE6B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0.833 </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E550E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3</w:t>
                  </w:r>
                </w:p>
              </w:tc>
              <w:tc>
                <w:tcPr>
                  <w:tcW w:w="57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4901F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2738A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2.4</w:t>
                  </w:r>
                </w:p>
              </w:tc>
              <w:tc>
                <w:tcPr>
                  <w:tcW w:w="6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4BD7D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0.167 </w:t>
                  </w:r>
                </w:p>
              </w:tc>
              <w:tc>
                <w:tcPr>
                  <w:tcW w:w="6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7FE8B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 </w:t>
                  </w:r>
                </w:p>
              </w:tc>
            </w:tr>
            <w:tr w14:paraId="0E333A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5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8994A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7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E30E5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包装</w:t>
                  </w:r>
                </w:p>
              </w:tc>
              <w:tc>
                <w:tcPr>
                  <w:tcW w:w="6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162FD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0.006 </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913BE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0.023 </w:t>
                  </w:r>
                </w:p>
              </w:tc>
              <w:tc>
                <w:tcPr>
                  <w:tcW w:w="57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FB797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8A305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0.018 </w:t>
                  </w:r>
                </w:p>
              </w:tc>
              <w:tc>
                <w:tcPr>
                  <w:tcW w:w="6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E7440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0.001 </w:t>
                  </w:r>
                </w:p>
              </w:tc>
              <w:tc>
                <w:tcPr>
                  <w:tcW w:w="6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4F70A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0.005 </w:t>
                  </w:r>
                </w:p>
              </w:tc>
            </w:tr>
            <w:tr w14:paraId="7E9706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25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D8D9B5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合计</w:t>
                  </w:r>
                </w:p>
              </w:tc>
              <w:tc>
                <w:tcPr>
                  <w:tcW w:w="6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6B71F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14.141 </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FA651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74.237 </w:t>
                  </w:r>
                </w:p>
              </w:tc>
              <w:tc>
                <w:tcPr>
                  <w:tcW w:w="5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57E60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DD9EE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59.389 </w:t>
                  </w:r>
                </w:p>
              </w:tc>
              <w:tc>
                <w:tcPr>
                  <w:tcW w:w="6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9B877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2.828 </w:t>
                  </w:r>
                </w:p>
              </w:tc>
              <w:tc>
                <w:tcPr>
                  <w:tcW w:w="6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D6589F">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14.847 </w:t>
                  </w:r>
                </w:p>
              </w:tc>
            </w:tr>
          </w:tbl>
          <w:p w14:paraId="32B3900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eastAsia" w:cs="Times New Roman"/>
                <w:color w:val="auto"/>
                <w:sz w:val="24"/>
                <w:szCs w:val="24"/>
                <w:highlight w:val="none"/>
                <w:shd w:val="clear" w:color="auto" w:fill="auto"/>
                <w:lang w:eastAsia="zh-CN"/>
              </w:rPr>
            </w:pPr>
          </w:p>
          <w:p w14:paraId="559BA30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宋体" w:hAnsi="宋体" w:cs="宋体"/>
                <w:i w:val="0"/>
                <w:iCs w:val="0"/>
                <w:color w:val="auto"/>
                <w:kern w:val="0"/>
                <w:sz w:val="24"/>
                <w:szCs w:val="24"/>
                <w:highlight w:val="none"/>
                <w:u w:val="none"/>
                <w:vertAlign w:val="superscript"/>
                <w:lang w:val="en-US" w:eastAsia="zh-CN" w:bidi="ar"/>
              </w:rPr>
            </w:pPr>
            <w:r>
              <w:rPr>
                <w:rFonts w:hint="eastAsia" w:cs="Times New Roman"/>
                <w:color w:val="auto"/>
                <w:sz w:val="24"/>
                <w:szCs w:val="24"/>
                <w:highlight w:val="none"/>
                <w:shd w:val="clear" w:color="auto" w:fill="auto"/>
                <w:lang w:val="en-US" w:eastAsia="zh-CN"/>
              </w:rPr>
              <w:t>3#</w:t>
            </w:r>
            <w:r>
              <w:rPr>
                <w:rFonts w:hint="eastAsia" w:cs="Times New Roman"/>
                <w:color w:val="auto"/>
                <w:sz w:val="24"/>
                <w:szCs w:val="24"/>
                <w:highlight w:val="none"/>
                <w:shd w:val="clear" w:color="auto" w:fill="auto"/>
                <w:lang w:eastAsia="zh-CN"/>
              </w:rPr>
              <w:t>生产线</w:t>
            </w:r>
            <w:r>
              <w:rPr>
                <w:rFonts w:hint="eastAsia" w:ascii="Calibri" w:hAnsi="Calibri" w:eastAsia="宋体" w:cs="Times New Roman"/>
                <w:color w:val="auto"/>
                <w:sz w:val="24"/>
                <w:highlight w:val="none"/>
                <w:shd w:val="clear" w:color="auto" w:fill="auto"/>
                <w:lang w:eastAsia="zh-CN"/>
              </w:rPr>
              <w:t>生产</w:t>
            </w:r>
            <w:r>
              <w:rPr>
                <w:rFonts w:hint="eastAsia" w:ascii="Times New Roman" w:hAnsi="Times New Roman" w:eastAsia="宋体" w:cs="Times New Roman"/>
                <w:color w:val="auto"/>
                <w:sz w:val="24"/>
                <w:highlight w:val="none"/>
                <w:shd w:val="clear" w:color="auto" w:fill="auto"/>
                <w:lang w:val="en-US" w:eastAsia="zh-CN"/>
              </w:rPr>
              <w:t>废气经除尘器净化后统一由1根15m高排气筒（DA00</w:t>
            </w:r>
            <w:r>
              <w:rPr>
                <w:rFonts w:hint="eastAsia" w:cs="Times New Roman"/>
                <w:color w:val="auto"/>
                <w:sz w:val="24"/>
                <w:highlight w:val="none"/>
                <w:shd w:val="clear" w:color="auto" w:fill="auto"/>
                <w:lang w:val="en-US" w:eastAsia="zh-CN"/>
              </w:rPr>
              <w:t>2</w:t>
            </w:r>
            <w:r>
              <w:rPr>
                <w:rFonts w:hint="eastAsia" w:ascii="Times New Roman" w:hAnsi="Times New Roman" w:eastAsia="宋体" w:cs="Times New Roman"/>
                <w:color w:val="auto"/>
                <w:sz w:val="24"/>
                <w:highlight w:val="none"/>
                <w:shd w:val="clear" w:color="auto" w:fill="auto"/>
                <w:lang w:val="en-US" w:eastAsia="zh-CN"/>
              </w:rPr>
              <w:t>）有组织排放，</w:t>
            </w:r>
            <w:r>
              <w:rPr>
                <w:rFonts w:hint="eastAsia" w:ascii="Times New Roman" w:hAnsi="Times New Roman" w:eastAsia="宋体" w:cs="Times New Roman"/>
                <w:color w:val="auto"/>
                <w:sz w:val="24"/>
                <w:szCs w:val="24"/>
                <w:highlight w:val="none"/>
                <w:shd w:val="clear" w:color="auto" w:fill="auto"/>
                <w:lang w:val="en-US" w:eastAsia="zh-CN"/>
              </w:rPr>
              <w:t>有组织排放浓度23.99</w:t>
            </w:r>
            <w:r>
              <w:rPr>
                <w:rFonts w:hint="eastAsia" w:ascii="宋体" w:hAnsi="宋体" w:eastAsia="宋体" w:cs="宋体"/>
                <w:i w:val="0"/>
                <w:iCs w:val="0"/>
                <w:color w:val="auto"/>
                <w:kern w:val="0"/>
                <w:sz w:val="24"/>
                <w:szCs w:val="24"/>
                <w:highlight w:val="none"/>
                <w:u w:val="none"/>
                <w:lang w:val="en-US" w:eastAsia="zh-CN" w:bidi="ar"/>
              </w:rPr>
              <w:t>mg/m</w:t>
            </w:r>
            <w:r>
              <w:rPr>
                <w:rFonts w:hint="eastAsia" w:ascii="宋体" w:hAnsi="宋体" w:eastAsia="宋体" w:cs="宋体"/>
                <w:i w:val="0"/>
                <w:iCs w:val="0"/>
                <w:color w:val="auto"/>
                <w:kern w:val="0"/>
                <w:sz w:val="24"/>
                <w:szCs w:val="24"/>
                <w:highlight w:val="none"/>
                <w:u w:val="none"/>
                <w:vertAlign w:val="superscript"/>
                <w:lang w:val="en-US" w:eastAsia="zh-CN" w:bidi="ar"/>
              </w:rPr>
              <w:t>3</w:t>
            </w:r>
            <w:r>
              <w:rPr>
                <w:rFonts w:hint="eastAsia" w:ascii="宋体" w:hAnsi="宋体" w:cs="宋体"/>
                <w:i w:val="0"/>
                <w:iCs w:val="0"/>
                <w:color w:val="auto"/>
                <w:kern w:val="0"/>
                <w:sz w:val="24"/>
                <w:szCs w:val="24"/>
                <w:highlight w:val="none"/>
                <w:u w:val="none"/>
                <w:vertAlign w:val="superscript"/>
                <w:lang w:val="en-US" w:eastAsia="zh-CN" w:bidi="ar"/>
              </w:rPr>
              <w:t>。</w:t>
            </w:r>
          </w:p>
          <w:p w14:paraId="70F1603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cs="Times New Roman"/>
                <w:color w:val="auto"/>
                <w:sz w:val="24"/>
                <w:szCs w:val="24"/>
                <w:highlight w:val="none"/>
                <w:shd w:val="clear" w:color="auto" w:fill="auto"/>
                <w:lang w:eastAsia="zh-CN"/>
              </w:rPr>
            </w:pPr>
            <w:r>
              <w:rPr>
                <w:rFonts w:hint="eastAsia" w:cs="Times New Roman"/>
                <w:color w:val="auto"/>
                <w:sz w:val="24"/>
                <w:szCs w:val="24"/>
                <w:highlight w:val="none"/>
                <w:shd w:val="clear" w:color="auto" w:fill="auto"/>
                <w:lang w:eastAsia="zh-CN"/>
              </w:rPr>
              <w:t>本项目</w:t>
            </w:r>
            <w:r>
              <w:rPr>
                <w:rFonts w:hint="eastAsia" w:ascii="Times New Roman" w:hAnsi="Times New Roman" w:eastAsia="宋体" w:cs="Times New Roman"/>
                <w:color w:val="auto"/>
                <w:sz w:val="24"/>
                <w:szCs w:val="24"/>
                <w:highlight w:val="none"/>
                <w:shd w:val="clear" w:color="auto" w:fill="auto"/>
                <w:lang w:eastAsia="zh-CN"/>
              </w:rPr>
              <w:t>无组织颗粒物</w:t>
            </w:r>
            <w:r>
              <w:rPr>
                <w:rFonts w:hint="eastAsia" w:cs="Times New Roman"/>
                <w:color w:val="auto"/>
                <w:sz w:val="24"/>
                <w:szCs w:val="24"/>
                <w:highlight w:val="none"/>
                <w:shd w:val="clear" w:color="auto" w:fill="auto"/>
                <w:lang w:eastAsia="zh-CN"/>
              </w:rPr>
              <w:t>控制</w:t>
            </w:r>
            <w:r>
              <w:rPr>
                <w:rFonts w:hint="eastAsia" w:ascii="Times New Roman" w:hAnsi="Times New Roman" w:eastAsia="宋体" w:cs="Times New Roman"/>
                <w:color w:val="auto"/>
                <w:sz w:val="24"/>
                <w:szCs w:val="24"/>
                <w:highlight w:val="none"/>
                <w:shd w:val="clear" w:color="auto" w:fill="auto"/>
                <w:lang w:eastAsia="zh-CN"/>
              </w:rPr>
              <w:t>采取封闭厂房，原料库及生产车间安装电动门，封闭输送，沉降粉尘定期由吸尘车回收，厂区进行地面硬化，道路洒水抑尘，加强精细化管理，控制无组织粉尘污染</w:t>
            </w:r>
            <w:r>
              <w:rPr>
                <w:rFonts w:hint="eastAsia" w:cs="Times New Roman"/>
                <w:color w:val="auto"/>
                <w:sz w:val="24"/>
                <w:szCs w:val="24"/>
                <w:highlight w:val="none"/>
                <w:shd w:val="clear" w:color="auto" w:fill="auto"/>
                <w:lang w:eastAsia="zh-CN"/>
              </w:rPr>
              <w:t>，满足</w:t>
            </w:r>
            <w:r>
              <w:rPr>
                <w:rFonts w:hint="default" w:ascii="Calibri" w:hAnsi="Calibri" w:eastAsia="宋体" w:cs="Times New Roman"/>
                <w:color w:val="auto"/>
                <w:sz w:val="24"/>
                <w:szCs w:val="24"/>
                <w:highlight w:val="none"/>
              </w:rPr>
              <w:t>《镁质耐火材料工业大气污染物排放标准》（DB21/3011-2018）</w:t>
            </w:r>
            <w:r>
              <w:rPr>
                <w:rFonts w:hint="eastAsia" w:ascii="Times New Roman" w:hAnsi="Times New Roman" w:eastAsia="宋体" w:cs="Times New Roman"/>
                <w:color w:val="auto"/>
                <w:sz w:val="24"/>
                <w:szCs w:val="24"/>
                <w:highlight w:val="none"/>
                <w:shd w:val="clear" w:color="auto" w:fill="auto"/>
                <w:lang w:eastAsia="zh-CN"/>
              </w:rPr>
              <w:t>无组织排放控制措施要求</w:t>
            </w:r>
            <w:r>
              <w:rPr>
                <w:rFonts w:hint="eastAsia" w:cs="Times New Roman"/>
                <w:color w:val="auto"/>
                <w:sz w:val="24"/>
                <w:szCs w:val="24"/>
                <w:highlight w:val="none"/>
                <w:shd w:val="clear" w:color="auto" w:fill="auto"/>
                <w:lang w:eastAsia="zh-CN"/>
              </w:rPr>
              <w:t>，对环境影响不大。</w:t>
            </w:r>
          </w:p>
          <w:p w14:paraId="33B83B49">
            <w:pPr>
              <w:pStyle w:val="16"/>
              <w:keepNext w:val="0"/>
              <w:keepLines w:val="0"/>
              <w:suppressLineNumbers w:val="0"/>
              <w:spacing w:before="0" w:beforeAutospacing="0" w:after="0" w:afterAutospacing="0"/>
              <w:ind w:left="0" w:right="0"/>
              <w:rPr>
                <w:rFonts w:hint="eastAsia" w:ascii="Calibri" w:hAnsi="Calibri" w:eastAsia="宋体" w:cs="Times New Roman"/>
                <w:color w:val="auto"/>
                <w:kern w:val="0"/>
                <w:sz w:val="21"/>
                <w:szCs w:val="21"/>
                <w:highlight w:val="none"/>
                <w:lang w:eastAsia="zh-CN"/>
              </w:rPr>
            </w:pPr>
            <w:r>
              <w:rPr>
                <w:rFonts w:hint="eastAsia" w:cs="Times New Roman"/>
                <w:color w:val="auto"/>
                <w:sz w:val="24"/>
                <w:szCs w:val="24"/>
                <w:highlight w:val="none"/>
                <w:shd w:val="clear" w:color="auto" w:fill="auto"/>
                <w:lang w:eastAsia="zh-CN"/>
              </w:rPr>
              <w:t>综上本项目</w:t>
            </w:r>
            <w:r>
              <w:rPr>
                <w:rFonts w:hint="eastAsia" w:cs="Times New Roman"/>
                <w:color w:val="auto"/>
                <w:sz w:val="24"/>
                <w:szCs w:val="24"/>
                <w:highlight w:val="none"/>
                <w:shd w:val="clear" w:color="auto" w:fill="auto"/>
                <w:lang w:val="en-US" w:eastAsia="zh-CN"/>
              </w:rPr>
              <w:t>3#</w:t>
            </w:r>
            <w:r>
              <w:rPr>
                <w:rFonts w:hint="eastAsia" w:cs="Times New Roman"/>
                <w:color w:val="auto"/>
                <w:sz w:val="24"/>
                <w:szCs w:val="24"/>
                <w:highlight w:val="none"/>
                <w:shd w:val="clear" w:color="auto" w:fill="auto"/>
                <w:lang w:eastAsia="zh-CN"/>
              </w:rPr>
              <w:t>生产线排气筒高度；</w:t>
            </w:r>
            <w:r>
              <w:rPr>
                <w:rFonts w:hint="eastAsia" w:ascii="Times New Roman" w:hAnsi="Times New Roman" w:eastAsia="宋体" w:cs="Times New Roman"/>
                <w:color w:val="auto"/>
                <w:sz w:val="24"/>
                <w:szCs w:val="24"/>
                <w:highlight w:val="none"/>
                <w:shd w:val="clear" w:color="auto" w:fill="auto"/>
                <w:lang w:val="en-US" w:eastAsia="zh-CN"/>
              </w:rPr>
              <w:t>有组织及无组织均能</w:t>
            </w:r>
            <w:r>
              <w:rPr>
                <w:rFonts w:ascii="Calibri" w:hAnsi="Calibri" w:eastAsia="宋体" w:cs="Times New Roman"/>
                <w:color w:val="auto"/>
                <w:sz w:val="24"/>
                <w:szCs w:val="24"/>
                <w:highlight w:val="none"/>
                <w:shd w:val="clear" w:color="auto" w:fill="auto"/>
              </w:rPr>
              <w:t>满足</w:t>
            </w:r>
            <w:r>
              <w:rPr>
                <w:rFonts w:hint="default" w:ascii="Calibri" w:hAnsi="Calibri" w:eastAsia="宋体" w:cs="Times New Roman"/>
                <w:color w:val="auto"/>
                <w:sz w:val="24"/>
                <w:szCs w:val="24"/>
                <w:highlight w:val="none"/>
              </w:rPr>
              <w:t>《镁质耐火材料工业大气污染物排放标准》（DB21/3011-2018）</w:t>
            </w:r>
            <w:r>
              <w:rPr>
                <w:rFonts w:hint="eastAsia" w:ascii="Calibri" w:hAnsi="Calibri" w:eastAsia="宋体" w:cs="Times New Roman"/>
                <w:color w:val="auto"/>
                <w:sz w:val="24"/>
                <w:szCs w:val="24"/>
                <w:highlight w:val="none"/>
                <w:lang w:val="en-US" w:eastAsia="zh-CN"/>
              </w:rPr>
              <w:t>要求</w:t>
            </w:r>
            <w:r>
              <w:rPr>
                <w:rFonts w:hint="eastAsia" w:ascii="Calibri" w:hAnsi="Calibri" w:eastAsia="宋体" w:cs="Times New Roman"/>
                <w:color w:val="auto"/>
                <w:kern w:val="0"/>
                <w:sz w:val="21"/>
                <w:szCs w:val="21"/>
                <w:highlight w:val="none"/>
                <w:lang w:eastAsia="zh-CN"/>
              </w:rPr>
              <w:t>。</w:t>
            </w:r>
          </w:p>
          <w:p w14:paraId="678F075E">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highlight w:val="none"/>
                <w:shd w:val="clear" w:color="auto" w:fill="auto"/>
                <w:lang w:eastAsia="zh-CN"/>
              </w:rPr>
            </w:pPr>
            <w:r>
              <w:rPr>
                <w:rFonts w:hint="eastAsia" w:ascii="Times New Roman" w:hAnsi="Times New Roman" w:eastAsia="宋体" w:cs="Times New Roman"/>
                <w:color w:val="auto"/>
                <w:sz w:val="24"/>
                <w:highlight w:val="none"/>
                <w:shd w:val="clear" w:color="auto" w:fill="auto"/>
                <w:lang w:eastAsia="zh-CN"/>
              </w:rPr>
              <w:t>（</w:t>
            </w:r>
            <w:r>
              <w:rPr>
                <w:rFonts w:hint="eastAsia" w:cs="Times New Roman"/>
                <w:color w:val="auto"/>
                <w:sz w:val="24"/>
                <w:highlight w:val="none"/>
                <w:shd w:val="clear" w:color="auto" w:fill="auto"/>
                <w:lang w:val="en-US" w:eastAsia="zh-CN"/>
              </w:rPr>
              <w:t>3</w:t>
            </w:r>
            <w:r>
              <w:rPr>
                <w:rFonts w:hint="eastAsia" w:ascii="Times New Roman" w:hAnsi="Times New Roman" w:eastAsia="宋体" w:cs="Times New Roman"/>
                <w:color w:val="auto"/>
                <w:sz w:val="24"/>
                <w:highlight w:val="none"/>
                <w:shd w:val="clear" w:color="auto" w:fill="auto"/>
                <w:lang w:eastAsia="zh-CN"/>
              </w:rPr>
              <w:t>）</w:t>
            </w:r>
            <w:r>
              <w:rPr>
                <w:rFonts w:hint="eastAsia" w:cs="Times New Roman"/>
                <w:color w:val="auto"/>
                <w:kern w:val="2"/>
                <w:sz w:val="24"/>
                <w:szCs w:val="24"/>
                <w:highlight w:val="none"/>
                <w:shd w:val="clear" w:color="auto" w:fill="auto"/>
                <w:lang w:val="en-US" w:eastAsia="zh-CN" w:bidi="ar-SA"/>
              </w:rPr>
              <w:t>4#生产线</w:t>
            </w:r>
            <w:r>
              <w:rPr>
                <w:rFonts w:hint="eastAsia" w:ascii="Times New Roman" w:hAnsi="Times New Roman" w:eastAsia="宋体" w:cs="Times New Roman"/>
                <w:color w:val="auto"/>
                <w:sz w:val="24"/>
                <w:highlight w:val="none"/>
                <w:shd w:val="clear" w:color="auto" w:fill="auto"/>
                <w:lang w:eastAsia="zh-CN"/>
              </w:rPr>
              <w:t>生产工序粉尘</w:t>
            </w:r>
          </w:p>
          <w:p w14:paraId="4B1064E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highlight w:val="none"/>
                <w:shd w:val="clear" w:color="auto" w:fill="auto"/>
                <w:lang w:eastAsia="zh-CN"/>
              </w:rPr>
            </w:pPr>
            <w:r>
              <w:rPr>
                <w:rFonts w:hint="default" w:ascii="Times New Roman" w:hAnsi="Times New Roman" w:eastAsia="宋体" w:cs="Times New Roman"/>
                <w:color w:val="auto"/>
                <w:sz w:val="24"/>
                <w:highlight w:val="none"/>
                <w:shd w:val="clear" w:color="auto" w:fill="auto"/>
                <w:lang w:eastAsia="zh-CN"/>
              </w:rPr>
              <w:t>本项目</w:t>
            </w:r>
            <w:r>
              <w:rPr>
                <w:rFonts w:hint="eastAsia" w:cs="Times New Roman"/>
                <w:color w:val="auto"/>
                <w:kern w:val="2"/>
                <w:sz w:val="24"/>
                <w:szCs w:val="24"/>
                <w:highlight w:val="none"/>
                <w:shd w:val="clear" w:color="auto" w:fill="auto"/>
                <w:lang w:val="en-US" w:eastAsia="zh-CN" w:bidi="ar-SA"/>
              </w:rPr>
              <w:t>4#生产线为</w:t>
            </w:r>
            <w:r>
              <w:rPr>
                <w:rFonts w:hint="eastAsia" w:cs="Times New Roman"/>
                <w:color w:val="auto"/>
                <w:sz w:val="24"/>
                <w:highlight w:val="none"/>
                <w:shd w:val="clear" w:color="auto" w:fill="auto"/>
                <w:lang w:eastAsia="zh-CN"/>
              </w:rPr>
              <w:t>白云石粉生产线</w:t>
            </w:r>
            <w:r>
              <w:rPr>
                <w:rFonts w:hint="default" w:ascii="Times New Roman" w:hAnsi="Times New Roman" w:eastAsia="宋体" w:cs="Times New Roman"/>
                <w:color w:val="auto"/>
                <w:sz w:val="24"/>
                <w:highlight w:val="none"/>
                <w:shd w:val="clear" w:color="auto" w:fill="auto"/>
                <w:lang w:val="en-US" w:eastAsia="zh-CN"/>
              </w:rPr>
              <w:t>上料、颚式破碎机</w:t>
            </w:r>
            <w:r>
              <w:rPr>
                <w:rFonts w:hint="eastAsia" w:cs="Times New Roman"/>
                <w:color w:val="auto"/>
                <w:sz w:val="24"/>
                <w:highlight w:val="none"/>
                <w:shd w:val="clear" w:color="auto" w:fill="auto"/>
                <w:lang w:val="en-US" w:eastAsia="zh-CN"/>
              </w:rPr>
              <w:t>、中间仓</w:t>
            </w:r>
            <w:r>
              <w:rPr>
                <w:rFonts w:hint="eastAsia" w:ascii="Times New Roman" w:hAnsi="Times New Roman" w:eastAsia="宋体" w:cs="Times New Roman"/>
                <w:color w:val="auto"/>
                <w:sz w:val="24"/>
                <w:highlight w:val="none"/>
                <w:shd w:val="clear" w:color="auto" w:fill="auto"/>
                <w:lang w:eastAsia="zh-CN"/>
              </w:rPr>
              <w:t>入仓</w:t>
            </w:r>
            <w:r>
              <w:rPr>
                <w:rFonts w:hint="default" w:ascii="Times New Roman" w:hAnsi="Times New Roman" w:eastAsia="宋体" w:cs="Times New Roman"/>
                <w:color w:val="auto"/>
                <w:sz w:val="24"/>
                <w:highlight w:val="none"/>
                <w:shd w:val="clear" w:color="auto" w:fill="auto"/>
                <w:lang w:val="en-US" w:eastAsia="zh-CN"/>
              </w:rPr>
              <w:t>、锤式破碎机、筛分机筛分、</w:t>
            </w:r>
            <w:r>
              <w:rPr>
                <w:rFonts w:hint="eastAsia" w:cs="Times New Roman"/>
                <w:color w:val="auto"/>
                <w:sz w:val="24"/>
                <w:highlight w:val="none"/>
                <w:shd w:val="clear" w:color="auto" w:fill="auto"/>
                <w:lang w:val="en-US" w:eastAsia="zh-CN"/>
              </w:rPr>
              <w:t>环辊磨、产品仓</w:t>
            </w:r>
            <w:r>
              <w:rPr>
                <w:rFonts w:hint="eastAsia" w:ascii="Times New Roman" w:hAnsi="Times New Roman" w:eastAsia="宋体" w:cs="Times New Roman"/>
                <w:color w:val="auto"/>
                <w:sz w:val="24"/>
                <w:highlight w:val="none"/>
                <w:shd w:val="clear" w:color="auto" w:fill="auto"/>
                <w:lang w:eastAsia="zh-CN"/>
              </w:rPr>
              <w:t>入仓</w:t>
            </w:r>
            <w:r>
              <w:rPr>
                <w:rFonts w:hint="eastAsia" w:cs="Times New Roman"/>
                <w:color w:val="auto"/>
                <w:sz w:val="24"/>
                <w:highlight w:val="none"/>
                <w:shd w:val="clear" w:color="auto" w:fill="auto"/>
                <w:lang w:val="en-US" w:eastAsia="zh-CN"/>
              </w:rPr>
              <w:t>、包装</w:t>
            </w:r>
            <w:r>
              <w:rPr>
                <w:rFonts w:hint="default" w:ascii="Times New Roman" w:hAnsi="Times New Roman" w:eastAsia="宋体" w:cs="Times New Roman"/>
                <w:color w:val="auto"/>
                <w:sz w:val="24"/>
                <w:highlight w:val="none"/>
                <w:shd w:val="clear" w:color="auto" w:fill="auto"/>
                <w:lang w:val="en-US" w:eastAsia="zh-CN"/>
              </w:rPr>
              <w:t>工序</w:t>
            </w:r>
            <w:r>
              <w:rPr>
                <w:rFonts w:hint="default" w:ascii="Times New Roman" w:hAnsi="Times New Roman" w:eastAsia="宋体" w:cs="Times New Roman"/>
                <w:color w:val="auto"/>
                <w:sz w:val="24"/>
                <w:highlight w:val="none"/>
                <w:shd w:val="clear" w:color="auto" w:fill="auto"/>
              </w:rPr>
              <w:t>有粉尘产生</w:t>
            </w:r>
            <w:r>
              <w:rPr>
                <w:rFonts w:hint="eastAsia" w:cs="Times New Roman"/>
                <w:color w:val="auto"/>
                <w:sz w:val="24"/>
                <w:highlight w:val="none"/>
                <w:shd w:val="clear" w:color="auto" w:fill="auto"/>
                <w:lang w:eastAsia="zh-CN"/>
              </w:rPr>
              <w:t>。</w:t>
            </w:r>
            <w:r>
              <w:rPr>
                <w:rFonts w:hint="default" w:ascii="Times New Roman" w:hAnsi="Times New Roman" w:eastAsia="宋体" w:cs="Times New Roman"/>
                <w:color w:val="auto"/>
                <w:sz w:val="24"/>
                <w:highlight w:val="none"/>
                <w:shd w:val="clear" w:color="auto" w:fill="auto"/>
              </w:rPr>
              <w:t>根据</w:t>
            </w:r>
            <w:r>
              <w:rPr>
                <w:rFonts w:hint="default" w:ascii="Times New Roman" w:hAnsi="Times New Roman" w:eastAsia="宋体" w:cs="Times New Roman"/>
                <w:color w:val="auto"/>
                <w:kern w:val="2"/>
                <w:sz w:val="24"/>
                <w:szCs w:val="24"/>
                <w:highlight w:val="none"/>
                <w:lang w:val="en-US" w:eastAsia="zh-CN" w:bidi="ar-SA"/>
              </w:rPr>
              <w:t>《排放源统计调查产排污核算方法和系数手册》（公告2021年第24号）中“3099 其他非金属矿物制品制造行业系数手册”，</w:t>
            </w:r>
            <w:r>
              <w:rPr>
                <w:rFonts w:hint="eastAsia" w:cs="Times New Roman"/>
                <w:color w:val="auto"/>
                <w:kern w:val="2"/>
                <w:sz w:val="24"/>
                <w:szCs w:val="24"/>
                <w:highlight w:val="none"/>
                <w:lang w:val="en-US" w:eastAsia="zh-CN" w:bidi="ar-SA"/>
              </w:rPr>
              <w:t>颚破</w:t>
            </w:r>
            <w:r>
              <w:rPr>
                <w:rFonts w:hint="default" w:ascii="Times New Roman" w:hAnsi="Times New Roman" w:eastAsia="宋体" w:cs="Times New Roman"/>
                <w:color w:val="auto"/>
                <w:sz w:val="24"/>
                <w:highlight w:val="none"/>
                <w:shd w:val="clear" w:color="auto" w:fill="auto"/>
              </w:rPr>
              <w:t>的粉尘产生系数为</w:t>
            </w:r>
            <w:r>
              <w:rPr>
                <w:rFonts w:hint="default" w:ascii="Times New Roman" w:hAnsi="Times New Roman" w:eastAsia="宋体" w:cs="Times New Roman"/>
                <w:color w:val="auto"/>
                <w:kern w:val="2"/>
                <w:sz w:val="24"/>
                <w:szCs w:val="24"/>
                <w:highlight w:val="none"/>
                <w:lang w:val="en-US" w:eastAsia="zh-CN" w:bidi="ar-SA"/>
              </w:rPr>
              <w:t>1.13kg/t-</w:t>
            </w:r>
            <w:r>
              <w:rPr>
                <w:rFonts w:hint="eastAsia" w:ascii="Times New Roman" w:hAnsi="Times New Roman" w:eastAsia="宋体" w:cs="Times New Roman"/>
                <w:color w:val="auto"/>
                <w:kern w:val="2"/>
                <w:sz w:val="24"/>
                <w:szCs w:val="24"/>
                <w:highlight w:val="none"/>
                <w:lang w:val="en-US" w:eastAsia="zh-CN" w:bidi="ar-SA"/>
              </w:rPr>
              <w:t>产品</w:t>
            </w:r>
            <w:r>
              <w:rPr>
                <w:rFonts w:hint="eastAsia" w:ascii="Times New Roman" w:hAnsi="Times New Roman" w:eastAsia="宋体" w:cs="Times New Roman"/>
                <w:color w:val="auto"/>
                <w:sz w:val="24"/>
                <w:highlight w:val="none"/>
                <w:shd w:val="clear" w:color="auto" w:fill="auto"/>
                <w:lang w:eastAsia="zh-CN"/>
              </w:rPr>
              <w:t>，制砂分级</w:t>
            </w:r>
            <w:r>
              <w:rPr>
                <w:rFonts w:hint="default" w:ascii="Times New Roman" w:hAnsi="Times New Roman" w:eastAsia="宋体" w:cs="Times New Roman"/>
                <w:color w:val="auto"/>
                <w:sz w:val="24"/>
                <w:highlight w:val="none"/>
                <w:shd w:val="clear" w:color="auto" w:fill="auto"/>
              </w:rPr>
              <w:t>的粉尘产生系数为</w:t>
            </w:r>
            <w:r>
              <w:rPr>
                <w:rFonts w:hint="default" w:ascii="Times New Roman" w:hAnsi="Times New Roman" w:eastAsia="宋体" w:cs="Times New Roman"/>
                <w:color w:val="auto"/>
                <w:kern w:val="2"/>
                <w:sz w:val="24"/>
                <w:szCs w:val="24"/>
                <w:highlight w:val="none"/>
                <w:lang w:val="en-US" w:eastAsia="zh-CN" w:bidi="ar-SA"/>
              </w:rPr>
              <w:t>1.13kg/t-</w:t>
            </w:r>
            <w:r>
              <w:rPr>
                <w:rFonts w:hint="eastAsia" w:ascii="Times New Roman" w:hAnsi="Times New Roman" w:eastAsia="宋体" w:cs="Times New Roman"/>
                <w:color w:val="auto"/>
                <w:kern w:val="2"/>
                <w:sz w:val="24"/>
                <w:szCs w:val="24"/>
                <w:highlight w:val="none"/>
                <w:lang w:val="en-US" w:eastAsia="zh-CN" w:bidi="ar-SA"/>
              </w:rPr>
              <w:t>产品</w:t>
            </w:r>
            <w:r>
              <w:rPr>
                <w:rFonts w:hint="eastAsia" w:ascii="Times New Roman" w:hAnsi="Times New Roman" w:eastAsia="宋体" w:cs="Times New Roman"/>
                <w:color w:val="auto"/>
                <w:sz w:val="24"/>
                <w:highlight w:val="none"/>
                <w:shd w:val="clear" w:color="auto" w:fill="auto"/>
                <w:lang w:eastAsia="zh-CN"/>
              </w:rPr>
              <w:t>，</w:t>
            </w:r>
            <w:r>
              <w:rPr>
                <w:rFonts w:hint="eastAsia" w:ascii="Times New Roman" w:hAnsi="Times New Roman" w:eastAsia="宋体" w:cs="Times New Roman"/>
                <w:color w:val="auto"/>
                <w:kern w:val="2"/>
                <w:sz w:val="24"/>
                <w:szCs w:val="24"/>
                <w:highlight w:val="none"/>
                <w:lang w:val="en-US" w:eastAsia="zh-CN" w:bidi="ar-SA"/>
              </w:rPr>
              <w:t>筛分</w:t>
            </w:r>
            <w:r>
              <w:rPr>
                <w:rFonts w:hint="default" w:ascii="Times New Roman" w:hAnsi="Times New Roman" w:eastAsia="宋体" w:cs="Times New Roman"/>
                <w:color w:val="auto"/>
                <w:kern w:val="2"/>
                <w:sz w:val="24"/>
                <w:szCs w:val="24"/>
                <w:highlight w:val="none"/>
                <w:lang w:val="en-US" w:eastAsia="zh-CN" w:bidi="ar-SA"/>
              </w:rPr>
              <w:t>粉尘产生系数为1.13kg/t-</w:t>
            </w:r>
            <w:r>
              <w:rPr>
                <w:rFonts w:hint="eastAsia" w:ascii="Times New Roman" w:hAnsi="Times New Roman" w:eastAsia="宋体" w:cs="Times New Roman"/>
                <w:color w:val="auto"/>
                <w:kern w:val="2"/>
                <w:sz w:val="24"/>
                <w:szCs w:val="24"/>
                <w:highlight w:val="none"/>
                <w:lang w:val="en-US" w:eastAsia="zh-CN" w:bidi="ar-SA"/>
              </w:rPr>
              <w:t>产品，</w:t>
            </w:r>
            <w:r>
              <w:rPr>
                <w:rFonts w:hint="eastAsia" w:cs="Times New Roman"/>
                <w:color w:val="auto"/>
                <w:sz w:val="24"/>
                <w:highlight w:val="none"/>
                <w:shd w:val="clear" w:color="auto" w:fill="auto"/>
                <w:lang w:val="en-US" w:eastAsia="zh-CN"/>
              </w:rPr>
              <w:t>环辊磨</w:t>
            </w:r>
            <w:r>
              <w:rPr>
                <w:rFonts w:hint="default" w:ascii="Times New Roman" w:hAnsi="Times New Roman" w:eastAsia="宋体" w:cs="Times New Roman"/>
                <w:color w:val="auto"/>
                <w:kern w:val="2"/>
                <w:sz w:val="24"/>
                <w:szCs w:val="24"/>
                <w:highlight w:val="none"/>
                <w:lang w:val="en-US" w:eastAsia="zh-CN" w:bidi="ar-SA"/>
              </w:rPr>
              <w:t>粉尘产生系数为1.</w:t>
            </w:r>
            <w:r>
              <w:rPr>
                <w:rFonts w:hint="eastAsia" w:ascii="Times New Roman" w:hAnsi="Times New Roman" w:eastAsia="宋体" w:cs="Times New Roman"/>
                <w:color w:val="auto"/>
                <w:kern w:val="2"/>
                <w:sz w:val="24"/>
                <w:szCs w:val="24"/>
                <w:highlight w:val="none"/>
                <w:lang w:val="en-US" w:eastAsia="zh-CN" w:bidi="ar-SA"/>
              </w:rPr>
              <w:t>17</w:t>
            </w:r>
            <w:r>
              <w:rPr>
                <w:rFonts w:hint="default" w:ascii="Times New Roman" w:hAnsi="Times New Roman" w:eastAsia="宋体" w:cs="Times New Roman"/>
                <w:color w:val="auto"/>
                <w:kern w:val="2"/>
                <w:sz w:val="24"/>
                <w:szCs w:val="24"/>
                <w:highlight w:val="none"/>
                <w:lang w:val="en-US" w:eastAsia="zh-CN" w:bidi="ar-SA"/>
              </w:rPr>
              <w:t>kg/t-</w:t>
            </w:r>
            <w:r>
              <w:rPr>
                <w:rFonts w:hint="eastAsia" w:ascii="Times New Roman" w:hAnsi="Times New Roman" w:eastAsia="宋体" w:cs="Times New Roman"/>
                <w:color w:val="auto"/>
                <w:kern w:val="2"/>
                <w:sz w:val="24"/>
                <w:szCs w:val="24"/>
                <w:highlight w:val="none"/>
                <w:lang w:val="en-US" w:eastAsia="zh-CN" w:bidi="ar-SA"/>
              </w:rPr>
              <w:t>产品</w:t>
            </w:r>
            <w:r>
              <w:rPr>
                <w:rFonts w:hint="default" w:ascii="Times New Roman" w:hAnsi="Times New Roman" w:eastAsia="宋体" w:cs="Times New Roman"/>
                <w:color w:val="auto"/>
                <w:sz w:val="24"/>
                <w:highlight w:val="none"/>
                <w:shd w:val="clear" w:color="auto" w:fill="auto"/>
              </w:rPr>
              <w:t>。</w:t>
            </w:r>
            <w:r>
              <w:rPr>
                <w:rFonts w:hint="eastAsia" w:ascii="Times New Roman" w:hAnsi="Times New Roman" w:eastAsia="宋体" w:cs="Times New Roman"/>
                <w:color w:val="auto"/>
                <w:sz w:val="24"/>
                <w:highlight w:val="none"/>
                <w:shd w:val="clear" w:color="auto" w:fill="auto"/>
                <w:lang w:eastAsia="zh-CN"/>
              </w:rPr>
              <w:t>上料，入仓等工序参照</w:t>
            </w:r>
            <w:r>
              <w:rPr>
                <w:rFonts w:hint="default" w:ascii="Times New Roman" w:hAnsi="Times New Roman" w:eastAsia="宋体" w:cs="Times New Roman"/>
                <w:color w:val="auto"/>
                <w:sz w:val="24"/>
                <w:highlight w:val="none"/>
                <w:shd w:val="clear" w:color="auto" w:fill="auto"/>
              </w:rPr>
              <w:t>《逸散性工业粉尘控制技术》（中国环境出版社，1989年）</w:t>
            </w:r>
            <w:r>
              <w:rPr>
                <w:rFonts w:hint="eastAsia"/>
                <w:color w:val="auto"/>
                <w:highlight w:val="none"/>
                <w:lang w:eastAsia="zh-CN"/>
              </w:rPr>
              <w:t>，</w:t>
            </w:r>
            <w:r>
              <w:rPr>
                <w:rFonts w:hint="default" w:ascii="Times New Roman" w:hAnsi="Times New Roman" w:eastAsia="宋体" w:cs="Times New Roman"/>
                <w:color w:val="auto"/>
                <w:sz w:val="24"/>
                <w:highlight w:val="none"/>
                <w:shd w:val="clear" w:color="auto" w:fill="auto"/>
              </w:rPr>
              <w:t>颗粒物的产生系数为：</w:t>
            </w:r>
            <w:r>
              <w:rPr>
                <w:rFonts w:hint="eastAsia" w:cs="Times New Roman"/>
                <w:color w:val="auto"/>
                <w:sz w:val="24"/>
                <w:highlight w:val="none"/>
                <w:shd w:val="clear" w:color="auto" w:fill="auto"/>
                <w:lang w:eastAsia="zh-CN"/>
              </w:rPr>
              <w:t>卸料</w:t>
            </w:r>
            <w:r>
              <w:rPr>
                <w:rFonts w:hint="default" w:ascii="Times New Roman" w:hAnsi="Times New Roman" w:eastAsia="宋体" w:cs="Times New Roman"/>
                <w:color w:val="auto"/>
                <w:sz w:val="24"/>
                <w:highlight w:val="none"/>
                <w:shd w:val="clear" w:color="auto" w:fill="auto"/>
              </w:rPr>
              <w:t>的粉尘产生系数为</w:t>
            </w:r>
            <w:r>
              <w:rPr>
                <w:rFonts w:hint="eastAsia" w:cs="Times New Roman"/>
                <w:color w:val="auto"/>
                <w:sz w:val="24"/>
                <w:highlight w:val="none"/>
                <w:shd w:val="clear" w:color="auto" w:fill="auto"/>
                <w:lang w:val="en-US" w:eastAsia="zh-CN"/>
              </w:rPr>
              <w:t>0.02kg/t原料；</w:t>
            </w:r>
            <w:r>
              <w:rPr>
                <w:rFonts w:hint="default" w:ascii="Times New Roman" w:hAnsi="Times New Roman" w:eastAsia="宋体" w:cs="Times New Roman"/>
                <w:color w:val="auto"/>
                <w:sz w:val="24"/>
                <w:highlight w:val="none"/>
                <w:shd w:val="clear" w:color="auto" w:fill="auto"/>
              </w:rPr>
              <w:t>上料的粉尘产生系数为0.0</w:t>
            </w:r>
            <w:r>
              <w:rPr>
                <w:rFonts w:hint="eastAsia" w:ascii="Times New Roman" w:hAnsi="Times New Roman" w:eastAsia="宋体" w:cs="Times New Roman"/>
                <w:color w:val="auto"/>
                <w:sz w:val="24"/>
                <w:highlight w:val="none"/>
                <w:shd w:val="clear" w:color="auto" w:fill="auto"/>
                <w:lang w:val="en-US" w:eastAsia="zh-CN"/>
              </w:rPr>
              <w:t>2</w:t>
            </w:r>
            <w:r>
              <w:rPr>
                <w:rFonts w:hint="default" w:ascii="Times New Roman" w:hAnsi="Times New Roman" w:eastAsia="宋体" w:cs="Times New Roman"/>
                <w:color w:val="auto"/>
                <w:sz w:val="24"/>
                <w:highlight w:val="none"/>
                <w:shd w:val="clear" w:color="auto" w:fill="auto"/>
              </w:rPr>
              <w:t>kg/t</w:t>
            </w:r>
            <w:r>
              <w:rPr>
                <w:rFonts w:hint="eastAsia" w:ascii="Calibri" w:hAnsi="Calibri" w:eastAsia="宋体" w:cs="Times New Roman"/>
                <w:color w:val="auto"/>
                <w:sz w:val="24"/>
                <w:szCs w:val="24"/>
                <w:highlight w:val="none"/>
                <w:lang w:val="en-US" w:eastAsia="zh-CN"/>
              </w:rPr>
              <w:t>原料</w:t>
            </w:r>
            <w:r>
              <w:rPr>
                <w:rFonts w:hint="default" w:ascii="Times New Roman" w:hAnsi="Times New Roman" w:eastAsia="宋体" w:cs="Times New Roman"/>
                <w:color w:val="auto"/>
                <w:sz w:val="24"/>
                <w:highlight w:val="none"/>
                <w:shd w:val="clear" w:color="auto" w:fill="auto"/>
              </w:rPr>
              <w:t>，</w:t>
            </w:r>
            <w:r>
              <w:rPr>
                <w:rFonts w:hint="eastAsia" w:ascii="Calibri" w:hAnsi="Calibri" w:eastAsia="宋体" w:cs="Times New Roman"/>
                <w:color w:val="auto"/>
                <w:sz w:val="24"/>
                <w:highlight w:val="none"/>
                <w:shd w:val="clear" w:color="auto" w:fill="auto"/>
                <w:lang w:eastAsia="zh-CN"/>
              </w:rPr>
              <w:t>中间仓入仓</w:t>
            </w:r>
            <w:r>
              <w:rPr>
                <w:rFonts w:hint="default" w:ascii="Times New Roman" w:hAnsi="Times New Roman" w:eastAsia="宋体" w:cs="Times New Roman"/>
                <w:color w:val="auto"/>
                <w:sz w:val="24"/>
                <w:highlight w:val="none"/>
                <w:shd w:val="clear" w:color="auto" w:fill="auto"/>
              </w:rPr>
              <w:t>的粉尘</w:t>
            </w:r>
            <w:r>
              <w:rPr>
                <w:rFonts w:hint="eastAsia" w:ascii="Times New Roman" w:hAnsi="Times New Roman" w:eastAsia="宋体" w:cs="Times New Roman"/>
                <w:color w:val="auto"/>
                <w:sz w:val="24"/>
                <w:highlight w:val="none"/>
                <w:shd w:val="clear" w:color="auto" w:fill="auto"/>
                <w:lang w:eastAsia="zh-CN"/>
              </w:rPr>
              <w:t>取</w:t>
            </w:r>
            <w:r>
              <w:rPr>
                <w:rFonts w:hint="eastAsia" w:ascii="Calibri" w:hAnsi="Calibri" w:eastAsia="宋体" w:cs="Times New Roman"/>
                <w:color w:val="auto"/>
                <w:sz w:val="24"/>
                <w:szCs w:val="24"/>
                <w:highlight w:val="none"/>
                <w:lang w:val="en-US" w:eastAsia="zh-CN"/>
              </w:rPr>
              <w:t>物料转运粉尘产生系数为0.15kg/t-原料</w:t>
            </w:r>
            <w:r>
              <w:rPr>
                <w:rFonts w:hint="eastAsia" w:ascii="Times New Roman" w:hAnsi="Times New Roman" w:eastAsia="宋体" w:cs="Times New Roman"/>
                <w:color w:val="auto"/>
                <w:sz w:val="24"/>
                <w:highlight w:val="none"/>
                <w:shd w:val="clear" w:color="auto" w:fill="auto"/>
                <w:lang w:eastAsia="zh-CN"/>
              </w:rPr>
              <w:t>，</w:t>
            </w:r>
            <w:r>
              <w:rPr>
                <w:rFonts w:hint="eastAsia" w:ascii="Calibri" w:hAnsi="Calibri" w:eastAsia="宋体" w:cs="Times New Roman"/>
                <w:color w:val="auto"/>
                <w:sz w:val="24"/>
                <w:highlight w:val="none"/>
                <w:shd w:val="clear" w:color="auto" w:fill="auto"/>
                <w:lang w:eastAsia="zh-CN"/>
              </w:rPr>
              <w:t>产品仓入仓</w:t>
            </w:r>
            <w:r>
              <w:rPr>
                <w:rFonts w:hint="default" w:ascii="Times New Roman" w:hAnsi="Times New Roman" w:eastAsia="宋体" w:cs="Times New Roman"/>
                <w:color w:val="auto"/>
                <w:sz w:val="24"/>
                <w:highlight w:val="none"/>
                <w:shd w:val="clear" w:color="auto" w:fill="auto"/>
              </w:rPr>
              <w:t>的粉尘</w:t>
            </w:r>
            <w:r>
              <w:rPr>
                <w:rFonts w:hint="eastAsia" w:ascii="Times New Roman" w:hAnsi="Times New Roman" w:eastAsia="宋体" w:cs="Times New Roman"/>
                <w:color w:val="auto"/>
                <w:sz w:val="24"/>
                <w:highlight w:val="none"/>
                <w:shd w:val="clear" w:color="auto" w:fill="auto"/>
                <w:lang w:eastAsia="zh-CN"/>
              </w:rPr>
              <w:t>取</w:t>
            </w:r>
            <w:r>
              <w:rPr>
                <w:rFonts w:hint="eastAsia" w:ascii="Calibri" w:hAnsi="Calibri" w:eastAsia="宋体" w:cs="Times New Roman"/>
                <w:color w:val="auto"/>
                <w:sz w:val="24"/>
                <w:szCs w:val="24"/>
                <w:highlight w:val="none"/>
                <w:lang w:val="en-US" w:eastAsia="zh-CN"/>
              </w:rPr>
              <w:t>物料转运粉尘产生系数为0.15kg/t-原料</w:t>
            </w:r>
            <w:r>
              <w:rPr>
                <w:rFonts w:hint="eastAsia" w:ascii="Times New Roman" w:hAnsi="Times New Roman" w:eastAsia="宋体" w:cs="Times New Roman"/>
                <w:color w:val="auto"/>
                <w:sz w:val="24"/>
                <w:highlight w:val="none"/>
                <w:shd w:val="clear" w:color="auto" w:fill="auto"/>
                <w:lang w:eastAsia="zh-CN"/>
              </w:rPr>
              <w:t>，</w:t>
            </w:r>
            <w:r>
              <w:rPr>
                <w:rFonts w:hint="eastAsia" w:cs="Times New Roman"/>
                <w:color w:val="auto"/>
                <w:sz w:val="24"/>
                <w:highlight w:val="none"/>
                <w:shd w:val="clear" w:color="auto" w:fill="auto"/>
                <w:lang w:eastAsia="zh-CN"/>
              </w:rPr>
              <w:t>本项目在产品仓出料口</w:t>
            </w:r>
            <w:r>
              <w:rPr>
                <w:rFonts w:hint="eastAsia" w:ascii="Times New Roman" w:hAnsi="Times New Roman" w:eastAsia="宋体" w:cs="Times New Roman"/>
                <w:color w:val="auto"/>
                <w:sz w:val="24"/>
                <w:highlight w:val="none"/>
                <w:shd w:val="clear" w:color="auto" w:fill="auto"/>
                <w:lang w:val="en-US" w:eastAsia="zh-CN"/>
              </w:rPr>
              <w:t>包装，包装工序</w:t>
            </w:r>
            <w:r>
              <w:rPr>
                <w:rFonts w:hint="default" w:ascii="Times New Roman" w:hAnsi="Times New Roman" w:eastAsia="宋体" w:cs="Times New Roman"/>
                <w:color w:val="auto"/>
                <w:sz w:val="24"/>
                <w:highlight w:val="none"/>
                <w:shd w:val="clear" w:color="auto" w:fill="auto"/>
              </w:rPr>
              <w:t>粉尘产生系数</w:t>
            </w:r>
            <w:r>
              <w:rPr>
                <w:rFonts w:hint="eastAsia" w:cs="Times New Roman"/>
                <w:color w:val="auto"/>
                <w:sz w:val="24"/>
                <w:highlight w:val="none"/>
                <w:shd w:val="clear" w:color="auto" w:fill="auto"/>
                <w:lang w:eastAsia="zh-CN"/>
              </w:rPr>
              <w:t>参照出料系数，取</w:t>
            </w:r>
            <w:r>
              <w:rPr>
                <w:rFonts w:hint="default" w:ascii="Times New Roman" w:hAnsi="Times New Roman" w:eastAsia="宋体" w:cs="Times New Roman"/>
                <w:color w:val="auto"/>
                <w:sz w:val="24"/>
                <w:highlight w:val="none"/>
                <w:shd w:val="clear" w:color="auto" w:fill="auto"/>
              </w:rPr>
              <w:t>0.</w:t>
            </w:r>
            <w:r>
              <w:rPr>
                <w:rFonts w:hint="eastAsia" w:ascii="Times New Roman" w:hAnsi="Times New Roman" w:eastAsia="宋体" w:cs="Times New Roman"/>
                <w:color w:val="auto"/>
                <w:sz w:val="24"/>
                <w:highlight w:val="none"/>
                <w:shd w:val="clear" w:color="auto" w:fill="auto"/>
                <w:lang w:val="en-US" w:eastAsia="zh-CN"/>
              </w:rPr>
              <w:t>00115</w:t>
            </w:r>
            <w:r>
              <w:rPr>
                <w:rFonts w:hint="default" w:ascii="Times New Roman" w:hAnsi="Times New Roman" w:eastAsia="宋体" w:cs="Times New Roman"/>
                <w:color w:val="auto"/>
                <w:sz w:val="24"/>
                <w:highlight w:val="none"/>
                <w:shd w:val="clear" w:color="auto" w:fill="auto"/>
              </w:rPr>
              <w:t>kg/t</w:t>
            </w:r>
            <w:r>
              <w:rPr>
                <w:rFonts w:hint="eastAsia" w:ascii="Times New Roman" w:hAnsi="Times New Roman" w:eastAsia="宋体" w:cs="Times New Roman"/>
                <w:color w:val="auto"/>
                <w:kern w:val="2"/>
                <w:sz w:val="24"/>
                <w:szCs w:val="24"/>
                <w:highlight w:val="none"/>
                <w:lang w:val="en-US" w:eastAsia="zh-CN" w:bidi="ar-SA"/>
              </w:rPr>
              <w:t>产品</w:t>
            </w:r>
            <w:r>
              <w:rPr>
                <w:rFonts w:hint="eastAsia" w:ascii="Times New Roman" w:hAnsi="Times New Roman" w:eastAsia="宋体" w:cs="Times New Roman"/>
                <w:color w:val="auto"/>
                <w:sz w:val="24"/>
                <w:highlight w:val="none"/>
                <w:shd w:val="clear" w:color="auto" w:fill="auto"/>
                <w:lang w:eastAsia="zh-CN"/>
              </w:rPr>
              <w:t>。</w:t>
            </w:r>
          </w:p>
          <w:p w14:paraId="7609BB90">
            <w:pPr>
              <w:pStyle w:val="16"/>
              <w:keepNext w:val="0"/>
              <w:keepLines w:val="0"/>
              <w:suppressLineNumbers w:val="0"/>
              <w:spacing w:before="0" w:beforeAutospacing="0" w:after="0" w:afterAutospacing="0"/>
              <w:ind w:left="0" w:right="0"/>
              <w:rPr>
                <w:rFonts w:hint="eastAsia" w:ascii="Calibri" w:hAnsi="Calibri" w:eastAsia="宋体" w:cs="Times New Roman"/>
                <w:color w:val="auto"/>
                <w:sz w:val="24"/>
                <w:highlight w:val="none"/>
                <w:shd w:val="clear" w:color="auto" w:fill="auto"/>
                <w:lang w:val="en-US" w:eastAsia="zh-CN"/>
              </w:rPr>
            </w:pPr>
            <w:r>
              <w:rPr>
                <w:rFonts w:hint="eastAsia" w:ascii="Calibri" w:hAnsi="Calibri" w:cs="Times New Roman"/>
                <w:color w:val="auto"/>
                <w:sz w:val="24"/>
                <w:highlight w:val="none"/>
                <w:shd w:val="clear" w:color="auto" w:fill="auto"/>
                <w:lang w:val="en-US" w:eastAsia="zh-CN"/>
              </w:rPr>
              <w:t>4</w:t>
            </w:r>
            <w:r>
              <w:rPr>
                <w:rFonts w:hint="eastAsia" w:cs="Times New Roman"/>
                <w:color w:val="auto"/>
                <w:highlight w:val="none"/>
                <w:shd w:val="clear" w:color="auto" w:fill="auto"/>
                <w:lang w:val="en-US" w:eastAsia="zh-CN"/>
              </w:rPr>
              <w:t>#生产线上料、颚破</w:t>
            </w:r>
            <w:r>
              <w:rPr>
                <w:rFonts w:hint="eastAsia" w:ascii="Times New Roman" w:hAnsi="Times New Roman" w:eastAsia="宋体" w:cs="Times New Roman"/>
                <w:color w:val="auto"/>
                <w:highlight w:val="none"/>
                <w:shd w:val="clear" w:color="auto" w:fill="auto"/>
                <w:lang w:val="en-US" w:eastAsia="zh-CN"/>
              </w:rPr>
              <w:t>、</w:t>
            </w:r>
            <w:r>
              <w:rPr>
                <w:rFonts w:hint="eastAsia" w:cs="Times New Roman"/>
                <w:color w:val="auto"/>
                <w:highlight w:val="none"/>
                <w:shd w:val="clear" w:color="auto" w:fill="auto"/>
                <w:lang w:val="en-US" w:eastAsia="zh-CN"/>
              </w:rPr>
              <w:t>中间仓</w:t>
            </w:r>
            <w:r>
              <w:rPr>
                <w:rFonts w:hint="eastAsia" w:ascii="Times New Roman" w:hAnsi="Times New Roman" w:eastAsia="宋体" w:cs="Times New Roman"/>
                <w:color w:val="auto"/>
                <w:sz w:val="24"/>
                <w:highlight w:val="none"/>
                <w:shd w:val="clear" w:color="auto" w:fill="auto"/>
                <w:lang w:eastAsia="zh-CN"/>
              </w:rPr>
              <w:t>入仓</w:t>
            </w:r>
            <w:r>
              <w:rPr>
                <w:rFonts w:hint="eastAsia" w:cs="Times New Roman"/>
                <w:color w:val="auto"/>
                <w:highlight w:val="none"/>
                <w:shd w:val="clear" w:color="auto" w:fill="auto"/>
                <w:lang w:val="en-US" w:eastAsia="zh-CN"/>
              </w:rPr>
              <w:t>、锤破</w:t>
            </w:r>
            <w:r>
              <w:rPr>
                <w:rFonts w:hint="eastAsia" w:ascii="Times New Roman" w:hAnsi="Times New Roman" w:eastAsia="宋体" w:cs="Times New Roman"/>
                <w:color w:val="auto"/>
                <w:highlight w:val="none"/>
                <w:shd w:val="clear" w:color="auto" w:fill="auto"/>
                <w:lang w:val="en-US" w:eastAsia="zh-CN"/>
              </w:rPr>
              <w:t>、筛选</w:t>
            </w:r>
            <w:r>
              <w:rPr>
                <w:rFonts w:hint="eastAsia" w:cs="Times New Roman"/>
                <w:color w:val="auto"/>
                <w:highlight w:val="none"/>
                <w:shd w:val="clear" w:color="auto" w:fill="auto"/>
                <w:lang w:val="en-US" w:eastAsia="zh-CN"/>
              </w:rPr>
              <w:t>、产品仓</w:t>
            </w:r>
            <w:r>
              <w:rPr>
                <w:rFonts w:hint="eastAsia" w:ascii="Times New Roman" w:hAnsi="Times New Roman" w:eastAsia="宋体" w:cs="Times New Roman"/>
                <w:color w:val="auto"/>
                <w:sz w:val="24"/>
                <w:highlight w:val="none"/>
                <w:shd w:val="clear" w:color="auto" w:fill="auto"/>
                <w:lang w:eastAsia="zh-CN"/>
              </w:rPr>
              <w:t>入仓</w:t>
            </w:r>
            <w:r>
              <w:rPr>
                <w:rFonts w:hint="eastAsia" w:cs="Times New Roman"/>
                <w:color w:val="auto"/>
                <w:highlight w:val="none"/>
                <w:shd w:val="clear" w:color="auto" w:fill="auto"/>
                <w:lang w:val="en-US" w:eastAsia="zh-CN"/>
              </w:rPr>
              <w:t>、包装</w:t>
            </w:r>
            <w:r>
              <w:rPr>
                <w:rFonts w:hint="eastAsia" w:ascii="Times New Roman" w:hAnsi="Times New Roman" w:eastAsia="宋体" w:cs="Times New Roman"/>
                <w:color w:val="auto"/>
                <w:highlight w:val="none"/>
                <w:shd w:val="clear" w:color="auto" w:fill="auto"/>
                <w:lang w:val="en-US" w:eastAsia="zh-CN"/>
              </w:rPr>
              <w:t>工序产生的颗粒物</w:t>
            </w:r>
            <w:r>
              <w:rPr>
                <w:rFonts w:hint="eastAsia" w:cs="Times New Roman"/>
                <w:color w:val="auto"/>
                <w:highlight w:val="none"/>
                <w:shd w:val="clear" w:color="auto" w:fill="auto"/>
                <w:lang w:val="en-US" w:eastAsia="zh-CN"/>
              </w:rPr>
              <w:t>经集气罩收集后</w:t>
            </w:r>
            <w:r>
              <w:rPr>
                <w:rFonts w:hint="eastAsia" w:ascii="Times New Roman" w:hAnsi="Times New Roman" w:eastAsia="宋体" w:cs="Times New Roman"/>
                <w:color w:val="auto"/>
                <w:highlight w:val="none"/>
                <w:shd w:val="clear" w:color="auto" w:fill="auto"/>
                <w:lang w:val="en-US" w:eastAsia="zh-CN"/>
              </w:rPr>
              <w:t>由布袋除尘器</w:t>
            </w:r>
            <w:r>
              <w:rPr>
                <w:rFonts w:hint="eastAsia" w:cs="Times New Roman"/>
                <w:color w:val="auto"/>
                <w:highlight w:val="none"/>
                <w:shd w:val="clear" w:color="auto" w:fill="auto"/>
                <w:lang w:val="en-US" w:eastAsia="zh-CN"/>
              </w:rPr>
              <w:t>TA005</w:t>
            </w:r>
            <w:r>
              <w:rPr>
                <w:rFonts w:hint="eastAsia" w:ascii="Times New Roman" w:hAnsi="Times New Roman" w:eastAsia="宋体" w:cs="Times New Roman"/>
                <w:color w:val="auto"/>
                <w:highlight w:val="none"/>
                <w:shd w:val="clear" w:color="auto" w:fill="auto"/>
                <w:lang w:val="en-US" w:eastAsia="zh-CN"/>
              </w:rPr>
              <w:t>净化，</w:t>
            </w:r>
            <w:r>
              <w:rPr>
                <w:rFonts w:hint="eastAsia" w:cs="Times New Roman"/>
                <w:color w:val="auto"/>
                <w:sz w:val="24"/>
                <w:highlight w:val="none"/>
                <w:shd w:val="clear" w:color="auto" w:fill="auto"/>
                <w:lang w:val="en-US" w:eastAsia="zh-CN"/>
              </w:rPr>
              <w:t>环辊磨</w:t>
            </w:r>
            <w:r>
              <w:rPr>
                <w:rFonts w:hint="eastAsia" w:cs="Times New Roman"/>
                <w:color w:val="auto"/>
                <w:highlight w:val="none"/>
                <w:shd w:val="clear" w:color="auto" w:fill="auto"/>
                <w:lang w:val="en-US" w:eastAsia="zh-CN"/>
              </w:rPr>
              <w:t>产生的废气经由自带布袋除尘器TA006、TA007净化。经各自除尘器</w:t>
            </w:r>
            <w:r>
              <w:rPr>
                <w:rFonts w:hint="eastAsia" w:ascii="Times New Roman" w:hAnsi="Times New Roman" w:eastAsia="宋体" w:cs="Times New Roman"/>
                <w:color w:val="auto"/>
                <w:highlight w:val="none"/>
                <w:shd w:val="clear" w:color="auto" w:fill="auto"/>
                <w:lang w:val="en-US" w:eastAsia="zh-CN"/>
              </w:rPr>
              <w:t>净化后的废气由1根15m高排气筒</w:t>
            </w:r>
            <w:r>
              <w:rPr>
                <w:rFonts w:hint="eastAsia" w:cs="Times New Roman"/>
                <w:color w:val="auto"/>
                <w:highlight w:val="none"/>
                <w:shd w:val="clear" w:color="auto" w:fill="auto"/>
                <w:lang w:val="en-US" w:eastAsia="zh-CN"/>
              </w:rPr>
              <w:t>DA003</w:t>
            </w:r>
            <w:r>
              <w:rPr>
                <w:rFonts w:hint="eastAsia" w:ascii="Times New Roman" w:hAnsi="Times New Roman" w:eastAsia="宋体" w:cs="Times New Roman"/>
                <w:color w:val="auto"/>
                <w:highlight w:val="none"/>
                <w:shd w:val="clear" w:color="auto" w:fill="auto"/>
                <w:lang w:val="en-US" w:eastAsia="zh-CN"/>
              </w:rPr>
              <w:t>有组织排放；</w:t>
            </w:r>
            <w:r>
              <w:rPr>
                <w:rFonts w:hint="eastAsia" w:ascii="Calibri" w:hAnsi="Calibri" w:cs="Times New Roman"/>
                <w:color w:val="auto"/>
                <w:sz w:val="24"/>
                <w:highlight w:val="none"/>
                <w:shd w:val="clear" w:color="auto" w:fill="auto"/>
                <w:lang w:eastAsia="zh-CN"/>
              </w:rPr>
              <w:t>本项目在</w:t>
            </w:r>
            <w:r>
              <w:rPr>
                <w:rFonts w:hint="eastAsia" w:ascii="Calibri" w:hAnsi="Calibri" w:cs="Times New Roman"/>
                <w:color w:val="auto"/>
                <w:sz w:val="24"/>
                <w:highlight w:val="none"/>
                <w:shd w:val="clear" w:color="auto" w:fill="auto"/>
                <w:lang w:val="en-US" w:eastAsia="zh-CN"/>
              </w:rPr>
              <w:t>4#生产线</w:t>
            </w:r>
            <w:r>
              <w:rPr>
                <w:rFonts w:hint="eastAsia" w:cs="Times New Roman"/>
                <w:color w:val="auto"/>
                <w:highlight w:val="none"/>
                <w:shd w:val="clear" w:color="auto" w:fill="auto"/>
                <w:lang w:val="en-US" w:eastAsia="zh-CN"/>
              </w:rPr>
              <w:t>卸料、上料、颚破</w:t>
            </w:r>
            <w:r>
              <w:rPr>
                <w:rFonts w:hint="eastAsia" w:ascii="Times New Roman" w:hAnsi="Times New Roman" w:eastAsia="宋体" w:cs="Times New Roman"/>
                <w:color w:val="auto"/>
                <w:highlight w:val="none"/>
                <w:shd w:val="clear" w:color="auto" w:fill="auto"/>
                <w:lang w:val="en-US" w:eastAsia="zh-CN"/>
              </w:rPr>
              <w:t>、</w:t>
            </w:r>
            <w:r>
              <w:rPr>
                <w:rFonts w:hint="eastAsia" w:cs="Times New Roman"/>
                <w:color w:val="auto"/>
                <w:highlight w:val="none"/>
                <w:shd w:val="clear" w:color="auto" w:fill="auto"/>
                <w:lang w:val="en-US" w:eastAsia="zh-CN"/>
              </w:rPr>
              <w:t>中间仓</w:t>
            </w:r>
            <w:r>
              <w:rPr>
                <w:rFonts w:hint="eastAsia" w:ascii="Times New Roman" w:hAnsi="Times New Roman" w:eastAsia="宋体" w:cs="Times New Roman"/>
                <w:color w:val="auto"/>
                <w:sz w:val="24"/>
                <w:highlight w:val="none"/>
                <w:shd w:val="clear" w:color="auto" w:fill="auto"/>
                <w:lang w:eastAsia="zh-CN"/>
              </w:rPr>
              <w:t>入仓</w:t>
            </w:r>
            <w:r>
              <w:rPr>
                <w:rFonts w:hint="eastAsia" w:cs="Times New Roman"/>
                <w:color w:val="auto"/>
                <w:highlight w:val="none"/>
                <w:shd w:val="clear" w:color="auto" w:fill="auto"/>
                <w:lang w:val="en-US" w:eastAsia="zh-CN"/>
              </w:rPr>
              <w:t>、锤破</w:t>
            </w:r>
            <w:r>
              <w:rPr>
                <w:rFonts w:hint="eastAsia" w:ascii="Times New Roman" w:hAnsi="Times New Roman" w:eastAsia="宋体" w:cs="Times New Roman"/>
                <w:color w:val="auto"/>
                <w:highlight w:val="none"/>
                <w:shd w:val="clear" w:color="auto" w:fill="auto"/>
                <w:lang w:val="en-US" w:eastAsia="zh-CN"/>
              </w:rPr>
              <w:t>、筛选</w:t>
            </w:r>
            <w:r>
              <w:rPr>
                <w:rFonts w:hint="eastAsia" w:cs="Times New Roman"/>
                <w:color w:val="auto"/>
                <w:highlight w:val="none"/>
                <w:shd w:val="clear" w:color="auto" w:fill="auto"/>
                <w:lang w:val="en-US" w:eastAsia="zh-CN"/>
              </w:rPr>
              <w:t>、产品仓</w:t>
            </w:r>
            <w:r>
              <w:rPr>
                <w:rFonts w:hint="eastAsia" w:ascii="Times New Roman" w:hAnsi="Times New Roman" w:eastAsia="宋体" w:cs="Times New Roman"/>
                <w:color w:val="auto"/>
                <w:sz w:val="24"/>
                <w:highlight w:val="none"/>
                <w:shd w:val="clear" w:color="auto" w:fill="auto"/>
                <w:lang w:eastAsia="zh-CN"/>
              </w:rPr>
              <w:t>入仓</w:t>
            </w:r>
            <w:r>
              <w:rPr>
                <w:rFonts w:hint="eastAsia" w:cs="Times New Roman"/>
                <w:color w:val="auto"/>
                <w:highlight w:val="none"/>
                <w:shd w:val="clear" w:color="auto" w:fill="auto"/>
                <w:lang w:val="en-US" w:eastAsia="zh-CN"/>
              </w:rPr>
              <w:t>、包装</w:t>
            </w:r>
            <w:r>
              <w:rPr>
                <w:rFonts w:hint="eastAsia" w:ascii="Times New Roman" w:hAnsi="Times New Roman" w:eastAsia="宋体" w:cs="Times New Roman"/>
                <w:color w:val="auto"/>
                <w:highlight w:val="none"/>
                <w:shd w:val="clear" w:color="auto" w:fill="auto"/>
                <w:lang w:val="en-US" w:eastAsia="zh-CN"/>
              </w:rPr>
              <w:t>工序</w:t>
            </w:r>
            <w:r>
              <w:rPr>
                <w:rFonts w:hint="eastAsia" w:ascii="Calibri" w:hAnsi="Calibri" w:cs="Times New Roman"/>
                <w:color w:val="auto"/>
                <w:sz w:val="24"/>
                <w:highlight w:val="none"/>
                <w:shd w:val="clear" w:color="auto" w:fill="auto"/>
                <w:lang w:eastAsia="zh-CN"/>
              </w:rPr>
              <w:t>产尘点上方各设一个集气罩，共</w:t>
            </w:r>
            <w:r>
              <w:rPr>
                <w:rFonts w:hint="eastAsia" w:ascii="Calibri" w:hAnsi="Calibri" w:cs="Times New Roman"/>
                <w:color w:val="auto"/>
                <w:sz w:val="24"/>
                <w:highlight w:val="none"/>
                <w:shd w:val="clear" w:color="auto" w:fill="auto"/>
                <w:lang w:val="en-US" w:eastAsia="zh-CN"/>
              </w:rPr>
              <w:t>8个</w:t>
            </w:r>
            <w:r>
              <w:rPr>
                <w:rFonts w:hint="eastAsia" w:ascii="Calibri" w:hAnsi="Calibri" w:eastAsia="宋体" w:cs="Times New Roman"/>
                <w:color w:val="auto"/>
                <w:sz w:val="24"/>
                <w:highlight w:val="none"/>
                <w:shd w:val="clear" w:color="auto" w:fill="auto"/>
                <w:lang w:eastAsia="zh-CN"/>
              </w:rPr>
              <w:t>，</w:t>
            </w:r>
            <w:r>
              <w:rPr>
                <w:rFonts w:hint="eastAsia" w:ascii="Calibri" w:hAnsi="Calibri" w:cs="Times New Roman"/>
                <w:color w:val="auto"/>
                <w:sz w:val="24"/>
                <w:highlight w:val="none"/>
                <w:shd w:val="clear" w:color="auto" w:fill="auto"/>
                <w:lang w:eastAsia="zh-CN"/>
              </w:rPr>
              <w:t>负压收集废气，</w:t>
            </w:r>
            <w:r>
              <w:rPr>
                <w:rFonts w:ascii="Calibri" w:hAnsi="Calibri" w:eastAsia="宋体" w:cs="Times New Roman"/>
                <w:color w:val="auto"/>
                <w:sz w:val="24"/>
                <w:highlight w:val="none"/>
                <w:shd w:val="clear" w:color="auto" w:fill="auto"/>
              </w:rPr>
              <w:t>集气罩</w:t>
            </w:r>
            <w:r>
              <w:rPr>
                <w:rFonts w:hint="eastAsia" w:ascii="Calibri" w:hAnsi="Calibri" w:eastAsia="宋体" w:cs="Times New Roman"/>
                <w:color w:val="auto"/>
                <w:sz w:val="24"/>
                <w:highlight w:val="none"/>
                <w:shd w:val="clear" w:color="auto" w:fill="auto"/>
                <w:lang w:eastAsia="zh-CN"/>
              </w:rPr>
              <w:t>的</w:t>
            </w:r>
            <w:r>
              <w:rPr>
                <w:rFonts w:ascii="Calibri" w:hAnsi="Calibri" w:eastAsia="宋体" w:cs="Times New Roman"/>
                <w:color w:val="auto"/>
                <w:sz w:val="24"/>
                <w:highlight w:val="none"/>
                <w:shd w:val="clear" w:color="auto" w:fill="auto"/>
              </w:rPr>
              <w:t>捕集率为</w:t>
            </w:r>
            <w:r>
              <w:rPr>
                <w:rFonts w:hint="eastAsia" w:ascii="Calibri" w:hAnsi="Calibri" w:cs="Times New Roman"/>
                <w:color w:val="auto"/>
                <w:sz w:val="24"/>
                <w:highlight w:val="none"/>
                <w:shd w:val="clear" w:color="auto" w:fill="auto"/>
                <w:lang w:val="en-US" w:eastAsia="zh-CN"/>
              </w:rPr>
              <w:t>8</w:t>
            </w:r>
            <w:r>
              <w:rPr>
                <w:rFonts w:hint="eastAsia" w:ascii="Calibri" w:hAnsi="Calibri" w:eastAsia="宋体" w:cs="Times New Roman"/>
                <w:color w:val="auto"/>
                <w:sz w:val="24"/>
                <w:highlight w:val="none"/>
                <w:shd w:val="clear" w:color="auto" w:fill="auto"/>
              </w:rPr>
              <w:t>0</w:t>
            </w:r>
            <w:r>
              <w:rPr>
                <w:rFonts w:ascii="Calibri" w:hAnsi="Calibri" w:eastAsia="宋体" w:cs="Times New Roman"/>
                <w:color w:val="auto"/>
                <w:sz w:val="24"/>
                <w:highlight w:val="none"/>
                <w:shd w:val="clear" w:color="auto" w:fill="auto"/>
              </w:rPr>
              <w:t>%</w:t>
            </w:r>
            <w:r>
              <w:rPr>
                <w:rFonts w:hint="eastAsia" w:ascii="Calibri" w:hAnsi="Calibri" w:eastAsia="宋体" w:cs="Times New Roman"/>
                <w:color w:val="auto"/>
                <w:sz w:val="24"/>
                <w:highlight w:val="none"/>
                <w:shd w:val="clear" w:color="auto" w:fill="auto"/>
                <w:lang w:eastAsia="zh-CN"/>
              </w:rPr>
              <w:t>，</w:t>
            </w:r>
            <w:r>
              <w:rPr>
                <w:rFonts w:hint="eastAsia" w:ascii="Calibri" w:hAnsi="Calibri" w:cs="Times New Roman"/>
                <w:color w:val="auto"/>
                <w:sz w:val="24"/>
                <w:highlight w:val="none"/>
                <w:shd w:val="clear" w:color="auto" w:fill="auto"/>
                <w:lang w:eastAsia="zh-CN"/>
              </w:rPr>
              <w:t>收集后的废气经布袋除尘器</w:t>
            </w:r>
            <w:r>
              <w:rPr>
                <w:rFonts w:hint="eastAsia" w:ascii="Calibri" w:hAnsi="Calibri" w:cs="Times New Roman"/>
                <w:color w:val="auto"/>
                <w:sz w:val="24"/>
                <w:highlight w:val="none"/>
                <w:shd w:val="clear" w:color="auto" w:fill="auto"/>
                <w:lang w:val="en-US" w:eastAsia="zh-CN"/>
              </w:rPr>
              <w:t>TA005</w:t>
            </w:r>
            <w:r>
              <w:rPr>
                <w:rFonts w:hint="eastAsia" w:ascii="Calibri" w:hAnsi="Calibri" w:cs="Times New Roman"/>
                <w:color w:val="auto"/>
                <w:sz w:val="24"/>
                <w:highlight w:val="none"/>
                <w:shd w:val="clear" w:color="auto" w:fill="auto"/>
                <w:lang w:eastAsia="zh-CN"/>
              </w:rPr>
              <w:t>处理，布袋除尘器</w:t>
            </w:r>
            <w:r>
              <w:rPr>
                <w:rFonts w:ascii="Calibri" w:hAnsi="Calibri" w:eastAsia="宋体" w:cs="Times New Roman"/>
                <w:color w:val="auto"/>
                <w:sz w:val="24"/>
                <w:highlight w:val="none"/>
                <w:shd w:val="clear" w:color="auto" w:fill="auto"/>
              </w:rPr>
              <w:t>除尘效率为9</w:t>
            </w:r>
            <w:r>
              <w:rPr>
                <w:rFonts w:hint="eastAsia" w:ascii="Calibri" w:hAnsi="Calibri" w:eastAsia="宋体" w:cs="Times New Roman"/>
                <w:color w:val="auto"/>
                <w:sz w:val="24"/>
                <w:highlight w:val="none"/>
                <w:shd w:val="clear" w:color="auto" w:fill="auto"/>
                <w:lang w:val="en-US" w:eastAsia="zh-CN"/>
              </w:rPr>
              <w:t>9</w:t>
            </w:r>
            <w:r>
              <w:rPr>
                <w:rFonts w:hint="eastAsia" w:ascii="Calibri" w:hAnsi="Calibri" w:cs="Times New Roman"/>
                <w:color w:val="auto"/>
                <w:sz w:val="24"/>
                <w:highlight w:val="none"/>
                <w:shd w:val="clear" w:color="auto" w:fill="auto"/>
                <w:lang w:val="en-US" w:eastAsia="zh-CN"/>
              </w:rPr>
              <w:t>.5</w:t>
            </w:r>
            <w:r>
              <w:rPr>
                <w:rFonts w:ascii="Calibri" w:hAnsi="Calibri" w:eastAsia="宋体" w:cs="Times New Roman"/>
                <w:color w:val="auto"/>
                <w:sz w:val="24"/>
                <w:highlight w:val="none"/>
                <w:shd w:val="clear" w:color="auto" w:fill="auto"/>
              </w:rPr>
              <w:t>%，</w:t>
            </w:r>
            <w:r>
              <w:rPr>
                <w:rFonts w:hint="eastAsia" w:ascii="Calibri" w:hAnsi="Calibri" w:eastAsia="宋体" w:cs="Times New Roman"/>
                <w:color w:val="auto"/>
                <w:sz w:val="24"/>
                <w:szCs w:val="24"/>
                <w:highlight w:val="none"/>
                <w:shd w:val="clear" w:color="auto" w:fill="auto"/>
                <w:lang w:val="en-US" w:eastAsia="zh-CN"/>
              </w:rPr>
              <w:t>风机风量为</w:t>
            </w:r>
            <w:r>
              <w:rPr>
                <w:rFonts w:hint="eastAsia" w:ascii="Calibri" w:hAnsi="Calibri" w:cs="Times New Roman"/>
                <w:color w:val="auto"/>
                <w:sz w:val="24"/>
                <w:szCs w:val="24"/>
                <w:highlight w:val="none"/>
                <w:shd w:val="clear" w:color="auto" w:fill="auto"/>
                <w:lang w:val="en-US" w:eastAsia="zh-CN"/>
              </w:rPr>
              <w:t>20</w:t>
            </w:r>
            <w:r>
              <w:rPr>
                <w:rFonts w:hint="eastAsia" w:ascii="Calibri" w:hAnsi="Calibri" w:eastAsia="宋体" w:cs="Times New Roman"/>
                <w:color w:val="auto"/>
                <w:sz w:val="24"/>
                <w:szCs w:val="24"/>
                <w:highlight w:val="none"/>
                <w:shd w:val="clear" w:color="auto" w:fill="auto"/>
                <w:lang w:val="en-US" w:eastAsia="zh-CN"/>
              </w:rPr>
              <w:t>000m</w:t>
            </w:r>
            <w:r>
              <w:rPr>
                <w:rFonts w:hint="eastAsia" w:ascii="Calibri" w:hAnsi="Calibri" w:eastAsia="宋体" w:cs="Times New Roman"/>
                <w:color w:val="auto"/>
                <w:sz w:val="24"/>
                <w:szCs w:val="24"/>
                <w:highlight w:val="none"/>
                <w:shd w:val="clear" w:color="auto" w:fill="auto"/>
                <w:vertAlign w:val="superscript"/>
                <w:lang w:val="en-US" w:eastAsia="zh-CN"/>
              </w:rPr>
              <w:t>3</w:t>
            </w:r>
            <w:r>
              <w:rPr>
                <w:rFonts w:hint="eastAsia" w:ascii="Calibri" w:hAnsi="Calibri" w:eastAsia="宋体" w:cs="Times New Roman"/>
                <w:color w:val="auto"/>
                <w:sz w:val="24"/>
                <w:szCs w:val="24"/>
                <w:highlight w:val="none"/>
                <w:shd w:val="clear" w:color="auto" w:fill="auto"/>
                <w:lang w:val="en-US" w:eastAsia="zh-CN"/>
              </w:rPr>
              <w:t>/h</w:t>
            </w:r>
            <w:r>
              <w:rPr>
                <w:rFonts w:hint="eastAsia" w:ascii="Calibri" w:hAnsi="Calibri" w:cs="Times New Roman"/>
                <w:color w:val="auto"/>
                <w:sz w:val="24"/>
                <w:highlight w:val="none"/>
                <w:shd w:val="clear" w:color="auto" w:fill="auto"/>
                <w:lang w:eastAsia="zh-CN"/>
              </w:rPr>
              <w:t>；</w:t>
            </w:r>
            <w:r>
              <w:rPr>
                <w:rFonts w:hint="eastAsia" w:cs="Times New Roman"/>
                <w:color w:val="auto"/>
                <w:sz w:val="24"/>
                <w:highlight w:val="none"/>
                <w:shd w:val="clear" w:color="auto" w:fill="auto"/>
                <w:lang w:val="en-US" w:eastAsia="zh-CN"/>
              </w:rPr>
              <w:t>环辊磨</w:t>
            </w:r>
            <w:r>
              <w:rPr>
                <w:rFonts w:hint="eastAsia" w:ascii="Calibri" w:hAnsi="Calibri" w:cs="Times New Roman"/>
                <w:color w:val="auto"/>
                <w:sz w:val="24"/>
                <w:highlight w:val="none"/>
                <w:shd w:val="clear" w:color="auto" w:fill="auto"/>
                <w:lang w:eastAsia="zh-CN"/>
              </w:rPr>
              <w:t>工序捕集率为</w:t>
            </w:r>
            <w:r>
              <w:rPr>
                <w:rFonts w:hint="eastAsia" w:ascii="Calibri" w:hAnsi="Calibri" w:cs="Times New Roman"/>
                <w:color w:val="auto"/>
                <w:sz w:val="24"/>
                <w:highlight w:val="none"/>
                <w:shd w:val="clear" w:color="auto" w:fill="auto"/>
                <w:lang w:val="en-US" w:eastAsia="zh-CN"/>
              </w:rPr>
              <w:t>100%，经自带的布袋除尘器</w:t>
            </w:r>
            <w:r>
              <w:rPr>
                <w:rFonts w:hint="eastAsia" w:cs="Times New Roman"/>
                <w:color w:val="auto"/>
                <w:highlight w:val="none"/>
                <w:shd w:val="clear" w:color="auto" w:fill="auto"/>
                <w:lang w:val="en-US" w:eastAsia="zh-CN"/>
              </w:rPr>
              <w:t>TA006、TA007</w:t>
            </w:r>
            <w:r>
              <w:rPr>
                <w:rFonts w:hint="eastAsia" w:ascii="Calibri" w:hAnsi="Calibri" w:cs="Times New Roman"/>
                <w:color w:val="auto"/>
                <w:sz w:val="24"/>
                <w:highlight w:val="none"/>
                <w:shd w:val="clear" w:color="auto" w:fill="auto"/>
                <w:lang w:val="en-US" w:eastAsia="zh-CN"/>
              </w:rPr>
              <w:t>处理；</w:t>
            </w:r>
            <w:r>
              <w:rPr>
                <w:rFonts w:hint="eastAsia" w:ascii="Calibri" w:hAnsi="Calibri" w:eastAsia="宋体" w:cs="Times New Roman"/>
                <w:color w:val="auto"/>
                <w:sz w:val="24"/>
                <w:highlight w:val="none"/>
                <w:shd w:val="clear" w:color="auto" w:fill="auto"/>
                <w:lang w:eastAsia="zh-CN"/>
              </w:rPr>
              <w:t>布袋除尘器</w:t>
            </w:r>
            <w:r>
              <w:rPr>
                <w:rFonts w:ascii="Calibri" w:hAnsi="Calibri" w:eastAsia="宋体" w:cs="Times New Roman"/>
                <w:color w:val="auto"/>
                <w:sz w:val="24"/>
                <w:highlight w:val="none"/>
                <w:shd w:val="clear" w:color="auto" w:fill="auto"/>
              </w:rPr>
              <w:t>除尘效率为9</w:t>
            </w:r>
            <w:r>
              <w:rPr>
                <w:rFonts w:hint="eastAsia" w:ascii="Calibri" w:hAnsi="Calibri" w:eastAsia="宋体" w:cs="Times New Roman"/>
                <w:color w:val="auto"/>
                <w:sz w:val="24"/>
                <w:highlight w:val="none"/>
                <w:shd w:val="clear" w:color="auto" w:fill="auto"/>
                <w:lang w:val="en-US" w:eastAsia="zh-CN"/>
              </w:rPr>
              <w:t>9</w:t>
            </w:r>
            <w:r>
              <w:rPr>
                <w:rFonts w:hint="eastAsia" w:ascii="Calibri" w:hAnsi="Calibri" w:cs="Times New Roman"/>
                <w:color w:val="auto"/>
                <w:sz w:val="24"/>
                <w:highlight w:val="none"/>
                <w:shd w:val="clear" w:color="auto" w:fill="auto"/>
                <w:lang w:val="en-US" w:eastAsia="zh-CN"/>
              </w:rPr>
              <w:t>.8</w:t>
            </w:r>
            <w:r>
              <w:rPr>
                <w:rFonts w:ascii="Calibri" w:hAnsi="Calibri" w:eastAsia="宋体" w:cs="Times New Roman"/>
                <w:color w:val="auto"/>
                <w:sz w:val="24"/>
                <w:highlight w:val="none"/>
                <w:shd w:val="clear" w:color="auto" w:fill="auto"/>
              </w:rPr>
              <w:t>%</w:t>
            </w:r>
            <w:r>
              <w:rPr>
                <w:rFonts w:hint="eastAsia" w:ascii="Calibri" w:hAnsi="Calibri" w:cs="Times New Roman"/>
                <w:color w:val="auto"/>
                <w:sz w:val="24"/>
                <w:highlight w:val="none"/>
                <w:shd w:val="clear" w:color="auto" w:fill="auto"/>
                <w:lang w:eastAsia="zh-CN"/>
              </w:rPr>
              <w:t>，</w:t>
            </w:r>
            <w:r>
              <w:rPr>
                <w:rFonts w:hint="eastAsia" w:cs="Times New Roman"/>
                <w:color w:val="auto"/>
                <w:sz w:val="24"/>
                <w:highlight w:val="none"/>
                <w:shd w:val="clear" w:color="auto" w:fill="auto"/>
                <w:lang w:val="en-US" w:eastAsia="zh-CN"/>
              </w:rPr>
              <w:t>环辊磨</w:t>
            </w:r>
            <w:r>
              <w:rPr>
                <w:rFonts w:hint="eastAsia" w:ascii="Calibri" w:hAnsi="Calibri" w:cs="Times New Roman"/>
                <w:color w:val="auto"/>
                <w:sz w:val="24"/>
                <w:highlight w:val="none"/>
                <w:shd w:val="clear" w:color="auto" w:fill="auto"/>
                <w:lang w:eastAsia="zh-CN"/>
              </w:rPr>
              <w:t>余风风量为</w:t>
            </w:r>
            <w:r>
              <w:rPr>
                <w:rFonts w:hint="eastAsia" w:ascii="Calibri" w:hAnsi="Calibri" w:cs="Times New Roman"/>
                <w:color w:val="auto"/>
                <w:sz w:val="24"/>
                <w:highlight w:val="none"/>
                <w:shd w:val="clear" w:color="auto" w:fill="auto"/>
                <w:lang w:val="en-US" w:eastAsia="zh-CN"/>
              </w:rPr>
              <w:t>2000</w:t>
            </w:r>
            <w:r>
              <w:rPr>
                <w:rFonts w:hint="eastAsia" w:ascii="Calibri" w:hAnsi="Calibri" w:eastAsia="宋体" w:cs="Times New Roman"/>
                <w:color w:val="auto"/>
                <w:sz w:val="24"/>
                <w:szCs w:val="24"/>
                <w:highlight w:val="none"/>
                <w:shd w:val="clear" w:color="auto" w:fill="auto"/>
                <w:lang w:val="en-US" w:eastAsia="zh-CN"/>
              </w:rPr>
              <w:t>m</w:t>
            </w:r>
            <w:r>
              <w:rPr>
                <w:rFonts w:hint="eastAsia" w:ascii="Calibri" w:hAnsi="Calibri" w:eastAsia="宋体" w:cs="Times New Roman"/>
                <w:color w:val="auto"/>
                <w:sz w:val="24"/>
                <w:szCs w:val="24"/>
                <w:highlight w:val="none"/>
                <w:shd w:val="clear" w:color="auto" w:fill="auto"/>
                <w:vertAlign w:val="superscript"/>
                <w:lang w:val="en-US" w:eastAsia="zh-CN"/>
              </w:rPr>
              <w:t>3</w:t>
            </w:r>
            <w:r>
              <w:rPr>
                <w:rFonts w:hint="eastAsia" w:ascii="Calibri" w:hAnsi="Calibri" w:eastAsia="宋体" w:cs="Times New Roman"/>
                <w:color w:val="auto"/>
                <w:sz w:val="24"/>
                <w:szCs w:val="24"/>
                <w:highlight w:val="none"/>
                <w:shd w:val="clear" w:color="auto" w:fill="auto"/>
                <w:lang w:val="en-US" w:eastAsia="zh-CN"/>
              </w:rPr>
              <w:t>/h；</w:t>
            </w:r>
            <w:r>
              <w:rPr>
                <w:rFonts w:hint="eastAsia" w:ascii="Calibri" w:hAnsi="Calibri" w:eastAsia="宋体" w:cs="Times New Roman"/>
                <w:color w:val="auto"/>
                <w:sz w:val="24"/>
                <w:highlight w:val="none"/>
                <w:shd w:val="clear" w:color="auto" w:fill="auto"/>
                <w:lang w:eastAsia="zh-CN"/>
              </w:rPr>
              <w:t>本项目未被除尘系统捕集的颗粒物无组织排放到厂房内</w:t>
            </w:r>
            <w:r>
              <w:rPr>
                <w:rFonts w:ascii="Calibri" w:hAnsi="Calibri" w:eastAsia="宋体" w:cs="Times New Roman"/>
                <w:color w:val="auto"/>
                <w:sz w:val="24"/>
                <w:highlight w:val="none"/>
                <w:shd w:val="clear" w:color="auto" w:fill="auto"/>
              </w:rPr>
              <w:t>，其中</w:t>
            </w:r>
            <w:r>
              <w:rPr>
                <w:rFonts w:hint="eastAsia" w:ascii="Calibri" w:hAnsi="Calibri" w:eastAsia="宋体" w:cs="Times New Roman"/>
                <w:color w:val="auto"/>
                <w:sz w:val="24"/>
                <w:highlight w:val="none"/>
                <w:shd w:val="clear" w:color="auto" w:fill="auto"/>
                <w:lang w:val="en-US" w:eastAsia="zh-CN"/>
              </w:rPr>
              <w:t>80</w:t>
            </w:r>
            <w:r>
              <w:rPr>
                <w:rFonts w:ascii="Calibri" w:hAnsi="Calibri" w:eastAsia="宋体" w:cs="Times New Roman"/>
                <w:color w:val="auto"/>
                <w:sz w:val="24"/>
                <w:highlight w:val="none"/>
                <w:shd w:val="clear" w:color="auto" w:fill="auto"/>
              </w:rPr>
              <w:t>%沉降在厂房内，其余</w:t>
            </w:r>
            <w:r>
              <w:rPr>
                <w:rFonts w:hint="eastAsia" w:ascii="Calibri" w:hAnsi="Calibri" w:eastAsia="宋体" w:cs="Times New Roman"/>
                <w:color w:val="auto"/>
                <w:sz w:val="24"/>
                <w:highlight w:val="none"/>
                <w:shd w:val="clear" w:color="auto" w:fill="auto"/>
                <w:lang w:val="en-US" w:eastAsia="zh-CN"/>
              </w:rPr>
              <w:t>20</w:t>
            </w:r>
            <w:r>
              <w:rPr>
                <w:rFonts w:ascii="Calibri" w:hAnsi="Calibri" w:eastAsia="宋体" w:cs="Times New Roman"/>
                <w:color w:val="auto"/>
                <w:sz w:val="24"/>
                <w:highlight w:val="none"/>
                <w:shd w:val="clear" w:color="auto" w:fill="auto"/>
              </w:rPr>
              <w:t>%通过厂房门排放。</w:t>
            </w:r>
          </w:p>
          <w:p w14:paraId="5EEC3DEF">
            <w:pPr>
              <w:keepNext w:val="0"/>
              <w:keepLines w:val="0"/>
              <w:suppressLineNumbers w:val="0"/>
              <w:spacing w:before="0" w:beforeAutospacing="0" w:after="0" w:afterAutospacing="0" w:line="360" w:lineRule="auto"/>
              <w:ind w:left="0" w:right="0" w:firstLine="480" w:firstLineChars="200"/>
              <w:rPr>
                <w:rFonts w:ascii="Calibri" w:hAnsi="Calibri" w:eastAsia="宋体" w:cs="Times New Roman"/>
                <w:color w:val="auto"/>
                <w:sz w:val="24"/>
                <w:highlight w:val="none"/>
                <w:shd w:val="clear" w:color="auto" w:fill="auto"/>
              </w:rPr>
            </w:pPr>
            <w:r>
              <w:rPr>
                <w:rFonts w:ascii="Calibri" w:hAnsi="Calibri" w:eastAsia="宋体" w:cs="Times New Roman"/>
                <w:color w:val="auto"/>
                <w:sz w:val="24"/>
                <w:highlight w:val="none"/>
                <w:shd w:val="clear" w:color="auto" w:fill="auto"/>
              </w:rPr>
              <w:t>项目</w:t>
            </w:r>
            <w:r>
              <w:rPr>
                <w:rFonts w:hint="eastAsia" w:ascii="Calibri" w:hAnsi="Calibri" w:cs="Times New Roman"/>
                <w:color w:val="auto"/>
                <w:sz w:val="24"/>
                <w:highlight w:val="none"/>
                <w:shd w:val="clear" w:color="auto" w:fill="auto"/>
                <w:lang w:val="en-US" w:eastAsia="zh-CN"/>
              </w:rPr>
              <w:t>4#</w:t>
            </w:r>
            <w:r>
              <w:rPr>
                <w:rFonts w:hint="eastAsia" w:ascii="Calibri" w:hAnsi="Calibri" w:eastAsia="宋体" w:cs="Times New Roman"/>
                <w:color w:val="auto"/>
                <w:sz w:val="24"/>
                <w:highlight w:val="none"/>
                <w:shd w:val="clear" w:color="auto" w:fill="auto"/>
                <w:lang w:eastAsia="zh-CN"/>
              </w:rPr>
              <w:t>生产线废气</w:t>
            </w:r>
            <w:r>
              <w:rPr>
                <w:rFonts w:ascii="Calibri" w:hAnsi="Calibri" w:eastAsia="宋体" w:cs="Times New Roman"/>
                <w:color w:val="auto"/>
                <w:sz w:val="24"/>
                <w:highlight w:val="none"/>
                <w:shd w:val="clear" w:color="auto" w:fill="auto"/>
              </w:rPr>
              <w:t>产</w:t>
            </w:r>
            <w:r>
              <w:rPr>
                <w:rFonts w:hint="eastAsia" w:ascii="Calibri" w:hAnsi="Calibri" w:cs="Times New Roman"/>
                <w:color w:val="auto"/>
                <w:sz w:val="24"/>
                <w:highlight w:val="none"/>
                <w:shd w:val="clear" w:color="auto" w:fill="auto"/>
                <w:lang w:eastAsia="zh-CN"/>
              </w:rPr>
              <w:t>排</w:t>
            </w:r>
            <w:r>
              <w:rPr>
                <w:rFonts w:ascii="Calibri" w:hAnsi="Calibri" w:eastAsia="宋体" w:cs="Times New Roman"/>
                <w:color w:val="auto"/>
                <w:sz w:val="24"/>
                <w:highlight w:val="none"/>
                <w:shd w:val="clear" w:color="auto" w:fill="auto"/>
              </w:rPr>
              <w:t>情况详见表</w:t>
            </w:r>
            <w:r>
              <w:rPr>
                <w:rFonts w:hint="eastAsia" w:ascii="Calibri" w:hAnsi="Calibri" w:cs="Times New Roman"/>
                <w:color w:val="auto"/>
                <w:sz w:val="24"/>
                <w:highlight w:val="none"/>
                <w:shd w:val="clear" w:color="auto" w:fill="auto"/>
                <w:lang w:val="en-US" w:eastAsia="zh-CN"/>
              </w:rPr>
              <w:t>4-6、4-7</w:t>
            </w:r>
            <w:r>
              <w:rPr>
                <w:rFonts w:ascii="Calibri" w:hAnsi="Calibri" w:eastAsia="宋体" w:cs="Times New Roman"/>
                <w:color w:val="auto"/>
                <w:sz w:val="24"/>
                <w:highlight w:val="none"/>
                <w:shd w:val="clear" w:color="auto" w:fill="auto"/>
              </w:rPr>
              <w:t>。</w:t>
            </w:r>
          </w:p>
          <w:p w14:paraId="073730A5">
            <w:pPr>
              <w:keepNext w:val="0"/>
              <w:keepLines w:val="0"/>
              <w:suppressLineNumbers w:val="0"/>
              <w:spacing w:before="0" w:beforeAutospacing="0" w:after="0" w:afterAutospacing="0" w:line="360" w:lineRule="auto"/>
              <w:ind w:left="0" w:right="0"/>
              <w:jc w:val="center"/>
              <w:rPr>
                <w:rFonts w:ascii="Calibri" w:hAnsi="Calibri" w:eastAsia="宋体" w:cs="Times New Roman"/>
                <w:color w:val="auto"/>
                <w:sz w:val="24"/>
                <w:highlight w:val="none"/>
                <w:shd w:val="clear" w:color="auto" w:fill="auto"/>
              </w:rPr>
            </w:pPr>
            <w:r>
              <w:rPr>
                <w:rFonts w:ascii="Calibri" w:hAnsi="Calibri" w:eastAsia="宋体" w:cs="Times New Roman"/>
                <w:color w:val="auto"/>
                <w:sz w:val="24"/>
                <w:highlight w:val="none"/>
                <w:shd w:val="clear" w:color="auto" w:fill="auto"/>
              </w:rPr>
              <w:t>表</w:t>
            </w:r>
            <w:r>
              <w:rPr>
                <w:rFonts w:hint="eastAsia" w:ascii="Calibri" w:hAnsi="Calibri" w:cs="Times New Roman"/>
                <w:color w:val="auto"/>
                <w:sz w:val="24"/>
                <w:highlight w:val="none"/>
                <w:shd w:val="clear" w:color="auto" w:fill="auto"/>
                <w:lang w:val="en-US" w:eastAsia="zh-CN"/>
              </w:rPr>
              <w:t>4-6</w:t>
            </w:r>
            <w:r>
              <w:rPr>
                <w:rFonts w:ascii="Calibri" w:hAnsi="Calibri" w:eastAsia="宋体" w:cs="Times New Roman"/>
                <w:color w:val="auto"/>
                <w:sz w:val="24"/>
                <w:highlight w:val="none"/>
                <w:shd w:val="clear" w:color="auto" w:fill="auto"/>
              </w:rPr>
              <w:t xml:space="preserve">      </w:t>
            </w:r>
            <w:r>
              <w:rPr>
                <w:rFonts w:hint="eastAsia" w:ascii="Calibri" w:hAnsi="Calibri" w:eastAsia="宋体" w:cs="Times New Roman"/>
                <w:color w:val="auto"/>
                <w:sz w:val="24"/>
                <w:highlight w:val="none"/>
                <w:shd w:val="clear" w:color="auto" w:fill="auto"/>
                <w:lang w:val="en-US" w:eastAsia="zh-CN"/>
              </w:rPr>
              <w:t>项目</w:t>
            </w:r>
            <w:r>
              <w:rPr>
                <w:rFonts w:hint="eastAsia" w:ascii="Calibri" w:hAnsi="Calibri" w:cs="Times New Roman"/>
                <w:color w:val="auto"/>
                <w:sz w:val="24"/>
                <w:highlight w:val="none"/>
                <w:shd w:val="clear" w:color="auto" w:fill="auto"/>
                <w:lang w:val="en-US" w:eastAsia="zh-CN"/>
              </w:rPr>
              <w:t>4#</w:t>
            </w:r>
            <w:r>
              <w:rPr>
                <w:rFonts w:hint="eastAsia" w:ascii="Calibri" w:hAnsi="Calibri" w:cs="Times New Roman"/>
                <w:color w:val="auto"/>
                <w:sz w:val="24"/>
                <w:highlight w:val="none"/>
                <w:shd w:val="clear" w:color="auto" w:fill="auto"/>
                <w:lang w:eastAsia="zh-CN"/>
              </w:rPr>
              <w:t>生产线</w:t>
            </w:r>
            <w:r>
              <w:rPr>
                <w:rFonts w:ascii="Calibri" w:hAnsi="Calibri" w:eastAsia="宋体" w:cs="Times New Roman"/>
                <w:color w:val="auto"/>
                <w:sz w:val="24"/>
                <w:highlight w:val="none"/>
                <w:shd w:val="clear" w:color="auto" w:fill="auto"/>
              </w:rPr>
              <w:t>颗粒物有组织产排情况</w:t>
            </w:r>
          </w:p>
          <w:tbl>
            <w:tblPr>
              <w:tblStyle w:val="25"/>
              <w:tblW w:w="82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625"/>
              <w:gridCol w:w="800"/>
              <w:gridCol w:w="765"/>
              <w:gridCol w:w="833"/>
              <w:gridCol w:w="833"/>
              <w:gridCol w:w="647"/>
              <w:gridCol w:w="642"/>
              <w:gridCol w:w="870"/>
              <w:gridCol w:w="675"/>
              <w:gridCol w:w="750"/>
              <w:gridCol w:w="834"/>
            </w:tblGrid>
            <w:tr w14:paraId="75AB3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jc w:val="center"/>
              </w:trPr>
              <w:tc>
                <w:tcPr>
                  <w:tcW w:w="625" w:type="dxa"/>
                  <w:shd w:val="clear" w:color="auto" w:fill="auto"/>
                  <w:vAlign w:val="center"/>
                </w:tcPr>
                <w:p w14:paraId="53A9A2D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污染源</w:t>
                  </w:r>
                </w:p>
              </w:tc>
              <w:tc>
                <w:tcPr>
                  <w:tcW w:w="800" w:type="dxa"/>
                  <w:shd w:val="clear" w:color="auto" w:fill="auto"/>
                  <w:vAlign w:val="center"/>
                </w:tcPr>
                <w:p w14:paraId="5AF548E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产污环节</w:t>
                  </w:r>
                </w:p>
              </w:tc>
              <w:tc>
                <w:tcPr>
                  <w:tcW w:w="765" w:type="dxa"/>
                  <w:shd w:val="clear" w:color="auto" w:fill="auto"/>
                  <w:vAlign w:val="center"/>
                </w:tcPr>
                <w:p w14:paraId="77ECCC8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产尘速率kg/h</w:t>
                  </w:r>
                </w:p>
              </w:tc>
              <w:tc>
                <w:tcPr>
                  <w:tcW w:w="833" w:type="dxa"/>
                  <w:shd w:val="clear" w:color="auto" w:fill="auto"/>
                  <w:vAlign w:val="center"/>
                </w:tcPr>
                <w:p w14:paraId="0FDA52F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产生浓度mg/m</w:t>
                  </w:r>
                  <w:r>
                    <w:rPr>
                      <w:rFonts w:hint="default" w:ascii="Times New Roman" w:hAnsi="Times New Roman" w:eastAsia="宋体" w:cs="Times New Roman"/>
                      <w:i w:val="0"/>
                      <w:iCs w:val="0"/>
                      <w:color w:val="auto"/>
                      <w:kern w:val="0"/>
                      <w:sz w:val="18"/>
                      <w:szCs w:val="18"/>
                      <w:highlight w:val="none"/>
                      <w:u w:val="none"/>
                      <w:vertAlign w:val="superscript"/>
                      <w:lang w:val="en-US" w:eastAsia="zh-CN" w:bidi="ar"/>
                    </w:rPr>
                    <w:t>3</w:t>
                  </w:r>
                </w:p>
              </w:tc>
              <w:tc>
                <w:tcPr>
                  <w:tcW w:w="833" w:type="dxa"/>
                  <w:shd w:val="clear" w:color="auto" w:fill="auto"/>
                  <w:vAlign w:val="center"/>
                </w:tcPr>
                <w:p w14:paraId="62F457A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产尘量t/a</w:t>
                  </w:r>
                </w:p>
              </w:tc>
              <w:tc>
                <w:tcPr>
                  <w:tcW w:w="647" w:type="dxa"/>
                  <w:shd w:val="clear" w:color="auto" w:fill="auto"/>
                  <w:vAlign w:val="center"/>
                </w:tcPr>
                <w:p w14:paraId="66FA56A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除尘</w:t>
                  </w:r>
                  <w:r>
                    <w:rPr>
                      <w:rFonts w:hint="default" w:ascii="Times New Roman" w:hAnsi="Times New Roman" w:eastAsia="宋体" w:cs="Times New Roman"/>
                      <w:i w:val="0"/>
                      <w:iCs w:val="0"/>
                      <w:color w:val="auto"/>
                      <w:kern w:val="0"/>
                      <w:sz w:val="18"/>
                      <w:szCs w:val="18"/>
                      <w:highlight w:val="none"/>
                      <w:u w:val="none"/>
                      <w:lang w:val="en-US" w:eastAsia="zh-CN" w:bidi="ar"/>
                    </w:rPr>
                    <w:br w:type="textWrapping"/>
                  </w:r>
                  <w:r>
                    <w:rPr>
                      <w:rFonts w:hint="default" w:ascii="Times New Roman" w:hAnsi="Times New Roman" w:eastAsia="宋体" w:cs="Times New Roman"/>
                      <w:i w:val="0"/>
                      <w:iCs w:val="0"/>
                      <w:color w:val="auto"/>
                      <w:kern w:val="0"/>
                      <w:sz w:val="18"/>
                      <w:szCs w:val="18"/>
                      <w:highlight w:val="none"/>
                      <w:u w:val="none"/>
                      <w:lang w:val="en-US" w:eastAsia="zh-CN" w:bidi="ar"/>
                    </w:rPr>
                    <w:t>效率</w:t>
                  </w:r>
                  <w:r>
                    <w:rPr>
                      <w:rFonts w:hint="default" w:ascii="Times New Roman" w:hAnsi="Times New Roman" w:eastAsia="宋体" w:cs="Times New Roman"/>
                      <w:i w:val="0"/>
                      <w:iCs w:val="0"/>
                      <w:color w:val="auto"/>
                      <w:kern w:val="0"/>
                      <w:sz w:val="18"/>
                      <w:szCs w:val="18"/>
                      <w:highlight w:val="none"/>
                      <w:u w:val="none"/>
                      <w:lang w:val="en-US" w:eastAsia="zh-CN" w:bidi="ar"/>
                    </w:rPr>
                    <w:br w:type="textWrapping"/>
                  </w:r>
                  <w:r>
                    <w:rPr>
                      <w:rFonts w:hint="default" w:ascii="Times New Roman" w:hAnsi="Times New Roman" w:eastAsia="宋体" w:cs="Times New Roman"/>
                      <w:i w:val="0"/>
                      <w:iCs w:val="0"/>
                      <w:color w:val="auto"/>
                      <w:kern w:val="0"/>
                      <w:sz w:val="18"/>
                      <w:szCs w:val="18"/>
                      <w:highlight w:val="none"/>
                      <w:u w:val="none"/>
                      <w:lang w:val="en-US" w:eastAsia="zh-CN" w:bidi="ar"/>
                    </w:rPr>
                    <w:t>%</w:t>
                  </w:r>
                </w:p>
              </w:tc>
              <w:tc>
                <w:tcPr>
                  <w:tcW w:w="642" w:type="dxa"/>
                  <w:shd w:val="clear" w:color="auto" w:fill="auto"/>
                  <w:vAlign w:val="center"/>
                </w:tcPr>
                <w:p w14:paraId="16B4077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捕集率</w:t>
                  </w:r>
                  <w:r>
                    <w:rPr>
                      <w:rFonts w:hint="default" w:ascii="Times New Roman" w:hAnsi="Times New Roman" w:eastAsia="宋体" w:cs="Times New Roman"/>
                      <w:i w:val="0"/>
                      <w:iCs w:val="0"/>
                      <w:color w:val="auto"/>
                      <w:kern w:val="0"/>
                      <w:sz w:val="18"/>
                      <w:szCs w:val="18"/>
                      <w:highlight w:val="none"/>
                      <w:u w:val="none"/>
                      <w:lang w:val="en-US" w:eastAsia="zh-CN" w:bidi="ar"/>
                    </w:rPr>
                    <w:br w:type="textWrapping"/>
                  </w:r>
                  <w:r>
                    <w:rPr>
                      <w:rFonts w:hint="default" w:ascii="Times New Roman" w:hAnsi="Times New Roman" w:eastAsia="宋体" w:cs="Times New Roman"/>
                      <w:i w:val="0"/>
                      <w:iCs w:val="0"/>
                      <w:color w:val="auto"/>
                      <w:kern w:val="0"/>
                      <w:sz w:val="18"/>
                      <w:szCs w:val="18"/>
                      <w:highlight w:val="none"/>
                      <w:u w:val="none"/>
                      <w:lang w:val="en-US" w:eastAsia="zh-CN" w:bidi="ar"/>
                    </w:rPr>
                    <w:t>%</w:t>
                  </w:r>
                </w:p>
              </w:tc>
              <w:tc>
                <w:tcPr>
                  <w:tcW w:w="870" w:type="dxa"/>
                  <w:shd w:val="clear" w:color="auto" w:fill="auto"/>
                  <w:vAlign w:val="center"/>
                </w:tcPr>
                <w:p w14:paraId="527C35E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排放速率kg/h</w:t>
                  </w:r>
                </w:p>
              </w:tc>
              <w:tc>
                <w:tcPr>
                  <w:tcW w:w="675" w:type="dxa"/>
                  <w:shd w:val="clear" w:color="auto" w:fill="auto"/>
                  <w:vAlign w:val="center"/>
                </w:tcPr>
                <w:p w14:paraId="6F05FC2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排放浓度mg/m</w:t>
                  </w:r>
                  <w:r>
                    <w:rPr>
                      <w:rFonts w:hint="default" w:ascii="Times New Roman" w:hAnsi="Times New Roman" w:eastAsia="宋体" w:cs="Times New Roman"/>
                      <w:i w:val="0"/>
                      <w:iCs w:val="0"/>
                      <w:color w:val="auto"/>
                      <w:kern w:val="0"/>
                      <w:sz w:val="18"/>
                      <w:szCs w:val="18"/>
                      <w:highlight w:val="none"/>
                      <w:u w:val="none"/>
                      <w:vertAlign w:val="superscript"/>
                      <w:lang w:val="en-US" w:eastAsia="zh-CN" w:bidi="ar"/>
                    </w:rPr>
                    <w:t>3</w:t>
                  </w:r>
                </w:p>
              </w:tc>
              <w:tc>
                <w:tcPr>
                  <w:tcW w:w="750" w:type="dxa"/>
                  <w:shd w:val="clear" w:color="auto" w:fill="auto"/>
                  <w:vAlign w:val="center"/>
                </w:tcPr>
                <w:p w14:paraId="22EB8F82">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年排放量t/a</w:t>
                  </w:r>
                </w:p>
              </w:tc>
              <w:tc>
                <w:tcPr>
                  <w:tcW w:w="834" w:type="dxa"/>
                  <w:shd w:val="clear" w:color="auto" w:fill="auto"/>
                  <w:vAlign w:val="center"/>
                </w:tcPr>
                <w:p w14:paraId="45B6C95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除尘灰t/a</w:t>
                  </w:r>
                </w:p>
              </w:tc>
            </w:tr>
            <w:tr w14:paraId="18420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25" w:type="dxa"/>
                  <w:vMerge w:val="restart"/>
                  <w:shd w:val="clear" w:color="auto" w:fill="auto"/>
                  <w:noWrap/>
                  <w:vAlign w:val="center"/>
                </w:tcPr>
                <w:p w14:paraId="526EE5A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4#生产线</w:t>
                  </w:r>
                </w:p>
              </w:tc>
              <w:tc>
                <w:tcPr>
                  <w:tcW w:w="800" w:type="dxa"/>
                  <w:shd w:val="clear" w:color="auto" w:fill="auto"/>
                  <w:noWrap/>
                  <w:vAlign w:val="center"/>
                </w:tcPr>
                <w:p w14:paraId="1268BE50">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上料</w:t>
                  </w:r>
                </w:p>
              </w:tc>
              <w:tc>
                <w:tcPr>
                  <w:tcW w:w="765" w:type="dxa"/>
                  <w:shd w:val="clear" w:color="auto" w:fill="auto"/>
                  <w:noWrap/>
                  <w:vAlign w:val="center"/>
                </w:tcPr>
                <w:p w14:paraId="0C5A636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2.4 </w:t>
                  </w:r>
                </w:p>
              </w:tc>
              <w:tc>
                <w:tcPr>
                  <w:tcW w:w="833" w:type="dxa"/>
                  <w:vMerge w:val="restart"/>
                  <w:shd w:val="clear" w:color="auto" w:fill="auto"/>
                  <w:vAlign w:val="center"/>
                </w:tcPr>
                <w:p w14:paraId="701618F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7668.24</w:t>
                  </w:r>
                </w:p>
              </w:tc>
              <w:tc>
                <w:tcPr>
                  <w:tcW w:w="833" w:type="dxa"/>
                  <w:shd w:val="clear" w:color="auto" w:fill="auto"/>
                  <w:noWrap/>
                  <w:vAlign w:val="center"/>
                </w:tcPr>
                <w:p w14:paraId="1D151FA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1.608 </w:t>
                  </w:r>
                </w:p>
              </w:tc>
              <w:tc>
                <w:tcPr>
                  <w:tcW w:w="647" w:type="dxa"/>
                  <w:vMerge w:val="restart"/>
                  <w:shd w:val="clear" w:color="auto" w:fill="auto"/>
                  <w:vAlign w:val="center"/>
                </w:tcPr>
                <w:p w14:paraId="59B24B5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99.5</w:t>
                  </w:r>
                </w:p>
              </w:tc>
              <w:tc>
                <w:tcPr>
                  <w:tcW w:w="642" w:type="dxa"/>
                  <w:vMerge w:val="restart"/>
                  <w:shd w:val="clear" w:color="auto" w:fill="auto"/>
                  <w:vAlign w:val="center"/>
                </w:tcPr>
                <w:p w14:paraId="2142809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80</w:t>
                  </w:r>
                </w:p>
              </w:tc>
              <w:tc>
                <w:tcPr>
                  <w:tcW w:w="870" w:type="dxa"/>
                  <w:shd w:val="clear" w:color="auto" w:fill="auto"/>
                  <w:vAlign w:val="center"/>
                </w:tcPr>
                <w:p w14:paraId="7F27206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0.010 </w:t>
                  </w:r>
                </w:p>
              </w:tc>
              <w:tc>
                <w:tcPr>
                  <w:tcW w:w="675" w:type="dxa"/>
                  <w:vMerge w:val="restart"/>
                  <w:shd w:val="clear" w:color="auto" w:fill="auto"/>
                  <w:vAlign w:val="center"/>
                </w:tcPr>
                <w:p w14:paraId="12D2023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28.914 </w:t>
                  </w:r>
                </w:p>
              </w:tc>
              <w:tc>
                <w:tcPr>
                  <w:tcW w:w="750" w:type="dxa"/>
                  <w:shd w:val="clear" w:color="auto" w:fill="auto"/>
                  <w:vAlign w:val="center"/>
                </w:tcPr>
                <w:p w14:paraId="14A5A35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0.008 </w:t>
                  </w:r>
                </w:p>
              </w:tc>
              <w:tc>
                <w:tcPr>
                  <w:tcW w:w="834" w:type="dxa"/>
                  <w:shd w:val="clear" w:color="auto" w:fill="auto"/>
                  <w:vAlign w:val="center"/>
                </w:tcPr>
                <w:p w14:paraId="290042A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1.600 </w:t>
                  </w:r>
                </w:p>
              </w:tc>
            </w:tr>
            <w:tr w14:paraId="58AB2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25" w:type="dxa"/>
                  <w:vMerge w:val="continue"/>
                  <w:shd w:val="clear" w:color="auto" w:fill="auto"/>
                  <w:noWrap/>
                  <w:vAlign w:val="center"/>
                </w:tcPr>
                <w:p w14:paraId="7F95A68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800" w:type="dxa"/>
                  <w:shd w:val="clear" w:color="auto" w:fill="auto"/>
                  <w:noWrap/>
                  <w:vAlign w:val="center"/>
                </w:tcPr>
                <w:p w14:paraId="76F2BD5C">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sz w:val="18"/>
                      <w:szCs w:val="18"/>
                      <w:highlight w:val="none"/>
                      <w:u w:val="none"/>
                    </w:rPr>
                  </w:pPr>
                  <w:r>
                    <w:rPr>
                      <w:rFonts w:hint="eastAsia" w:cs="Times New Roman"/>
                      <w:i w:val="0"/>
                      <w:iCs w:val="0"/>
                      <w:color w:val="auto"/>
                      <w:kern w:val="0"/>
                      <w:sz w:val="18"/>
                      <w:szCs w:val="18"/>
                      <w:highlight w:val="none"/>
                      <w:u w:val="none"/>
                      <w:lang w:val="en-US" w:eastAsia="zh-CN" w:bidi="ar"/>
                    </w:rPr>
                    <w:t>颚破</w:t>
                  </w:r>
                </w:p>
              </w:tc>
              <w:tc>
                <w:tcPr>
                  <w:tcW w:w="765" w:type="dxa"/>
                  <w:shd w:val="clear" w:color="auto" w:fill="auto"/>
                  <w:noWrap/>
                  <w:vAlign w:val="center"/>
                </w:tcPr>
                <w:p w14:paraId="328B65C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31.389 </w:t>
                  </w:r>
                </w:p>
              </w:tc>
              <w:tc>
                <w:tcPr>
                  <w:tcW w:w="833" w:type="dxa"/>
                  <w:vMerge w:val="continue"/>
                  <w:shd w:val="clear" w:color="auto" w:fill="auto"/>
                  <w:vAlign w:val="center"/>
                </w:tcPr>
                <w:p w14:paraId="7C01E79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833" w:type="dxa"/>
                  <w:shd w:val="clear" w:color="auto" w:fill="auto"/>
                  <w:noWrap/>
                  <w:vAlign w:val="center"/>
                </w:tcPr>
                <w:p w14:paraId="06F9B79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90.4 </w:t>
                  </w:r>
                </w:p>
              </w:tc>
              <w:tc>
                <w:tcPr>
                  <w:tcW w:w="647" w:type="dxa"/>
                  <w:vMerge w:val="continue"/>
                  <w:shd w:val="clear" w:color="auto" w:fill="auto"/>
                  <w:vAlign w:val="center"/>
                </w:tcPr>
                <w:p w14:paraId="6AA3DFE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2" w:type="dxa"/>
                  <w:vMerge w:val="continue"/>
                  <w:shd w:val="clear" w:color="auto" w:fill="auto"/>
                  <w:vAlign w:val="center"/>
                </w:tcPr>
                <w:p w14:paraId="2737FF3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870" w:type="dxa"/>
                  <w:shd w:val="clear" w:color="auto" w:fill="auto"/>
                  <w:vAlign w:val="center"/>
                </w:tcPr>
                <w:p w14:paraId="29B3572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0.126 </w:t>
                  </w:r>
                </w:p>
              </w:tc>
              <w:tc>
                <w:tcPr>
                  <w:tcW w:w="675" w:type="dxa"/>
                  <w:vMerge w:val="continue"/>
                  <w:shd w:val="clear" w:color="auto" w:fill="auto"/>
                  <w:vAlign w:val="center"/>
                </w:tcPr>
                <w:p w14:paraId="501A627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50" w:type="dxa"/>
                  <w:shd w:val="clear" w:color="auto" w:fill="auto"/>
                  <w:vAlign w:val="center"/>
                </w:tcPr>
                <w:p w14:paraId="5EAF5C0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0.452 </w:t>
                  </w:r>
                </w:p>
              </w:tc>
              <w:tc>
                <w:tcPr>
                  <w:tcW w:w="834" w:type="dxa"/>
                  <w:shd w:val="clear" w:color="auto" w:fill="auto"/>
                  <w:vAlign w:val="center"/>
                </w:tcPr>
                <w:p w14:paraId="78FEEC3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89.948 </w:t>
                  </w:r>
                </w:p>
              </w:tc>
            </w:tr>
            <w:tr w14:paraId="55248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25" w:type="dxa"/>
                  <w:vMerge w:val="continue"/>
                  <w:shd w:val="clear" w:color="auto" w:fill="auto"/>
                  <w:noWrap/>
                  <w:vAlign w:val="center"/>
                </w:tcPr>
                <w:p w14:paraId="241454A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800" w:type="dxa"/>
                  <w:shd w:val="clear" w:color="auto" w:fill="auto"/>
                  <w:noWrap/>
                  <w:vAlign w:val="center"/>
                </w:tcPr>
                <w:p w14:paraId="453CA8D3">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中间仓</w:t>
                  </w:r>
                </w:p>
              </w:tc>
              <w:tc>
                <w:tcPr>
                  <w:tcW w:w="765" w:type="dxa"/>
                  <w:shd w:val="clear" w:color="auto" w:fill="auto"/>
                  <w:noWrap/>
                  <w:vAlign w:val="center"/>
                </w:tcPr>
                <w:p w14:paraId="0429803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4.182 </w:t>
                  </w:r>
                </w:p>
              </w:tc>
              <w:tc>
                <w:tcPr>
                  <w:tcW w:w="833" w:type="dxa"/>
                  <w:vMerge w:val="continue"/>
                  <w:shd w:val="clear" w:color="auto" w:fill="auto"/>
                  <w:vAlign w:val="center"/>
                </w:tcPr>
                <w:p w14:paraId="7896B28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833" w:type="dxa"/>
                  <w:shd w:val="clear" w:color="auto" w:fill="auto"/>
                  <w:noWrap/>
                  <w:vAlign w:val="center"/>
                </w:tcPr>
                <w:p w14:paraId="15F8643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12.045 </w:t>
                  </w:r>
                </w:p>
              </w:tc>
              <w:tc>
                <w:tcPr>
                  <w:tcW w:w="647" w:type="dxa"/>
                  <w:vMerge w:val="continue"/>
                  <w:shd w:val="clear" w:color="auto" w:fill="auto"/>
                  <w:vAlign w:val="center"/>
                </w:tcPr>
                <w:p w14:paraId="5121A17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2" w:type="dxa"/>
                  <w:vMerge w:val="continue"/>
                  <w:shd w:val="clear" w:color="auto" w:fill="auto"/>
                  <w:vAlign w:val="center"/>
                </w:tcPr>
                <w:p w14:paraId="718D0B1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870" w:type="dxa"/>
                  <w:shd w:val="clear" w:color="auto" w:fill="auto"/>
                  <w:vAlign w:val="center"/>
                </w:tcPr>
                <w:p w14:paraId="7675CC4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0.017 </w:t>
                  </w:r>
                </w:p>
              </w:tc>
              <w:tc>
                <w:tcPr>
                  <w:tcW w:w="675" w:type="dxa"/>
                  <w:vMerge w:val="continue"/>
                  <w:shd w:val="clear" w:color="auto" w:fill="auto"/>
                  <w:vAlign w:val="center"/>
                </w:tcPr>
                <w:p w14:paraId="25F7FF8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50" w:type="dxa"/>
                  <w:shd w:val="clear" w:color="auto" w:fill="auto"/>
                  <w:vAlign w:val="center"/>
                </w:tcPr>
                <w:p w14:paraId="0296AF0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0.060 </w:t>
                  </w:r>
                </w:p>
              </w:tc>
              <w:tc>
                <w:tcPr>
                  <w:tcW w:w="834" w:type="dxa"/>
                  <w:shd w:val="clear" w:color="auto" w:fill="auto"/>
                  <w:vAlign w:val="center"/>
                </w:tcPr>
                <w:p w14:paraId="0DE2E5A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11.985 </w:t>
                  </w:r>
                </w:p>
              </w:tc>
            </w:tr>
            <w:tr w14:paraId="7ADE4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25" w:type="dxa"/>
                  <w:vMerge w:val="continue"/>
                  <w:shd w:val="clear" w:color="auto" w:fill="auto"/>
                  <w:noWrap/>
                  <w:vAlign w:val="center"/>
                </w:tcPr>
                <w:p w14:paraId="12C8A82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800" w:type="dxa"/>
                  <w:shd w:val="clear" w:color="auto" w:fill="auto"/>
                  <w:noWrap/>
                  <w:vAlign w:val="center"/>
                </w:tcPr>
                <w:p w14:paraId="0BDE6E2F">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锤破</w:t>
                  </w:r>
                </w:p>
              </w:tc>
              <w:tc>
                <w:tcPr>
                  <w:tcW w:w="765" w:type="dxa"/>
                  <w:shd w:val="clear" w:color="auto" w:fill="auto"/>
                  <w:noWrap/>
                  <w:vAlign w:val="center"/>
                </w:tcPr>
                <w:p w14:paraId="413A6F7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14.268 </w:t>
                  </w:r>
                </w:p>
              </w:tc>
              <w:tc>
                <w:tcPr>
                  <w:tcW w:w="833" w:type="dxa"/>
                  <w:vMerge w:val="continue"/>
                  <w:shd w:val="clear" w:color="auto" w:fill="auto"/>
                  <w:vAlign w:val="center"/>
                </w:tcPr>
                <w:p w14:paraId="4CB64C6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833" w:type="dxa"/>
                  <w:shd w:val="clear" w:color="auto" w:fill="auto"/>
                  <w:noWrap/>
                  <w:vAlign w:val="center"/>
                </w:tcPr>
                <w:p w14:paraId="6ECF1E2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90.4</w:t>
                  </w:r>
                </w:p>
              </w:tc>
              <w:tc>
                <w:tcPr>
                  <w:tcW w:w="647" w:type="dxa"/>
                  <w:vMerge w:val="continue"/>
                  <w:shd w:val="clear" w:color="auto" w:fill="auto"/>
                  <w:vAlign w:val="center"/>
                </w:tcPr>
                <w:p w14:paraId="59BE998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2" w:type="dxa"/>
                  <w:vMerge w:val="continue"/>
                  <w:shd w:val="clear" w:color="auto" w:fill="auto"/>
                  <w:vAlign w:val="center"/>
                </w:tcPr>
                <w:p w14:paraId="4CC157E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870" w:type="dxa"/>
                  <w:shd w:val="clear" w:color="auto" w:fill="auto"/>
                  <w:vAlign w:val="center"/>
                </w:tcPr>
                <w:p w14:paraId="3C57208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0.057 </w:t>
                  </w:r>
                </w:p>
              </w:tc>
              <w:tc>
                <w:tcPr>
                  <w:tcW w:w="675" w:type="dxa"/>
                  <w:vMerge w:val="continue"/>
                  <w:shd w:val="clear" w:color="auto" w:fill="auto"/>
                  <w:vAlign w:val="center"/>
                </w:tcPr>
                <w:p w14:paraId="36F1726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50" w:type="dxa"/>
                  <w:shd w:val="clear" w:color="auto" w:fill="auto"/>
                  <w:vAlign w:val="center"/>
                </w:tcPr>
                <w:p w14:paraId="67CEDFA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0.452 </w:t>
                  </w:r>
                </w:p>
              </w:tc>
              <w:tc>
                <w:tcPr>
                  <w:tcW w:w="834" w:type="dxa"/>
                  <w:shd w:val="clear" w:color="auto" w:fill="auto"/>
                  <w:vAlign w:val="center"/>
                </w:tcPr>
                <w:p w14:paraId="76DF9D4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89.948 </w:t>
                  </w:r>
                </w:p>
              </w:tc>
            </w:tr>
            <w:tr w14:paraId="72FAF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25" w:type="dxa"/>
                  <w:vMerge w:val="continue"/>
                  <w:shd w:val="clear" w:color="auto" w:fill="auto"/>
                  <w:noWrap/>
                  <w:vAlign w:val="center"/>
                </w:tcPr>
                <w:p w14:paraId="246613C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800" w:type="dxa"/>
                  <w:shd w:val="clear" w:color="auto" w:fill="auto"/>
                  <w:noWrap/>
                  <w:vAlign w:val="center"/>
                </w:tcPr>
                <w:p w14:paraId="63A1FE2C">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筛分</w:t>
                  </w:r>
                </w:p>
              </w:tc>
              <w:tc>
                <w:tcPr>
                  <w:tcW w:w="765" w:type="dxa"/>
                  <w:shd w:val="clear" w:color="auto" w:fill="auto"/>
                  <w:noWrap/>
                  <w:vAlign w:val="center"/>
                </w:tcPr>
                <w:p w14:paraId="5D9496C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14.268 </w:t>
                  </w:r>
                </w:p>
              </w:tc>
              <w:tc>
                <w:tcPr>
                  <w:tcW w:w="833" w:type="dxa"/>
                  <w:vMerge w:val="continue"/>
                  <w:shd w:val="clear" w:color="auto" w:fill="auto"/>
                  <w:vAlign w:val="center"/>
                </w:tcPr>
                <w:p w14:paraId="6811D6A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833" w:type="dxa"/>
                  <w:shd w:val="clear" w:color="auto" w:fill="auto"/>
                  <w:noWrap/>
                  <w:vAlign w:val="center"/>
                </w:tcPr>
                <w:p w14:paraId="276A596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90.4</w:t>
                  </w:r>
                </w:p>
              </w:tc>
              <w:tc>
                <w:tcPr>
                  <w:tcW w:w="647" w:type="dxa"/>
                  <w:vMerge w:val="continue"/>
                  <w:shd w:val="clear" w:color="auto" w:fill="auto"/>
                  <w:vAlign w:val="center"/>
                </w:tcPr>
                <w:p w14:paraId="78B8520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2" w:type="dxa"/>
                  <w:vMerge w:val="continue"/>
                  <w:shd w:val="clear" w:color="auto" w:fill="auto"/>
                  <w:vAlign w:val="center"/>
                </w:tcPr>
                <w:p w14:paraId="09F1BFA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870" w:type="dxa"/>
                  <w:shd w:val="clear" w:color="auto" w:fill="auto"/>
                  <w:vAlign w:val="center"/>
                </w:tcPr>
                <w:p w14:paraId="2C7FF8C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0.057 </w:t>
                  </w:r>
                </w:p>
              </w:tc>
              <w:tc>
                <w:tcPr>
                  <w:tcW w:w="675" w:type="dxa"/>
                  <w:vMerge w:val="continue"/>
                  <w:shd w:val="clear" w:color="auto" w:fill="auto"/>
                  <w:vAlign w:val="center"/>
                </w:tcPr>
                <w:p w14:paraId="2DA616F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50" w:type="dxa"/>
                  <w:shd w:val="clear" w:color="auto" w:fill="auto"/>
                  <w:vAlign w:val="center"/>
                </w:tcPr>
                <w:p w14:paraId="517DAE7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0.452 </w:t>
                  </w:r>
                </w:p>
              </w:tc>
              <w:tc>
                <w:tcPr>
                  <w:tcW w:w="834" w:type="dxa"/>
                  <w:shd w:val="clear" w:color="auto" w:fill="auto"/>
                  <w:vAlign w:val="center"/>
                </w:tcPr>
                <w:p w14:paraId="1624041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89.948 </w:t>
                  </w:r>
                </w:p>
              </w:tc>
            </w:tr>
            <w:tr w14:paraId="7A264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25" w:type="dxa"/>
                  <w:vMerge w:val="continue"/>
                  <w:shd w:val="clear" w:color="auto" w:fill="auto"/>
                  <w:noWrap/>
                  <w:vAlign w:val="center"/>
                </w:tcPr>
                <w:p w14:paraId="770E7C5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800" w:type="dxa"/>
                  <w:shd w:val="clear" w:color="auto" w:fill="auto"/>
                  <w:noWrap/>
                  <w:vAlign w:val="center"/>
                </w:tcPr>
                <w:p w14:paraId="017F0CBD">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产品仓</w:t>
                  </w:r>
                </w:p>
              </w:tc>
              <w:tc>
                <w:tcPr>
                  <w:tcW w:w="765" w:type="dxa"/>
                  <w:shd w:val="clear" w:color="auto" w:fill="auto"/>
                  <w:noWrap/>
                  <w:vAlign w:val="center"/>
                </w:tcPr>
                <w:p w14:paraId="768FE36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4.167 </w:t>
                  </w:r>
                </w:p>
              </w:tc>
              <w:tc>
                <w:tcPr>
                  <w:tcW w:w="833" w:type="dxa"/>
                  <w:vMerge w:val="continue"/>
                  <w:shd w:val="clear" w:color="auto" w:fill="auto"/>
                  <w:vAlign w:val="center"/>
                </w:tcPr>
                <w:p w14:paraId="0982877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833" w:type="dxa"/>
                  <w:shd w:val="clear" w:color="auto" w:fill="auto"/>
                  <w:noWrap/>
                  <w:vAlign w:val="center"/>
                </w:tcPr>
                <w:p w14:paraId="2A68DD8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12.002 </w:t>
                  </w:r>
                </w:p>
              </w:tc>
              <w:tc>
                <w:tcPr>
                  <w:tcW w:w="647" w:type="dxa"/>
                  <w:vMerge w:val="continue"/>
                  <w:shd w:val="clear" w:color="auto" w:fill="auto"/>
                  <w:vAlign w:val="center"/>
                </w:tcPr>
                <w:p w14:paraId="026EBA7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2" w:type="dxa"/>
                  <w:vMerge w:val="continue"/>
                  <w:shd w:val="clear" w:color="auto" w:fill="auto"/>
                  <w:vAlign w:val="center"/>
                </w:tcPr>
                <w:p w14:paraId="4AAE980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870" w:type="dxa"/>
                  <w:shd w:val="clear" w:color="auto" w:fill="auto"/>
                  <w:vAlign w:val="center"/>
                </w:tcPr>
                <w:p w14:paraId="67005B0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0.017 </w:t>
                  </w:r>
                </w:p>
              </w:tc>
              <w:tc>
                <w:tcPr>
                  <w:tcW w:w="675" w:type="dxa"/>
                  <w:vMerge w:val="continue"/>
                  <w:shd w:val="clear" w:color="auto" w:fill="auto"/>
                  <w:vAlign w:val="center"/>
                </w:tcPr>
                <w:p w14:paraId="3BC024E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50" w:type="dxa"/>
                  <w:shd w:val="clear" w:color="auto" w:fill="auto"/>
                  <w:vAlign w:val="center"/>
                </w:tcPr>
                <w:p w14:paraId="68B2725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0.060 </w:t>
                  </w:r>
                </w:p>
              </w:tc>
              <w:tc>
                <w:tcPr>
                  <w:tcW w:w="834" w:type="dxa"/>
                  <w:shd w:val="clear" w:color="auto" w:fill="auto"/>
                  <w:vAlign w:val="center"/>
                </w:tcPr>
                <w:p w14:paraId="1DA9032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11.942 </w:t>
                  </w:r>
                </w:p>
              </w:tc>
            </w:tr>
            <w:tr w14:paraId="67ADE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25" w:type="dxa"/>
                  <w:vMerge w:val="continue"/>
                  <w:shd w:val="clear" w:color="auto" w:fill="auto"/>
                  <w:noWrap/>
                  <w:vAlign w:val="center"/>
                </w:tcPr>
                <w:p w14:paraId="6698733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800" w:type="dxa"/>
                  <w:shd w:val="clear" w:color="auto" w:fill="auto"/>
                  <w:noWrap/>
                  <w:vAlign w:val="center"/>
                </w:tcPr>
                <w:p w14:paraId="5703561B">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包装</w:t>
                  </w:r>
                </w:p>
              </w:tc>
              <w:tc>
                <w:tcPr>
                  <w:tcW w:w="765" w:type="dxa"/>
                  <w:shd w:val="clear" w:color="auto" w:fill="auto"/>
                  <w:noWrap/>
                  <w:vAlign w:val="center"/>
                </w:tcPr>
                <w:p w14:paraId="1739A76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0.032 </w:t>
                  </w:r>
                </w:p>
              </w:tc>
              <w:tc>
                <w:tcPr>
                  <w:tcW w:w="833" w:type="dxa"/>
                  <w:vMerge w:val="continue"/>
                  <w:shd w:val="clear" w:color="auto" w:fill="auto"/>
                  <w:vAlign w:val="center"/>
                </w:tcPr>
                <w:p w14:paraId="73B6E3E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833" w:type="dxa"/>
                  <w:shd w:val="clear" w:color="auto" w:fill="auto"/>
                  <w:noWrap/>
                  <w:vAlign w:val="center"/>
                </w:tcPr>
                <w:p w14:paraId="0628F14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0.092 </w:t>
                  </w:r>
                </w:p>
              </w:tc>
              <w:tc>
                <w:tcPr>
                  <w:tcW w:w="647" w:type="dxa"/>
                  <w:vMerge w:val="continue"/>
                  <w:shd w:val="clear" w:color="auto" w:fill="auto"/>
                  <w:vAlign w:val="center"/>
                </w:tcPr>
                <w:p w14:paraId="5F655CF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2" w:type="dxa"/>
                  <w:vMerge w:val="continue"/>
                  <w:shd w:val="clear" w:color="auto" w:fill="auto"/>
                  <w:vAlign w:val="center"/>
                </w:tcPr>
                <w:p w14:paraId="37CA2F3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870" w:type="dxa"/>
                  <w:shd w:val="clear" w:color="auto" w:fill="auto"/>
                  <w:vAlign w:val="center"/>
                </w:tcPr>
                <w:p w14:paraId="07E9346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lang w:val="en-US"/>
                    </w:rPr>
                  </w:pPr>
                  <w:r>
                    <w:rPr>
                      <w:rFonts w:hint="default" w:ascii="Times New Roman" w:hAnsi="Times New Roman" w:eastAsia="宋体" w:cs="Times New Roman"/>
                      <w:i w:val="0"/>
                      <w:iCs w:val="0"/>
                      <w:color w:val="auto"/>
                      <w:kern w:val="0"/>
                      <w:sz w:val="18"/>
                      <w:szCs w:val="18"/>
                      <w:highlight w:val="none"/>
                      <w:u w:val="none"/>
                      <w:lang w:val="en-US" w:eastAsia="zh-CN" w:bidi="ar"/>
                    </w:rPr>
                    <w:t>0.000</w:t>
                  </w:r>
                  <w:r>
                    <w:rPr>
                      <w:rFonts w:hint="eastAsia" w:ascii="Times New Roman" w:hAnsi="Times New Roman" w:eastAsia="宋体" w:cs="Times New Roman"/>
                      <w:i w:val="0"/>
                      <w:iCs w:val="0"/>
                      <w:color w:val="auto"/>
                      <w:kern w:val="0"/>
                      <w:sz w:val="18"/>
                      <w:szCs w:val="18"/>
                      <w:highlight w:val="none"/>
                      <w:u w:val="none"/>
                      <w:lang w:val="en-US" w:eastAsia="zh-CN" w:bidi="ar"/>
                    </w:rPr>
                    <w:t>4</w:t>
                  </w:r>
                </w:p>
              </w:tc>
              <w:tc>
                <w:tcPr>
                  <w:tcW w:w="675" w:type="dxa"/>
                  <w:vMerge w:val="continue"/>
                  <w:shd w:val="clear" w:color="auto" w:fill="auto"/>
                  <w:vAlign w:val="center"/>
                </w:tcPr>
                <w:p w14:paraId="65633A8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50" w:type="dxa"/>
                  <w:shd w:val="clear" w:color="auto" w:fill="auto"/>
                  <w:vAlign w:val="center"/>
                </w:tcPr>
                <w:p w14:paraId="5F109B4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0.000</w:t>
                  </w:r>
                  <w:r>
                    <w:rPr>
                      <w:rFonts w:hint="eastAsia" w:ascii="Times New Roman" w:hAnsi="Times New Roman" w:eastAsia="宋体" w:cs="Times New Roman"/>
                      <w:i w:val="0"/>
                      <w:iCs w:val="0"/>
                      <w:color w:val="auto"/>
                      <w:kern w:val="0"/>
                      <w:sz w:val="18"/>
                      <w:szCs w:val="18"/>
                      <w:highlight w:val="none"/>
                      <w:u w:val="none"/>
                      <w:lang w:val="en-US" w:eastAsia="zh-CN" w:bidi="ar"/>
                    </w:rPr>
                    <w:t>1</w:t>
                  </w:r>
                  <w:r>
                    <w:rPr>
                      <w:rFonts w:hint="default" w:ascii="Times New Roman" w:hAnsi="Times New Roman" w:eastAsia="宋体" w:cs="Times New Roman"/>
                      <w:i w:val="0"/>
                      <w:iCs w:val="0"/>
                      <w:color w:val="auto"/>
                      <w:kern w:val="0"/>
                      <w:sz w:val="18"/>
                      <w:szCs w:val="18"/>
                      <w:highlight w:val="none"/>
                      <w:u w:val="none"/>
                      <w:lang w:val="en-US" w:eastAsia="zh-CN" w:bidi="ar"/>
                    </w:rPr>
                    <w:t xml:space="preserve"> </w:t>
                  </w:r>
                </w:p>
              </w:tc>
              <w:tc>
                <w:tcPr>
                  <w:tcW w:w="834" w:type="dxa"/>
                  <w:shd w:val="clear" w:color="auto" w:fill="auto"/>
                  <w:vAlign w:val="center"/>
                </w:tcPr>
                <w:p w14:paraId="748DC17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0.092 </w:t>
                  </w:r>
                </w:p>
              </w:tc>
            </w:tr>
            <w:tr w14:paraId="5504F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25" w:type="dxa"/>
                  <w:vMerge w:val="continue"/>
                  <w:shd w:val="clear" w:color="auto" w:fill="auto"/>
                  <w:noWrap/>
                  <w:vAlign w:val="center"/>
                </w:tcPr>
                <w:p w14:paraId="78EF6AE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800" w:type="dxa"/>
                  <w:shd w:val="clear" w:color="auto" w:fill="auto"/>
                  <w:noWrap/>
                  <w:vAlign w:val="center"/>
                </w:tcPr>
                <w:p w14:paraId="78A4D4E4">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环辊磨</w:t>
                  </w:r>
                </w:p>
              </w:tc>
              <w:tc>
                <w:tcPr>
                  <w:tcW w:w="765" w:type="dxa"/>
                  <w:shd w:val="clear" w:color="auto" w:fill="auto"/>
                  <w:noWrap/>
                  <w:vAlign w:val="center"/>
                </w:tcPr>
                <w:p w14:paraId="4539255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7.386</w:t>
                  </w:r>
                </w:p>
              </w:tc>
              <w:tc>
                <w:tcPr>
                  <w:tcW w:w="833" w:type="dxa"/>
                  <w:vMerge w:val="continue"/>
                  <w:shd w:val="clear" w:color="auto" w:fill="auto"/>
                  <w:vAlign w:val="center"/>
                </w:tcPr>
                <w:p w14:paraId="473E131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833" w:type="dxa"/>
                  <w:shd w:val="clear" w:color="auto" w:fill="auto"/>
                  <w:noWrap/>
                  <w:vAlign w:val="center"/>
                </w:tcPr>
                <w:p w14:paraId="14AB5E1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58.5 </w:t>
                  </w:r>
                </w:p>
              </w:tc>
              <w:tc>
                <w:tcPr>
                  <w:tcW w:w="647" w:type="dxa"/>
                  <w:vMerge w:val="restart"/>
                  <w:shd w:val="clear" w:color="auto" w:fill="auto"/>
                  <w:vAlign w:val="center"/>
                </w:tcPr>
                <w:p w14:paraId="0939CB0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99.8</w:t>
                  </w:r>
                </w:p>
              </w:tc>
              <w:tc>
                <w:tcPr>
                  <w:tcW w:w="642" w:type="dxa"/>
                  <w:vMerge w:val="restart"/>
                  <w:shd w:val="clear" w:color="auto" w:fill="auto"/>
                  <w:vAlign w:val="center"/>
                </w:tcPr>
                <w:p w14:paraId="16ED8F1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100</w:t>
                  </w:r>
                </w:p>
              </w:tc>
              <w:tc>
                <w:tcPr>
                  <w:tcW w:w="870" w:type="dxa"/>
                  <w:shd w:val="clear" w:color="auto" w:fill="auto"/>
                  <w:vAlign w:val="center"/>
                </w:tcPr>
                <w:p w14:paraId="19EFB16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lang w:val="en-US"/>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0.015 </w:t>
                  </w:r>
                </w:p>
              </w:tc>
              <w:tc>
                <w:tcPr>
                  <w:tcW w:w="675" w:type="dxa"/>
                  <w:vMerge w:val="continue"/>
                  <w:shd w:val="clear" w:color="auto" w:fill="auto"/>
                  <w:vAlign w:val="center"/>
                </w:tcPr>
                <w:p w14:paraId="01D2E33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50" w:type="dxa"/>
                  <w:shd w:val="clear" w:color="auto" w:fill="auto"/>
                  <w:vAlign w:val="center"/>
                </w:tcPr>
                <w:p w14:paraId="731B8FA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lang w:val="en-US"/>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0.117 </w:t>
                  </w:r>
                </w:p>
              </w:tc>
              <w:tc>
                <w:tcPr>
                  <w:tcW w:w="834" w:type="dxa"/>
                  <w:shd w:val="clear" w:color="auto" w:fill="auto"/>
                  <w:vAlign w:val="center"/>
                </w:tcPr>
                <w:p w14:paraId="2508C9B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58.383 </w:t>
                  </w:r>
                </w:p>
              </w:tc>
            </w:tr>
            <w:tr w14:paraId="3E515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25" w:type="dxa"/>
                  <w:vMerge w:val="continue"/>
                  <w:shd w:val="clear" w:color="auto" w:fill="auto"/>
                  <w:noWrap/>
                  <w:vAlign w:val="center"/>
                </w:tcPr>
                <w:p w14:paraId="2191E1E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800" w:type="dxa"/>
                  <w:shd w:val="clear" w:color="auto" w:fill="auto"/>
                  <w:noWrap/>
                  <w:vAlign w:val="center"/>
                </w:tcPr>
                <w:p w14:paraId="3720B33D">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环辊磨</w:t>
                  </w:r>
                </w:p>
              </w:tc>
              <w:tc>
                <w:tcPr>
                  <w:tcW w:w="765" w:type="dxa"/>
                  <w:shd w:val="clear" w:color="auto" w:fill="auto"/>
                  <w:noWrap/>
                  <w:vAlign w:val="center"/>
                </w:tcPr>
                <w:p w14:paraId="15F94FF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7.386 </w:t>
                  </w:r>
                </w:p>
              </w:tc>
              <w:tc>
                <w:tcPr>
                  <w:tcW w:w="833" w:type="dxa"/>
                  <w:vMerge w:val="continue"/>
                  <w:shd w:val="clear" w:color="auto" w:fill="auto"/>
                  <w:vAlign w:val="center"/>
                </w:tcPr>
                <w:p w14:paraId="47F543E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833" w:type="dxa"/>
                  <w:shd w:val="clear" w:color="auto" w:fill="auto"/>
                  <w:noWrap/>
                  <w:vAlign w:val="center"/>
                </w:tcPr>
                <w:p w14:paraId="27B7F79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58.5</w:t>
                  </w:r>
                </w:p>
              </w:tc>
              <w:tc>
                <w:tcPr>
                  <w:tcW w:w="647" w:type="dxa"/>
                  <w:vMerge w:val="continue"/>
                  <w:shd w:val="clear" w:color="auto" w:fill="auto"/>
                  <w:vAlign w:val="center"/>
                </w:tcPr>
                <w:p w14:paraId="37DD460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2" w:type="dxa"/>
                  <w:vMerge w:val="continue"/>
                  <w:shd w:val="clear" w:color="auto" w:fill="auto"/>
                  <w:noWrap/>
                  <w:vAlign w:val="center"/>
                </w:tcPr>
                <w:p w14:paraId="1A2EE26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870" w:type="dxa"/>
                  <w:shd w:val="clear" w:color="auto" w:fill="auto"/>
                  <w:noWrap/>
                  <w:vAlign w:val="center"/>
                </w:tcPr>
                <w:p w14:paraId="0E975B0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0.015 </w:t>
                  </w:r>
                </w:p>
              </w:tc>
              <w:tc>
                <w:tcPr>
                  <w:tcW w:w="675" w:type="dxa"/>
                  <w:vMerge w:val="continue"/>
                  <w:shd w:val="clear" w:color="auto" w:fill="auto"/>
                  <w:vAlign w:val="center"/>
                </w:tcPr>
                <w:p w14:paraId="50E62EC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50" w:type="dxa"/>
                  <w:shd w:val="clear" w:color="auto" w:fill="auto"/>
                  <w:noWrap/>
                  <w:vAlign w:val="center"/>
                </w:tcPr>
                <w:p w14:paraId="3F60174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0.117 </w:t>
                  </w:r>
                </w:p>
              </w:tc>
              <w:tc>
                <w:tcPr>
                  <w:tcW w:w="834" w:type="dxa"/>
                  <w:shd w:val="clear" w:color="auto" w:fill="auto"/>
                  <w:noWrap/>
                  <w:vAlign w:val="center"/>
                </w:tcPr>
                <w:p w14:paraId="32B7BA2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58.383 </w:t>
                  </w:r>
                </w:p>
              </w:tc>
            </w:tr>
            <w:tr w14:paraId="7125B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425" w:type="dxa"/>
                  <w:gridSpan w:val="2"/>
                  <w:shd w:val="clear" w:color="auto" w:fill="auto"/>
                  <w:noWrap/>
                  <w:vAlign w:val="center"/>
                </w:tcPr>
                <w:p w14:paraId="224A2E3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合计</w:t>
                  </w:r>
                </w:p>
              </w:tc>
              <w:tc>
                <w:tcPr>
                  <w:tcW w:w="765" w:type="dxa"/>
                  <w:shd w:val="clear" w:color="auto" w:fill="auto"/>
                  <w:noWrap/>
                  <w:vAlign w:val="center"/>
                </w:tcPr>
                <w:p w14:paraId="2ACEE607">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18"/>
                      <w:szCs w:val="18"/>
                      <w:highlight w:val="none"/>
                      <w:u w:val="none"/>
                      <w:lang w:val="en-US"/>
                    </w:rPr>
                  </w:pPr>
                  <w:r>
                    <w:rPr>
                      <w:rFonts w:hint="eastAsia" w:ascii="Times New Roman" w:hAnsi="Times New Roman" w:eastAsia="宋体" w:cs="Times New Roman"/>
                      <w:i w:val="0"/>
                      <w:iCs w:val="0"/>
                      <w:color w:val="auto"/>
                      <w:kern w:val="0"/>
                      <w:sz w:val="18"/>
                      <w:szCs w:val="18"/>
                      <w:highlight w:val="none"/>
                      <w:u w:val="none"/>
                      <w:lang w:val="en-US" w:eastAsia="zh-CN" w:bidi="ar"/>
                    </w:rPr>
                    <w:t>85.478</w:t>
                  </w:r>
                </w:p>
              </w:tc>
              <w:tc>
                <w:tcPr>
                  <w:tcW w:w="833" w:type="dxa"/>
                  <w:shd w:val="clear" w:color="auto" w:fill="auto"/>
                  <w:noWrap/>
                  <w:vAlign w:val="center"/>
                </w:tcPr>
                <w:p w14:paraId="3890FBAA">
                  <w:pPr>
                    <w:keepNext w:val="0"/>
                    <w:keepLines w:val="0"/>
                    <w:suppressLineNumbers w:val="0"/>
                    <w:spacing w:before="0" w:beforeAutospacing="0" w:after="0" w:afterAutospacing="0"/>
                    <w:ind w:left="0" w:right="0"/>
                    <w:rPr>
                      <w:rFonts w:hint="default" w:ascii="Times New Roman" w:hAnsi="Times New Roman" w:eastAsia="宋体" w:cs="Times New Roman"/>
                      <w:i w:val="0"/>
                      <w:iCs w:val="0"/>
                      <w:color w:val="auto"/>
                      <w:sz w:val="18"/>
                      <w:szCs w:val="18"/>
                      <w:highlight w:val="none"/>
                      <w:u w:val="none"/>
                    </w:rPr>
                  </w:pPr>
                </w:p>
              </w:tc>
              <w:tc>
                <w:tcPr>
                  <w:tcW w:w="833" w:type="dxa"/>
                  <w:shd w:val="clear" w:color="auto" w:fill="auto"/>
                  <w:noWrap/>
                  <w:vAlign w:val="center"/>
                </w:tcPr>
                <w:p w14:paraId="0D3E7FF9">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413.946 </w:t>
                  </w:r>
                </w:p>
              </w:tc>
              <w:tc>
                <w:tcPr>
                  <w:tcW w:w="647" w:type="dxa"/>
                  <w:shd w:val="clear" w:color="auto" w:fill="auto"/>
                  <w:noWrap/>
                  <w:vAlign w:val="center"/>
                </w:tcPr>
                <w:p w14:paraId="2D5E8BF5">
                  <w:pPr>
                    <w:keepNext w:val="0"/>
                    <w:keepLines w:val="0"/>
                    <w:suppressLineNumbers w:val="0"/>
                    <w:spacing w:before="0" w:beforeAutospacing="0" w:after="0" w:afterAutospacing="0"/>
                    <w:ind w:left="0" w:right="0"/>
                    <w:rPr>
                      <w:rFonts w:hint="default" w:ascii="Times New Roman" w:hAnsi="Times New Roman" w:eastAsia="宋体" w:cs="Times New Roman"/>
                      <w:i w:val="0"/>
                      <w:iCs w:val="0"/>
                      <w:color w:val="auto"/>
                      <w:sz w:val="18"/>
                      <w:szCs w:val="18"/>
                      <w:highlight w:val="none"/>
                      <w:u w:val="none"/>
                    </w:rPr>
                  </w:pPr>
                </w:p>
              </w:tc>
              <w:tc>
                <w:tcPr>
                  <w:tcW w:w="642" w:type="dxa"/>
                  <w:shd w:val="clear" w:color="auto" w:fill="auto"/>
                  <w:noWrap/>
                  <w:vAlign w:val="center"/>
                </w:tcPr>
                <w:p w14:paraId="3203E206">
                  <w:pPr>
                    <w:keepNext w:val="0"/>
                    <w:keepLines w:val="0"/>
                    <w:suppressLineNumbers w:val="0"/>
                    <w:spacing w:before="0" w:beforeAutospacing="0" w:after="0" w:afterAutospacing="0"/>
                    <w:ind w:left="0" w:right="0"/>
                    <w:rPr>
                      <w:rFonts w:hint="default" w:ascii="Times New Roman" w:hAnsi="Times New Roman" w:eastAsia="宋体" w:cs="Times New Roman"/>
                      <w:i w:val="0"/>
                      <w:iCs w:val="0"/>
                      <w:color w:val="auto"/>
                      <w:sz w:val="18"/>
                      <w:szCs w:val="18"/>
                      <w:highlight w:val="none"/>
                      <w:u w:val="none"/>
                    </w:rPr>
                  </w:pPr>
                </w:p>
              </w:tc>
              <w:tc>
                <w:tcPr>
                  <w:tcW w:w="870" w:type="dxa"/>
                  <w:shd w:val="clear" w:color="auto" w:fill="auto"/>
                  <w:noWrap/>
                  <w:vAlign w:val="center"/>
                </w:tcPr>
                <w:p w14:paraId="4ECD419A">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0.312 </w:t>
                  </w:r>
                </w:p>
              </w:tc>
              <w:tc>
                <w:tcPr>
                  <w:tcW w:w="675" w:type="dxa"/>
                  <w:shd w:val="clear" w:color="auto" w:fill="auto"/>
                  <w:noWrap/>
                  <w:vAlign w:val="center"/>
                </w:tcPr>
                <w:p w14:paraId="318CC053">
                  <w:pPr>
                    <w:keepNext w:val="0"/>
                    <w:keepLines w:val="0"/>
                    <w:suppressLineNumbers w:val="0"/>
                    <w:spacing w:before="0" w:beforeAutospacing="0" w:after="0" w:afterAutospacing="0"/>
                    <w:ind w:left="0" w:right="0"/>
                    <w:rPr>
                      <w:rFonts w:hint="default" w:ascii="Times New Roman" w:hAnsi="Times New Roman" w:eastAsia="宋体" w:cs="Times New Roman"/>
                      <w:i w:val="0"/>
                      <w:iCs w:val="0"/>
                      <w:color w:val="auto"/>
                      <w:sz w:val="18"/>
                      <w:szCs w:val="18"/>
                      <w:highlight w:val="none"/>
                      <w:u w:val="none"/>
                    </w:rPr>
                  </w:pPr>
                </w:p>
              </w:tc>
              <w:tc>
                <w:tcPr>
                  <w:tcW w:w="750" w:type="dxa"/>
                  <w:shd w:val="clear" w:color="auto" w:fill="auto"/>
                  <w:noWrap/>
                  <w:vAlign w:val="center"/>
                </w:tcPr>
                <w:p w14:paraId="0BA8093F">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1.719 </w:t>
                  </w:r>
                </w:p>
              </w:tc>
              <w:tc>
                <w:tcPr>
                  <w:tcW w:w="834" w:type="dxa"/>
                  <w:shd w:val="clear" w:color="auto" w:fill="auto"/>
                  <w:noWrap/>
                  <w:vAlign w:val="center"/>
                </w:tcPr>
                <w:p w14:paraId="1D08F2C8">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412.228 </w:t>
                  </w:r>
                </w:p>
              </w:tc>
            </w:tr>
          </w:tbl>
          <w:p w14:paraId="160C4A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Times New Roman" w:hAnsi="Times New Roman" w:eastAsia="宋体" w:cs="Times New Roman"/>
                <w:color w:val="auto"/>
                <w:spacing w:val="0"/>
                <w:sz w:val="24"/>
                <w:szCs w:val="24"/>
                <w:highlight w:val="none"/>
                <w:lang w:eastAsia="zh-CN"/>
              </w:rPr>
            </w:pPr>
          </w:p>
          <w:p w14:paraId="7715CED0">
            <w:pPr>
              <w:keepNext w:val="0"/>
              <w:keepLines w:val="0"/>
              <w:suppressLineNumbers w:val="0"/>
              <w:spacing w:before="0" w:beforeAutospacing="0" w:after="0" w:afterAutospacing="0" w:line="360" w:lineRule="auto"/>
              <w:ind w:left="0" w:right="0" w:firstLine="480" w:firstLineChars="200"/>
              <w:rPr>
                <w:rFonts w:ascii="Calibri" w:hAnsi="Calibri" w:eastAsia="宋体" w:cs="Times New Roman"/>
                <w:color w:val="auto"/>
                <w:sz w:val="24"/>
                <w:highlight w:val="none"/>
                <w:shd w:val="clear" w:color="auto" w:fill="auto"/>
              </w:rPr>
            </w:pPr>
            <w:r>
              <w:rPr>
                <w:rFonts w:hint="eastAsia" w:ascii="Calibri" w:hAnsi="Calibri" w:eastAsia="宋体" w:cs="Times New Roman"/>
                <w:color w:val="auto"/>
                <w:sz w:val="24"/>
                <w:highlight w:val="none"/>
                <w:shd w:val="clear" w:color="auto" w:fill="auto"/>
                <w:lang w:eastAsia="zh-CN"/>
              </w:rPr>
              <w:t>本</w:t>
            </w:r>
            <w:r>
              <w:rPr>
                <w:rFonts w:ascii="Calibri" w:hAnsi="Calibri" w:eastAsia="宋体" w:cs="Times New Roman"/>
                <w:color w:val="auto"/>
                <w:sz w:val="24"/>
                <w:highlight w:val="none"/>
                <w:shd w:val="clear" w:color="auto" w:fill="auto"/>
              </w:rPr>
              <w:t>项目</w:t>
            </w:r>
            <w:r>
              <w:rPr>
                <w:rFonts w:hint="eastAsia" w:ascii="Calibri" w:hAnsi="Calibri" w:cs="Times New Roman"/>
                <w:color w:val="auto"/>
                <w:sz w:val="24"/>
                <w:highlight w:val="none"/>
                <w:shd w:val="clear" w:color="auto" w:fill="auto"/>
                <w:lang w:val="en-US" w:eastAsia="zh-CN"/>
              </w:rPr>
              <w:t>4#</w:t>
            </w:r>
            <w:r>
              <w:rPr>
                <w:rFonts w:hint="eastAsia" w:ascii="Calibri" w:hAnsi="Calibri" w:cs="Times New Roman"/>
                <w:color w:val="auto"/>
                <w:sz w:val="24"/>
                <w:highlight w:val="none"/>
                <w:shd w:val="clear" w:color="auto" w:fill="auto"/>
                <w:lang w:eastAsia="zh-CN"/>
              </w:rPr>
              <w:t>生产线</w:t>
            </w:r>
            <w:r>
              <w:rPr>
                <w:rFonts w:ascii="Calibri" w:hAnsi="Calibri" w:eastAsia="宋体" w:cs="Times New Roman"/>
                <w:color w:val="auto"/>
                <w:sz w:val="24"/>
                <w:highlight w:val="none"/>
                <w:shd w:val="clear" w:color="auto" w:fill="auto"/>
              </w:rPr>
              <w:t>无组织</w:t>
            </w:r>
            <w:r>
              <w:rPr>
                <w:rFonts w:hint="eastAsia" w:ascii="Calibri" w:hAnsi="Calibri" w:eastAsia="宋体" w:cs="Times New Roman"/>
                <w:color w:val="auto"/>
                <w:sz w:val="24"/>
                <w:highlight w:val="none"/>
                <w:shd w:val="clear" w:color="auto" w:fill="auto"/>
                <w:lang w:eastAsia="zh-CN"/>
              </w:rPr>
              <w:t>废气</w:t>
            </w:r>
            <w:r>
              <w:rPr>
                <w:rFonts w:ascii="Calibri" w:hAnsi="Calibri" w:eastAsia="宋体" w:cs="Times New Roman"/>
                <w:color w:val="auto"/>
                <w:sz w:val="24"/>
                <w:highlight w:val="none"/>
                <w:shd w:val="clear" w:color="auto" w:fill="auto"/>
              </w:rPr>
              <w:t>产排情况详见</w:t>
            </w:r>
            <w:r>
              <w:rPr>
                <w:rFonts w:hint="eastAsia" w:ascii="Calibri" w:hAnsi="Calibri" w:eastAsia="宋体" w:cs="Times New Roman"/>
                <w:color w:val="auto"/>
                <w:sz w:val="24"/>
                <w:highlight w:val="none"/>
                <w:shd w:val="clear" w:color="auto" w:fill="auto"/>
                <w:lang w:val="en-US" w:eastAsia="zh-CN"/>
              </w:rPr>
              <w:t>表</w:t>
            </w:r>
            <w:r>
              <w:rPr>
                <w:rFonts w:hint="eastAsia" w:ascii="Calibri" w:hAnsi="Calibri" w:cs="Times New Roman"/>
                <w:color w:val="auto"/>
                <w:sz w:val="24"/>
                <w:highlight w:val="none"/>
                <w:shd w:val="clear" w:color="auto" w:fill="auto"/>
                <w:lang w:val="en-US" w:eastAsia="zh-CN"/>
              </w:rPr>
              <w:t>4-7</w:t>
            </w:r>
            <w:r>
              <w:rPr>
                <w:rFonts w:ascii="Calibri" w:hAnsi="Calibri" w:eastAsia="宋体" w:cs="Times New Roman"/>
                <w:color w:val="auto"/>
                <w:sz w:val="24"/>
                <w:highlight w:val="none"/>
                <w:shd w:val="clear" w:color="auto" w:fill="auto"/>
              </w:rPr>
              <w:t>。</w:t>
            </w:r>
          </w:p>
          <w:p w14:paraId="50BD9373">
            <w:pPr>
              <w:keepNext w:val="0"/>
              <w:keepLines w:val="0"/>
              <w:suppressLineNumbers w:val="0"/>
              <w:spacing w:before="0" w:beforeAutospacing="0" w:after="0" w:afterAutospacing="0" w:line="360" w:lineRule="auto"/>
              <w:ind w:left="0" w:right="0"/>
              <w:jc w:val="center"/>
              <w:rPr>
                <w:rFonts w:ascii="Calibri" w:hAnsi="Calibri" w:eastAsia="宋体" w:cs="Times New Roman"/>
                <w:color w:val="auto"/>
                <w:sz w:val="24"/>
                <w:highlight w:val="none"/>
                <w:shd w:val="clear" w:color="auto" w:fill="auto"/>
              </w:rPr>
            </w:pPr>
            <w:r>
              <w:rPr>
                <w:rFonts w:ascii="Calibri" w:hAnsi="Calibri" w:eastAsia="宋体" w:cs="Times New Roman"/>
                <w:color w:val="auto"/>
                <w:sz w:val="24"/>
                <w:highlight w:val="none"/>
                <w:shd w:val="clear" w:color="auto" w:fill="auto"/>
              </w:rPr>
              <w:t>表</w:t>
            </w:r>
            <w:r>
              <w:rPr>
                <w:rFonts w:hint="eastAsia" w:ascii="Calibri" w:hAnsi="Calibri" w:cs="Times New Roman"/>
                <w:color w:val="auto"/>
                <w:sz w:val="24"/>
                <w:highlight w:val="none"/>
                <w:shd w:val="clear" w:color="auto" w:fill="auto"/>
                <w:lang w:val="en-US" w:eastAsia="zh-CN"/>
              </w:rPr>
              <w:t>4-7</w:t>
            </w:r>
            <w:r>
              <w:rPr>
                <w:rFonts w:ascii="Calibri" w:hAnsi="Calibri" w:eastAsia="宋体" w:cs="Times New Roman"/>
                <w:color w:val="auto"/>
                <w:sz w:val="24"/>
                <w:highlight w:val="none"/>
                <w:shd w:val="clear" w:color="auto" w:fill="auto"/>
              </w:rPr>
              <w:t xml:space="preserve">      </w:t>
            </w:r>
            <w:r>
              <w:rPr>
                <w:rFonts w:hint="eastAsia" w:ascii="Calibri" w:hAnsi="Calibri" w:eastAsia="宋体" w:cs="Times New Roman"/>
                <w:color w:val="auto"/>
                <w:sz w:val="24"/>
                <w:highlight w:val="none"/>
                <w:shd w:val="clear" w:color="auto" w:fill="auto"/>
                <w:lang w:val="en-US" w:eastAsia="zh-CN"/>
              </w:rPr>
              <w:t>项目</w:t>
            </w:r>
            <w:r>
              <w:rPr>
                <w:rFonts w:hint="eastAsia" w:ascii="Calibri" w:hAnsi="Calibri" w:cs="Times New Roman"/>
                <w:color w:val="auto"/>
                <w:sz w:val="24"/>
                <w:highlight w:val="none"/>
                <w:shd w:val="clear" w:color="auto" w:fill="auto"/>
                <w:lang w:val="en-US" w:eastAsia="zh-CN"/>
              </w:rPr>
              <w:t>4#</w:t>
            </w:r>
            <w:r>
              <w:rPr>
                <w:rFonts w:hint="eastAsia" w:ascii="Calibri" w:hAnsi="Calibri" w:cs="Times New Roman"/>
                <w:color w:val="auto"/>
                <w:sz w:val="24"/>
                <w:highlight w:val="none"/>
                <w:shd w:val="clear" w:color="auto" w:fill="auto"/>
                <w:lang w:eastAsia="zh-CN"/>
              </w:rPr>
              <w:t>生产线</w:t>
            </w:r>
            <w:r>
              <w:rPr>
                <w:rFonts w:ascii="Calibri" w:hAnsi="Calibri" w:eastAsia="宋体" w:cs="Times New Roman"/>
                <w:color w:val="auto"/>
                <w:sz w:val="24"/>
                <w:highlight w:val="none"/>
                <w:shd w:val="clear" w:color="auto" w:fill="auto"/>
              </w:rPr>
              <w:t>颗粒物</w:t>
            </w:r>
            <w:r>
              <w:rPr>
                <w:rFonts w:hint="eastAsia" w:ascii="Calibri" w:hAnsi="Calibri" w:cs="Times New Roman"/>
                <w:color w:val="auto"/>
                <w:sz w:val="24"/>
                <w:highlight w:val="none"/>
                <w:shd w:val="clear" w:color="auto" w:fill="auto"/>
                <w:lang w:eastAsia="zh-CN"/>
              </w:rPr>
              <w:t>无</w:t>
            </w:r>
            <w:r>
              <w:rPr>
                <w:rFonts w:ascii="Calibri" w:hAnsi="Calibri" w:eastAsia="宋体" w:cs="Times New Roman"/>
                <w:color w:val="auto"/>
                <w:sz w:val="24"/>
                <w:highlight w:val="none"/>
                <w:shd w:val="clear" w:color="auto" w:fill="auto"/>
              </w:rPr>
              <w:t>组织产排情况</w:t>
            </w:r>
          </w:p>
          <w:tbl>
            <w:tblPr>
              <w:tblStyle w:val="25"/>
              <w:tblW w:w="508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35"/>
              <w:gridCol w:w="1192"/>
              <w:gridCol w:w="1047"/>
              <w:gridCol w:w="1110"/>
              <w:gridCol w:w="974"/>
              <w:gridCol w:w="1125"/>
              <w:gridCol w:w="1093"/>
              <w:gridCol w:w="1030"/>
            </w:tblGrid>
            <w:tr w14:paraId="5923E3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250" w:type="pct"/>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D50361C">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污染源</w:t>
                  </w:r>
                </w:p>
              </w:tc>
              <w:tc>
                <w:tcPr>
                  <w:tcW w:w="61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4C2075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产生</w:t>
                  </w:r>
                  <w:r>
                    <w:rPr>
                      <w:rFonts w:hint="default" w:ascii="Times New Roman" w:hAnsi="Times New Roman" w:eastAsia="宋体" w:cs="Times New Roman"/>
                      <w:i w:val="0"/>
                      <w:iCs w:val="0"/>
                      <w:color w:val="auto"/>
                      <w:kern w:val="0"/>
                      <w:sz w:val="18"/>
                      <w:szCs w:val="18"/>
                      <w:highlight w:val="none"/>
                      <w:u w:val="none"/>
                      <w:lang w:val="en-US" w:eastAsia="zh-CN" w:bidi="ar"/>
                    </w:rPr>
                    <w:br w:type="textWrapping"/>
                  </w:r>
                  <w:r>
                    <w:rPr>
                      <w:rFonts w:hint="default" w:ascii="Times New Roman" w:hAnsi="Times New Roman" w:eastAsia="宋体" w:cs="Times New Roman"/>
                      <w:i w:val="0"/>
                      <w:iCs w:val="0"/>
                      <w:color w:val="auto"/>
                      <w:kern w:val="0"/>
                      <w:sz w:val="18"/>
                      <w:szCs w:val="18"/>
                      <w:highlight w:val="none"/>
                      <w:u w:val="none"/>
                      <w:lang w:val="en-US" w:eastAsia="zh-CN" w:bidi="ar"/>
                    </w:rPr>
                    <w:t>速率</w:t>
                  </w:r>
                  <w:r>
                    <w:rPr>
                      <w:rFonts w:hint="default" w:ascii="Times New Roman" w:hAnsi="Times New Roman" w:eastAsia="宋体" w:cs="Times New Roman"/>
                      <w:i w:val="0"/>
                      <w:iCs w:val="0"/>
                      <w:color w:val="auto"/>
                      <w:kern w:val="0"/>
                      <w:sz w:val="18"/>
                      <w:szCs w:val="18"/>
                      <w:highlight w:val="none"/>
                      <w:u w:val="none"/>
                      <w:lang w:val="en-US" w:eastAsia="zh-CN" w:bidi="ar"/>
                    </w:rPr>
                    <w:br w:type="textWrapping"/>
                  </w:r>
                  <w:r>
                    <w:rPr>
                      <w:rFonts w:hint="default" w:ascii="Times New Roman" w:hAnsi="Times New Roman" w:eastAsia="宋体" w:cs="Times New Roman"/>
                      <w:i w:val="0"/>
                      <w:iCs w:val="0"/>
                      <w:color w:val="auto"/>
                      <w:kern w:val="0"/>
                      <w:sz w:val="18"/>
                      <w:szCs w:val="18"/>
                      <w:highlight w:val="none"/>
                      <w:u w:val="none"/>
                      <w:lang w:val="en-US" w:eastAsia="zh-CN" w:bidi="ar"/>
                    </w:rPr>
                    <w:t>(kg/h)</w:t>
                  </w:r>
                </w:p>
              </w:tc>
              <w:tc>
                <w:tcPr>
                  <w:tcW w:w="65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1C8EF7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产生量（t/a）</w:t>
                  </w:r>
                </w:p>
              </w:tc>
              <w:tc>
                <w:tcPr>
                  <w:tcW w:w="57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196A0E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沉降率（%）</w:t>
                  </w:r>
                </w:p>
              </w:tc>
              <w:tc>
                <w:tcPr>
                  <w:tcW w:w="66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2C30403">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沉降灰（t/a）</w:t>
                  </w:r>
                </w:p>
              </w:tc>
              <w:tc>
                <w:tcPr>
                  <w:tcW w:w="64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21CDCC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排放速率（kg/h）</w:t>
                  </w:r>
                </w:p>
              </w:tc>
              <w:tc>
                <w:tcPr>
                  <w:tcW w:w="60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A303091">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年排放量（t/a）</w:t>
                  </w:r>
                </w:p>
              </w:tc>
            </w:tr>
            <w:tr w14:paraId="603CDD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250"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C6192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1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C4ADD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5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67576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7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E8E2D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6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70532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A8AA0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0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A2723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r>
            <w:tr w14:paraId="51FD46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250"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8E610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1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88395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5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5B743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7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64DBE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6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C4C83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CA944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0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49285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r>
            <w:tr w14:paraId="6E1FF0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5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0AB70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eastAsia" w:cs="Times New Roman"/>
                      <w:i w:val="0"/>
                      <w:iCs w:val="0"/>
                      <w:color w:val="auto"/>
                      <w:kern w:val="0"/>
                      <w:sz w:val="18"/>
                      <w:szCs w:val="18"/>
                      <w:highlight w:val="none"/>
                      <w:u w:val="none"/>
                      <w:lang w:val="en-US" w:eastAsia="zh-CN" w:bidi="ar"/>
                    </w:rPr>
                    <w:t>4</w:t>
                  </w:r>
                  <w:r>
                    <w:rPr>
                      <w:rFonts w:hint="default" w:ascii="Times New Roman" w:hAnsi="Times New Roman" w:eastAsia="宋体" w:cs="Times New Roman"/>
                      <w:i w:val="0"/>
                      <w:iCs w:val="0"/>
                      <w:color w:val="auto"/>
                      <w:kern w:val="0"/>
                      <w:sz w:val="18"/>
                      <w:szCs w:val="18"/>
                      <w:highlight w:val="none"/>
                      <w:u w:val="none"/>
                      <w:lang w:val="en-US" w:eastAsia="zh-CN" w:bidi="ar"/>
                    </w:rPr>
                    <w:t>#生产线</w:t>
                  </w:r>
                </w:p>
              </w:tc>
              <w:tc>
                <w:tcPr>
                  <w:tcW w:w="7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3505E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上料</w:t>
                  </w:r>
                </w:p>
              </w:tc>
              <w:tc>
                <w:tcPr>
                  <w:tcW w:w="6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A3C2B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0.48</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C731B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0.402</w:t>
                  </w:r>
                </w:p>
              </w:tc>
              <w:tc>
                <w:tcPr>
                  <w:tcW w:w="57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AADE90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lang w:val="en-US"/>
                    </w:rPr>
                  </w:pPr>
                  <w:r>
                    <w:rPr>
                      <w:rFonts w:hint="eastAsia" w:ascii="Times New Roman" w:hAnsi="Times New Roman" w:eastAsia="宋体" w:cs="Times New Roman"/>
                      <w:i w:val="0"/>
                      <w:iCs w:val="0"/>
                      <w:color w:val="auto"/>
                      <w:kern w:val="0"/>
                      <w:sz w:val="18"/>
                      <w:szCs w:val="18"/>
                      <w:highlight w:val="none"/>
                      <w:u w:val="none"/>
                      <w:lang w:val="en-US" w:eastAsia="zh-CN" w:bidi="ar"/>
                    </w:rPr>
                    <w:t>80</w:t>
                  </w:r>
                </w:p>
              </w:tc>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FC692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0.322</w:t>
                  </w:r>
                </w:p>
              </w:tc>
              <w:tc>
                <w:tcPr>
                  <w:tcW w:w="6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CF45C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0.096</w:t>
                  </w:r>
                </w:p>
              </w:tc>
              <w:tc>
                <w:tcPr>
                  <w:tcW w:w="6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C4858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0.08</w:t>
                  </w:r>
                </w:p>
              </w:tc>
            </w:tr>
            <w:tr w14:paraId="31C21F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5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4ECFD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FFFB5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18"/>
                      <w:szCs w:val="18"/>
                      <w:highlight w:val="none"/>
                      <w:u w:val="none"/>
                    </w:rPr>
                  </w:pPr>
                  <w:r>
                    <w:rPr>
                      <w:rFonts w:hint="eastAsia" w:cs="Times New Roman"/>
                      <w:i w:val="0"/>
                      <w:iCs w:val="0"/>
                      <w:color w:val="auto"/>
                      <w:kern w:val="0"/>
                      <w:sz w:val="18"/>
                      <w:szCs w:val="18"/>
                      <w:highlight w:val="none"/>
                      <w:u w:val="none"/>
                      <w:lang w:val="en-US" w:eastAsia="zh-CN" w:bidi="ar"/>
                    </w:rPr>
                    <w:t>颚破</w:t>
                  </w:r>
                </w:p>
              </w:tc>
              <w:tc>
                <w:tcPr>
                  <w:tcW w:w="6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AA391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6.278</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E5C7E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22.6</w:t>
                  </w:r>
                </w:p>
              </w:tc>
              <w:tc>
                <w:tcPr>
                  <w:tcW w:w="57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B123A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1E99E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18.080</w:t>
                  </w:r>
                </w:p>
              </w:tc>
              <w:tc>
                <w:tcPr>
                  <w:tcW w:w="6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05713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1.256</w:t>
                  </w:r>
                </w:p>
              </w:tc>
              <w:tc>
                <w:tcPr>
                  <w:tcW w:w="6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E1C2C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4.52</w:t>
                  </w:r>
                </w:p>
              </w:tc>
            </w:tr>
            <w:tr w14:paraId="211C00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5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6177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7E418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中间仓</w:t>
                  </w:r>
                </w:p>
              </w:tc>
              <w:tc>
                <w:tcPr>
                  <w:tcW w:w="6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A3425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0.836</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8399E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3.011</w:t>
                  </w:r>
                </w:p>
              </w:tc>
              <w:tc>
                <w:tcPr>
                  <w:tcW w:w="57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F7A3C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CC91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2.409</w:t>
                  </w:r>
                </w:p>
              </w:tc>
              <w:tc>
                <w:tcPr>
                  <w:tcW w:w="6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92F60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0.167</w:t>
                  </w:r>
                </w:p>
              </w:tc>
              <w:tc>
                <w:tcPr>
                  <w:tcW w:w="6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1A475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0.602</w:t>
                  </w:r>
                </w:p>
              </w:tc>
            </w:tr>
            <w:tr w14:paraId="3755E1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5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79ADB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E6354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锤破</w:t>
                  </w:r>
                </w:p>
              </w:tc>
              <w:tc>
                <w:tcPr>
                  <w:tcW w:w="6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89911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2.854</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D6BE7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22.6</w:t>
                  </w:r>
                </w:p>
              </w:tc>
              <w:tc>
                <w:tcPr>
                  <w:tcW w:w="57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9F2B7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5125A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18.08</w:t>
                  </w:r>
                </w:p>
              </w:tc>
              <w:tc>
                <w:tcPr>
                  <w:tcW w:w="6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60E66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0.571</w:t>
                  </w:r>
                </w:p>
              </w:tc>
              <w:tc>
                <w:tcPr>
                  <w:tcW w:w="6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6A5C2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4.52</w:t>
                  </w:r>
                </w:p>
              </w:tc>
            </w:tr>
            <w:tr w14:paraId="716F17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5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D8D3A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495E1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筛分</w:t>
                  </w:r>
                </w:p>
              </w:tc>
              <w:tc>
                <w:tcPr>
                  <w:tcW w:w="6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B5E38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2.854</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CAF8C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22.6</w:t>
                  </w:r>
                </w:p>
              </w:tc>
              <w:tc>
                <w:tcPr>
                  <w:tcW w:w="57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1143D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9C7EC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18.08</w:t>
                  </w:r>
                </w:p>
              </w:tc>
              <w:tc>
                <w:tcPr>
                  <w:tcW w:w="6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E5243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0.571</w:t>
                  </w:r>
                </w:p>
              </w:tc>
              <w:tc>
                <w:tcPr>
                  <w:tcW w:w="6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F8EB7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4.52</w:t>
                  </w:r>
                </w:p>
              </w:tc>
            </w:tr>
            <w:tr w14:paraId="2BD364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5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58C9E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BB151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产品仓</w:t>
                  </w:r>
                </w:p>
              </w:tc>
              <w:tc>
                <w:tcPr>
                  <w:tcW w:w="6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98FF5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0.833</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75F8A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3</w:t>
                  </w:r>
                </w:p>
              </w:tc>
              <w:tc>
                <w:tcPr>
                  <w:tcW w:w="57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8BABF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A0109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2.4</w:t>
                  </w:r>
                </w:p>
              </w:tc>
              <w:tc>
                <w:tcPr>
                  <w:tcW w:w="6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5D269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0.167</w:t>
                  </w:r>
                </w:p>
              </w:tc>
              <w:tc>
                <w:tcPr>
                  <w:tcW w:w="6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5C1E9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0.6</w:t>
                  </w:r>
                </w:p>
              </w:tc>
            </w:tr>
            <w:tr w14:paraId="651734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5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3034F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0BC4B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包装</w:t>
                  </w:r>
                </w:p>
              </w:tc>
              <w:tc>
                <w:tcPr>
                  <w:tcW w:w="61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3584D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0.006</w:t>
                  </w:r>
                </w:p>
              </w:tc>
              <w:tc>
                <w:tcPr>
                  <w:tcW w:w="65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E54EC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0.023</w:t>
                  </w:r>
                </w:p>
              </w:tc>
              <w:tc>
                <w:tcPr>
                  <w:tcW w:w="57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9E988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6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3EEF4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0.018</w:t>
                  </w:r>
                </w:p>
              </w:tc>
              <w:tc>
                <w:tcPr>
                  <w:tcW w:w="6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9E1E3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0.001</w:t>
                  </w:r>
                </w:p>
              </w:tc>
              <w:tc>
                <w:tcPr>
                  <w:tcW w:w="6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E0A83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0.005</w:t>
                  </w:r>
                </w:p>
              </w:tc>
            </w:tr>
            <w:tr w14:paraId="491B0F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25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412AE2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合计</w:t>
                  </w:r>
                </w:p>
              </w:tc>
              <w:tc>
                <w:tcPr>
                  <w:tcW w:w="10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EF8E6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14.141 </w:t>
                  </w:r>
                </w:p>
              </w:tc>
              <w:tc>
                <w:tcPr>
                  <w:tcW w:w="111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08207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74.237 </w:t>
                  </w:r>
                </w:p>
              </w:tc>
              <w:tc>
                <w:tcPr>
                  <w:tcW w:w="9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0A528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FD51A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59.389 </w:t>
                  </w:r>
                </w:p>
              </w:tc>
              <w:tc>
                <w:tcPr>
                  <w:tcW w:w="10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59572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2.828 </w:t>
                  </w:r>
                </w:p>
              </w:tc>
              <w:tc>
                <w:tcPr>
                  <w:tcW w:w="10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CE8FA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14.847 </w:t>
                  </w:r>
                </w:p>
              </w:tc>
            </w:tr>
          </w:tbl>
          <w:p w14:paraId="3DED26B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eastAsia" w:cs="Times New Roman"/>
                <w:color w:val="auto"/>
                <w:sz w:val="24"/>
                <w:szCs w:val="24"/>
                <w:highlight w:val="none"/>
                <w:shd w:val="clear" w:color="auto" w:fill="auto"/>
                <w:lang w:eastAsia="zh-CN"/>
              </w:rPr>
            </w:pPr>
          </w:p>
          <w:p w14:paraId="7D86C93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cs="Times New Roman"/>
                <w:color w:val="auto"/>
                <w:sz w:val="24"/>
                <w:szCs w:val="24"/>
                <w:highlight w:val="none"/>
                <w:shd w:val="clear" w:color="auto" w:fill="auto"/>
                <w:lang w:eastAsia="zh-CN"/>
              </w:rPr>
            </w:pPr>
            <w:r>
              <w:rPr>
                <w:rFonts w:hint="eastAsia" w:cs="Times New Roman"/>
                <w:color w:val="auto"/>
                <w:sz w:val="24"/>
                <w:szCs w:val="24"/>
                <w:highlight w:val="none"/>
                <w:shd w:val="clear" w:color="auto" w:fill="auto"/>
                <w:lang w:val="en-US" w:eastAsia="zh-CN"/>
              </w:rPr>
              <w:t>4#</w:t>
            </w:r>
            <w:r>
              <w:rPr>
                <w:rFonts w:hint="eastAsia" w:cs="Times New Roman"/>
                <w:color w:val="auto"/>
                <w:sz w:val="24"/>
                <w:szCs w:val="24"/>
                <w:highlight w:val="none"/>
                <w:shd w:val="clear" w:color="auto" w:fill="auto"/>
                <w:lang w:eastAsia="zh-CN"/>
              </w:rPr>
              <w:t>生产线</w:t>
            </w:r>
            <w:r>
              <w:rPr>
                <w:rFonts w:hint="eastAsia" w:ascii="Calibri" w:hAnsi="Calibri" w:eastAsia="宋体" w:cs="Times New Roman"/>
                <w:color w:val="auto"/>
                <w:sz w:val="24"/>
                <w:highlight w:val="none"/>
                <w:shd w:val="clear" w:color="auto" w:fill="auto"/>
                <w:lang w:eastAsia="zh-CN"/>
              </w:rPr>
              <w:t>生产</w:t>
            </w:r>
            <w:r>
              <w:rPr>
                <w:rFonts w:hint="eastAsia" w:ascii="Times New Roman" w:hAnsi="Times New Roman" w:eastAsia="宋体" w:cs="Times New Roman"/>
                <w:color w:val="auto"/>
                <w:sz w:val="24"/>
                <w:highlight w:val="none"/>
                <w:shd w:val="clear" w:color="auto" w:fill="auto"/>
                <w:lang w:val="en-US" w:eastAsia="zh-CN"/>
              </w:rPr>
              <w:t>废气经除尘器净化后统一由1根15m高排气筒（DA00</w:t>
            </w:r>
            <w:r>
              <w:rPr>
                <w:rFonts w:hint="eastAsia" w:cs="Times New Roman"/>
                <w:color w:val="auto"/>
                <w:sz w:val="24"/>
                <w:highlight w:val="none"/>
                <w:shd w:val="clear" w:color="auto" w:fill="auto"/>
                <w:lang w:val="en-US" w:eastAsia="zh-CN"/>
              </w:rPr>
              <w:t>3</w:t>
            </w:r>
            <w:r>
              <w:rPr>
                <w:rFonts w:hint="eastAsia" w:ascii="Times New Roman" w:hAnsi="Times New Roman" w:eastAsia="宋体" w:cs="Times New Roman"/>
                <w:color w:val="auto"/>
                <w:sz w:val="24"/>
                <w:highlight w:val="none"/>
                <w:shd w:val="clear" w:color="auto" w:fill="auto"/>
                <w:lang w:val="en-US" w:eastAsia="zh-CN"/>
              </w:rPr>
              <w:t>）有组织排放，</w:t>
            </w:r>
            <w:r>
              <w:rPr>
                <w:rFonts w:hint="eastAsia" w:ascii="Times New Roman" w:hAnsi="Times New Roman" w:eastAsia="宋体" w:cs="Times New Roman"/>
                <w:color w:val="auto"/>
                <w:sz w:val="24"/>
                <w:szCs w:val="24"/>
                <w:highlight w:val="none"/>
                <w:shd w:val="clear" w:color="auto" w:fill="auto"/>
                <w:lang w:val="en-US" w:eastAsia="zh-CN"/>
              </w:rPr>
              <w:t xml:space="preserve">有组织排放浓度28.914 </w:t>
            </w:r>
            <w:r>
              <w:rPr>
                <w:rFonts w:hint="eastAsia" w:ascii="宋体" w:hAnsi="宋体" w:eastAsia="宋体" w:cs="宋体"/>
                <w:i w:val="0"/>
                <w:iCs w:val="0"/>
                <w:color w:val="auto"/>
                <w:kern w:val="0"/>
                <w:sz w:val="24"/>
                <w:szCs w:val="24"/>
                <w:highlight w:val="none"/>
                <w:u w:val="none"/>
                <w:lang w:val="en-US" w:eastAsia="zh-CN" w:bidi="ar"/>
              </w:rPr>
              <w:t>mg/m</w:t>
            </w:r>
            <w:r>
              <w:rPr>
                <w:rFonts w:hint="eastAsia" w:ascii="宋体" w:hAnsi="宋体" w:eastAsia="宋体" w:cs="宋体"/>
                <w:i w:val="0"/>
                <w:iCs w:val="0"/>
                <w:color w:val="auto"/>
                <w:kern w:val="0"/>
                <w:sz w:val="24"/>
                <w:szCs w:val="24"/>
                <w:highlight w:val="none"/>
                <w:u w:val="none"/>
                <w:vertAlign w:val="superscript"/>
                <w:lang w:val="en-US" w:eastAsia="zh-CN" w:bidi="ar"/>
              </w:rPr>
              <w:t>3</w:t>
            </w:r>
            <w:r>
              <w:rPr>
                <w:rFonts w:hint="eastAsia" w:cs="Times New Roman"/>
                <w:color w:val="auto"/>
                <w:sz w:val="24"/>
                <w:szCs w:val="24"/>
                <w:highlight w:val="none"/>
                <w:shd w:val="clear" w:color="auto" w:fill="auto"/>
                <w:lang w:eastAsia="zh-CN"/>
              </w:rPr>
              <w:t>。</w:t>
            </w:r>
          </w:p>
          <w:p w14:paraId="09D0D1B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cs="Times New Roman"/>
                <w:color w:val="auto"/>
                <w:sz w:val="24"/>
                <w:szCs w:val="24"/>
                <w:highlight w:val="none"/>
                <w:shd w:val="clear" w:color="auto" w:fill="auto"/>
                <w:lang w:eastAsia="zh-CN"/>
              </w:rPr>
            </w:pPr>
            <w:r>
              <w:rPr>
                <w:rFonts w:hint="eastAsia" w:cs="Times New Roman"/>
                <w:color w:val="auto"/>
                <w:sz w:val="24"/>
                <w:szCs w:val="24"/>
                <w:highlight w:val="none"/>
                <w:shd w:val="clear" w:color="auto" w:fill="auto"/>
                <w:lang w:eastAsia="zh-CN"/>
              </w:rPr>
              <w:t>本项目</w:t>
            </w:r>
            <w:r>
              <w:rPr>
                <w:rFonts w:hint="eastAsia" w:ascii="Times New Roman" w:hAnsi="Times New Roman" w:eastAsia="宋体" w:cs="Times New Roman"/>
                <w:color w:val="auto"/>
                <w:sz w:val="24"/>
                <w:szCs w:val="24"/>
                <w:highlight w:val="none"/>
                <w:shd w:val="clear" w:color="auto" w:fill="auto"/>
                <w:lang w:eastAsia="zh-CN"/>
              </w:rPr>
              <w:t>无组织颗粒物</w:t>
            </w:r>
            <w:r>
              <w:rPr>
                <w:rFonts w:hint="eastAsia" w:cs="Times New Roman"/>
                <w:color w:val="auto"/>
                <w:sz w:val="24"/>
                <w:szCs w:val="24"/>
                <w:highlight w:val="none"/>
                <w:shd w:val="clear" w:color="auto" w:fill="auto"/>
                <w:lang w:eastAsia="zh-CN"/>
              </w:rPr>
              <w:t>控制</w:t>
            </w:r>
            <w:r>
              <w:rPr>
                <w:rFonts w:hint="eastAsia" w:ascii="Times New Roman" w:hAnsi="Times New Roman" w:eastAsia="宋体" w:cs="Times New Roman"/>
                <w:color w:val="auto"/>
                <w:sz w:val="24"/>
                <w:szCs w:val="24"/>
                <w:highlight w:val="none"/>
                <w:shd w:val="clear" w:color="auto" w:fill="auto"/>
                <w:lang w:eastAsia="zh-CN"/>
              </w:rPr>
              <w:t>采取封闭厂房，原料库及生产车间安装电动门，封闭输送，沉降粉尘定期由吸尘车回收，厂区进行地面硬化，道路洒水抑尘，加强精细化管理，控制无组织粉尘污染</w:t>
            </w:r>
            <w:r>
              <w:rPr>
                <w:rFonts w:hint="eastAsia" w:cs="Times New Roman"/>
                <w:color w:val="auto"/>
                <w:sz w:val="24"/>
                <w:szCs w:val="24"/>
                <w:highlight w:val="none"/>
                <w:shd w:val="clear" w:color="auto" w:fill="auto"/>
                <w:lang w:eastAsia="zh-CN"/>
              </w:rPr>
              <w:t>，满足</w:t>
            </w:r>
            <w:r>
              <w:rPr>
                <w:rFonts w:hint="default" w:ascii="Calibri" w:hAnsi="Calibri" w:eastAsia="宋体" w:cs="Times New Roman"/>
                <w:color w:val="auto"/>
                <w:sz w:val="24"/>
                <w:szCs w:val="24"/>
                <w:highlight w:val="none"/>
              </w:rPr>
              <w:t>《镁质耐火材料工业大气污染物排放标准》（DB21/3011-2018）</w:t>
            </w:r>
            <w:r>
              <w:rPr>
                <w:rFonts w:hint="eastAsia" w:ascii="Times New Roman" w:hAnsi="Times New Roman" w:eastAsia="宋体" w:cs="Times New Roman"/>
                <w:color w:val="auto"/>
                <w:sz w:val="24"/>
                <w:szCs w:val="24"/>
                <w:highlight w:val="none"/>
                <w:shd w:val="clear" w:color="auto" w:fill="auto"/>
                <w:lang w:eastAsia="zh-CN"/>
              </w:rPr>
              <w:t>无组织排放控制措施要求</w:t>
            </w:r>
            <w:r>
              <w:rPr>
                <w:rFonts w:hint="eastAsia" w:cs="Times New Roman"/>
                <w:color w:val="auto"/>
                <w:sz w:val="24"/>
                <w:szCs w:val="24"/>
                <w:highlight w:val="none"/>
                <w:shd w:val="clear" w:color="auto" w:fill="auto"/>
                <w:lang w:eastAsia="zh-CN"/>
              </w:rPr>
              <w:t>，对环境影响不大。</w:t>
            </w:r>
          </w:p>
          <w:p w14:paraId="38B5C5EC">
            <w:pPr>
              <w:pStyle w:val="16"/>
              <w:keepNext w:val="0"/>
              <w:keepLines w:val="0"/>
              <w:suppressLineNumbers w:val="0"/>
              <w:spacing w:before="0" w:beforeAutospacing="0" w:after="0" w:afterAutospacing="0"/>
              <w:ind w:left="0" w:right="0"/>
              <w:rPr>
                <w:rFonts w:hint="eastAsia" w:ascii="Calibri" w:hAnsi="Calibri" w:eastAsia="宋体" w:cs="Times New Roman"/>
                <w:color w:val="auto"/>
                <w:kern w:val="0"/>
                <w:sz w:val="21"/>
                <w:szCs w:val="21"/>
                <w:highlight w:val="none"/>
                <w:lang w:eastAsia="zh-CN"/>
              </w:rPr>
            </w:pPr>
            <w:r>
              <w:rPr>
                <w:rFonts w:hint="eastAsia" w:cs="Times New Roman"/>
                <w:color w:val="auto"/>
                <w:sz w:val="24"/>
                <w:szCs w:val="24"/>
                <w:highlight w:val="none"/>
                <w:shd w:val="clear" w:color="auto" w:fill="auto"/>
                <w:lang w:eastAsia="zh-CN"/>
              </w:rPr>
              <w:t>综上本项目</w:t>
            </w:r>
            <w:r>
              <w:rPr>
                <w:rFonts w:hint="eastAsia" w:cs="Times New Roman"/>
                <w:color w:val="auto"/>
                <w:sz w:val="24"/>
                <w:szCs w:val="24"/>
                <w:highlight w:val="none"/>
                <w:shd w:val="clear" w:color="auto" w:fill="auto"/>
                <w:lang w:val="en-US" w:eastAsia="zh-CN"/>
              </w:rPr>
              <w:t>4#</w:t>
            </w:r>
            <w:r>
              <w:rPr>
                <w:rFonts w:hint="eastAsia" w:cs="Times New Roman"/>
                <w:color w:val="auto"/>
                <w:sz w:val="24"/>
                <w:szCs w:val="24"/>
                <w:highlight w:val="none"/>
                <w:shd w:val="clear" w:color="auto" w:fill="auto"/>
                <w:lang w:eastAsia="zh-CN"/>
              </w:rPr>
              <w:t>生产线排气筒高度；</w:t>
            </w:r>
            <w:r>
              <w:rPr>
                <w:rFonts w:hint="eastAsia" w:ascii="Times New Roman" w:hAnsi="Times New Roman" w:eastAsia="宋体" w:cs="Times New Roman"/>
                <w:color w:val="auto"/>
                <w:sz w:val="24"/>
                <w:szCs w:val="24"/>
                <w:highlight w:val="none"/>
                <w:shd w:val="clear" w:color="auto" w:fill="auto"/>
                <w:lang w:val="en-US" w:eastAsia="zh-CN"/>
              </w:rPr>
              <w:t>有组织及无组织均能</w:t>
            </w:r>
            <w:r>
              <w:rPr>
                <w:rFonts w:ascii="Calibri" w:hAnsi="Calibri" w:eastAsia="宋体" w:cs="Times New Roman"/>
                <w:color w:val="auto"/>
                <w:sz w:val="24"/>
                <w:szCs w:val="24"/>
                <w:highlight w:val="none"/>
                <w:shd w:val="clear" w:color="auto" w:fill="auto"/>
              </w:rPr>
              <w:t>满足</w:t>
            </w:r>
            <w:r>
              <w:rPr>
                <w:rFonts w:hint="default" w:ascii="Calibri" w:hAnsi="Calibri" w:eastAsia="宋体" w:cs="Times New Roman"/>
                <w:color w:val="auto"/>
                <w:sz w:val="24"/>
                <w:szCs w:val="24"/>
                <w:highlight w:val="none"/>
              </w:rPr>
              <w:t>《镁质耐火材料工业大气污染物排放标准》（DB21/3011-2018）</w:t>
            </w:r>
            <w:r>
              <w:rPr>
                <w:rFonts w:hint="eastAsia" w:ascii="Calibri" w:hAnsi="Calibri" w:eastAsia="宋体" w:cs="Times New Roman"/>
                <w:color w:val="auto"/>
                <w:sz w:val="24"/>
                <w:szCs w:val="24"/>
                <w:highlight w:val="none"/>
                <w:lang w:val="en-US" w:eastAsia="zh-CN"/>
              </w:rPr>
              <w:t>要求</w:t>
            </w:r>
            <w:r>
              <w:rPr>
                <w:rFonts w:hint="eastAsia" w:ascii="Calibri" w:hAnsi="Calibri" w:eastAsia="宋体" w:cs="Times New Roman"/>
                <w:color w:val="auto"/>
                <w:kern w:val="0"/>
                <w:sz w:val="21"/>
                <w:szCs w:val="21"/>
                <w:highlight w:val="none"/>
                <w:lang w:eastAsia="zh-CN"/>
              </w:rPr>
              <w:t>。</w:t>
            </w:r>
          </w:p>
          <w:p w14:paraId="61DC82DC">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highlight w:val="none"/>
                <w:shd w:val="clear" w:color="auto" w:fill="auto"/>
                <w:lang w:eastAsia="zh-CN"/>
              </w:rPr>
            </w:pPr>
            <w:r>
              <w:rPr>
                <w:rFonts w:hint="eastAsia" w:ascii="Times New Roman" w:hAnsi="Times New Roman" w:eastAsia="宋体" w:cs="Times New Roman"/>
                <w:color w:val="auto"/>
                <w:sz w:val="24"/>
                <w:highlight w:val="none"/>
                <w:shd w:val="clear" w:color="auto" w:fill="auto"/>
                <w:lang w:eastAsia="zh-CN"/>
              </w:rPr>
              <w:t>（</w:t>
            </w:r>
            <w:r>
              <w:rPr>
                <w:rFonts w:hint="eastAsia" w:cs="Times New Roman"/>
                <w:color w:val="auto"/>
                <w:sz w:val="24"/>
                <w:highlight w:val="none"/>
                <w:shd w:val="clear" w:color="auto" w:fill="auto"/>
                <w:lang w:val="en-US" w:eastAsia="zh-CN"/>
              </w:rPr>
              <w:t>4</w:t>
            </w:r>
            <w:r>
              <w:rPr>
                <w:rFonts w:hint="eastAsia" w:ascii="Times New Roman" w:hAnsi="Times New Roman" w:eastAsia="宋体" w:cs="Times New Roman"/>
                <w:color w:val="auto"/>
                <w:sz w:val="24"/>
                <w:highlight w:val="none"/>
                <w:shd w:val="clear" w:color="auto" w:fill="auto"/>
                <w:lang w:eastAsia="zh-CN"/>
              </w:rPr>
              <w:t>）</w:t>
            </w:r>
            <w:r>
              <w:rPr>
                <w:rFonts w:hint="eastAsia" w:cs="Times New Roman"/>
                <w:color w:val="auto"/>
                <w:kern w:val="2"/>
                <w:sz w:val="24"/>
                <w:szCs w:val="24"/>
                <w:highlight w:val="none"/>
                <w:shd w:val="clear" w:color="auto" w:fill="auto"/>
                <w:lang w:val="en-US" w:eastAsia="zh-CN" w:bidi="ar-SA"/>
              </w:rPr>
              <w:t>5#生产线</w:t>
            </w:r>
            <w:r>
              <w:rPr>
                <w:rFonts w:hint="eastAsia" w:ascii="Times New Roman" w:hAnsi="Times New Roman" w:eastAsia="宋体" w:cs="Times New Roman"/>
                <w:color w:val="auto"/>
                <w:sz w:val="24"/>
                <w:highlight w:val="none"/>
                <w:shd w:val="clear" w:color="auto" w:fill="auto"/>
                <w:lang w:eastAsia="zh-CN"/>
              </w:rPr>
              <w:t>生产工序粉尘</w:t>
            </w:r>
          </w:p>
          <w:p w14:paraId="3CF24F0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highlight w:val="none"/>
                <w:shd w:val="clear" w:color="auto" w:fill="auto"/>
                <w:lang w:eastAsia="zh-CN"/>
              </w:rPr>
            </w:pPr>
            <w:r>
              <w:rPr>
                <w:rFonts w:hint="default" w:ascii="Times New Roman" w:hAnsi="Times New Roman" w:eastAsia="宋体" w:cs="Times New Roman"/>
                <w:color w:val="auto"/>
                <w:sz w:val="24"/>
                <w:highlight w:val="none"/>
                <w:shd w:val="clear" w:color="auto" w:fill="auto"/>
                <w:lang w:eastAsia="zh-CN"/>
              </w:rPr>
              <w:t>本项目</w:t>
            </w:r>
            <w:r>
              <w:rPr>
                <w:rFonts w:hint="eastAsia" w:cs="Times New Roman"/>
                <w:color w:val="auto"/>
                <w:kern w:val="2"/>
                <w:sz w:val="24"/>
                <w:szCs w:val="24"/>
                <w:highlight w:val="none"/>
                <w:shd w:val="clear" w:color="auto" w:fill="auto"/>
                <w:lang w:val="en-US" w:eastAsia="zh-CN" w:bidi="ar-SA"/>
              </w:rPr>
              <w:t>5#生产线为</w:t>
            </w:r>
            <w:r>
              <w:rPr>
                <w:rFonts w:hint="eastAsia" w:cs="Times New Roman"/>
                <w:color w:val="auto"/>
                <w:sz w:val="24"/>
                <w:highlight w:val="none"/>
                <w:shd w:val="clear" w:color="auto" w:fill="auto"/>
                <w:lang w:eastAsia="zh-CN"/>
              </w:rPr>
              <w:t>白云砂生产线，</w:t>
            </w:r>
            <w:r>
              <w:rPr>
                <w:rFonts w:hint="default" w:ascii="Times New Roman" w:hAnsi="Times New Roman" w:eastAsia="宋体" w:cs="Times New Roman"/>
                <w:color w:val="auto"/>
                <w:sz w:val="24"/>
                <w:highlight w:val="none"/>
                <w:shd w:val="clear" w:color="auto" w:fill="auto"/>
                <w:lang w:val="en-US" w:eastAsia="zh-CN"/>
              </w:rPr>
              <w:t>原料装卸、上料、颚式破碎机</w:t>
            </w:r>
            <w:r>
              <w:rPr>
                <w:rFonts w:hint="eastAsia" w:cs="Times New Roman"/>
                <w:color w:val="auto"/>
                <w:sz w:val="24"/>
                <w:highlight w:val="none"/>
                <w:shd w:val="clear" w:color="auto" w:fill="auto"/>
                <w:lang w:val="en-US" w:eastAsia="zh-CN"/>
              </w:rPr>
              <w:t>、中间仓</w:t>
            </w:r>
            <w:r>
              <w:rPr>
                <w:rFonts w:hint="eastAsia" w:ascii="Times New Roman" w:hAnsi="Times New Roman" w:eastAsia="宋体" w:cs="Times New Roman"/>
                <w:color w:val="auto"/>
                <w:sz w:val="24"/>
                <w:highlight w:val="none"/>
                <w:shd w:val="clear" w:color="auto" w:fill="auto"/>
                <w:lang w:eastAsia="zh-CN"/>
              </w:rPr>
              <w:t>入仓</w:t>
            </w:r>
            <w:r>
              <w:rPr>
                <w:rFonts w:hint="default" w:ascii="Times New Roman" w:hAnsi="Times New Roman" w:eastAsia="宋体" w:cs="Times New Roman"/>
                <w:color w:val="auto"/>
                <w:sz w:val="24"/>
                <w:highlight w:val="none"/>
                <w:shd w:val="clear" w:color="auto" w:fill="auto"/>
                <w:lang w:val="en-US" w:eastAsia="zh-CN"/>
              </w:rPr>
              <w:t>、锤式破碎机、筛分机筛分、</w:t>
            </w:r>
            <w:r>
              <w:rPr>
                <w:rFonts w:hint="eastAsia" w:cs="Times New Roman"/>
                <w:color w:val="auto"/>
                <w:sz w:val="24"/>
                <w:highlight w:val="none"/>
                <w:shd w:val="clear" w:color="auto" w:fill="auto"/>
                <w:lang w:val="en-US" w:eastAsia="zh-CN"/>
              </w:rPr>
              <w:t>色选机色选、产品仓</w:t>
            </w:r>
            <w:r>
              <w:rPr>
                <w:rFonts w:hint="eastAsia" w:ascii="Times New Roman" w:hAnsi="Times New Roman" w:eastAsia="宋体" w:cs="Times New Roman"/>
                <w:color w:val="auto"/>
                <w:sz w:val="24"/>
                <w:highlight w:val="none"/>
                <w:shd w:val="clear" w:color="auto" w:fill="auto"/>
                <w:lang w:eastAsia="zh-CN"/>
              </w:rPr>
              <w:t>入仓</w:t>
            </w:r>
            <w:r>
              <w:rPr>
                <w:rFonts w:hint="eastAsia" w:cs="Times New Roman"/>
                <w:color w:val="auto"/>
                <w:sz w:val="24"/>
                <w:highlight w:val="none"/>
                <w:shd w:val="clear" w:color="auto" w:fill="auto"/>
                <w:lang w:val="en-US" w:eastAsia="zh-CN"/>
              </w:rPr>
              <w:t>、包装</w:t>
            </w:r>
            <w:r>
              <w:rPr>
                <w:rFonts w:hint="default" w:ascii="Times New Roman" w:hAnsi="Times New Roman" w:eastAsia="宋体" w:cs="Times New Roman"/>
                <w:color w:val="auto"/>
                <w:sz w:val="24"/>
                <w:highlight w:val="none"/>
                <w:shd w:val="clear" w:color="auto" w:fill="auto"/>
                <w:lang w:val="en-US" w:eastAsia="zh-CN"/>
              </w:rPr>
              <w:t>工序</w:t>
            </w:r>
            <w:r>
              <w:rPr>
                <w:rFonts w:hint="default" w:ascii="Times New Roman" w:hAnsi="Times New Roman" w:eastAsia="宋体" w:cs="Times New Roman"/>
                <w:color w:val="auto"/>
                <w:sz w:val="24"/>
                <w:highlight w:val="none"/>
                <w:shd w:val="clear" w:color="auto" w:fill="auto"/>
              </w:rPr>
              <w:t>有粉尘产生</w:t>
            </w:r>
            <w:r>
              <w:rPr>
                <w:rFonts w:hint="eastAsia" w:cs="Times New Roman"/>
                <w:color w:val="auto"/>
                <w:sz w:val="24"/>
                <w:highlight w:val="none"/>
                <w:shd w:val="clear" w:color="auto" w:fill="auto"/>
                <w:lang w:eastAsia="zh-CN"/>
              </w:rPr>
              <w:t>。</w:t>
            </w:r>
            <w:r>
              <w:rPr>
                <w:rFonts w:hint="default" w:ascii="Times New Roman" w:hAnsi="Times New Roman" w:eastAsia="宋体" w:cs="Times New Roman"/>
                <w:color w:val="auto"/>
                <w:sz w:val="24"/>
                <w:highlight w:val="none"/>
                <w:shd w:val="clear" w:color="auto" w:fill="auto"/>
              </w:rPr>
              <w:t>根据</w:t>
            </w:r>
            <w:r>
              <w:rPr>
                <w:rFonts w:hint="default" w:ascii="Times New Roman" w:hAnsi="Times New Roman" w:eastAsia="宋体" w:cs="Times New Roman"/>
                <w:color w:val="auto"/>
                <w:kern w:val="2"/>
                <w:sz w:val="24"/>
                <w:szCs w:val="24"/>
                <w:highlight w:val="none"/>
                <w:lang w:val="en-US" w:eastAsia="zh-CN" w:bidi="ar-SA"/>
              </w:rPr>
              <w:t>《排放源统计调查产排污核算方法和系数手册》（公告2021年第24号）中“3099 其他非金属矿物制品制造行业系数手册”，</w:t>
            </w:r>
            <w:r>
              <w:rPr>
                <w:rFonts w:hint="eastAsia" w:cs="Times New Roman"/>
                <w:color w:val="auto"/>
                <w:kern w:val="2"/>
                <w:sz w:val="24"/>
                <w:szCs w:val="24"/>
                <w:highlight w:val="none"/>
                <w:lang w:val="en-US" w:eastAsia="zh-CN" w:bidi="ar-SA"/>
              </w:rPr>
              <w:t>颚破</w:t>
            </w:r>
            <w:r>
              <w:rPr>
                <w:rFonts w:hint="default" w:ascii="Times New Roman" w:hAnsi="Times New Roman" w:eastAsia="宋体" w:cs="Times New Roman"/>
                <w:color w:val="auto"/>
                <w:sz w:val="24"/>
                <w:highlight w:val="none"/>
                <w:shd w:val="clear" w:color="auto" w:fill="auto"/>
              </w:rPr>
              <w:t>的粉尘产生系数为</w:t>
            </w:r>
            <w:r>
              <w:rPr>
                <w:rFonts w:hint="default" w:ascii="Times New Roman" w:hAnsi="Times New Roman" w:eastAsia="宋体" w:cs="Times New Roman"/>
                <w:color w:val="auto"/>
                <w:kern w:val="2"/>
                <w:sz w:val="24"/>
                <w:szCs w:val="24"/>
                <w:highlight w:val="none"/>
                <w:lang w:val="en-US" w:eastAsia="zh-CN" w:bidi="ar-SA"/>
              </w:rPr>
              <w:t>1.13kg/t-</w:t>
            </w:r>
            <w:r>
              <w:rPr>
                <w:rFonts w:hint="eastAsia" w:ascii="Times New Roman" w:hAnsi="Times New Roman" w:eastAsia="宋体" w:cs="Times New Roman"/>
                <w:color w:val="auto"/>
                <w:kern w:val="2"/>
                <w:sz w:val="24"/>
                <w:szCs w:val="24"/>
                <w:highlight w:val="none"/>
                <w:lang w:val="en-US" w:eastAsia="zh-CN" w:bidi="ar-SA"/>
              </w:rPr>
              <w:t>产品</w:t>
            </w:r>
            <w:r>
              <w:rPr>
                <w:rFonts w:hint="eastAsia" w:ascii="Times New Roman" w:hAnsi="Times New Roman" w:eastAsia="宋体" w:cs="Times New Roman"/>
                <w:color w:val="auto"/>
                <w:sz w:val="24"/>
                <w:highlight w:val="none"/>
                <w:shd w:val="clear" w:color="auto" w:fill="auto"/>
                <w:lang w:eastAsia="zh-CN"/>
              </w:rPr>
              <w:t>，制砂分级</w:t>
            </w:r>
            <w:r>
              <w:rPr>
                <w:rFonts w:hint="default" w:ascii="Times New Roman" w:hAnsi="Times New Roman" w:eastAsia="宋体" w:cs="Times New Roman"/>
                <w:color w:val="auto"/>
                <w:sz w:val="24"/>
                <w:highlight w:val="none"/>
                <w:shd w:val="clear" w:color="auto" w:fill="auto"/>
              </w:rPr>
              <w:t>的粉尘产生系数为</w:t>
            </w:r>
            <w:r>
              <w:rPr>
                <w:rFonts w:hint="default" w:ascii="Times New Roman" w:hAnsi="Times New Roman" w:eastAsia="宋体" w:cs="Times New Roman"/>
                <w:color w:val="auto"/>
                <w:kern w:val="2"/>
                <w:sz w:val="24"/>
                <w:szCs w:val="24"/>
                <w:highlight w:val="none"/>
                <w:lang w:val="en-US" w:eastAsia="zh-CN" w:bidi="ar-SA"/>
              </w:rPr>
              <w:t>1.13kg/t-</w:t>
            </w:r>
            <w:r>
              <w:rPr>
                <w:rFonts w:hint="eastAsia" w:ascii="Times New Roman" w:hAnsi="Times New Roman" w:eastAsia="宋体" w:cs="Times New Roman"/>
                <w:color w:val="auto"/>
                <w:kern w:val="2"/>
                <w:sz w:val="24"/>
                <w:szCs w:val="24"/>
                <w:highlight w:val="none"/>
                <w:lang w:val="en-US" w:eastAsia="zh-CN" w:bidi="ar-SA"/>
              </w:rPr>
              <w:t>产品</w:t>
            </w:r>
            <w:r>
              <w:rPr>
                <w:rFonts w:hint="eastAsia" w:ascii="Times New Roman" w:hAnsi="Times New Roman" w:eastAsia="宋体" w:cs="Times New Roman"/>
                <w:color w:val="auto"/>
                <w:sz w:val="24"/>
                <w:highlight w:val="none"/>
                <w:shd w:val="clear" w:color="auto" w:fill="auto"/>
                <w:lang w:eastAsia="zh-CN"/>
              </w:rPr>
              <w:t>，</w:t>
            </w:r>
            <w:r>
              <w:rPr>
                <w:rFonts w:hint="eastAsia" w:ascii="Times New Roman" w:hAnsi="Times New Roman" w:eastAsia="宋体" w:cs="Times New Roman"/>
                <w:color w:val="auto"/>
                <w:kern w:val="2"/>
                <w:sz w:val="24"/>
                <w:szCs w:val="24"/>
                <w:highlight w:val="none"/>
                <w:lang w:val="en-US" w:eastAsia="zh-CN" w:bidi="ar-SA"/>
              </w:rPr>
              <w:t>筛分</w:t>
            </w:r>
            <w:r>
              <w:rPr>
                <w:rFonts w:hint="default" w:ascii="Times New Roman" w:hAnsi="Times New Roman" w:eastAsia="宋体" w:cs="Times New Roman"/>
                <w:color w:val="auto"/>
                <w:kern w:val="2"/>
                <w:sz w:val="24"/>
                <w:szCs w:val="24"/>
                <w:highlight w:val="none"/>
                <w:lang w:val="en-US" w:eastAsia="zh-CN" w:bidi="ar-SA"/>
              </w:rPr>
              <w:t>粉尘产生系数为1.13kg/t-</w:t>
            </w:r>
            <w:r>
              <w:rPr>
                <w:rFonts w:hint="eastAsia" w:ascii="Times New Roman" w:hAnsi="Times New Roman" w:eastAsia="宋体" w:cs="Times New Roman"/>
                <w:color w:val="auto"/>
                <w:kern w:val="2"/>
                <w:sz w:val="24"/>
                <w:szCs w:val="24"/>
                <w:highlight w:val="none"/>
                <w:lang w:val="en-US" w:eastAsia="zh-CN" w:bidi="ar-SA"/>
              </w:rPr>
              <w:t>产品</w:t>
            </w:r>
            <w:r>
              <w:rPr>
                <w:rFonts w:hint="eastAsia" w:ascii="Times New Roman" w:hAnsi="Times New Roman" w:eastAsia="宋体" w:cs="Times New Roman"/>
                <w:color w:val="auto"/>
                <w:sz w:val="24"/>
                <w:highlight w:val="none"/>
                <w:shd w:val="clear" w:color="auto" w:fill="auto"/>
                <w:lang w:eastAsia="zh-CN"/>
              </w:rPr>
              <w:t>，</w:t>
            </w:r>
            <w:r>
              <w:rPr>
                <w:rFonts w:hint="eastAsia" w:eastAsia="宋体" w:cs="Times New Roman"/>
                <w:color w:val="auto"/>
                <w:sz w:val="24"/>
                <w:highlight w:val="none"/>
                <w:shd w:val="clear" w:color="auto" w:fill="auto"/>
                <w:lang w:eastAsia="zh-CN"/>
              </w:rPr>
              <w:t>色选</w:t>
            </w:r>
            <w:r>
              <w:rPr>
                <w:rFonts w:hint="default" w:ascii="Times New Roman" w:hAnsi="Times New Roman" w:eastAsia="宋体" w:cs="Times New Roman"/>
                <w:color w:val="auto"/>
                <w:sz w:val="24"/>
                <w:highlight w:val="none"/>
                <w:shd w:val="clear" w:color="auto" w:fill="auto"/>
              </w:rPr>
              <w:t>的粉尘产生系数为</w:t>
            </w:r>
            <w:r>
              <w:rPr>
                <w:rFonts w:hint="default" w:ascii="Times New Roman" w:hAnsi="Times New Roman" w:eastAsia="宋体" w:cs="Times New Roman"/>
                <w:color w:val="auto"/>
                <w:kern w:val="2"/>
                <w:sz w:val="24"/>
                <w:szCs w:val="24"/>
                <w:highlight w:val="none"/>
                <w:lang w:val="en-US" w:eastAsia="zh-CN" w:bidi="ar-SA"/>
              </w:rPr>
              <w:t>1.13kg/t-</w:t>
            </w:r>
            <w:r>
              <w:rPr>
                <w:rFonts w:hint="eastAsia" w:ascii="Times New Roman" w:hAnsi="Times New Roman" w:eastAsia="宋体" w:cs="Times New Roman"/>
                <w:color w:val="auto"/>
                <w:kern w:val="2"/>
                <w:sz w:val="24"/>
                <w:szCs w:val="24"/>
                <w:highlight w:val="none"/>
                <w:lang w:val="en-US" w:eastAsia="zh-CN" w:bidi="ar-SA"/>
              </w:rPr>
              <w:t>产品</w:t>
            </w:r>
            <w:r>
              <w:rPr>
                <w:rFonts w:hint="default" w:ascii="Times New Roman" w:hAnsi="Times New Roman" w:eastAsia="宋体" w:cs="Times New Roman"/>
                <w:color w:val="auto"/>
                <w:sz w:val="24"/>
                <w:highlight w:val="none"/>
                <w:shd w:val="clear" w:color="auto" w:fill="auto"/>
              </w:rPr>
              <w:t>。</w:t>
            </w:r>
            <w:r>
              <w:rPr>
                <w:rFonts w:hint="eastAsia" w:cs="Times New Roman"/>
                <w:color w:val="auto"/>
                <w:sz w:val="24"/>
                <w:highlight w:val="none"/>
                <w:shd w:val="clear" w:color="auto" w:fill="auto"/>
                <w:lang w:eastAsia="zh-CN"/>
              </w:rPr>
              <w:t>卸料、</w:t>
            </w:r>
            <w:r>
              <w:rPr>
                <w:rFonts w:hint="eastAsia" w:ascii="Times New Roman" w:hAnsi="Times New Roman" w:eastAsia="宋体" w:cs="Times New Roman"/>
                <w:color w:val="auto"/>
                <w:sz w:val="24"/>
                <w:highlight w:val="none"/>
                <w:shd w:val="clear" w:color="auto" w:fill="auto"/>
                <w:lang w:eastAsia="zh-CN"/>
              </w:rPr>
              <w:t>上料，入仓等工序参照</w:t>
            </w:r>
            <w:r>
              <w:rPr>
                <w:rFonts w:hint="default" w:ascii="Times New Roman" w:hAnsi="Times New Roman" w:eastAsia="宋体" w:cs="Times New Roman"/>
                <w:color w:val="auto"/>
                <w:sz w:val="24"/>
                <w:highlight w:val="none"/>
                <w:shd w:val="clear" w:color="auto" w:fill="auto"/>
              </w:rPr>
              <w:t>《逸散性工业粉尘控制技术》（中国环境出版社，1989年）</w:t>
            </w:r>
            <w:r>
              <w:rPr>
                <w:rFonts w:hint="eastAsia"/>
                <w:color w:val="auto"/>
                <w:highlight w:val="none"/>
                <w:lang w:eastAsia="zh-CN"/>
              </w:rPr>
              <w:t>，</w:t>
            </w:r>
            <w:r>
              <w:rPr>
                <w:rFonts w:hint="default" w:ascii="Times New Roman" w:hAnsi="Times New Roman" w:eastAsia="宋体" w:cs="Times New Roman"/>
                <w:color w:val="auto"/>
                <w:sz w:val="24"/>
                <w:highlight w:val="none"/>
                <w:shd w:val="clear" w:color="auto" w:fill="auto"/>
              </w:rPr>
              <w:t>颗粒物的产生系数为：</w:t>
            </w:r>
            <w:r>
              <w:rPr>
                <w:rFonts w:hint="eastAsia" w:cs="Times New Roman"/>
                <w:color w:val="auto"/>
                <w:sz w:val="24"/>
                <w:highlight w:val="none"/>
                <w:shd w:val="clear" w:color="auto" w:fill="auto"/>
                <w:lang w:eastAsia="zh-CN"/>
              </w:rPr>
              <w:t>卸料</w:t>
            </w:r>
            <w:r>
              <w:rPr>
                <w:rFonts w:hint="default" w:ascii="Times New Roman" w:hAnsi="Times New Roman" w:eastAsia="宋体" w:cs="Times New Roman"/>
                <w:color w:val="auto"/>
                <w:sz w:val="24"/>
                <w:highlight w:val="none"/>
                <w:shd w:val="clear" w:color="auto" w:fill="auto"/>
              </w:rPr>
              <w:t>的粉尘产生系数为</w:t>
            </w:r>
            <w:r>
              <w:rPr>
                <w:rFonts w:hint="eastAsia" w:cs="Times New Roman"/>
                <w:color w:val="auto"/>
                <w:sz w:val="24"/>
                <w:highlight w:val="none"/>
                <w:shd w:val="clear" w:color="auto" w:fill="auto"/>
                <w:lang w:val="en-US" w:eastAsia="zh-CN"/>
              </w:rPr>
              <w:t>0.02kg/t原料；</w:t>
            </w:r>
            <w:r>
              <w:rPr>
                <w:rFonts w:hint="default" w:ascii="Times New Roman" w:hAnsi="Times New Roman" w:eastAsia="宋体" w:cs="Times New Roman"/>
                <w:color w:val="auto"/>
                <w:sz w:val="24"/>
                <w:highlight w:val="none"/>
                <w:shd w:val="clear" w:color="auto" w:fill="auto"/>
              </w:rPr>
              <w:t>上料的粉尘产生系数为0.0</w:t>
            </w:r>
            <w:r>
              <w:rPr>
                <w:rFonts w:hint="eastAsia" w:ascii="Times New Roman" w:hAnsi="Times New Roman" w:eastAsia="宋体" w:cs="Times New Roman"/>
                <w:color w:val="auto"/>
                <w:sz w:val="24"/>
                <w:highlight w:val="none"/>
                <w:shd w:val="clear" w:color="auto" w:fill="auto"/>
                <w:lang w:val="en-US" w:eastAsia="zh-CN"/>
              </w:rPr>
              <w:t>2</w:t>
            </w:r>
            <w:r>
              <w:rPr>
                <w:rFonts w:hint="default" w:ascii="Times New Roman" w:hAnsi="Times New Roman" w:eastAsia="宋体" w:cs="Times New Roman"/>
                <w:color w:val="auto"/>
                <w:sz w:val="24"/>
                <w:highlight w:val="none"/>
                <w:shd w:val="clear" w:color="auto" w:fill="auto"/>
              </w:rPr>
              <w:t>kg/t</w:t>
            </w:r>
            <w:r>
              <w:rPr>
                <w:rFonts w:hint="eastAsia" w:ascii="Calibri" w:hAnsi="Calibri" w:eastAsia="宋体" w:cs="Times New Roman"/>
                <w:color w:val="auto"/>
                <w:sz w:val="24"/>
                <w:szCs w:val="24"/>
                <w:highlight w:val="none"/>
                <w:lang w:val="en-US" w:eastAsia="zh-CN"/>
              </w:rPr>
              <w:t>原料</w:t>
            </w:r>
            <w:r>
              <w:rPr>
                <w:rFonts w:hint="default" w:ascii="Times New Roman" w:hAnsi="Times New Roman" w:eastAsia="宋体" w:cs="Times New Roman"/>
                <w:color w:val="auto"/>
                <w:sz w:val="24"/>
                <w:highlight w:val="none"/>
                <w:shd w:val="clear" w:color="auto" w:fill="auto"/>
              </w:rPr>
              <w:t>，</w:t>
            </w:r>
            <w:r>
              <w:rPr>
                <w:rFonts w:hint="eastAsia" w:ascii="Calibri" w:hAnsi="Calibri" w:eastAsia="宋体" w:cs="Times New Roman"/>
                <w:color w:val="auto"/>
                <w:sz w:val="24"/>
                <w:highlight w:val="none"/>
                <w:shd w:val="clear" w:color="auto" w:fill="auto"/>
                <w:lang w:eastAsia="zh-CN"/>
              </w:rPr>
              <w:t>中间仓入仓</w:t>
            </w:r>
            <w:r>
              <w:rPr>
                <w:rFonts w:hint="default" w:ascii="Times New Roman" w:hAnsi="Times New Roman" w:eastAsia="宋体" w:cs="Times New Roman"/>
                <w:color w:val="auto"/>
                <w:sz w:val="24"/>
                <w:highlight w:val="none"/>
                <w:shd w:val="clear" w:color="auto" w:fill="auto"/>
              </w:rPr>
              <w:t>的粉尘</w:t>
            </w:r>
            <w:r>
              <w:rPr>
                <w:rFonts w:hint="eastAsia" w:ascii="Times New Roman" w:hAnsi="Times New Roman" w:eastAsia="宋体" w:cs="Times New Roman"/>
                <w:color w:val="auto"/>
                <w:sz w:val="24"/>
                <w:highlight w:val="none"/>
                <w:shd w:val="clear" w:color="auto" w:fill="auto"/>
                <w:lang w:eastAsia="zh-CN"/>
              </w:rPr>
              <w:t>取</w:t>
            </w:r>
            <w:r>
              <w:rPr>
                <w:rFonts w:hint="eastAsia" w:ascii="Calibri" w:hAnsi="Calibri" w:eastAsia="宋体" w:cs="Times New Roman"/>
                <w:color w:val="auto"/>
                <w:sz w:val="24"/>
                <w:szCs w:val="24"/>
                <w:highlight w:val="none"/>
                <w:lang w:val="en-US" w:eastAsia="zh-CN"/>
              </w:rPr>
              <w:t>物料转运粉尘产生系数为0.15kg/t-原料</w:t>
            </w:r>
            <w:r>
              <w:rPr>
                <w:rFonts w:hint="eastAsia" w:ascii="Times New Roman" w:hAnsi="Times New Roman" w:eastAsia="宋体" w:cs="Times New Roman"/>
                <w:color w:val="auto"/>
                <w:sz w:val="24"/>
                <w:highlight w:val="none"/>
                <w:shd w:val="clear" w:color="auto" w:fill="auto"/>
                <w:lang w:eastAsia="zh-CN"/>
              </w:rPr>
              <w:t>，</w:t>
            </w:r>
            <w:r>
              <w:rPr>
                <w:rFonts w:hint="eastAsia" w:ascii="Calibri" w:hAnsi="Calibri" w:eastAsia="宋体" w:cs="Times New Roman"/>
                <w:color w:val="auto"/>
                <w:sz w:val="24"/>
                <w:highlight w:val="none"/>
                <w:shd w:val="clear" w:color="auto" w:fill="auto"/>
                <w:lang w:eastAsia="zh-CN"/>
              </w:rPr>
              <w:t>产品仓入仓</w:t>
            </w:r>
            <w:r>
              <w:rPr>
                <w:rFonts w:hint="default" w:ascii="Times New Roman" w:hAnsi="Times New Roman" w:eastAsia="宋体" w:cs="Times New Roman"/>
                <w:color w:val="auto"/>
                <w:sz w:val="24"/>
                <w:highlight w:val="none"/>
                <w:shd w:val="clear" w:color="auto" w:fill="auto"/>
              </w:rPr>
              <w:t>的粉尘</w:t>
            </w:r>
            <w:r>
              <w:rPr>
                <w:rFonts w:hint="eastAsia" w:ascii="Times New Roman" w:hAnsi="Times New Roman" w:eastAsia="宋体" w:cs="Times New Roman"/>
                <w:color w:val="auto"/>
                <w:sz w:val="24"/>
                <w:highlight w:val="none"/>
                <w:shd w:val="clear" w:color="auto" w:fill="auto"/>
                <w:lang w:eastAsia="zh-CN"/>
              </w:rPr>
              <w:t>取</w:t>
            </w:r>
            <w:r>
              <w:rPr>
                <w:rFonts w:hint="eastAsia" w:ascii="Calibri" w:hAnsi="Calibri" w:eastAsia="宋体" w:cs="Times New Roman"/>
                <w:color w:val="auto"/>
                <w:sz w:val="24"/>
                <w:szCs w:val="24"/>
                <w:highlight w:val="none"/>
                <w:lang w:val="en-US" w:eastAsia="zh-CN"/>
              </w:rPr>
              <w:t>物料转运粉尘产生系数为0.15kg/t-原料</w:t>
            </w:r>
            <w:r>
              <w:rPr>
                <w:rFonts w:hint="eastAsia" w:ascii="Times New Roman" w:hAnsi="Times New Roman" w:eastAsia="宋体" w:cs="Times New Roman"/>
                <w:color w:val="auto"/>
                <w:sz w:val="24"/>
                <w:highlight w:val="none"/>
                <w:shd w:val="clear" w:color="auto" w:fill="auto"/>
                <w:lang w:eastAsia="zh-CN"/>
              </w:rPr>
              <w:t>，</w:t>
            </w:r>
            <w:r>
              <w:rPr>
                <w:rFonts w:hint="eastAsia" w:cs="Times New Roman"/>
                <w:color w:val="auto"/>
                <w:sz w:val="24"/>
                <w:highlight w:val="none"/>
                <w:shd w:val="clear" w:color="auto" w:fill="auto"/>
                <w:lang w:eastAsia="zh-CN"/>
              </w:rPr>
              <w:t>本项目在产品仓出料口</w:t>
            </w:r>
            <w:r>
              <w:rPr>
                <w:rFonts w:hint="eastAsia" w:ascii="Times New Roman" w:hAnsi="Times New Roman" w:eastAsia="宋体" w:cs="Times New Roman"/>
                <w:color w:val="auto"/>
                <w:sz w:val="24"/>
                <w:highlight w:val="none"/>
                <w:shd w:val="clear" w:color="auto" w:fill="auto"/>
                <w:lang w:val="en-US" w:eastAsia="zh-CN"/>
              </w:rPr>
              <w:t>包装，包装工序</w:t>
            </w:r>
            <w:r>
              <w:rPr>
                <w:rFonts w:hint="default" w:ascii="Times New Roman" w:hAnsi="Times New Roman" w:eastAsia="宋体" w:cs="Times New Roman"/>
                <w:color w:val="auto"/>
                <w:sz w:val="24"/>
                <w:highlight w:val="none"/>
                <w:shd w:val="clear" w:color="auto" w:fill="auto"/>
              </w:rPr>
              <w:t>粉尘产生系数</w:t>
            </w:r>
            <w:r>
              <w:rPr>
                <w:rFonts w:hint="eastAsia" w:cs="Times New Roman"/>
                <w:color w:val="auto"/>
                <w:sz w:val="24"/>
                <w:highlight w:val="none"/>
                <w:shd w:val="clear" w:color="auto" w:fill="auto"/>
                <w:lang w:eastAsia="zh-CN"/>
              </w:rPr>
              <w:t>参照出料系数，取</w:t>
            </w:r>
            <w:r>
              <w:rPr>
                <w:rFonts w:hint="default" w:ascii="Times New Roman" w:hAnsi="Times New Roman" w:eastAsia="宋体" w:cs="Times New Roman"/>
                <w:color w:val="auto"/>
                <w:sz w:val="24"/>
                <w:highlight w:val="none"/>
                <w:shd w:val="clear" w:color="auto" w:fill="auto"/>
              </w:rPr>
              <w:t>0.</w:t>
            </w:r>
            <w:r>
              <w:rPr>
                <w:rFonts w:hint="eastAsia" w:ascii="Times New Roman" w:hAnsi="Times New Roman" w:eastAsia="宋体" w:cs="Times New Roman"/>
                <w:color w:val="auto"/>
                <w:sz w:val="24"/>
                <w:highlight w:val="none"/>
                <w:shd w:val="clear" w:color="auto" w:fill="auto"/>
                <w:lang w:val="en-US" w:eastAsia="zh-CN"/>
              </w:rPr>
              <w:t>00115</w:t>
            </w:r>
            <w:r>
              <w:rPr>
                <w:rFonts w:hint="default" w:ascii="Times New Roman" w:hAnsi="Times New Roman" w:eastAsia="宋体" w:cs="Times New Roman"/>
                <w:color w:val="auto"/>
                <w:sz w:val="24"/>
                <w:highlight w:val="none"/>
                <w:shd w:val="clear" w:color="auto" w:fill="auto"/>
              </w:rPr>
              <w:t>kg/t</w:t>
            </w:r>
            <w:r>
              <w:rPr>
                <w:rFonts w:hint="eastAsia" w:ascii="Times New Roman" w:hAnsi="Times New Roman" w:eastAsia="宋体" w:cs="Times New Roman"/>
                <w:color w:val="auto"/>
                <w:kern w:val="2"/>
                <w:sz w:val="24"/>
                <w:szCs w:val="24"/>
                <w:highlight w:val="none"/>
                <w:lang w:val="en-US" w:eastAsia="zh-CN" w:bidi="ar-SA"/>
              </w:rPr>
              <w:t>产品</w:t>
            </w:r>
            <w:r>
              <w:rPr>
                <w:rFonts w:hint="eastAsia" w:ascii="Times New Roman" w:hAnsi="Times New Roman" w:eastAsia="宋体" w:cs="Times New Roman"/>
                <w:color w:val="auto"/>
                <w:sz w:val="24"/>
                <w:highlight w:val="none"/>
                <w:shd w:val="clear" w:color="auto" w:fill="auto"/>
                <w:lang w:eastAsia="zh-CN"/>
              </w:rPr>
              <w:t>。</w:t>
            </w:r>
          </w:p>
          <w:p w14:paraId="15FD33B7">
            <w:pPr>
              <w:pStyle w:val="16"/>
              <w:keepNext w:val="0"/>
              <w:keepLines w:val="0"/>
              <w:suppressLineNumbers w:val="0"/>
              <w:spacing w:before="0" w:beforeAutospacing="0" w:after="0" w:afterAutospacing="0"/>
              <w:ind w:left="0" w:right="0"/>
              <w:rPr>
                <w:rFonts w:hint="eastAsia" w:ascii="Calibri" w:hAnsi="Calibri" w:eastAsia="宋体" w:cs="Times New Roman"/>
                <w:color w:val="auto"/>
                <w:sz w:val="24"/>
                <w:highlight w:val="none"/>
                <w:shd w:val="clear" w:color="auto" w:fill="auto"/>
                <w:lang w:val="en-US" w:eastAsia="zh-CN"/>
              </w:rPr>
            </w:pPr>
            <w:r>
              <w:rPr>
                <w:rFonts w:hint="eastAsia" w:ascii="Calibri" w:hAnsi="Calibri" w:cs="Times New Roman"/>
                <w:color w:val="auto"/>
                <w:sz w:val="24"/>
                <w:highlight w:val="none"/>
                <w:shd w:val="clear" w:color="auto" w:fill="auto"/>
                <w:lang w:val="en-US" w:eastAsia="zh-CN"/>
              </w:rPr>
              <w:t>2#产品库房卸料、5</w:t>
            </w:r>
            <w:r>
              <w:rPr>
                <w:rFonts w:hint="eastAsia" w:cs="Times New Roman"/>
                <w:color w:val="auto"/>
                <w:highlight w:val="none"/>
                <w:shd w:val="clear" w:color="auto" w:fill="auto"/>
                <w:lang w:val="en-US" w:eastAsia="zh-CN"/>
              </w:rPr>
              <w:t>#生产线上料、颚破</w:t>
            </w:r>
            <w:r>
              <w:rPr>
                <w:rFonts w:hint="eastAsia" w:ascii="Times New Roman" w:hAnsi="Times New Roman" w:eastAsia="宋体" w:cs="Times New Roman"/>
                <w:color w:val="auto"/>
                <w:highlight w:val="none"/>
                <w:shd w:val="clear" w:color="auto" w:fill="auto"/>
                <w:lang w:val="en-US" w:eastAsia="zh-CN"/>
              </w:rPr>
              <w:t>、</w:t>
            </w:r>
            <w:r>
              <w:rPr>
                <w:rFonts w:hint="eastAsia" w:cs="Times New Roman"/>
                <w:color w:val="auto"/>
                <w:highlight w:val="none"/>
                <w:shd w:val="clear" w:color="auto" w:fill="auto"/>
                <w:lang w:val="en-US" w:eastAsia="zh-CN"/>
              </w:rPr>
              <w:t>中间仓</w:t>
            </w:r>
            <w:r>
              <w:rPr>
                <w:rFonts w:hint="eastAsia" w:ascii="Times New Roman" w:hAnsi="Times New Roman" w:eastAsia="宋体" w:cs="Times New Roman"/>
                <w:color w:val="auto"/>
                <w:sz w:val="24"/>
                <w:highlight w:val="none"/>
                <w:shd w:val="clear" w:color="auto" w:fill="auto"/>
                <w:lang w:eastAsia="zh-CN"/>
              </w:rPr>
              <w:t>入仓</w:t>
            </w:r>
            <w:r>
              <w:rPr>
                <w:rFonts w:hint="eastAsia" w:cs="Times New Roman"/>
                <w:color w:val="auto"/>
                <w:highlight w:val="none"/>
                <w:shd w:val="clear" w:color="auto" w:fill="auto"/>
                <w:lang w:val="en-US" w:eastAsia="zh-CN"/>
              </w:rPr>
              <w:t>、锤破</w:t>
            </w:r>
            <w:r>
              <w:rPr>
                <w:rFonts w:hint="eastAsia" w:ascii="Times New Roman" w:hAnsi="Times New Roman" w:eastAsia="宋体" w:cs="Times New Roman"/>
                <w:color w:val="auto"/>
                <w:highlight w:val="none"/>
                <w:shd w:val="clear" w:color="auto" w:fill="auto"/>
                <w:lang w:val="en-US" w:eastAsia="zh-CN"/>
              </w:rPr>
              <w:t>、筛选</w:t>
            </w:r>
            <w:r>
              <w:rPr>
                <w:rFonts w:hint="eastAsia" w:cs="Times New Roman"/>
                <w:color w:val="auto"/>
                <w:highlight w:val="none"/>
                <w:shd w:val="clear" w:color="auto" w:fill="auto"/>
                <w:lang w:val="en-US" w:eastAsia="zh-CN"/>
              </w:rPr>
              <w:t>、色选、产品仓</w:t>
            </w:r>
            <w:r>
              <w:rPr>
                <w:rFonts w:hint="eastAsia" w:ascii="Times New Roman" w:hAnsi="Times New Roman" w:eastAsia="宋体" w:cs="Times New Roman"/>
                <w:color w:val="auto"/>
                <w:sz w:val="24"/>
                <w:highlight w:val="none"/>
                <w:shd w:val="clear" w:color="auto" w:fill="auto"/>
                <w:lang w:eastAsia="zh-CN"/>
              </w:rPr>
              <w:t>入仓</w:t>
            </w:r>
            <w:r>
              <w:rPr>
                <w:rFonts w:hint="eastAsia" w:cs="Times New Roman"/>
                <w:color w:val="auto"/>
                <w:highlight w:val="none"/>
                <w:shd w:val="clear" w:color="auto" w:fill="auto"/>
                <w:lang w:val="en-US" w:eastAsia="zh-CN"/>
              </w:rPr>
              <w:t>、包装</w:t>
            </w:r>
            <w:r>
              <w:rPr>
                <w:rFonts w:hint="eastAsia" w:ascii="Times New Roman" w:hAnsi="Times New Roman" w:eastAsia="宋体" w:cs="Times New Roman"/>
                <w:color w:val="auto"/>
                <w:highlight w:val="none"/>
                <w:shd w:val="clear" w:color="auto" w:fill="auto"/>
                <w:lang w:val="en-US" w:eastAsia="zh-CN"/>
              </w:rPr>
              <w:t>工序产生的颗粒物</w:t>
            </w:r>
            <w:r>
              <w:rPr>
                <w:rFonts w:hint="eastAsia" w:cs="Times New Roman"/>
                <w:color w:val="auto"/>
                <w:highlight w:val="none"/>
                <w:shd w:val="clear" w:color="auto" w:fill="auto"/>
                <w:lang w:val="en-US" w:eastAsia="zh-CN"/>
              </w:rPr>
              <w:t>经集气罩收集后</w:t>
            </w:r>
            <w:r>
              <w:rPr>
                <w:rFonts w:hint="eastAsia" w:ascii="Times New Roman" w:hAnsi="Times New Roman" w:eastAsia="宋体" w:cs="Times New Roman"/>
                <w:color w:val="auto"/>
                <w:highlight w:val="none"/>
                <w:shd w:val="clear" w:color="auto" w:fill="auto"/>
                <w:lang w:val="en-US" w:eastAsia="zh-CN"/>
              </w:rPr>
              <w:t>由布袋除尘器</w:t>
            </w:r>
            <w:r>
              <w:rPr>
                <w:rFonts w:hint="eastAsia" w:cs="Times New Roman"/>
                <w:color w:val="auto"/>
                <w:highlight w:val="none"/>
                <w:shd w:val="clear" w:color="auto" w:fill="auto"/>
                <w:lang w:val="en-US" w:eastAsia="zh-CN"/>
              </w:rPr>
              <w:t>TA007</w:t>
            </w:r>
            <w:r>
              <w:rPr>
                <w:rFonts w:hint="eastAsia" w:ascii="Times New Roman" w:hAnsi="Times New Roman" w:eastAsia="宋体" w:cs="Times New Roman"/>
                <w:color w:val="auto"/>
                <w:highlight w:val="none"/>
                <w:shd w:val="clear" w:color="auto" w:fill="auto"/>
                <w:lang w:val="en-US" w:eastAsia="zh-CN"/>
              </w:rPr>
              <w:t>净化，净化后的废气由1根15m高排气筒</w:t>
            </w:r>
            <w:r>
              <w:rPr>
                <w:rFonts w:hint="eastAsia" w:cs="Times New Roman"/>
                <w:color w:val="auto"/>
                <w:highlight w:val="none"/>
                <w:shd w:val="clear" w:color="auto" w:fill="auto"/>
                <w:lang w:val="en-US" w:eastAsia="zh-CN"/>
              </w:rPr>
              <w:t>DA004</w:t>
            </w:r>
            <w:r>
              <w:rPr>
                <w:rFonts w:hint="eastAsia" w:ascii="Times New Roman" w:hAnsi="Times New Roman" w:eastAsia="宋体" w:cs="Times New Roman"/>
                <w:color w:val="auto"/>
                <w:highlight w:val="none"/>
                <w:shd w:val="clear" w:color="auto" w:fill="auto"/>
                <w:lang w:val="en-US" w:eastAsia="zh-CN"/>
              </w:rPr>
              <w:t>有组织排放；</w:t>
            </w:r>
            <w:r>
              <w:rPr>
                <w:rFonts w:hint="eastAsia" w:ascii="Calibri" w:hAnsi="Calibri" w:cs="Times New Roman"/>
                <w:color w:val="auto"/>
                <w:sz w:val="24"/>
                <w:highlight w:val="none"/>
                <w:shd w:val="clear" w:color="auto" w:fill="auto"/>
                <w:lang w:eastAsia="zh-CN"/>
              </w:rPr>
              <w:t>本项目在</w:t>
            </w:r>
            <w:r>
              <w:rPr>
                <w:rFonts w:hint="eastAsia" w:ascii="Calibri" w:hAnsi="Calibri" w:cs="Times New Roman"/>
                <w:color w:val="auto"/>
                <w:sz w:val="24"/>
                <w:highlight w:val="none"/>
                <w:shd w:val="clear" w:color="auto" w:fill="auto"/>
                <w:lang w:val="en-US" w:eastAsia="zh-CN"/>
              </w:rPr>
              <w:t>2#产品库房卸料、5#生产线</w:t>
            </w:r>
            <w:r>
              <w:rPr>
                <w:rFonts w:hint="eastAsia" w:cs="Times New Roman"/>
                <w:color w:val="auto"/>
                <w:highlight w:val="none"/>
                <w:shd w:val="clear" w:color="auto" w:fill="auto"/>
                <w:lang w:val="en-US" w:eastAsia="zh-CN"/>
              </w:rPr>
              <w:t>上料、颚破</w:t>
            </w:r>
            <w:r>
              <w:rPr>
                <w:rFonts w:hint="eastAsia" w:ascii="Times New Roman" w:hAnsi="Times New Roman" w:eastAsia="宋体" w:cs="Times New Roman"/>
                <w:color w:val="auto"/>
                <w:highlight w:val="none"/>
                <w:shd w:val="clear" w:color="auto" w:fill="auto"/>
                <w:lang w:val="en-US" w:eastAsia="zh-CN"/>
              </w:rPr>
              <w:t>、</w:t>
            </w:r>
            <w:r>
              <w:rPr>
                <w:rFonts w:hint="eastAsia" w:cs="Times New Roman"/>
                <w:color w:val="auto"/>
                <w:highlight w:val="none"/>
                <w:shd w:val="clear" w:color="auto" w:fill="auto"/>
                <w:lang w:val="en-US" w:eastAsia="zh-CN"/>
              </w:rPr>
              <w:t>中间仓</w:t>
            </w:r>
            <w:r>
              <w:rPr>
                <w:rFonts w:hint="eastAsia" w:ascii="Times New Roman" w:hAnsi="Times New Roman" w:eastAsia="宋体" w:cs="Times New Roman"/>
                <w:color w:val="auto"/>
                <w:sz w:val="24"/>
                <w:highlight w:val="none"/>
                <w:shd w:val="clear" w:color="auto" w:fill="auto"/>
                <w:lang w:eastAsia="zh-CN"/>
              </w:rPr>
              <w:t>入仓</w:t>
            </w:r>
            <w:r>
              <w:rPr>
                <w:rFonts w:hint="eastAsia" w:cs="Times New Roman"/>
                <w:color w:val="auto"/>
                <w:highlight w:val="none"/>
                <w:shd w:val="clear" w:color="auto" w:fill="auto"/>
                <w:lang w:val="en-US" w:eastAsia="zh-CN"/>
              </w:rPr>
              <w:t>、锤破</w:t>
            </w:r>
            <w:r>
              <w:rPr>
                <w:rFonts w:hint="eastAsia" w:ascii="Times New Roman" w:hAnsi="Times New Roman" w:eastAsia="宋体" w:cs="Times New Roman"/>
                <w:color w:val="auto"/>
                <w:highlight w:val="none"/>
                <w:shd w:val="clear" w:color="auto" w:fill="auto"/>
                <w:lang w:val="en-US" w:eastAsia="zh-CN"/>
              </w:rPr>
              <w:t>、筛选</w:t>
            </w:r>
            <w:r>
              <w:rPr>
                <w:rFonts w:hint="eastAsia" w:cs="Times New Roman"/>
                <w:color w:val="auto"/>
                <w:highlight w:val="none"/>
                <w:shd w:val="clear" w:color="auto" w:fill="auto"/>
                <w:lang w:val="en-US" w:eastAsia="zh-CN"/>
              </w:rPr>
              <w:t>、色选、产品仓</w:t>
            </w:r>
            <w:r>
              <w:rPr>
                <w:rFonts w:hint="eastAsia" w:ascii="Times New Roman" w:hAnsi="Times New Roman" w:eastAsia="宋体" w:cs="Times New Roman"/>
                <w:color w:val="auto"/>
                <w:sz w:val="24"/>
                <w:highlight w:val="none"/>
                <w:shd w:val="clear" w:color="auto" w:fill="auto"/>
                <w:lang w:eastAsia="zh-CN"/>
              </w:rPr>
              <w:t>入仓</w:t>
            </w:r>
            <w:r>
              <w:rPr>
                <w:rFonts w:hint="eastAsia" w:cs="Times New Roman"/>
                <w:color w:val="auto"/>
                <w:highlight w:val="none"/>
                <w:shd w:val="clear" w:color="auto" w:fill="auto"/>
                <w:lang w:val="en-US" w:eastAsia="zh-CN"/>
              </w:rPr>
              <w:t>、包装工序</w:t>
            </w:r>
            <w:r>
              <w:rPr>
                <w:rFonts w:hint="eastAsia" w:ascii="Calibri" w:hAnsi="Calibri" w:cs="Times New Roman"/>
                <w:color w:val="auto"/>
                <w:sz w:val="24"/>
                <w:highlight w:val="none"/>
                <w:shd w:val="clear" w:color="auto" w:fill="auto"/>
                <w:lang w:eastAsia="zh-CN"/>
              </w:rPr>
              <w:t>产尘点上方各设一个集气罩，共</w:t>
            </w:r>
            <w:r>
              <w:rPr>
                <w:rFonts w:hint="eastAsia" w:ascii="Calibri" w:hAnsi="Calibri" w:cs="Times New Roman"/>
                <w:color w:val="auto"/>
                <w:sz w:val="24"/>
                <w:highlight w:val="none"/>
                <w:shd w:val="clear" w:color="auto" w:fill="auto"/>
                <w:lang w:val="en-US" w:eastAsia="zh-CN"/>
              </w:rPr>
              <w:t>14个</w:t>
            </w:r>
            <w:r>
              <w:rPr>
                <w:rFonts w:hint="eastAsia" w:ascii="Calibri" w:hAnsi="Calibri" w:eastAsia="宋体" w:cs="Times New Roman"/>
                <w:color w:val="auto"/>
                <w:sz w:val="24"/>
                <w:highlight w:val="none"/>
                <w:shd w:val="clear" w:color="auto" w:fill="auto"/>
                <w:lang w:eastAsia="zh-CN"/>
              </w:rPr>
              <w:t>，</w:t>
            </w:r>
            <w:r>
              <w:rPr>
                <w:rFonts w:hint="eastAsia" w:ascii="Calibri" w:hAnsi="Calibri" w:cs="Times New Roman"/>
                <w:color w:val="auto"/>
                <w:sz w:val="24"/>
                <w:highlight w:val="none"/>
                <w:shd w:val="clear" w:color="auto" w:fill="auto"/>
                <w:lang w:eastAsia="zh-CN"/>
              </w:rPr>
              <w:t>负压收集废气，</w:t>
            </w:r>
            <w:r>
              <w:rPr>
                <w:rFonts w:ascii="Calibri" w:hAnsi="Calibri" w:eastAsia="宋体" w:cs="Times New Roman"/>
                <w:color w:val="auto"/>
                <w:sz w:val="24"/>
                <w:highlight w:val="none"/>
                <w:shd w:val="clear" w:color="auto" w:fill="auto"/>
              </w:rPr>
              <w:t>集气罩</w:t>
            </w:r>
            <w:r>
              <w:rPr>
                <w:rFonts w:hint="eastAsia" w:ascii="Calibri" w:hAnsi="Calibri" w:eastAsia="宋体" w:cs="Times New Roman"/>
                <w:color w:val="auto"/>
                <w:sz w:val="24"/>
                <w:highlight w:val="none"/>
                <w:shd w:val="clear" w:color="auto" w:fill="auto"/>
                <w:lang w:eastAsia="zh-CN"/>
              </w:rPr>
              <w:t>的</w:t>
            </w:r>
            <w:r>
              <w:rPr>
                <w:rFonts w:ascii="Calibri" w:hAnsi="Calibri" w:eastAsia="宋体" w:cs="Times New Roman"/>
                <w:color w:val="auto"/>
                <w:sz w:val="24"/>
                <w:highlight w:val="none"/>
                <w:shd w:val="clear" w:color="auto" w:fill="auto"/>
              </w:rPr>
              <w:t>捕集率为</w:t>
            </w:r>
            <w:r>
              <w:rPr>
                <w:rFonts w:hint="eastAsia" w:ascii="Calibri" w:hAnsi="Calibri" w:cs="Times New Roman"/>
                <w:color w:val="auto"/>
                <w:sz w:val="24"/>
                <w:highlight w:val="none"/>
                <w:shd w:val="clear" w:color="auto" w:fill="auto"/>
                <w:lang w:val="en-US" w:eastAsia="zh-CN"/>
              </w:rPr>
              <w:t>8</w:t>
            </w:r>
            <w:r>
              <w:rPr>
                <w:rFonts w:hint="eastAsia" w:ascii="Calibri" w:hAnsi="Calibri" w:eastAsia="宋体" w:cs="Times New Roman"/>
                <w:color w:val="auto"/>
                <w:sz w:val="24"/>
                <w:highlight w:val="none"/>
                <w:shd w:val="clear" w:color="auto" w:fill="auto"/>
              </w:rPr>
              <w:t>0</w:t>
            </w:r>
            <w:r>
              <w:rPr>
                <w:rFonts w:ascii="Calibri" w:hAnsi="Calibri" w:eastAsia="宋体" w:cs="Times New Roman"/>
                <w:color w:val="auto"/>
                <w:sz w:val="24"/>
                <w:highlight w:val="none"/>
                <w:shd w:val="clear" w:color="auto" w:fill="auto"/>
              </w:rPr>
              <w:t>%</w:t>
            </w:r>
            <w:r>
              <w:rPr>
                <w:rFonts w:hint="eastAsia" w:ascii="Calibri" w:hAnsi="Calibri" w:eastAsia="宋体" w:cs="Times New Roman"/>
                <w:color w:val="auto"/>
                <w:sz w:val="24"/>
                <w:highlight w:val="none"/>
                <w:shd w:val="clear" w:color="auto" w:fill="auto"/>
                <w:lang w:eastAsia="zh-CN"/>
              </w:rPr>
              <w:t>，</w:t>
            </w:r>
            <w:r>
              <w:rPr>
                <w:rFonts w:hint="eastAsia" w:ascii="Calibri" w:hAnsi="Calibri" w:cs="Times New Roman"/>
                <w:color w:val="auto"/>
                <w:sz w:val="24"/>
                <w:highlight w:val="none"/>
                <w:shd w:val="clear" w:color="auto" w:fill="auto"/>
                <w:lang w:eastAsia="zh-CN"/>
              </w:rPr>
              <w:t>收集后的废气经布袋除尘器</w:t>
            </w:r>
            <w:r>
              <w:rPr>
                <w:rFonts w:hint="eastAsia" w:ascii="Calibri" w:hAnsi="Calibri" w:cs="Times New Roman"/>
                <w:color w:val="auto"/>
                <w:sz w:val="24"/>
                <w:highlight w:val="none"/>
                <w:shd w:val="clear" w:color="auto" w:fill="auto"/>
                <w:lang w:val="en-US" w:eastAsia="zh-CN"/>
              </w:rPr>
              <w:t>TA008</w:t>
            </w:r>
            <w:r>
              <w:rPr>
                <w:rFonts w:hint="eastAsia" w:ascii="Calibri" w:hAnsi="Calibri" w:cs="Times New Roman"/>
                <w:color w:val="auto"/>
                <w:sz w:val="24"/>
                <w:highlight w:val="none"/>
                <w:shd w:val="clear" w:color="auto" w:fill="auto"/>
                <w:lang w:eastAsia="zh-CN"/>
              </w:rPr>
              <w:t>处理，布袋除尘器</w:t>
            </w:r>
            <w:r>
              <w:rPr>
                <w:rFonts w:ascii="Calibri" w:hAnsi="Calibri" w:eastAsia="宋体" w:cs="Times New Roman"/>
                <w:color w:val="auto"/>
                <w:sz w:val="24"/>
                <w:highlight w:val="none"/>
                <w:shd w:val="clear" w:color="auto" w:fill="auto"/>
              </w:rPr>
              <w:t>除尘效率为9</w:t>
            </w:r>
            <w:r>
              <w:rPr>
                <w:rFonts w:hint="eastAsia" w:ascii="Calibri" w:hAnsi="Calibri" w:eastAsia="宋体" w:cs="Times New Roman"/>
                <w:color w:val="auto"/>
                <w:sz w:val="24"/>
                <w:highlight w:val="none"/>
                <w:shd w:val="clear" w:color="auto" w:fill="auto"/>
                <w:lang w:val="en-US" w:eastAsia="zh-CN"/>
              </w:rPr>
              <w:t>9</w:t>
            </w:r>
            <w:r>
              <w:rPr>
                <w:rFonts w:hint="eastAsia" w:ascii="Calibri" w:hAnsi="Calibri" w:cs="Times New Roman"/>
                <w:color w:val="auto"/>
                <w:sz w:val="24"/>
                <w:highlight w:val="none"/>
                <w:shd w:val="clear" w:color="auto" w:fill="auto"/>
                <w:lang w:val="en-US" w:eastAsia="zh-CN"/>
              </w:rPr>
              <w:t>.5</w:t>
            </w:r>
            <w:r>
              <w:rPr>
                <w:rFonts w:ascii="Calibri" w:hAnsi="Calibri" w:eastAsia="宋体" w:cs="Times New Roman"/>
                <w:color w:val="auto"/>
                <w:sz w:val="24"/>
                <w:highlight w:val="none"/>
                <w:shd w:val="clear" w:color="auto" w:fill="auto"/>
              </w:rPr>
              <w:t>%，</w:t>
            </w:r>
            <w:r>
              <w:rPr>
                <w:rFonts w:hint="eastAsia" w:ascii="Calibri" w:hAnsi="Calibri" w:eastAsia="宋体" w:cs="Times New Roman"/>
                <w:color w:val="auto"/>
                <w:sz w:val="24"/>
                <w:szCs w:val="24"/>
                <w:highlight w:val="none"/>
                <w:shd w:val="clear" w:color="auto" w:fill="auto"/>
                <w:lang w:val="en-US" w:eastAsia="zh-CN"/>
              </w:rPr>
              <w:t>风机风量为</w:t>
            </w:r>
            <w:r>
              <w:rPr>
                <w:rFonts w:hint="eastAsia" w:ascii="Calibri" w:hAnsi="Calibri" w:cs="Times New Roman"/>
                <w:color w:val="auto"/>
                <w:sz w:val="24"/>
                <w:szCs w:val="24"/>
                <w:highlight w:val="none"/>
                <w:shd w:val="clear" w:color="auto" w:fill="auto"/>
                <w:lang w:val="en-US" w:eastAsia="zh-CN"/>
              </w:rPr>
              <w:t>15</w:t>
            </w:r>
            <w:r>
              <w:rPr>
                <w:rFonts w:hint="eastAsia" w:ascii="Calibri" w:hAnsi="Calibri" w:eastAsia="宋体" w:cs="Times New Roman"/>
                <w:color w:val="auto"/>
                <w:sz w:val="24"/>
                <w:szCs w:val="24"/>
                <w:highlight w:val="none"/>
                <w:shd w:val="clear" w:color="auto" w:fill="auto"/>
                <w:lang w:val="en-US" w:eastAsia="zh-CN"/>
              </w:rPr>
              <w:t>000m</w:t>
            </w:r>
            <w:r>
              <w:rPr>
                <w:rFonts w:hint="eastAsia" w:ascii="Calibri" w:hAnsi="Calibri" w:eastAsia="宋体" w:cs="Times New Roman"/>
                <w:color w:val="auto"/>
                <w:sz w:val="24"/>
                <w:szCs w:val="24"/>
                <w:highlight w:val="none"/>
                <w:shd w:val="clear" w:color="auto" w:fill="auto"/>
                <w:vertAlign w:val="superscript"/>
                <w:lang w:val="en-US" w:eastAsia="zh-CN"/>
              </w:rPr>
              <w:t>3</w:t>
            </w:r>
            <w:r>
              <w:rPr>
                <w:rFonts w:hint="eastAsia" w:ascii="Calibri" w:hAnsi="Calibri" w:eastAsia="宋体" w:cs="Times New Roman"/>
                <w:color w:val="auto"/>
                <w:sz w:val="24"/>
                <w:szCs w:val="24"/>
                <w:highlight w:val="none"/>
                <w:shd w:val="clear" w:color="auto" w:fill="auto"/>
                <w:lang w:val="en-US" w:eastAsia="zh-CN"/>
              </w:rPr>
              <w:t>/h；</w:t>
            </w:r>
            <w:r>
              <w:rPr>
                <w:rFonts w:hint="eastAsia" w:ascii="Calibri" w:hAnsi="Calibri" w:eastAsia="宋体" w:cs="Times New Roman"/>
                <w:color w:val="auto"/>
                <w:sz w:val="24"/>
                <w:highlight w:val="none"/>
                <w:shd w:val="clear" w:color="auto" w:fill="auto"/>
                <w:lang w:eastAsia="zh-CN"/>
              </w:rPr>
              <w:t>本项目未被除尘系统捕集的颗粒物无组织排放到厂房内</w:t>
            </w:r>
            <w:r>
              <w:rPr>
                <w:rFonts w:ascii="Calibri" w:hAnsi="Calibri" w:eastAsia="宋体" w:cs="Times New Roman"/>
                <w:color w:val="auto"/>
                <w:sz w:val="24"/>
                <w:highlight w:val="none"/>
                <w:shd w:val="clear" w:color="auto" w:fill="auto"/>
              </w:rPr>
              <w:t>，其中</w:t>
            </w:r>
            <w:r>
              <w:rPr>
                <w:rFonts w:hint="eastAsia" w:ascii="Calibri" w:hAnsi="Calibri" w:eastAsia="宋体" w:cs="Times New Roman"/>
                <w:color w:val="auto"/>
                <w:sz w:val="24"/>
                <w:highlight w:val="none"/>
                <w:shd w:val="clear" w:color="auto" w:fill="auto"/>
                <w:lang w:val="en-US" w:eastAsia="zh-CN"/>
              </w:rPr>
              <w:t>80</w:t>
            </w:r>
            <w:r>
              <w:rPr>
                <w:rFonts w:ascii="Calibri" w:hAnsi="Calibri" w:eastAsia="宋体" w:cs="Times New Roman"/>
                <w:color w:val="auto"/>
                <w:sz w:val="24"/>
                <w:highlight w:val="none"/>
                <w:shd w:val="clear" w:color="auto" w:fill="auto"/>
              </w:rPr>
              <w:t>%沉降在厂房内，其余</w:t>
            </w:r>
            <w:r>
              <w:rPr>
                <w:rFonts w:hint="eastAsia" w:ascii="Calibri" w:hAnsi="Calibri" w:eastAsia="宋体" w:cs="Times New Roman"/>
                <w:color w:val="auto"/>
                <w:sz w:val="24"/>
                <w:highlight w:val="none"/>
                <w:shd w:val="clear" w:color="auto" w:fill="auto"/>
                <w:lang w:val="en-US" w:eastAsia="zh-CN"/>
              </w:rPr>
              <w:t>20</w:t>
            </w:r>
            <w:r>
              <w:rPr>
                <w:rFonts w:ascii="Calibri" w:hAnsi="Calibri" w:eastAsia="宋体" w:cs="Times New Roman"/>
                <w:color w:val="auto"/>
                <w:sz w:val="24"/>
                <w:highlight w:val="none"/>
                <w:shd w:val="clear" w:color="auto" w:fill="auto"/>
              </w:rPr>
              <w:t>%通过厂房门排放。</w:t>
            </w:r>
          </w:p>
          <w:p w14:paraId="7136F7AD">
            <w:pPr>
              <w:pStyle w:val="16"/>
              <w:keepNext w:val="0"/>
              <w:keepLines w:val="0"/>
              <w:suppressLineNumbers w:val="0"/>
              <w:spacing w:before="0" w:beforeAutospacing="0" w:after="0" w:afterAutospacing="0"/>
              <w:ind w:left="0" w:right="0"/>
              <w:rPr>
                <w:rFonts w:hint="default"/>
                <w:color w:val="auto"/>
                <w:highlight w:val="none"/>
              </w:rPr>
            </w:pPr>
            <w:r>
              <w:rPr>
                <w:rFonts w:ascii="Calibri" w:hAnsi="Calibri" w:eastAsia="宋体" w:cs="Times New Roman"/>
                <w:color w:val="auto"/>
                <w:sz w:val="24"/>
                <w:highlight w:val="none"/>
                <w:shd w:val="clear" w:color="auto" w:fill="auto"/>
              </w:rPr>
              <w:t>项目</w:t>
            </w:r>
            <w:r>
              <w:rPr>
                <w:rFonts w:hint="eastAsia" w:ascii="Calibri" w:hAnsi="Calibri" w:cs="Times New Roman"/>
                <w:color w:val="auto"/>
                <w:sz w:val="24"/>
                <w:highlight w:val="none"/>
                <w:shd w:val="clear" w:color="auto" w:fill="auto"/>
                <w:lang w:val="en-US" w:eastAsia="zh-CN"/>
              </w:rPr>
              <w:t>2#原料库房</w:t>
            </w:r>
            <w:r>
              <w:rPr>
                <w:rFonts w:hint="default" w:ascii="Times New Roman" w:hAnsi="Times New Roman" w:eastAsia="宋体" w:cs="Times New Roman"/>
                <w:color w:val="auto"/>
                <w:spacing w:val="0"/>
                <w:sz w:val="24"/>
                <w:szCs w:val="24"/>
                <w:highlight w:val="none"/>
              </w:rPr>
              <w:t>散装原料卸料量为</w:t>
            </w:r>
            <w:r>
              <w:rPr>
                <w:rFonts w:hint="eastAsia" w:cs="Times New Roman"/>
                <w:color w:val="auto"/>
                <w:spacing w:val="0"/>
                <w:sz w:val="24"/>
                <w:szCs w:val="24"/>
                <w:highlight w:val="none"/>
                <w:lang w:val="en-US" w:eastAsia="zh-CN"/>
              </w:rPr>
              <w:t>301376.182</w:t>
            </w:r>
            <w:r>
              <w:rPr>
                <w:rFonts w:hint="default" w:ascii="Times New Roman" w:hAnsi="Times New Roman" w:eastAsia="宋体" w:cs="Times New Roman"/>
                <w:color w:val="auto"/>
                <w:spacing w:val="0"/>
                <w:sz w:val="24"/>
                <w:szCs w:val="24"/>
                <w:highlight w:val="none"/>
              </w:rPr>
              <w:t>t/a，平均每车装载30t矿石，</w:t>
            </w:r>
            <w:r>
              <w:rPr>
                <w:rFonts w:hint="eastAsia" w:cs="Times New Roman"/>
                <w:color w:val="auto"/>
                <w:spacing w:val="0"/>
                <w:sz w:val="24"/>
                <w:szCs w:val="24"/>
                <w:highlight w:val="none"/>
                <w:lang w:eastAsia="zh-CN"/>
              </w:rPr>
              <w:t>运料</w:t>
            </w:r>
            <w:r>
              <w:rPr>
                <w:rFonts w:hint="eastAsia" w:ascii="Times New Roman" w:hAnsi="Times New Roman" w:cs="Times New Roman"/>
                <w:color w:val="auto"/>
                <w:spacing w:val="0"/>
                <w:sz w:val="24"/>
                <w:szCs w:val="24"/>
                <w:highlight w:val="none"/>
                <w:lang w:eastAsia="zh-CN"/>
              </w:rPr>
              <w:t>车次约为</w:t>
            </w:r>
            <w:r>
              <w:rPr>
                <w:rFonts w:hint="eastAsia" w:cs="Times New Roman"/>
                <w:color w:val="auto"/>
                <w:spacing w:val="0"/>
                <w:sz w:val="24"/>
                <w:szCs w:val="24"/>
                <w:highlight w:val="none"/>
                <w:lang w:val="en-US" w:eastAsia="zh-CN"/>
              </w:rPr>
              <w:t>10046</w:t>
            </w:r>
            <w:r>
              <w:rPr>
                <w:rFonts w:hint="eastAsia" w:ascii="Times New Roman" w:hAnsi="Times New Roman" w:cs="Times New Roman"/>
                <w:color w:val="auto"/>
                <w:spacing w:val="0"/>
                <w:sz w:val="24"/>
                <w:szCs w:val="24"/>
                <w:highlight w:val="none"/>
                <w:lang w:val="en-US" w:eastAsia="zh-CN"/>
              </w:rPr>
              <w:t>辆，</w:t>
            </w:r>
            <w:r>
              <w:rPr>
                <w:rFonts w:hint="default" w:ascii="Times New Roman" w:hAnsi="Times New Roman" w:eastAsia="宋体" w:cs="Times New Roman"/>
                <w:color w:val="auto"/>
                <w:spacing w:val="0"/>
                <w:sz w:val="24"/>
                <w:szCs w:val="24"/>
                <w:highlight w:val="none"/>
              </w:rPr>
              <w:t>单车卸料时长以1</w:t>
            </w:r>
            <w:r>
              <w:rPr>
                <w:rFonts w:hint="eastAsia" w:ascii="Times New Roman" w:hAnsi="Times New Roman" w:cs="Times New Roman"/>
                <w:color w:val="auto"/>
                <w:spacing w:val="0"/>
                <w:sz w:val="24"/>
                <w:szCs w:val="24"/>
                <w:highlight w:val="none"/>
                <w:lang w:val="en-US" w:eastAsia="zh-CN"/>
              </w:rPr>
              <w:t>5</w:t>
            </w:r>
            <w:r>
              <w:rPr>
                <w:rFonts w:hint="default" w:ascii="Times New Roman" w:hAnsi="Times New Roman" w:eastAsia="宋体" w:cs="Times New Roman"/>
                <w:color w:val="auto"/>
                <w:spacing w:val="0"/>
                <w:sz w:val="24"/>
                <w:szCs w:val="24"/>
                <w:highlight w:val="none"/>
              </w:rPr>
              <w:t>min计，则卸料时长为</w:t>
            </w:r>
            <w:r>
              <w:rPr>
                <w:rFonts w:hint="eastAsia" w:cs="Times New Roman"/>
                <w:color w:val="auto"/>
                <w:spacing w:val="0"/>
                <w:sz w:val="24"/>
                <w:szCs w:val="24"/>
                <w:highlight w:val="none"/>
                <w:lang w:val="en-US" w:eastAsia="zh-CN"/>
              </w:rPr>
              <w:t>2511.5</w:t>
            </w:r>
            <w:r>
              <w:rPr>
                <w:rFonts w:hint="default" w:ascii="Times New Roman" w:hAnsi="Times New Roman" w:eastAsia="宋体" w:cs="Times New Roman"/>
                <w:color w:val="auto"/>
                <w:spacing w:val="0"/>
                <w:sz w:val="24"/>
                <w:szCs w:val="24"/>
                <w:highlight w:val="none"/>
              </w:rPr>
              <w:t>h/a</w:t>
            </w:r>
            <w:r>
              <w:rPr>
                <w:rFonts w:hint="eastAsia" w:ascii="Calibri" w:hAnsi="Calibri" w:cs="Times New Roman"/>
                <w:color w:val="auto"/>
                <w:sz w:val="24"/>
                <w:highlight w:val="none"/>
                <w:shd w:val="clear" w:color="auto" w:fill="auto"/>
                <w:lang w:val="en-US" w:eastAsia="zh-CN"/>
              </w:rPr>
              <w:t>。</w:t>
            </w:r>
          </w:p>
          <w:p w14:paraId="2BC1C9CD">
            <w:pPr>
              <w:keepNext w:val="0"/>
              <w:keepLines w:val="0"/>
              <w:suppressLineNumbers w:val="0"/>
              <w:spacing w:before="0" w:beforeAutospacing="0" w:after="0" w:afterAutospacing="0" w:line="360" w:lineRule="auto"/>
              <w:ind w:left="0" w:right="0" w:firstLine="480" w:firstLineChars="200"/>
              <w:rPr>
                <w:rFonts w:ascii="Calibri" w:hAnsi="Calibri" w:eastAsia="宋体" w:cs="Times New Roman"/>
                <w:color w:val="auto"/>
                <w:sz w:val="24"/>
                <w:highlight w:val="none"/>
                <w:shd w:val="clear" w:color="auto" w:fill="auto"/>
              </w:rPr>
            </w:pPr>
            <w:r>
              <w:rPr>
                <w:rFonts w:ascii="Calibri" w:hAnsi="Calibri" w:eastAsia="宋体" w:cs="Times New Roman"/>
                <w:color w:val="auto"/>
                <w:sz w:val="24"/>
                <w:highlight w:val="none"/>
                <w:shd w:val="clear" w:color="auto" w:fill="auto"/>
              </w:rPr>
              <w:t>项目</w:t>
            </w:r>
            <w:r>
              <w:rPr>
                <w:rFonts w:hint="eastAsia" w:ascii="Calibri" w:hAnsi="Calibri" w:cs="Times New Roman"/>
                <w:color w:val="auto"/>
                <w:sz w:val="24"/>
                <w:highlight w:val="none"/>
                <w:shd w:val="clear" w:color="auto" w:fill="auto"/>
                <w:lang w:val="en-US" w:eastAsia="zh-CN"/>
              </w:rPr>
              <w:t>5#</w:t>
            </w:r>
            <w:r>
              <w:rPr>
                <w:rFonts w:hint="eastAsia" w:ascii="Calibri" w:hAnsi="Calibri" w:eastAsia="宋体" w:cs="Times New Roman"/>
                <w:color w:val="auto"/>
                <w:sz w:val="24"/>
                <w:highlight w:val="none"/>
                <w:shd w:val="clear" w:color="auto" w:fill="auto"/>
                <w:lang w:eastAsia="zh-CN"/>
              </w:rPr>
              <w:t>生产线废气</w:t>
            </w:r>
            <w:r>
              <w:rPr>
                <w:rFonts w:ascii="Calibri" w:hAnsi="Calibri" w:eastAsia="宋体" w:cs="Times New Roman"/>
                <w:color w:val="auto"/>
                <w:sz w:val="24"/>
                <w:highlight w:val="none"/>
                <w:shd w:val="clear" w:color="auto" w:fill="auto"/>
              </w:rPr>
              <w:t>产</w:t>
            </w:r>
            <w:r>
              <w:rPr>
                <w:rFonts w:hint="eastAsia" w:ascii="Calibri" w:hAnsi="Calibri" w:cs="Times New Roman"/>
                <w:color w:val="auto"/>
                <w:sz w:val="24"/>
                <w:highlight w:val="none"/>
                <w:shd w:val="clear" w:color="auto" w:fill="auto"/>
                <w:lang w:eastAsia="zh-CN"/>
              </w:rPr>
              <w:t>排</w:t>
            </w:r>
            <w:r>
              <w:rPr>
                <w:rFonts w:ascii="Calibri" w:hAnsi="Calibri" w:eastAsia="宋体" w:cs="Times New Roman"/>
                <w:color w:val="auto"/>
                <w:sz w:val="24"/>
                <w:highlight w:val="none"/>
                <w:shd w:val="clear" w:color="auto" w:fill="auto"/>
              </w:rPr>
              <w:t>情况详见表</w:t>
            </w:r>
            <w:r>
              <w:rPr>
                <w:rFonts w:hint="eastAsia" w:ascii="Calibri" w:hAnsi="Calibri" w:cs="Times New Roman"/>
                <w:color w:val="auto"/>
                <w:sz w:val="24"/>
                <w:highlight w:val="none"/>
                <w:shd w:val="clear" w:color="auto" w:fill="auto"/>
                <w:lang w:val="en-US" w:eastAsia="zh-CN"/>
              </w:rPr>
              <w:t>4-8、4-9</w:t>
            </w:r>
            <w:r>
              <w:rPr>
                <w:rFonts w:ascii="Calibri" w:hAnsi="Calibri" w:eastAsia="宋体" w:cs="Times New Roman"/>
                <w:color w:val="auto"/>
                <w:sz w:val="24"/>
                <w:highlight w:val="none"/>
                <w:shd w:val="clear" w:color="auto" w:fill="auto"/>
              </w:rPr>
              <w:t>。</w:t>
            </w:r>
          </w:p>
          <w:p w14:paraId="65469B4E">
            <w:pPr>
              <w:keepNext w:val="0"/>
              <w:keepLines w:val="0"/>
              <w:suppressLineNumbers w:val="0"/>
              <w:spacing w:before="0" w:beforeAutospacing="0" w:after="0" w:afterAutospacing="0" w:line="360" w:lineRule="auto"/>
              <w:ind w:left="0" w:right="0"/>
              <w:jc w:val="center"/>
              <w:rPr>
                <w:rFonts w:ascii="Calibri" w:hAnsi="Calibri" w:eastAsia="宋体" w:cs="Times New Roman"/>
                <w:color w:val="auto"/>
                <w:sz w:val="24"/>
                <w:highlight w:val="none"/>
                <w:shd w:val="clear" w:color="auto" w:fill="auto"/>
              </w:rPr>
            </w:pPr>
            <w:r>
              <w:rPr>
                <w:rFonts w:ascii="Calibri" w:hAnsi="Calibri" w:eastAsia="宋体" w:cs="Times New Roman"/>
                <w:color w:val="auto"/>
                <w:sz w:val="24"/>
                <w:highlight w:val="none"/>
                <w:shd w:val="clear" w:color="auto" w:fill="auto"/>
              </w:rPr>
              <w:t>表</w:t>
            </w:r>
            <w:r>
              <w:rPr>
                <w:rFonts w:hint="eastAsia" w:ascii="Calibri" w:hAnsi="Calibri" w:cs="Times New Roman"/>
                <w:color w:val="auto"/>
                <w:sz w:val="24"/>
                <w:highlight w:val="none"/>
                <w:shd w:val="clear" w:color="auto" w:fill="auto"/>
                <w:lang w:val="en-US" w:eastAsia="zh-CN"/>
              </w:rPr>
              <w:t>4-8</w:t>
            </w:r>
            <w:r>
              <w:rPr>
                <w:rFonts w:ascii="Calibri" w:hAnsi="Calibri" w:eastAsia="宋体" w:cs="Times New Roman"/>
                <w:color w:val="auto"/>
                <w:sz w:val="24"/>
                <w:highlight w:val="none"/>
                <w:shd w:val="clear" w:color="auto" w:fill="auto"/>
              </w:rPr>
              <w:t xml:space="preserve">      </w:t>
            </w:r>
            <w:r>
              <w:rPr>
                <w:rFonts w:hint="eastAsia" w:ascii="Calibri" w:hAnsi="Calibri" w:eastAsia="宋体" w:cs="Times New Roman"/>
                <w:color w:val="auto"/>
                <w:sz w:val="24"/>
                <w:highlight w:val="none"/>
                <w:shd w:val="clear" w:color="auto" w:fill="auto"/>
                <w:lang w:val="en-US" w:eastAsia="zh-CN"/>
              </w:rPr>
              <w:t>项目</w:t>
            </w:r>
            <w:r>
              <w:rPr>
                <w:rFonts w:hint="eastAsia" w:ascii="Calibri" w:hAnsi="Calibri" w:cs="Times New Roman"/>
                <w:color w:val="auto"/>
                <w:sz w:val="24"/>
                <w:highlight w:val="none"/>
                <w:shd w:val="clear" w:color="auto" w:fill="auto"/>
                <w:lang w:val="en-US" w:eastAsia="zh-CN"/>
              </w:rPr>
              <w:t>5#</w:t>
            </w:r>
            <w:r>
              <w:rPr>
                <w:rFonts w:hint="eastAsia" w:ascii="Calibri" w:hAnsi="Calibri" w:cs="Times New Roman"/>
                <w:color w:val="auto"/>
                <w:sz w:val="24"/>
                <w:highlight w:val="none"/>
                <w:shd w:val="clear" w:color="auto" w:fill="auto"/>
                <w:lang w:eastAsia="zh-CN"/>
              </w:rPr>
              <w:t>生产线</w:t>
            </w:r>
            <w:r>
              <w:rPr>
                <w:rFonts w:ascii="Calibri" w:hAnsi="Calibri" w:eastAsia="宋体" w:cs="Times New Roman"/>
                <w:color w:val="auto"/>
                <w:sz w:val="24"/>
                <w:highlight w:val="none"/>
                <w:shd w:val="clear" w:color="auto" w:fill="auto"/>
              </w:rPr>
              <w:t>颗粒物有组织产排情况</w:t>
            </w:r>
          </w:p>
          <w:tbl>
            <w:tblPr>
              <w:tblStyle w:val="25"/>
              <w:tblW w:w="83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625"/>
              <w:gridCol w:w="799"/>
              <w:gridCol w:w="764"/>
              <w:gridCol w:w="890"/>
              <w:gridCol w:w="832"/>
              <w:gridCol w:w="647"/>
              <w:gridCol w:w="642"/>
              <w:gridCol w:w="869"/>
              <w:gridCol w:w="711"/>
              <w:gridCol w:w="749"/>
              <w:gridCol w:w="834"/>
            </w:tblGrid>
            <w:tr w14:paraId="42752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jc w:val="center"/>
              </w:trPr>
              <w:tc>
                <w:tcPr>
                  <w:tcW w:w="625" w:type="dxa"/>
                  <w:shd w:val="clear" w:color="auto" w:fill="auto"/>
                  <w:vAlign w:val="center"/>
                </w:tcPr>
                <w:p w14:paraId="48C6967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污染源</w:t>
                  </w:r>
                </w:p>
              </w:tc>
              <w:tc>
                <w:tcPr>
                  <w:tcW w:w="799" w:type="dxa"/>
                  <w:shd w:val="clear" w:color="auto" w:fill="auto"/>
                  <w:vAlign w:val="center"/>
                </w:tcPr>
                <w:p w14:paraId="5E08A578">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产污环节</w:t>
                  </w:r>
                </w:p>
              </w:tc>
              <w:tc>
                <w:tcPr>
                  <w:tcW w:w="764" w:type="dxa"/>
                  <w:shd w:val="clear" w:color="auto" w:fill="auto"/>
                  <w:vAlign w:val="center"/>
                </w:tcPr>
                <w:p w14:paraId="101D028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产尘速率kg/h</w:t>
                  </w:r>
                </w:p>
              </w:tc>
              <w:tc>
                <w:tcPr>
                  <w:tcW w:w="890" w:type="dxa"/>
                  <w:shd w:val="clear" w:color="auto" w:fill="auto"/>
                  <w:vAlign w:val="center"/>
                </w:tcPr>
                <w:p w14:paraId="0E657BD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产生浓度mg/m</w:t>
                  </w:r>
                  <w:r>
                    <w:rPr>
                      <w:rFonts w:hint="default" w:ascii="Times New Roman" w:hAnsi="Times New Roman" w:eastAsia="宋体" w:cs="Times New Roman"/>
                      <w:i w:val="0"/>
                      <w:iCs w:val="0"/>
                      <w:color w:val="auto"/>
                      <w:kern w:val="0"/>
                      <w:sz w:val="18"/>
                      <w:szCs w:val="18"/>
                      <w:highlight w:val="none"/>
                      <w:u w:val="none"/>
                      <w:vertAlign w:val="superscript"/>
                      <w:lang w:val="en-US" w:eastAsia="zh-CN" w:bidi="ar"/>
                    </w:rPr>
                    <w:t>3</w:t>
                  </w:r>
                </w:p>
              </w:tc>
              <w:tc>
                <w:tcPr>
                  <w:tcW w:w="832" w:type="dxa"/>
                  <w:shd w:val="clear" w:color="auto" w:fill="auto"/>
                  <w:vAlign w:val="center"/>
                </w:tcPr>
                <w:p w14:paraId="699C142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产尘量t/a</w:t>
                  </w:r>
                </w:p>
              </w:tc>
              <w:tc>
                <w:tcPr>
                  <w:tcW w:w="647" w:type="dxa"/>
                  <w:shd w:val="clear" w:color="auto" w:fill="auto"/>
                  <w:vAlign w:val="center"/>
                </w:tcPr>
                <w:p w14:paraId="5407B9D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除尘</w:t>
                  </w:r>
                  <w:r>
                    <w:rPr>
                      <w:rFonts w:hint="default" w:ascii="Times New Roman" w:hAnsi="Times New Roman" w:eastAsia="宋体" w:cs="Times New Roman"/>
                      <w:i w:val="0"/>
                      <w:iCs w:val="0"/>
                      <w:color w:val="auto"/>
                      <w:kern w:val="0"/>
                      <w:sz w:val="18"/>
                      <w:szCs w:val="18"/>
                      <w:highlight w:val="none"/>
                      <w:u w:val="none"/>
                      <w:lang w:val="en-US" w:eastAsia="zh-CN" w:bidi="ar"/>
                    </w:rPr>
                    <w:br w:type="textWrapping"/>
                  </w:r>
                  <w:r>
                    <w:rPr>
                      <w:rFonts w:hint="default" w:ascii="Times New Roman" w:hAnsi="Times New Roman" w:eastAsia="宋体" w:cs="Times New Roman"/>
                      <w:i w:val="0"/>
                      <w:iCs w:val="0"/>
                      <w:color w:val="auto"/>
                      <w:kern w:val="0"/>
                      <w:sz w:val="18"/>
                      <w:szCs w:val="18"/>
                      <w:highlight w:val="none"/>
                      <w:u w:val="none"/>
                      <w:lang w:val="en-US" w:eastAsia="zh-CN" w:bidi="ar"/>
                    </w:rPr>
                    <w:t>效率</w:t>
                  </w:r>
                  <w:r>
                    <w:rPr>
                      <w:rFonts w:hint="default" w:ascii="Times New Roman" w:hAnsi="Times New Roman" w:eastAsia="宋体" w:cs="Times New Roman"/>
                      <w:i w:val="0"/>
                      <w:iCs w:val="0"/>
                      <w:color w:val="auto"/>
                      <w:kern w:val="0"/>
                      <w:sz w:val="18"/>
                      <w:szCs w:val="18"/>
                      <w:highlight w:val="none"/>
                      <w:u w:val="none"/>
                      <w:lang w:val="en-US" w:eastAsia="zh-CN" w:bidi="ar"/>
                    </w:rPr>
                    <w:br w:type="textWrapping"/>
                  </w:r>
                  <w:r>
                    <w:rPr>
                      <w:rFonts w:hint="default" w:ascii="Times New Roman" w:hAnsi="Times New Roman" w:eastAsia="宋体" w:cs="Times New Roman"/>
                      <w:i w:val="0"/>
                      <w:iCs w:val="0"/>
                      <w:color w:val="auto"/>
                      <w:kern w:val="0"/>
                      <w:sz w:val="18"/>
                      <w:szCs w:val="18"/>
                      <w:highlight w:val="none"/>
                      <w:u w:val="none"/>
                      <w:lang w:val="en-US" w:eastAsia="zh-CN" w:bidi="ar"/>
                    </w:rPr>
                    <w:t>%</w:t>
                  </w:r>
                </w:p>
              </w:tc>
              <w:tc>
                <w:tcPr>
                  <w:tcW w:w="642" w:type="dxa"/>
                  <w:shd w:val="clear" w:color="auto" w:fill="auto"/>
                  <w:vAlign w:val="center"/>
                </w:tcPr>
                <w:p w14:paraId="2D8E7BB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捕集率</w:t>
                  </w:r>
                  <w:r>
                    <w:rPr>
                      <w:rFonts w:hint="default" w:ascii="Times New Roman" w:hAnsi="Times New Roman" w:eastAsia="宋体" w:cs="Times New Roman"/>
                      <w:i w:val="0"/>
                      <w:iCs w:val="0"/>
                      <w:color w:val="auto"/>
                      <w:kern w:val="0"/>
                      <w:sz w:val="18"/>
                      <w:szCs w:val="18"/>
                      <w:highlight w:val="none"/>
                      <w:u w:val="none"/>
                      <w:lang w:val="en-US" w:eastAsia="zh-CN" w:bidi="ar"/>
                    </w:rPr>
                    <w:br w:type="textWrapping"/>
                  </w:r>
                  <w:r>
                    <w:rPr>
                      <w:rFonts w:hint="default" w:ascii="Times New Roman" w:hAnsi="Times New Roman" w:eastAsia="宋体" w:cs="Times New Roman"/>
                      <w:i w:val="0"/>
                      <w:iCs w:val="0"/>
                      <w:color w:val="auto"/>
                      <w:kern w:val="0"/>
                      <w:sz w:val="18"/>
                      <w:szCs w:val="18"/>
                      <w:highlight w:val="none"/>
                      <w:u w:val="none"/>
                      <w:lang w:val="en-US" w:eastAsia="zh-CN" w:bidi="ar"/>
                    </w:rPr>
                    <w:t>%</w:t>
                  </w:r>
                </w:p>
              </w:tc>
              <w:tc>
                <w:tcPr>
                  <w:tcW w:w="869" w:type="dxa"/>
                  <w:shd w:val="clear" w:color="auto" w:fill="auto"/>
                  <w:vAlign w:val="center"/>
                </w:tcPr>
                <w:p w14:paraId="66937590">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排放速率kg/h</w:t>
                  </w:r>
                </w:p>
              </w:tc>
              <w:tc>
                <w:tcPr>
                  <w:tcW w:w="711" w:type="dxa"/>
                  <w:shd w:val="clear" w:color="auto" w:fill="auto"/>
                  <w:vAlign w:val="center"/>
                </w:tcPr>
                <w:p w14:paraId="140BE8B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排放浓度mg/m</w:t>
                  </w:r>
                  <w:r>
                    <w:rPr>
                      <w:rFonts w:hint="default" w:ascii="Times New Roman" w:hAnsi="Times New Roman" w:eastAsia="宋体" w:cs="Times New Roman"/>
                      <w:i w:val="0"/>
                      <w:iCs w:val="0"/>
                      <w:color w:val="auto"/>
                      <w:kern w:val="0"/>
                      <w:sz w:val="18"/>
                      <w:szCs w:val="18"/>
                      <w:highlight w:val="none"/>
                      <w:u w:val="none"/>
                      <w:vertAlign w:val="superscript"/>
                      <w:lang w:val="en-US" w:eastAsia="zh-CN" w:bidi="ar"/>
                    </w:rPr>
                    <w:t>3</w:t>
                  </w:r>
                </w:p>
              </w:tc>
              <w:tc>
                <w:tcPr>
                  <w:tcW w:w="749" w:type="dxa"/>
                  <w:shd w:val="clear" w:color="auto" w:fill="auto"/>
                  <w:vAlign w:val="center"/>
                </w:tcPr>
                <w:p w14:paraId="1982F457">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年排放量t/a</w:t>
                  </w:r>
                </w:p>
              </w:tc>
              <w:tc>
                <w:tcPr>
                  <w:tcW w:w="834" w:type="dxa"/>
                  <w:shd w:val="clear" w:color="auto" w:fill="auto"/>
                  <w:vAlign w:val="center"/>
                </w:tcPr>
                <w:p w14:paraId="71A6E229">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除尘灰t/a</w:t>
                  </w:r>
                </w:p>
              </w:tc>
            </w:tr>
            <w:tr w14:paraId="06358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25" w:type="dxa"/>
                  <w:vMerge w:val="restart"/>
                  <w:shd w:val="clear" w:color="auto" w:fill="auto"/>
                  <w:noWrap/>
                  <w:vAlign w:val="center"/>
                </w:tcPr>
                <w:p w14:paraId="6F50723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eastAsia" w:cs="Times New Roman"/>
                      <w:i w:val="0"/>
                      <w:iCs w:val="0"/>
                      <w:color w:val="auto"/>
                      <w:sz w:val="18"/>
                      <w:szCs w:val="18"/>
                      <w:highlight w:val="none"/>
                      <w:u w:val="none"/>
                      <w:lang w:val="en-US" w:eastAsia="zh-CN"/>
                    </w:rPr>
                    <w:t>2#原料库房、</w:t>
                  </w:r>
                  <w:r>
                    <w:rPr>
                      <w:rFonts w:hint="eastAsia" w:cs="Times New Roman"/>
                      <w:i w:val="0"/>
                      <w:iCs w:val="0"/>
                      <w:color w:val="auto"/>
                      <w:kern w:val="0"/>
                      <w:sz w:val="18"/>
                      <w:szCs w:val="18"/>
                      <w:highlight w:val="none"/>
                      <w:u w:val="none"/>
                      <w:lang w:val="en-US" w:eastAsia="zh-CN" w:bidi="ar"/>
                    </w:rPr>
                    <w:t>5</w:t>
                  </w:r>
                  <w:r>
                    <w:rPr>
                      <w:rFonts w:hint="default" w:ascii="Times New Roman" w:hAnsi="Times New Roman" w:eastAsia="宋体" w:cs="Times New Roman"/>
                      <w:i w:val="0"/>
                      <w:iCs w:val="0"/>
                      <w:color w:val="auto"/>
                      <w:kern w:val="0"/>
                      <w:sz w:val="18"/>
                      <w:szCs w:val="18"/>
                      <w:highlight w:val="none"/>
                      <w:u w:val="none"/>
                      <w:lang w:val="en-US" w:eastAsia="zh-CN" w:bidi="ar"/>
                    </w:rPr>
                    <w:t>#生产线</w:t>
                  </w:r>
                </w:p>
              </w:tc>
              <w:tc>
                <w:tcPr>
                  <w:tcW w:w="799" w:type="dxa"/>
                  <w:shd w:val="clear" w:color="auto" w:fill="auto"/>
                  <w:noWrap/>
                  <w:vAlign w:val="center"/>
                </w:tcPr>
                <w:p w14:paraId="4814C48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卸料</w:t>
                  </w:r>
                </w:p>
              </w:tc>
              <w:tc>
                <w:tcPr>
                  <w:tcW w:w="764" w:type="dxa"/>
                  <w:shd w:val="clear" w:color="auto" w:fill="auto"/>
                  <w:noWrap/>
                  <w:vAlign w:val="center"/>
                </w:tcPr>
                <w:p w14:paraId="42AC893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2.4 </w:t>
                  </w:r>
                </w:p>
              </w:tc>
              <w:tc>
                <w:tcPr>
                  <w:tcW w:w="890" w:type="dxa"/>
                  <w:vMerge w:val="restart"/>
                  <w:shd w:val="clear" w:color="auto" w:fill="auto"/>
                  <w:vAlign w:val="center"/>
                </w:tcPr>
                <w:p w14:paraId="42E734C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5623.776</w:t>
                  </w:r>
                  <w:r>
                    <w:rPr>
                      <w:rFonts w:hint="default" w:ascii="Times New Roman" w:hAnsi="Times New Roman" w:eastAsia="宋体" w:cs="Times New Roman"/>
                      <w:i w:val="0"/>
                      <w:iCs w:val="0"/>
                      <w:color w:val="auto"/>
                      <w:kern w:val="0"/>
                      <w:sz w:val="18"/>
                      <w:szCs w:val="18"/>
                      <w:highlight w:val="none"/>
                      <w:u w:val="none"/>
                      <w:lang w:val="en-US" w:eastAsia="zh-CN" w:bidi="ar"/>
                    </w:rPr>
                    <w:t xml:space="preserve"> </w:t>
                  </w:r>
                </w:p>
              </w:tc>
              <w:tc>
                <w:tcPr>
                  <w:tcW w:w="832" w:type="dxa"/>
                  <w:shd w:val="clear" w:color="auto" w:fill="auto"/>
                  <w:noWrap/>
                  <w:vAlign w:val="center"/>
                </w:tcPr>
                <w:p w14:paraId="040658A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4.822</w:t>
                  </w:r>
                </w:p>
              </w:tc>
              <w:tc>
                <w:tcPr>
                  <w:tcW w:w="647" w:type="dxa"/>
                  <w:vMerge w:val="restart"/>
                  <w:shd w:val="clear" w:color="auto" w:fill="auto"/>
                  <w:vAlign w:val="center"/>
                </w:tcPr>
                <w:p w14:paraId="46F8493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99.5 </w:t>
                  </w:r>
                </w:p>
              </w:tc>
              <w:tc>
                <w:tcPr>
                  <w:tcW w:w="642" w:type="dxa"/>
                  <w:vMerge w:val="restart"/>
                  <w:shd w:val="clear" w:color="auto" w:fill="auto"/>
                  <w:vAlign w:val="center"/>
                </w:tcPr>
                <w:p w14:paraId="1818A55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80</w:t>
                  </w:r>
                </w:p>
              </w:tc>
              <w:tc>
                <w:tcPr>
                  <w:tcW w:w="869" w:type="dxa"/>
                  <w:shd w:val="clear" w:color="auto" w:fill="auto"/>
                  <w:vAlign w:val="center"/>
                </w:tcPr>
                <w:p w14:paraId="5DC0ECA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0.01</w:t>
                  </w:r>
                </w:p>
              </w:tc>
              <w:tc>
                <w:tcPr>
                  <w:tcW w:w="711" w:type="dxa"/>
                  <w:vMerge w:val="restart"/>
                  <w:shd w:val="clear" w:color="auto" w:fill="auto"/>
                  <w:vAlign w:val="center"/>
                </w:tcPr>
                <w:p w14:paraId="29C9D42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22.175</w:t>
                  </w:r>
                  <w:r>
                    <w:rPr>
                      <w:rFonts w:hint="default" w:ascii="Times New Roman" w:hAnsi="Times New Roman" w:eastAsia="宋体" w:cs="Times New Roman"/>
                      <w:i w:val="0"/>
                      <w:iCs w:val="0"/>
                      <w:color w:val="auto"/>
                      <w:kern w:val="0"/>
                      <w:sz w:val="18"/>
                      <w:szCs w:val="18"/>
                      <w:highlight w:val="none"/>
                      <w:u w:val="none"/>
                      <w:lang w:val="en-US" w:eastAsia="zh-CN" w:bidi="ar"/>
                    </w:rPr>
                    <w:t xml:space="preserve"> </w:t>
                  </w:r>
                </w:p>
              </w:tc>
              <w:tc>
                <w:tcPr>
                  <w:tcW w:w="749" w:type="dxa"/>
                  <w:shd w:val="clear" w:color="auto" w:fill="auto"/>
                  <w:vAlign w:val="center"/>
                </w:tcPr>
                <w:p w14:paraId="4340DB8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0.0</w:t>
                  </w:r>
                  <w:r>
                    <w:rPr>
                      <w:rFonts w:hint="eastAsia" w:cs="Times New Roman"/>
                      <w:i w:val="0"/>
                      <w:iCs w:val="0"/>
                      <w:color w:val="auto"/>
                      <w:kern w:val="0"/>
                      <w:sz w:val="18"/>
                      <w:szCs w:val="18"/>
                      <w:highlight w:val="none"/>
                      <w:u w:val="none"/>
                      <w:lang w:val="en-US" w:eastAsia="zh-CN" w:bidi="ar"/>
                    </w:rPr>
                    <w:t>24</w:t>
                  </w:r>
                  <w:r>
                    <w:rPr>
                      <w:rFonts w:hint="eastAsia" w:ascii="Times New Roman" w:hAnsi="Times New Roman" w:eastAsia="宋体" w:cs="Times New Roman"/>
                      <w:i w:val="0"/>
                      <w:iCs w:val="0"/>
                      <w:color w:val="auto"/>
                      <w:kern w:val="0"/>
                      <w:sz w:val="18"/>
                      <w:szCs w:val="18"/>
                      <w:highlight w:val="none"/>
                      <w:u w:val="none"/>
                      <w:lang w:val="en-US" w:eastAsia="zh-CN" w:bidi="ar"/>
                    </w:rPr>
                    <w:t xml:space="preserve"> </w:t>
                  </w:r>
                </w:p>
              </w:tc>
              <w:tc>
                <w:tcPr>
                  <w:tcW w:w="834" w:type="dxa"/>
                  <w:shd w:val="clear" w:color="auto" w:fill="auto"/>
                  <w:vAlign w:val="center"/>
                </w:tcPr>
                <w:p w14:paraId="2498D06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4.798</w:t>
                  </w:r>
                  <w:r>
                    <w:rPr>
                      <w:rFonts w:hint="default" w:ascii="Times New Roman" w:hAnsi="Times New Roman" w:eastAsia="宋体" w:cs="Times New Roman"/>
                      <w:i w:val="0"/>
                      <w:iCs w:val="0"/>
                      <w:color w:val="auto"/>
                      <w:kern w:val="0"/>
                      <w:sz w:val="18"/>
                      <w:szCs w:val="18"/>
                      <w:highlight w:val="none"/>
                      <w:u w:val="none"/>
                      <w:lang w:val="en-US" w:eastAsia="zh-CN" w:bidi="ar"/>
                    </w:rPr>
                    <w:t xml:space="preserve"> </w:t>
                  </w:r>
                </w:p>
              </w:tc>
            </w:tr>
            <w:tr w14:paraId="34D4B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25" w:type="dxa"/>
                  <w:vMerge w:val="continue"/>
                  <w:shd w:val="clear" w:color="auto" w:fill="auto"/>
                  <w:noWrap/>
                  <w:vAlign w:val="center"/>
                </w:tcPr>
                <w:p w14:paraId="42CABB0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99" w:type="dxa"/>
                  <w:shd w:val="clear" w:color="auto" w:fill="auto"/>
                  <w:noWrap/>
                  <w:vAlign w:val="center"/>
                </w:tcPr>
                <w:p w14:paraId="522F750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上料</w:t>
                  </w:r>
                </w:p>
              </w:tc>
              <w:tc>
                <w:tcPr>
                  <w:tcW w:w="764" w:type="dxa"/>
                  <w:shd w:val="clear" w:color="auto" w:fill="auto"/>
                  <w:noWrap/>
                  <w:vAlign w:val="center"/>
                </w:tcPr>
                <w:p w14:paraId="3A2516B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2.4 </w:t>
                  </w:r>
                </w:p>
              </w:tc>
              <w:tc>
                <w:tcPr>
                  <w:tcW w:w="890" w:type="dxa"/>
                  <w:vMerge w:val="continue"/>
                  <w:shd w:val="clear" w:color="auto" w:fill="auto"/>
                  <w:vAlign w:val="center"/>
                </w:tcPr>
                <w:p w14:paraId="07DB9A0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32" w:type="dxa"/>
                  <w:shd w:val="clear" w:color="auto" w:fill="auto"/>
                  <w:noWrap/>
                  <w:vAlign w:val="center"/>
                </w:tcPr>
                <w:p w14:paraId="23AC33F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1.606 </w:t>
                  </w:r>
                </w:p>
              </w:tc>
              <w:tc>
                <w:tcPr>
                  <w:tcW w:w="647" w:type="dxa"/>
                  <w:vMerge w:val="continue"/>
                  <w:shd w:val="clear" w:color="auto" w:fill="auto"/>
                  <w:vAlign w:val="center"/>
                </w:tcPr>
                <w:p w14:paraId="72EEC4E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42" w:type="dxa"/>
                  <w:vMerge w:val="continue"/>
                  <w:shd w:val="clear" w:color="auto" w:fill="auto"/>
                  <w:vAlign w:val="center"/>
                </w:tcPr>
                <w:p w14:paraId="1C11402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69" w:type="dxa"/>
                  <w:shd w:val="clear" w:color="auto" w:fill="auto"/>
                  <w:vAlign w:val="center"/>
                </w:tcPr>
                <w:p w14:paraId="0FE6FBF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0.01</w:t>
                  </w:r>
                </w:p>
              </w:tc>
              <w:tc>
                <w:tcPr>
                  <w:tcW w:w="711" w:type="dxa"/>
                  <w:vMerge w:val="continue"/>
                  <w:shd w:val="clear" w:color="auto" w:fill="auto"/>
                  <w:vAlign w:val="center"/>
                </w:tcPr>
                <w:p w14:paraId="0CA6C04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749" w:type="dxa"/>
                  <w:shd w:val="clear" w:color="auto" w:fill="auto"/>
                  <w:vAlign w:val="center"/>
                </w:tcPr>
                <w:p w14:paraId="736C9A9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0.008 </w:t>
                  </w:r>
                </w:p>
              </w:tc>
              <w:tc>
                <w:tcPr>
                  <w:tcW w:w="834" w:type="dxa"/>
                  <w:shd w:val="clear" w:color="auto" w:fill="auto"/>
                  <w:vAlign w:val="center"/>
                </w:tcPr>
                <w:p w14:paraId="26D9910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1.598 </w:t>
                  </w:r>
                </w:p>
              </w:tc>
            </w:tr>
            <w:tr w14:paraId="2486B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25" w:type="dxa"/>
                  <w:vMerge w:val="continue"/>
                  <w:shd w:val="clear" w:color="auto" w:fill="auto"/>
                  <w:noWrap/>
                  <w:vAlign w:val="center"/>
                </w:tcPr>
                <w:p w14:paraId="56FFC96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99" w:type="dxa"/>
                  <w:shd w:val="clear" w:color="auto" w:fill="auto"/>
                  <w:noWrap/>
                  <w:vAlign w:val="center"/>
                </w:tcPr>
                <w:p w14:paraId="60ABFD5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eastAsia" w:cs="Times New Roman"/>
                      <w:i w:val="0"/>
                      <w:iCs w:val="0"/>
                      <w:color w:val="auto"/>
                      <w:kern w:val="0"/>
                      <w:sz w:val="18"/>
                      <w:szCs w:val="18"/>
                      <w:highlight w:val="none"/>
                      <w:u w:val="none"/>
                      <w:lang w:val="en-US" w:eastAsia="zh-CN" w:bidi="ar"/>
                    </w:rPr>
                    <w:t>颚破</w:t>
                  </w:r>
                </w:p>
              </w:tc>
              <w:tc>
                <w:tcPr>
                  <w:tcW w:w="764" w:type="dxa"/>
                  <w:shd w:val="clear" w:color="auto" w:fill="auto"/>
                  <w:noWrap/>
                  <w:vAlign w:val="center"/>
                </w:tcPr>
                <w:p w14:paraId="1FC63F5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31.389 </w:t>
                  </w:r>
                </w:p>
              </w:tc>
              <w:tc>
                <w:tcPr>
                  <w:tcW w:w="890" w:type="dxa"/>
                  <w:vMerge w:val="continue"/>
                  <w:shd w:val="clear" w:color="auto" w:fill="auto"/>
                  <w:vAlign w:val="center"/>
                </w:tcPr>
                <w:p w14:paraId="5ABDFFD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32" w:type="dxa"/>
                  <w:shd w:val="clear" w:color="auto" w:fill="auto"/>
                  <w:noWrap/>
                  <w:vAlign w:val="center"/>
                </w:tcPr>
                <w:p w14:paraId="4E27E96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90.4 </w:t>
                  </w:r>
                </w:p>
              </w:tc>
              <w:tc>
                <w:tcPr>
                  <w:tcW w:w="647" w:type="dxa"/>
                  <w:vMerge w:val="continue"/>
                  <w:shd w:val="clear" w:color="auto" w:fill="auto"/>
                  <w:vAlign w:val="center"/>
                </w:tcPr>
                <w:p w14:paraId="0011CF1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42" w:type="dxa"/>
                  <w:vMerge w:val="continue"/>
                  <w:shd w:val="clear" w:color="auto" w:fill="auto"/>
                  <w:vAlign w:val="center"/>
                </w:tcPr>
                <w:p w14:paraId="14A98C2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69" w:type="dxa"/>
                  <w:shd w:val="clear" w:color="auto" w:fill="auto"/>
                  <w:vAlign w:val="center"/>
                </w:tcPr>
                <w:p w14:paraId="3A8CE09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0.126 </w:t>
                  </w:r>
                </w:p>
              </w:tc>
              <w:tc>
                <w:tcPr>
                  <w:tcW w:w="711" w:type="dxa"/>
                  <w:vMerge w:val="continue"/>
                  <w:shd w:val="clear" w:color="auto" w:fill="auto"/>
                  <w:vAlign w:val="center"/>
                </w:tcPr>
                <w:p w14:paraId="5D1839F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749" w:type="dxa"/>
                  <w:shd w:val="clear" w:color="auto" w:fill="auto"/>
                  <w:vAlign w:val="center"/>
                </w:tcPr>
                <w:p w14:paraId="4746754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0.452 </w:t>
                  </w:r>
                </w:p>
              </w:tc>
              <w:tc>
                <w:tcPr>
                  <w:tcW w:w="834" w:type="dxa"/>
                  <w:shd w:val="clear" w:color="auto" w:fill="auto"/>
                  <w:vAlign w:val="center"/>
                </w:tcPr>
                <w:p w14:paraId="74F299A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89.948 </w:t>
                  </w:r>
                </w:p>
              </w:tc>
            </w:tr>
            <w:tr w14:paraId="512C2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25" w:type="dxa"/>
                  <w:vMerge w:val="continue"/>
                  <w:shd w:val="clear" w:color="auto" w:fill="auto"/>
                  <w:noWrap/>
                  <w:vAlign w:val="center"/>
                </w:tcPr>
                <w:p w14:paraId="00CA83E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99" w:type="dxa"/>
                  <w:shd w:val="clear" w:color="auto" w:fill="auto"/>
                  <w:noWrap/>
                  <w:vAlign w:val="center"/>
                </w:tcPr>
                <w:p w14:paraId="5FC9F5F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中间仓</w:t>
                  </w:r>
                </w:p>
              </w:tc>
              <w:tc>
                <w:tcPr>
                  <w:tcW w:w="764" w:type="dxa"/>
                  <w:shd w:val="clear" w:color="auto" w:fill="auto"/>
                  <w:noWrap/>
                  <w:vAlign w:val="center"/>
                </w:tcPr>
                <w:p w14:paraId="1B43B84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4.178 </w:t>
                  </w:r>
                </w:p>
              </w:tc>
              <w:tc>
                <w:tcPr>
                  <w:tcW w:w="890" w:type="dxa"/>
                  <w:vMerge w:val="continue"/>
                  <w:shd w:val="clear" w:color="auto" w:fill="auto"/>
                  <w:vAlign w:val="center"/>
                </w:tcPr>
                <w:p w14:paraId="0DF08DB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32" w:type="dxa"/>
                  <w:shd w:val="clear" w:color="auto" w:fill="auto"/>
                  <w:noWrap/>
                  <w:vAlign w:val="center"/>
                </w:tcPr>
                <w:p w14:paraId="778784E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12.031 </w:t>
                  </w:r>
                </w:p>
              </w:tc>
              <w:tc>
                <w:tcPr>
                  <w:tcW w:w="647" w:type="dxa"/>
                  <w:vMerge w:val="continue"/>
                  <w:shd w:val="clear" w:color="auto" w:fill="auto"/>
                  <w:vAlign w:val="center"/>
                </w:tcPr>
                <w:p w14:paraId="7271E10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42" w:type="dxa"/>
                  <w:vMerge w:val="continue"/>
                  <w:shd w:val="clear" w:color="auto" w:fill="auto"/>
                  <w:vAlign w:val="center"/>
                </w:tcPr>
                <w:p w14:paraId="1AFD245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69" w:type="dxa"/>
                  <w:shd w:val="clear" w:color="auto" w:fill="auto"/>
                  <w:vAlign w:val="center"/>
                </w:tcPr>
                <w:p w14:paraId="14D67A5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0.017 </w:t>
                  </w:r>
                </w:p>
              </w:tc>
              <w:tc>
                <w:tcPr>
                  <w:tcW w:w="711" w:type="dxa"/>
                  <w:vMerge w:val="continue"/>
                  <w:shd w:val="clear" w:color="auto" w:fill="auto"/>
                  <w:vAlign w:val="center"/>
                </w:tcPr>
                <w:p w14:paraId="5F09FBE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749" w:type="dxa"/>
                  <w:shd w:val="clear" w:color="auto" w:fill="auto"/>
                  <w:vAlign w:val="center"/>
                </w:tcPr>
                <w:p w14:paraId="1B9F931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0.06</w:t>
                  </w:r>
                </w:p>
              </w:tc>
              <w:tc>
                <w:tcPr>
                  <w:tcW w:w="834" w:type="dxa"/>
                  <w:shd w:val="clear" w:color="auto" w:fill="auto"/>
                  <w:vAlign w:val="center"/>
                </w:tcPr>
                <w:p w14:paraId="0A71658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11.971 </w:t>
                  </w:r>
                </w:p>
              </w:tc>
            </w:tr>
            <w:tr w14:paraId="119B7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25" w:type="dxa"/>
                  <w:vMerge w:val="continue"/>
                  <w:shd w:val="clear" w:color="auto" w:fill="auto"/>
                  <w:noWrap/>
                  <w:vAlign w:val="center"/>
                </w:tcPr>
                <w:p w14:paraId="7B9F3E2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99" w:type="dxa"/>
                  <w:shd w:val="clear" w:color="auto" w:fill="auto"/>
                  <w:noWrap/>
                  <w:vAlign w:val="center"/>
                </w:tcPr>
                <w:p w14:paraId="2F7AD76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锤破</w:t>
                  </w:r>
                </w:p>
              </w:tc>
              <w:tc>
                <w:tcPr>
                  <w:tcW w:w="764" w:type="dxa"/>
                  <w:shd w:val="clear" w:color="auto" w:fill="auto"/>
                  <w:noWrap/>
                  <w:vAlign w:val="center"/>
                </w:tcPr>
                <w:p w14:paraId="3E9E4CB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14.268 </w:t>
                  </w:r>
                </w:p>
              </w:tc>
              <w:tc>
                <w:tcPr>
                  <w:tcW w:w="890" w:type="dxa"/>
                  <w:vMerge w:val="continue"/>
                  <w:shd w:val="clear" w:color="auto" w:fill="auto"/>
                  <w:vAlign w:val="center"/>
                </w:tcPr>
                <w:p w14:paraId="2F43495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32" w:type="dxa"/>
                  <w:shd w:val="clear" w:color="auto" w:fill="auto"/>
                  <w:noWrap/>
                  <w:vAlign w:val="center"/>
                </w:tcPr>
                <w:p w14:paraId="42A53AC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90.4 </w:t>
                  </w:r>
                </w:p>
              </w:tc>
              <w:tc>
                <w:tcPr>
                  <w:tcW w:w="647" w:type="dxa"/>
                  <w:vMerge w:val="continue"/>
                  <w:shd w:val="clear" w:color="auto" w:fill="auto"/>
                  <w:vAlign w:val="center"/>
                </w:tcPr>
                <w:p w14:paraId="7494C34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42" w:type="dxa"/>
                  <w:vMerge w:val="continue"/>
                  <w:shd w:val="clear" w:color="auto" w:fill="auto"/>
                  <w:vAlign w:val="center"/>
                </w:tcPr>
                <w:p w14:paraId="23D5180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69" w:type="dxa"/>
                  <w:shd w:val="clear" w:color="auto" w:fill="auto"/>
                  <w:vAlign w:val="center"/>
                </w:tcPr>
                <w:p w14:paraId="3025F88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0.057 </w:t>
                  </w:r>
                </w:p>
              </w:tc>
              <w:tc>
                <w:tcPr>
                  <w:tcW w:w="711" w:type="dxa"/>
                  <w:vMerge w:val="continue"/>
                  <w:shd w:val="clear" w:color="auto" w:fill="auto"/>
                  <w:vAlign w:val="center"/>
                </w:tcPr>
                <w:p w14:paraId="77F4DCC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749" w:type="dxa"/>
                  <w:shd w:val="clear" w:color="auto" w:fill="auto"/>
                  <w:vAlign w:val="center"/>
                </w:tcPr>
                <w:p w14:paraId="486D10B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0.452 </w:t>
                  </w:r>
                </w:p>
              </w:tc>
              <w:tc>
                <w:tcPr>
                  <w:tcW w:w="834" w:type="dxa"/>
                  <w:shd w:val="clear" w:color="auto" w:fill="auto"/>
                  <w:vAlign w:val="center"/>
                </w:tcPr>
                <w:p w14:paraId="5C6F273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89.948 </w:t>
                  </w:r>
                </w:p>
              </w:tc>
            </w:tr>
            <w:tr w14:paraId="57700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25" w:type="dxa"/>
                  <w:vMerge w:val="continue"/>
                  <w:shd w:val="clear" w:color="auto" w:fill="auto"/>
                  <w:noWrap/>
                  <w:vAlign w:val="center"/>
                </w:tcPr>
                <w:p w14:paraId="29E21B3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99" w:type="dxa"/>
                  <w:shd w:val="clear" w:color="auto" w:fill="auto"/>
                  <w:noWrap/>
                  <w:vAlign w:val="center"/>
                </w:tcPr>
                <w:p w14:paraId="1D0421B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筛分</w:t>
                  </w:r>
                </w:p>
              </w:tc>
              <w:tc>
                <w:tcPr>
                  <w:tcW w:w="764" w:type="dxa"/>
                  <w:shd w:val="clear" w:color="auto" w:fill="auto"/>
                  <w:noWrap/>
                  <w:vAlign w:val="center"/>
                </w:tcPr>
                <w:p w14:paraId="5BF249D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14.268 </w:t>
                  </w:r>
                </w:p>
              </w:tc>
              <w:tc>
                <w:tcPr>
                  <w:tcW w:w="890" w:type="dxa"/>
                  <w:vMerge w:val="continue"/>
                  <w:shd w:val="clear" w:color="auto" w:fill="auto"/>
                  <w:vAlign w:val="center"/>
                </w:tcPr>
                <w:p w14:paraId="7F79AD2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32" w:type="dxa"/>
                  <w:shd w:val="clear" w:color="auto" w:fill="auto"/>
                  <w:noWrap/>
                  <w:vAlign w:val="center"/>
                </w:tcPr>
                <w:p w14:paraId="599CA29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90.4 </w:t>
                  </w:r>
                </w:p>
              </w:tc>
              <w:tc>
                <w:tcPr>
                  <w:tcW w:w="647" w:type="dxa"/>
                  <w:vMerge w:val="continue"/>
                  <w:shd w:val="clear" w:color="auto" w:fill="auto"/>
                  <w:vAlign w:val="center"/>
                </w:tcPr>
                <w:p w14:paraId="02F5616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42" w:type="dxa"/>
                  <w:vMerge w:val="continue"/>
                  <w:shd w:val="clear" w:color="auto" w:fill="auto"/>
                  <w:vAlign w:val="center"/>
                </w:tcPr>
                <w:p w14:paraId="1F82B8B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69" w:type="dxa"/>
                  <w:shd w:val="clear" w:color="auto" w:fill="auto"/>
                  <w:vAlign w:val="center"/>
                </w:tcPr>
                <w:p w14:paraId="52FC4CD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0.057 </w:t>
                  </w:r>
                </w:p>
              </w:tc>
              <w:tc>
                <w:tcPr>
                  <w:tcW w:w="711" w:type="dxa"/>
                  <w:vMerge w:val="continue"/>
                  <w:shd w:val="clear" w:color="auto" w:fill="auto"/>
                  <w:vAlign w:val="center"/>
                </w:tcPr>
                <w:p w14:paraId="6F61598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749" w:type="dxa"/>
                  <w:shd w:val="clear" w:color="auto" w:fill="auto"/>
                  <w:vAlign w:val="center"/>
                </w:tcPr>
                <w:p w14:paraId="0E8F163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0.452 </w:t>
                  </w:r>
                </w:p>
              </w:tc>
              <w:tc>
                <w:tcPr>
                  <w:tcW w:w="834" w:type="dxa"/>
                  <w:shd w:val="clear" w:color="auto" w:fill="auto"/>
                  <w:vAlign w:val="center"/>
                </w:tcPr>
                <w:p w14:paraId="590BBCE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89.948 </w:t>
                  </w:r>
                </w:p>
              </w:tc>
            </w:tr>
            <w:tr w14:paraId="2EA24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25" w:type="dxa"/>
                  <w:vMerge w:val="continue"/>
                  <w:shd w:val="clear" w:color="auto" w:fill="auto"/>
                  <w:noWrap/>
                  <w:vAlign w:val="center"/>
                </w:tcPr>
                <w:p w14:paraId="46ADE0B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99" w:type="dxa"/>
                  <w:shd w:val="clear" w:color="auto" w:fill="auto"/>
                  <w:noWrap/>
                  <w:vAlign w:val="center"/>
                </w:tcPr>
                <w:p w14:paraId="684FE1A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色选</w:t>
                  </w:r>
                </w:p>
              </w:tc>
              <w:tc>
                <w:tcPr>
                  <w:tcW w:w="764" w:type="dxa"/>
                  <w:shd w:val="clear" w:color="auto" w:fill="auto"/>
                  <w:noWrap/>
                  <w:vAlign w:val="center"/>
                </w:tcPr>
                <w:p w14:paraId="584F6D6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2.854 </w:t>
                  </w:r>
                </w:p>
              </w:tc>
              <w:tc>
                <w:tcPr>
                  <w:tcW w:w="890" w:type="dxa"/>
                  <w:vMerge w:val="continue"/>
                  <w:shd w:val="clear" w:color="auto" w:fill="auto"/>
                  <w:vAlign w:val="center"/>
                </w:tcPr>
                <w:p w14:paraId="40738DF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32" w:type="dxa"/>
                  <w:shd w:val="clear" w:color="auto" w:fill="auto"/>
                  <w:noWrap/>
                  <w:vAlign w:val="center"/>
                </w:tcPr>
                <w:p w14:paraId="12A48AD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18.08</w:t>
                  </w:r>
                </w:p>
              </w:tc>
              <w:tc>
                <w:tcPr>
                  <w:tcW w:w="647" w:type="dxa"/>
                  <w:vMerge w:val="continue"/>
                  <w:shd w:val="clear" w:color="auto" w:fill="auto"/>
                  <w:vAlign w:val="center"/>
                </w:tcPr>
                <w:p w14:paraId="6E0D9EB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42" w:type="dxa"/>
                  <w:vMerge w:val="continue"/>
                  <w:shd w:val="clear" w:color="auto" w:fill="auto"/>
                  <w:vAlign w:val="center"/>
                </w:tcPr>
                <w:p w14:paraId="5C0BC0D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69" w:type="dxa"/>
                  <w:shd w:val="clear" w:color="auto" w:fill="auto"/>
                  <w:vAlign w:val="center"/>
                </w:tcPr>
                <w:p w14:paraId="1DD75E0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0.011</w:t>
                  </w:r>
                </w:p>
              </w:tc>
              <w:tc>
                <w:tcPr>
                  <w:tcW w:w="711" w:type="dxa"/>
                  <w:vMerge w:val="continue"/>
                  <w:shd w:val="clear" w:color="auto" w:fill="auto"/>
                  <w:vAlign w:val="center"/>
                </w:tcPr>
                <w:p w14:paraId="6762DB5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749" w:type="dxa"/>
                  <w:shd w:val="clear" w:color="auto" w:fill="auto"/>
                  <w:vAlign w:val="center"/>
                </w:tcPr>
                <w:p w14:paraId="25A2EDD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0.09</w:t>
                  </w:r>
                </w:p>
              </w:tc>
              <w:tc>
                <w:tcPr>
                  <w:tcW w:w="834" w:type="dxa"/>
                  <w:shd w:val="clear" w:color="auto" w:fill="auto"/>
                  <w:vAlign w:val="center"/>
                </w:tcPr>
                <w:p w14:paraId="296821E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17.99</w:t>
                  </w:r>
                </w:p>
              </w:tc>
            </w:tr>
            <w:tr w14:paraId="1071C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25" w:type="dxa"/>
                  <w:vMerge w:val="continue"/>
                  <w:shd w:val="clear" w:color="auto" w:fill="auto"/>
                  <w:noWrap/>
                  <w:vAlign w:val="center"/>
                </w:tcPr>
                <w:p w14:paraId="1CB662B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99" w:type="dxa"/>
                  <w:shd w:val="clear" w:color="auto" w:fill="auto"/>
                  <w:noWrap/>
                  <w:vAlign w:val="center"/>
                </w:tcPr>
                <w:p w14:paraId="48FA7ED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产品仓</w:t>
                  </w:r>
                </w:p>
              </w:tc>
              <w:tc>
                <w:tcPr>
                  <w:tcW w:w="764" w:type="dxa"/>
                  <w:shd w:val="clear" w:color="auto" w:fill="auto"/>
                  <w:noWrap/>
                  <w:vAlign w:val="center"/>
                </w:tcPr>
                <w:p w14:paraId="22B67F9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4.168 </w:t>
                  </w:r>
                </w:p>
              </w:tc>
              <w:tc>
                <w:tcPr>
                  <w:tcW w:w="890" w:type="dxa"/>
                  <w:vMerge w:val="continue"/>
                  <w:shd w:val="clear" w:color="auto" w:fill="auto"/>
                  <w:vAlign w:val="center"/>
                </w:tcPr>
                <w:p w14:paraId="2E43D1F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32" w:type="dxa"/>
                  <w:shd w:val="clear" w:color="auto" w:fill="auto"/>
                  <w:noWrap/>
                  <w:vAlign w:val="center"/>
                </w:tcPr>
                <w:p w14:paraId="780B2A8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12.00</w:t>
                  </w:r>
                  <w:r>
                    <w:rPr>
                      <w:rFonts w:hint="eastAsia" w:cs="Times New Roman"/>
                      <w:i w:val="0"/>
                      <w:iCs w:val="0"/>
                      <w:color w:val="auto"/>
                      <w:kern w:val="0"/>
                      <w:sz w:val="18"/>
                      <w:szCs w:val="18"/>
                      <w:highlight w:val="none"/>
                      <w:u w:val="none"/>
                      <w:lang w:val="en-US" w:eastAsia="zh-CN" w:bidi="ar"/>
                    </w:rPr>
                    <w:t>5</w:t>
                  </w:r>
                  <w:r>
                    <w:rPr>
                      <w:rFonts w:hint="eastAsia" w:ascii="Times New Roman" w:hAnsi="Times New Roman" w:eastAsia="宋体" w:cs="Times New Roman"/>
                      <w:i w:val="0"/>
                      <w:iCs w:val="0"/>
                      <w:color w:val="auto"/>
                      <w:kern w:val="0"/>
                      <w:sz w:val="18"/>
                      <w:szCs w:val="18"/>
                      <w:highlight w:val="none"/>
                      <w:u w:val="none"/>
                      <w:lang w:val="en-US" w:eastAsia="zh-CN" w:bidi="ar"/>
                    </w:rPr>
                    <w:t xml:space="preserve"> </w:t>
                  </w:r>
                </w:p>
              </w:tc>
              <w:tc>
                <w:tcPr>
                  <w:tcW w:w="647" w:type="dxa"/>
                  <w:vMerge w:val="continue"/>
                  <w:shd w:val="clear" w:color="auto" w:fill="auto"/>
                  <w:vAlign w:val="center"/>
                </w:tcPr>
                <w:p w14:paraId="7C9F622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42" w:type="dxa"/>
                  <w:vMerge w:val="continue"/>
                  <w:shd w:val="clear" w:color="auto" w:fill="auto"/>
                  <w:vAlign w:val="center"/>
                </w:tcPr>
                <w:p w14:paraId="2EB967E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69" w:type="dxa"/>
                  <w:shd w:val="clear" w:color="auto" w:fill="auto"/>
                  <w:vAlign w:val="center"/>
                </w:tcPr>
                <w:p w14:paraId="4DBB54F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0.017 </w:t>
                  </w:r>
                </w:p>
              </w:tc>
              <w:tc>
                <w:tcPr>
                  <w:tcW w:w="711" w:type="dxa"/>
                  <w:vMerge w:val="continue"/>
                  <w:shd w:val="clear" w:color="auto" w:fill="auto"/>
                  <w:vAlign w:val="center"/>
                </w:tcPr>
                <w:p w14:paraId="2637250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749" w:type="dxa"/>
                  <w:shd w:val="clear" w:color="auto" w:fill="auto"/>
                  <w:vAlign w:val="center"/>
                </w:tcPr>
                <w:p w14:paraId="294CC7E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0.06</w:t>
                  </w:r>
                </w:p>
              </w:tc>
              <w:tc>
                <w:tcPr>
                  <w:tcW w:w="834" w:type="dxa"/>
                  <w:shd w:val="clear" w:color="auto" w:fill="auto"/>
                  <w:vAlign w:val="center"/>
                </w:tcPr>
                <w:p w14:paraId="3AC98EC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11.942 </w:t>
                  </w:r>
                </w:p>
              </w:tc>
            </w:tr>
            <w:tr w14:paraId="438A0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625" w:type="dxa"/>
                  <w:vMerge w:val="continue"/>
                  <w:shd w:val="clear" w:color="auto" w:fill="auto"/>
                  <w:noWrap/>
                  <w:vAlign w:val="center"/>
                </w:tcPr>
                <w:p w14:paraId="1A842E4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99" w:type="dxa"/>
                  <w:shd w:val="clear" w:color="auto" w:fill="auto"/>
                  <w:noWrap/>
                  <w:vAlign w:val="center"/>
                </w:tcPr>
                <w:p w14:paraId="5FB838C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包装</w:t>
                  </w:r>
                </w:p>
              </w:tc>
              <w:tc>
                <w:tcPr>
                  <w:tcW w:w="764" w:type="dxa"/>
                  <w:shd w:val="clear" w:color="auto" w:fill="auto"/>
                  <w:noWrap/>
                  <w:vAlign w:val="center"/>
                </w:tcPr>
                <w:p w14:paraId="359FA55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0.032 </w:t>
                  </w:r>
                </w:p>
              </w:tc>
              <w:tc>
                <w:tcPr>
                  <w:tcW w:w="890" w:type="dxa"/>
                  <w:vMerge w:val="continue"/>
                  <w:shd w:val="clear" w:color="auto" w:fill="auto"/>
                  <w:vAlign w:val="center"/>
                </w:tcPr>
                <w:p w14:paraId="0D37AE1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32" w:type="dxa"/>
                  <w:shd w:val="clear" w:color="auto" w:fill="auto"/>
                  <w:noWrap/>
                  <w:vAlign w:val="center"/>
                </w:tcPr>
                <w:p w14:paraId="3A89735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 xml:space="preserve">0.092 </w:t>
                  </w:r>
                </w:p>
              </w:tc>
              <w:tc>
                <w:tcPr>
                  <w:tcW w:w="647" w:type="dxa"/>
                  <w:vMerge w:val="continue"/>
                  <w:shd w:val="clear" w:color="auto" w:fill="auto"/>
                  <w:vAlign w:val="center"/>
                </w:tcPr>
                <w:p w14:paraId="2E725CE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42" w:type="dxa"/>
                  <w:vMerge w:val="continue"/>
                  <w:shd w:val="clear" w:color="auto" w:fill="auto"/>
                  <w:vAlign w:val="center"/>
                </w:tcPr>
                <w:p w14:paraId="7980A9E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69" w:type="dxa"/>
                  <w:shd w:val="clear" w:color="auto" w:fill="auto"/>
                  <w:vAlign w:val="center"/>
                </w:tcPr>
                <w:p w14:paraId="116BA38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0.000</w:t>
                  </w:r>
                  <w:r>
                    <w:rPr>
                      <w:rFonts w:hint="eastAsia" w:cs="Times New Roman"/>
                      <w:i w:val="0"/>
                      <w:iCs w:val="0"/>
                      <w:color w:val="auto"/>
                      <w:kern w:val="0"/>
                      <w:sz w:val="18"/>
                      <w:szCs w:val="18"/>
                      <w:highlight w:val="none"/>
                      <w:u w:val="none"/>
                      <w:lang w:val="en-US" w:eastAsia="zh-CN" w:bidi="ar"/>
                    </w:rPr>
                    <w:t>1</w:t>
                  </w:r>
                </w:p>
              </w:tc>
              <w:tc>
                <w:tcPr>
                  <w:tcW w:w="711" w:type="dxa"/>
                  <w:vMerge w:val="continue"/>
                  <w:shd w:val="clear" w:color="auto" w:fill="auto"/>
                  <w:vAlign w:val="center"/>
                </w:tcPr>
                <w:p w14:paraId="5037D3D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749" w:type="dxa"/>
                  <w:shd w:val="clear" w:color="auto" w:fill="auto"/>
                  <w:vAlign w:val="center"/>
                </w:tcPr>
                <w:p w14:paraId="75CC7E6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0.000</w:t>
                  </w:r>
                  <w:r>
                    <w:rPr>
                      <w:rFonts w:hint="eastAsia" w:cs="Times New Roman"/>
                      <w:i w:val="0"/>
                      <w:iCs w:val="0"/>
                      <w:color w:val="auto"/>
                      <w:kern w:val="0"/>
                      <w:sz w:val="18"/>
                      <w:szCs w:val="18"/>
                      <w:highlight w:val="none"/>
                      <w:u w:val="none"/>
                      <w:lang w:val="en-US" w:eastAsia="zh-CN" w:bidi="ar"/>
                    </w:rPr>
                    <w:t>3</w:t>
                  </w:r>
                  <w:r>
                    <w:rPr>
                      <w:rFonts w:hint="eastAsia" w:ascii="Times New Roman" w:hAnsi="Times New Roman" w:eastAsia="宋体" w:cs="Times New Roman"/>
                      <w:i w:val="0"/>
                      <w:iCs w:val="0"/>
                      <w:color w:val="auto"/>
                      <w:kern w:val="0"/>
                      <w:sz w:val="18"/>
                      <w:szCs w:val="18"/>
                      <w:highlight w:val="none"/>
                      <w:u w:val="none"/>
                      <w:lang w:val="en-US" w:eastAsia="zh-CN" w:bidi="ar"/>
                    </w:rPr>
                    <w:t xml:space="preserve"> </w:t>
                  </w:r>
                </w:p>
              </w:tc>
              <w:tc>
                <w:tcPr>
                  <w:tcW w:w="834" w:type="dxa"/>
                  <w:shd w:val="clear" w:color="auto" w:fill="auto"/>
                  <w:vAlign w:val="center"/>
                </w:tcPr>
                <w:p w14:paraId="52A4DD0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0.092 </w:t>
                  </w:r>
                </w:p>
              </w:tc>
            </w:tr>
            <w:tr w14:paraId="6B738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424" w:type="dxa"/>
                  <w:gridSpan w:val="2"/>
                  <w:shd w:val="clear" w:color="auto" w:fill="auto"/>
                  <w:noWrap/>
                  <w:vAlign w:val="center"/>
                </w:tcPr>
                <w:p w14:paraId="118CDEF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合计</w:t>
                  </w:r>
                </w:p>
              </w:tc>
              <w:tc>
                <w:tcPr>
                  <w:tcW w:w="764" w:type="dxa"/>
                  <w:shd w:val="clear" w:color="auto" w:fill="auto"/>
                  <w:noWrap/>
                  <w:vAlign w:val="center"/>
                </w:tcPr>
                <w:p w14:paraId="6BCC16DC">
                  <w:pPr>
                    <w:keepNext w:val="0"/>
                    <w:keepLines w:val="0"/>
                    <w:widowControl/>
                    <w:suppressLineNumbers w:val="0"/>
                    <w:spacing w:before="0" w:beforeAutospacing="0" w:after="0" w:afterAutospacing="0"/>
                    <w:ind w:left="0" w:right="0"/>
                    <w:jc w:val="right"/>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75.957 </w:t>
                  </w:r>
                </w:p>
              </w:tc>
              <w:tc>
                <w:tcPr>
                  <w:tcW w:w="890" w:type="dxa"/>
                  <w:shd w:val="clear" w:color="auto" w:fill="auto"/>
                  <w:noWrap/>
                  <w:vAlign w:val="center"/>
                </w:tcPr>
                <w:p w14:paraId="66542B8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32" w:type="dxa"/>
                  <w:shd w:val="clear" w:color="auto" w:fill="auto"/>
                  <w:noWrap/>
                  <w:vAlign w:val="center"/>
                </w:tcPr>
                <w:p w14:paraId="1D92963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319.838</w:t>
                  </w:r>
                </w:p>
              </w:tc>
              <w:tc>
                <w:tcPr>
                  <w:tcW w:w="647" w:type="dxa"/>
                  <w:shd w:val="clear" w:color="auto" w:fill="auto"/>
                  <w:noWrap/>
                  <w:vAlign w:val="center"/>
                </w:tcPr>
                <w:p w14:paraId="7F38739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642" w:type="dxa"/>
                  <w:shd w:val="clear" w:color="auto" w:fill="auto"/>
                  <w:noWrap/>
                  <w:vAlign w:val="center"/>
                </w:tcPr>
                <w:p w14:paraId="148DCCB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869" w:type="dxa"/>
                  <w:shd w:val="clear" w:color="auto" w:fill="auto"/>
                  <w:noWrap/>
                  <w:vAlign w:val="center"/>
                </w:tcPr>
                <w:p w14:paraId="60CB85B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0.</w:t>
                  </w:r>
                  <w:r>
                    <w:rPr>
                      <w:rFonts w:hint="eastAsia" w:cs="Times New Roman"/>
                      <w:i w:val="0"/>
                      <w:iCs w:val="0"/>
                      <w:color w:val="auto"/>
                      <w:kern w:val="0"/>
                      <w:sz w:val="18"/>
                      <w:szCs w:val="18"/>
                      <w:highlight w:val="none"/>
                      <w:u w:val="none"/>
                      <w:lang w:val="en-US" w:eastAsia="zh-CN" w:bidi="ar"/>
                    </w:rPr>
                    <w:t>304</w:t>
                  </w:r>
                  <w:r>
                    <w:rPr>
                      <w:rFonts w:hint="eastAsia" w:ascii="Times New Roman" w:hAnsi="Times New Roman" w:eastAsia="宋体" w:cs="Times New Roman"/>
                      <w:i w:val="0"/>
                      <w:iCs w:val="0"/>
                      <w:color w:val="auto"/>
                      <w:kern w:val="0"/>
                      <w:sz w:val="18"/>
                      <w:szCs w:val="18"/>
                      <w:highlight w:val="none"/>
                      <w:u w:val="none"/>
                      <w:lang w:val="en-US" w:eastAsia="zh-CN" w:bidi="ar"/>
                    </w:rPr>
                    <w:t xml:space="preserve"> </w:t>
                  </w:r>
                </w:p>
              </w:tc>
              <w:tc>
                <w:tcPr>
                  <w:tcW w:w="711" w:type="dxa"/>
                  <w:shd w:val="clear" w:color="auto" w:fill="auto"/>
                  <w:noWrap/>
                  <w:vAlign w:val="center"/>
                </w:tcPr>
                <w:p w14:paraId="4860ABE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p>
              </w:tc>
              <w:tc>
                <w:tcPr>
                  <w:tcW w:w="749" w:type="dxa"/>
                  <w:shd w:val="clear" w:color="auto" w:fill="auto"/>
                  <w:noWrap/>
                  <w:vAlign w:val="center"/>
                </w:tcPr>
                <w:p w14:paraId="5E6039B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1.</w:t>
                  </w:r>
                  <w:r>
                    <w:rPr>
                      <w:rFonts w:hint="eastAsia" w:cs="Times New Roman"/>
                      <w:i w:val="0"/>
                      <w:iCs w:val="0"/>
                      <w:color w:val="auto"/>
                      <w:kern w:val="0"/>
                      <w:sz w:val="18"/>
                      <w:szCs w:val="18"/>
                      <w:highlight w:val="none"/>
                      <w:u w:val="none"/>
                      <w:lang w:val="en-US" w:eastAsia="zh-CN" w:bidi="ar"/>
                    </w:rPr>
                    <w:t>599</w:t>
                  </w:r>
                  <w:r>
                    <w:rPr>
                      <w:rFonts w:hint="eastAsia" w:ascii="Times New Roman" w:hAnsi="Times New Roman" w:eastAsia="宋体" w:cs="Times New Roman"/>
                      <w:i w:val="0"/>
                      <w:iCs w:val="0"/>
                      <w:color w:val="auto"/>
                      <w:kern w:val="0"/>
                      <w:sz w:val="18"/>
                      <w:szCs w:val="18"/>
                      <w:highlight w:val="none"/>
                      <w:u w:val="none"/>
                      <w:lang w:val="en-US" w:eastAsia="zh-CN" w:bidi="ar"/>
                    </w:rPr>
                    <w:t xml:space="preserve"> </w:t>
                  </w:r>
                </w:p>
              </w:tc>
              <w:tc>
                <w:tcPr>
                  <w:tcW w:w="834" w:type="dxa"/>
                  <w:shd w:val="clear" w:color="auto" w:fill="auto"/>
                  <w:noWrap/>
                  <w:vAlign w:val="center"/>
                </w:tcPr>
                <w:p w14:paraId="5925DFF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318.239</w:t>
                  </w:r>
                  <w:r>
                    <w:rPr>
                      <w:rFonts w:hint="eastAsia" w:ascii="Times New Roman" w:hAnsi="Times New Roman" w:eastAsia="宋体" w:cs="Times New Roman"/>
                      <w:i w:val="0"/>
                      <w:iCs w:val="0"/>
                      <w:color w:val="auto"/>
                      <w:kern w:val="0"/>
                      <w:sz w:val="18"/>
                      <w:szCs w:val="18"/>
                      <w:highlight w:val="none"/>
                      <w:u w:val="none"/>
                      <w:lang w:val="en-US" w:eastAsia="zh-CN" w:bidi="ar"/>
                    </w:rPr>
                    <w:t xml:space="preserve"> </w:t>
                  </w:r>
                </w:p>
              </w:tc>
            </w:tr>
          </w:tbl>
          <w:p w14:paraId="04C491C4">
            <w:pPr>
              <w:keepNext w:val="0"/>
              <w:keepLines w:val="0"/>
              <w:suppressLineNumbers w:val="0"/>
              <w:spacing w:before="0" w:beforeAutospacing="0" w:after="0" w:afterAutospacing="0" w:line="360" w:lineRule="auto"/>
              <w:ind w:left="0" w:right="0" w:firstLine="480" w:firstLineChars="200"/>
              <w:rPr>
                <w:rFonts w:ascii="Calibri" w:hAnsi="Calibri" w:eastAsia="宋体" w:cs="Times New Roman"/>
                <w:color w:val="auto"/>
                <w:sz w:val="24"/>
                <w:highlight w:val="none"/>
                <w:shd w:val="clear" w:color="auto" w:fill="auto"/>
              </w:rPr>
            </w:pPr>
            <w:r>
              <w:rPr>
                <w:rFonts w:hint="eastAsia" w:ascii="Calibri" w:hAnsi="Calibri" w:eastAsia="宋体" w:cs="Times New Roman"/>
                <w:color w:val="auto"/>
                <w:sz w:val="24"/>
                <w:highlight w:val="none"/>
                <w:shd w:val="clear" w:color="auto" w:fill="auto"/>
                <w:lang w:eastAsia="zh-CN"/>
              </w:rPr>
              <w:t>本</w:t>
            </w:r>
            <w:r>
              <w:rPr>
                <w:rFonts w:ascii="Calibri" w:hAnsi="Calibri" w:eastAsia="宋体" w:cs="Times New Roman"/>
                <w:color w:val="auto"/>
                <w:sz w:val="24"/>
                <w:highlight w:val="none"/>
                <w:shd w:val="clear" w:color="auto" w:fill="auto"/>
              </w:rPr>
              <w:t>项目</w:t>
            </w:r>
            <w:r>
              <w:rPr>
                <w:rFonts w:hint="eastAsia" w:ascii="Calibri" w:hAnsi="Calibri" w:cs="Times New Roman"/>
                <w:color w:val="auto"/>
                <w:sz w:val="24"/>
                <w:highlight w:val="none"/>
                <w:shd w:val="clear" w:color="auto" w:fill="auto"/>
                <w:lang w:val="en-US" w:eastAsia="zh-CN"/>
              </w:rPr>
              <w:t>5#</w:t>
            </w:r>
            <w:r>
              <w:rPr>
                <w:rFonts w:hint="eastAsia" w:ascii="Calibri" w:hAnsi="Calibri" w:cs="Times New Roman"/>
                <w:color w:val="auto"/>
                <w:sz w:val="24"/>
                <w:highlight w:val="none"/>
                <w:shd w:val="clear" w:color="auto" w:fill="auto"/>
                <w:lang w:eastAsia="zh-CN"/>
              </w:rPr>
              <w:t>生产线</w:t>
            </w:r>
            <w:r>
              <w:rPr>
                <w:rFonts w:ascii="Calibri" w:hAnsi="Calibri" w:eastAsia="宋体" w:cs="Times New Roman"/>
                <w:color w:val="auto"/>
                <w:sz w:val="24"/>
                <w:highlight w:val="none"/>
                <w:shd w:val="clear" w:color="auto" w:fill="auto"/>
              </w:rPr>
              <w:t>无组织</w:t>
            </w:r>
            <w:r>
              <w:rPr>
                <w:rFonts w:hint="eastAsia" w:ascii="Calibri" w:hAnsi="Calibri" w:eastAsia="宋体" w:cs="Times New Roman"/>
                <w:color w:val="auto"/>
                <w:sz w:val="24"/>
                <w:highlight w:val="none"/>
                <w:shd w:val="clear" w:color="auto" w:fill="auto"/>
                <w:lang w:eastAsia="zh-CN"/>
              </w:rPr>
              <w:t>废气</w:t>
            </w:r>
            <w:r>
              <w:rPr>
                <w:rFonts w:ascii="Calibri" w:hAnsi="Calibri" w:eastAsia="宋体" w:cs="Times New Roman"/>
                <w:color w:val="auto"/>
                <w:sz w:val="24"/>
                <w:highlight w:val="none"/>
                <w:shd w:val="clear" w:color="auto" w:fill="auto"/>
              </w:rPr>
              <w:t>产排情况详见</w:t>
            </w:r>
            <w:r>
              <w:rPr>
                <w:rFonts w:hint="eastAsia" w:ascii="Calibri" w:hAnsi="Calibri" w:eastAsia="宋体" w:cs="Times New Roman"/>
                <w:color w:val="auto"/>
                <w:sz w:val="24"/>
                <w:highlight w:val="none"/>
                <w:shd w:val="clear" w:color="auto" w:fill="auto"/>
                <w:lang w:val="en-US" w:eastAsia="zh-CN"/>
              </w:rPr>
              <w:t>表</w:t>
            </w:r>
            <w:r>
              <w:rPr>
                <w:rFonts w:hint="eastAsia" w:ascii="Calibri" w:hAnsi="Calibri" w:cs="Times New Roman"/>
                <w:color w:val="auto"/>
                <w:sz w:val="24"/>
                <w:highlight w:val="none"/>
                <w:shd w:val="clear" w:color="auto" w:fill="auto"/>
                <w:lang w:val="en-US" w:eastAsia="zh-CN"/>
              </w:rPr>
              <w:t>4-9</w:t>
            </w:r>
            <w:r>
              <w:rPr>
                <w:rFonts w:ascii="Calibri" w:hAnsi="Calibri" w:eastAsia="宋体" w:cs="Times New Roman"/>
                <w:color w:val="auto"/>
                <w:sz w:val="24"/>
                <w:highlight w:val="none"/>
                <w:shd w:val="clear" w:color="auto" w:fill="auto"/>
              </w:rPr>
              <w:t>。</w:t>
            </w:r>
          </w:p>
          <w:p w14:paraId="0EC07839">
            <w:pPr>
              <w:keepNext w:val="0"/>
              <w:keepLines w:val="0"/>
              <w:suppressLineNumbers w:val="0"/>
              <w:spacing w:before="0" w:beforeAutospacing="0" w:after="0" w:afterAutospacing="0" w:line="360" w:lineRule="auto"/>
              <w:ind w:left="0" w:right="0"/>
              <w:jc w:val="center"/>
              <w:rPr>
                <w:rFonts w:ascii="Calibri" w:hAnsi="Calibri" w:eastAsia="宋体" w:cs="Times New Roman"/>
                <w:color w:val="auto"/>
                <w:sz w:val="24"/>
                <w:highlight w:val="none"/>
                <w:shd w:val="clear" w:color="auto" w:fill="auto"/>
              </w:rPr>
            </w:pPr>
            <w:r>
              <w:rPr>
                <w:rFonts w:ascii="Calibri" w:hAnsi="Calibri" w:eastAsia="宋体" w:cs="Times New Roman"/>
                <w:color w:val="auto"/>
                <w:sz w:val="24"/>
                <w:highlight w:val="none"/>
                <w:shd w:val="clear" w:color="auto" w:fill="auto"/>
              </w:rPr>
              <w:t>表</w:t>
            </w:r>
            <w:r>
              <w:rPr>
                <w:rFonts w:hint="eastAsia" w:ascii="Calibri" w:hAnsi="Calibri" w:cs="Times New Roman"/>
                <w:color w:val="auto"/>
                <w:sz w:val="24"/>
                <w:highlight w:val="none"/>
                <w:shd w:val="clear" w:color="auto" w:fill="auto"/>
                <w:lang w:val="en-US" w:eastAsia="zh-CN"/>
              </w:rPr>
              <w:t>4-7</w:t>
            </w:r>
            <w:r>
              <w:rPr>
                <w:rFonts w:ascii="Calibri" w:hAnsi="Calibri" w:eastAsia="宋体" w:cs="Times New Roman"/>
                <w:color w:val="auto"/>
                <w:sz w:val="24"/>
                <w:highlight w:val="none"/>
                <w:shd w:val="clear" w:color="auto" w:fill="auto"/>
              </w:rPr>
              <w:t xml:space="preserve">  </w:t>
            </w:r>
            <w:r>
              <w:rPr>
                <w:rFonts w:hint="eastAsia" w:ascii="Calibri" w:hAnsi="Calibri" w:eastAsia="宋体" w:cs="Times New Roman"/>
                <w:color w:val="auto"/>
                <w:sz w:val="24"/>
                <w:highlight w:val="none"/>
                <w:shd w:val="clear" w:color="auto" w:fill="auto"/>
                <w:lang w:val="en-US" w:eastAsia="zh-CN"/>
              </w:rPr>
              <w:t>项目</w:t>
            </w:r>
            <w:r>
              <w:rPr>
                <w:rFonts w:hint="eastAsia" w:ascii="Calibri" w:hAnsi="Calibri" w:cs="Times New Roman"/>
                <w:color w:val="auto"/>
                <w:sz w:val="24"/>
                <w:highlight w:val="none"/>
                <w:shd w:val="clear" w:color="auto" w:fill="auto"/>
                <w:lang w:val="en-US" w:eastAsia="zh-CN"/>
              </w:rPr>
              <w:t>5#</w:t>
            </w:r>
            <w:r>
              <w:rPr>
                <w:rFonts w:hint="eastAsia" w:ascii="Calibri" w:hAnsi="Calibri" w:cs="Times New Roman"/>
                <w:color w:val="auto"/>
                <w:sz w:val="24"/>
                <w:highlight w:val="none"/>
                <w:shd w:val="clear" w:color="auto" w:fill="auto"/>
                <w:lang w:eastAsia="zh-CN"/>
              </w:rPr>
              <w:t>生产线</w:t>
            </w:r>
            <w:r>
              <w:rPr>
                <w:rFonts w:ascii="Calibri" w:hAnsi="Calibri" w:eastAsia="宋体" w:cs="Times New Roman"/>
                <w:color w:val="auto"/>
                <w:sz w:val="24"/>
                <w:highlight w:val="none"/>
                <w:shd w:val="clear" w:color="auto" w:fill="auto"/>
              </w:rPr>
              <w:t>颗粒物</w:t>
            </w:r>
            <w:r>
              <w:rPr>
                <w:rFonts w:hint="eastAsia" w:ascii="Calibri" w:hAnsi="Calibri" w:cs="Times New Roman"/>
                <w:color w:val="auto"/>
                <w:sz w:val="24"/>
                <w:highlight w:val="none"/>
                <w:shd w:val="clear" w:color="auto" w:fill="auto"/>
                <w:lang w:eastAsia="zh-CN"/>
              </w:rPr>
              <w:t>无</w:t>
            </w:r>
            <w:r>
              <w:rPr>
                <w:rFonts w:ascii="Calibri" w:hAnsi="Calibri" w:eastAsia="宋体" w:cs="Times New Roman"/>
                <w:color w:val="auto"/>
                <w:sz w:val="24"/>
                <w:highlight w:val="none"/>
                <w:shd w:val="clear" w:color="auto" w:fill="auto"/>
              </w:rPr>
              <w:t>组织产排情况</w:t>
            </w:r>
          </w:p>
          <w:tbl>
            <w:tblPr>
              <w:tblStyle w:val="25"/>
              <w:tblW w:w="499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17"/>
              <w:gridCol w:w="1169"/>
              <w:gridCol w:w="1027"/>
              <w:gridCol w:w="1089"/>
              <w:gridCol w:w="956"/>
              <w:gridCol w:w="1125"/>
              <w:gridCol w:w="1074"/>
              <w:gridCol w:w="1012"/>
            </w:tblGrid>
            <w:tr w14:paraId="0715F8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246" w:type="pct"/>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507841A">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污染源</w:t>
                  </w:r>
                </w:p>
              </w:tc>
              <w:tc>
                <w:tcPr>
                  <w:tcW w:w="61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C93133B">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产生</w:t>
                  </w:r>
                  <w:r>
                    <w:rPr>
                      <w:rFonts w:hint="default" w:ascii="Times New Roman" w:hAnsi="Times New Roman" w:eastAsia="宋体" w:cs="Times New Roman"/>
                      <w:i w:val="0"/>
                      <w:iCs w:val="0"/>
                      <w:color w:val="auto"/>
                      <w:kern w:val="0"/>
                      <w:sz w:val="18"/>
                      <w:szCs w:val="18"/>
                      <w:highlight w:val="none"/>
                      <w:u w:val="none"/>
                      <w:lang w:val="en-US" w:eastAsia="zh-CN" w:bidi="ar"/>
                    </w:rPr>
                    <w:br w:type="textWrapping"/>
                  </w:r>
                  <w:r>
                    <w:rPr>
                      <w:rFonts w:hint="default" w:ascii="Times New Roman" w:hAnsi="Times New Roman" w:eastAsia="宋体" w:cs="Times New Roman"/>
                      <w:i w:val="0"/>
                      <w:iCs w:val="0"/>
                      <w:color w:val="auto"/>
                      <w:kern w:val="0"/>
                      <w:sz w:val="18"/>
                      <w:szCs w:val="18"/>
                      <w:highlight w:val="none"/>
                      <w:u w:val="none"/>
                      <w:lang w:val="en-US" w:eastAsia="zh-CN" w:bidi="ar"/>
                    </w:rPr>
                    <w:t>速率</w:t>
                  </w:r>
                  <w:r>
                    <w:rPr>
                      <w:rFonts w:hint="default" w:ascii="Times New Roman" w:hAnsi="Times New Roman" w:eastAsia="宋体" w:cs="Times New Roman"/>
                      <w:i w:val="0"/>
                      <w:iCs w:val="0"/>
                      <w:color w:val="auto"/>
                      <w:kern w:val="0"/>
                      <w:sz w:val="18"/>
                      <w:szCs w:val="18"/>
                      <w:highlight w:val="none"/>
                      <w:u w:val="none"/>
                      <w:lang w:val="en-US" w:eastAsia="zh-CN" w:bidi="ar"/>
                    </w:rPr>
                    <w:br w:type="textWrapping"/>
                  </w:r>
                  <w:r>
                    <w:rPr>
                      <w:rFonts w:hint="default" w:ascii="Times New Roman" w:hAnsi="Times New Roman" w:eastAsia="宋体" w:cs="Times New Roman"/>
                      <w:i w:val="0"/>
                      <w:iCs w:val="0"/>
                      <w:color w:val="auto"/>
                      <w:kern w:val="0"/>
                      <w:sz w:val="18"/>
                      <w:szCs w:val="18"/>
                      <w:highlight w:val="none"/>
                      <w:u w:val="none"/>
                      <w:lang w:val="en-US" w:eastAsia="zh-CN" w:bidi="ar"/>
                    </w:rPr>
                    <w:t>(kg/h)</w:t>
                  </w:r>
                </w:p>
              </w:tc>
              <w:tc>
                <w:tcPr>
                  <w:tcW w:w="65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C075F65">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产生量（t/a）</w:t>
                  </w:r>
                </w:p>
              </w:tc>
              <w:tc>
                <w:tcPr>
                  <w:tcW w:w="57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7285E64">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沉降率（%）</w:t>
                  </w:r>
                </w:p>
              </w:tc>
              <w:tc>
                <w:tcPr>
                  <w:tcW w:w="67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D552C0E">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沉降灰（t/a）</w:t>
                  </w:r>
                </w:p>
              </w:tc>
              <w:tc>
                <w:tcPr>
                  <w:tcW w:w="64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0307536">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排放速率（kg/h）</w:t>
                  </w:r>
                </w:p>
              </w:tc>
              <w:tc>
                <w:tcPr>
                  <w:tcW w:w="60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A76A48D">
                  <w:pPr>
                    <w:keepNext w:val="0"/>
                    <w:keepLines w:val="0"/>
                    <w:widowControl/>
                    <w:suppressLineNumbers w:val="0"/>
                    <w:spacing w:before="0" w:beforeAutospacing="0" w:after="0" w:afterAutospacing="0"/>
                    <w:ind w:left="0" w:right="0"/>
                    <w:jc w:val="center"/>
                    <w:textAlignment w:val="bottom"/>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年排放量（t/a）</w:t>
                  </w:r>
                </w:p>
              </w:tc>
            </w:tr>
            <w:tr w14:paraId="35196D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246"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98908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F9679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2D7D5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C5493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7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135C5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6BDEF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B989D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r>
            <w:tr w14:paraId="33FC31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246"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3B76D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1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CCB0B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09526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7E6D6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7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34B49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6B3B6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0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59E32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r>
            <w:tr w14:paraId="059D49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4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10D71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sz w:val="18"/>
                      <w:szCs w:val="18"/>
                      <w:highlight w:val="none"/>
                      <w:u w:val="none"/>
                    </w:rPr>
                  </w:pPr>
                  <w:r>
                    <w:rPr>
                      <w:rFonts w:hint="eastAsia" w:cs="Times New Roman"/>
                      <w:i w:val="0"/>
                      <w:iCs w:val="0"/>
                      <w:color w:val="auto"/>
                      <w:sz w:val="18"/>
                      <w:szCs w:val="18"/>
                      <w:highlight w:val="none"/>
                      <w:u w:val="none"/>
                      <w:lang w:val="en-US" w:eastAsia="zh-CN"/>
                    </w:rPr>
                    <w:t>2#原料库房</w:t>
                  </w:r>
                  <w:r>
                    <w:rPr>
                      <w:rFonts w:hint="eastAsia" w:cs="Times New Roman"/>
                      <w:i w:val="0"/>
                      <w:iCs w:val="0"/>
                      <w:color w:val="auto"/>
                      <w:kern w:val="2"/>
                      <w:sz w:val="18"/>
                      <w:szCs w:val="18"/>
                      <w:highlight w:val="none"/>
                      <w:u w:val="none"/>
                      <w:lang w:val="en-US" w:eastAsia="zh-CN" w:bidi="ar-SA"/>
                    </w:rPr>
                    <w:t>、</w:t>
                  </w:r>
                  <w:r>
                    <w:rPr>
                      <w:rFonts w:hint="eastAsia" w:cs="Times New Roman"/>
                      <w:i w:val="0"/>
                      <w:iCs w:val="0"/>
                      <w:color w:val="auto"/>
                      <w:kern w:val="0"/>
                      <w:sz w:val="18"/>
                      <w:szCs w:val="18"/>
                      <w:highlight w:val="none"/>
                      <w:u w:val="none"/>
                      <w:lang w:val="en-US" w:eastAsia="zh-CN" w:bidi="ar"/>
                    </w:rPr>
                    <w:t>5</w:t>
                  </w:r>
                  <w:r>
                    <w:rPr>
                      <w:rFonts w:hint="default" w:ascii="Times New Roman" w:hAnsi="Times New Roman" w:eastAsia="宋体" w:cs="Times New Roman"/>
                      <w:i w:val="0"/>
                      <w:iCs w:val="0"/>
                      <w:color w:val="auto"/>
                      <w:kern w:val="0"/>
                      <w:sz w:val="18"/>
                      <w:szCs w:val="18"/>
                      <w:highlight w:val="none"/>
                      <w:u w:val="none"/>
                      <w:lang w:val="en-US" w:eastAsia="zh-CN" w:bidi="ar"/>
                    </w:rPr>
                    <w:t>#生产线</w:t>
                  </w:r>
                </w:p>
              </w:tc>
              <w:tc>
                <w:tcPr>
                  <w:tcW w:w="6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5E0B3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卸料</w:t>
                  </w:r>
                </w:p>
              </w:tc>
              <w:tc>
                <w:tcPr>
                  <w:tcW w:w="6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96D61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0.48</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00FA8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eastAsia" w:cs="Times New Roman"/>
                      <w:i w:val="0"/>
                      <w:iCs w:val="0"/>
                      <w:color w:val="auto"/>
                      <w:kern w:val="0"/>
                      <w:sz w:val="18"/>
                      <w:szCs w:val="18"/>
                      <w:highlight w:val="none"/>
                      <w:u w:val="none"/>
                      <w:lang w:val="en-US" w:eastAsia="zh-CN" w:bidi="ar"/>
                    </w:rPr>
                    <w:t>1.206</w:t>
                  </w:r>
                  <w:r>
                    <w:rPr>
                      <w:rFonts w:hint="default" w:ascii="Times New Roman" w:hAnsi="Times New Roman" w:eastAsia="宋体" w:cs="Times New Roman"/>
                      <w:i w:val="0"/>
                      <w:iCs w:val="0"/>
                      <w:color w:val="auto"/>
                      <w:kern w:val="0"/>
                      <w:sz w:val="18"/>
                      <w:szCs w:val="18"/>
                      <w:highlight w:val="none"/>
                      <w:u w:val="none"/>
                      <w:lang w:val="en-US" w:eastAsia="zh-CN" w:bidi="ar"/>
                    </w:rPr>
                    <w:t xml:space="preserve"> </w:t>
                  </w:r>
                </w:p>
              </w:tc>
              <w:tc>
                <w:tcPr>
                  <w:tcW w:w="57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95FF2C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lang w:val="en-US"/>
                    </w:rPr>
                  </w:pPr>
                  <w:r>
                    <w:rPr>
                      <w:rFonts w:hint="default" w:ascii="Times New Roman" w:hAnsi="Times New Roman" w:eastAsia="宋体" w:cs="Times New Roman"/>
                      <w:i w:val="0"/>
                      <w:iCs w:val="0"/>
                      <w:color w:val="auto"/>
                      <w:kern w:val="0"/>
                      <w:sz w:val="18"/>
                      <w:szCs w:val="18"/>
                      <w:highlight w:val="none"/>
                      <w:u w:val="none"/>
                      <w:lang w:val="en-US" w:eastAsia="zh-CN" w:bidi="ar"/>
                    </w:rPr>
                    <w:t>0.8</w:t>
                  </w:r>
                </w:p>
              </w:tc>
              <w:tc>
                <w:tcPr>
                  <w:tcW w:w="6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70F4A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eastAsia" w:cs="Times New Roman"/>
                      <w:i w:val="0"/>
                      <w:iCs w:val="0"/>
                      <w:color w:val="auto"/>
                      <w:kern w:val="0"/>
                      <w:sz w:val="18"/>
                      <w:szCs w:val="18"/>
                      <w:highlight w:val="none"/>
                      <w:u w:val="none"/>
                      <w:lang w:val="en-US" w:eastAsia="zh-CN" w:bidi="ar"/>
                    </w:rPr>
                    <w:t>0.964</w:t>
                  </w:r>
                  <w:r>
                    <w:rPr>
                      <w:rFonts w:hint="default" w:ascii="Times New Roman" w:hAnsi="Times New Roman" w:eastAsia="宋体" w:cs="Times New Roman"/>
                      <w:i w:val="0"/>
                      <w:iCs w:val="0"/>
                      <w:color w:val="auto"/>
                      <w:kern w:val="0"/>
                      <w:sz w:val="18"/>
                      <w:szCs w:val="18"/>
                      <w:highlight w:val="none"/>
                      <w:u w:val="none"/>
                      <w:lang w:val="en-US" w:eastAsia="zh-CN" w:bidi="ar"/>
                    </w:rPr>
                    <w:t xml:space="preserve"> </w:t>
                  </w:r>
                </w:p>
              </w:tc>
              <w:tc>
                <w:tcPr>
                  <w:tcW w:w="6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6B3F6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0.096 </w:t>
                  </w:r>
                </w:p>
              </w:tc>
              <w:tc>
                <w:tcPr>
                  <w:tcW w:w="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7174A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lang w:val="en-US"/>
                    </w:rPr>
                  </w:pPr>
                  <w:r>
                    <w:rPr>
                      <w:rFonts w:hint="default" w:ascii="Times New Roman" w:hAnsi="Times New Roman" w:eastAsia="宋体" w:cs="Times New Roman"/>
                      <w:i w:val="0"/>
                      <w:iCs w:val="0"/>
                      <w:color w:val="auto"/>
                      <w:kern w:val="0"/>
                      <w:sz w:val="18"/>
                      <w:szCs w:val="18"/>
                      <w:highlight w:val="none"/>
                      <w:u w:val="none"/>
                      <w:lang w:val="en-US" w:eastAsia="zh-CN" w:bidi="ar"/>
                    </w:rPr>
                    <w:t>0.</w:t>
                  </w:r>
                  <w:r>
                    <w:rPr>
                      <w:rFonts w:hint="eastAsia" w:cs="Times New Roman"/>
                      <w:i w:val="0"/>
                      <w:iCs w:val="0"/>
                      <w:color w:val="auto"/>
                      <w:kern w:val="0"/>
                      <w:sz w:val="18"/>
                      <w:szCs w:val="18"/>
                      <w:highlight w:val="none"/>
                      <w:u w:val="none"/>
                      <w:lang w:val="en-US" w:eastAsia="zh-CN" w:bidi="ar"/>
                    </w:rPr>
                    <w:t>241</w:t>
                  </w:r>
                </w:p>
              </w:tc>
            </w:tr>
            <w:tr w14:paraId="4587DF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4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24A60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i w:val="0"/>
                      <w:iCs w:val="0"/>
                      <w:color w:val="auto"/>
                      <w:kern w:val="2"/>
                      <w:sz w:val="18"/>
                      <w:szCs w:val="18"/>
                      <w:highlight w:val="none"/>
                      <w:u w:val="none"/>
                      <w:lang w:val="en-US" w:eastAsia="zh-CN" w:bidi="ar-SA"/>
                    </w:rPr>
                  </w:pPr>
                </w:p>
              </w:tc>
              <w:tc>
                <w:tcPr>
                  <w:tcW w:w="6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8479A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上料</w:t>
                  </w:r>
                </w:p>
              </w:tc>
              <w:tc>
                <w:tcPr>
                  <w:tcW w:w="6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5E328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0.48</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EE788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0.401 </w:t>
                  </w:r>
                </w:p>
              </w:tc>
              <w:tc>
                <w:tcPr>
                  <w:tcW w:w="5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881EC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F3F6D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0.321 </w:t>
                  </w:r>
                </w:p>
              </w:tc>
              <w:tc>
                <w:tcPr>
                  <w:tcW w:w="6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01E9D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0.096 </w:t>
                  </w:r>
                </w:p>
              </w:tc>
              <w:tc>
                <w:tcPr>
                  <w:tcW w:w="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3AD7D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0.08</w:t>
                  </w:r>
                </w:p>
              </w:tc>
            </w:tr>
            <w:tr w14:paraId="5A5996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4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2C3A9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19734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eastAsia" w:cs="Times New Roman"/>
                      <w:i w:val="0"/>
                      <w:iCs w:val="0"/>
                      <w:color w:val="auto"/>
                      <w:kern w:val="0"/>
                      <w:sz w:val="18"/>
                      <w:szCs w:val="18"/>
                      <w:highlight w:val="none"/>
                      <w:u w:val="none"/>
                      <w:lang w:val="en-US" w:eastAsia="zh-CN" w:bidi="ar"/>
                    </w:rPr>
                    <w:t>颚破</w:t>
                  </w:r>
                </w:p>
              </w:tc>
              <w:tc>
                <w:tcPr>
                  <w:tcW w:w="6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BAB55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6.278 </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AD324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22.6</w:t>
                  </w:r>
                </w:p>
              </w:tc>
              <w:tc>
                <w:tcPr>
                  <w:tcW w:w="5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8F3EC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97757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18.08</w:t>
                  </w:r>
                </w:p>
              </w:tc>
              <w:tc>
                <w:tcPr>
                  <w:tcW w:w="6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71453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1.256 </w:t>
                  </w:r>
                </w:p>
              </w:tc>
              <w:tc>
                <w:tcPr>
                  <w:tcW w:w="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1AD3B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4.520 </w:t>
                  </w:r>
                </w:p>
              </w:tc>
            </w:tr>
            <w:tr w14:paraId="294438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4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E75F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E4AB4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中间仓</w:t>
                  </w:r>
                </w:p>
              </w:tc>
              <w:tc>
                <w:tcPr>
                  <w:tcW w:w="6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64F09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0.835 </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FB94E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3.008 </w:t>
                  </w:r>
                </w:p>
              </w:tc>
              <w:tc>
                <w:tcPr>
                  <w:tcW w:w="5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FFB00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215D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2.406 </w:t>
                  </w:r>
                </w:p>
              </w:tc>
              <w:tc>
                <w:tcPr>
                  <w:tcW w:w="6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69D39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0.167 </w:t>
                  </w:r>
                </w:p>
              </w:tc>
              <w:tc>
                <w:tcPr>
                  <w:tcW w:w="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8A520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0.602 </w:t>
                  </w:r>
                </w:p>
              </w:tc>
            </w:tr>
            <w:tr w14:paraId="3D77A4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4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20AD8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72A72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锤破</w:t>
                  </w:r>
                </w:p>
              </w:tc>
              <w:tc>
                <w:tcPr>
                  <w:tcW w:w="6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C3573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2.854 </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FE2CB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22.6</w:t>
                  </w:r>
                </w:p>
              </w:tc>
              <w:tc>
                <w:tcPr>
                  <w:tcW w:w="5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09C3B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39D34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18.08</w:t>
                  </w:r>
                </w:p>
              </w:tc>
              <w:tc>
                <w:tcPr>
                  <w:tcW w:w="6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C8CD2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0.571 </w:t>
                  </w:r>
                </w:p>
              </w:tc>
              <w:tc>
                <w:tcPr>
                  <w:tcW w:w="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EAC0A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4.52</w:t>
                  </w:r>
                </w:p>
              </w:tc>
            </w:tr>
            <w:tr w14:paraId="2D86D9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4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9D29D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9526F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筛分</w:t>
                  </w:r>
                </w:p>
              </w:tc>
              <w:tc>
                <w:tcPr>
                  <w:tcW w:w="6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4B5EC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2.854 </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21022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22.6</w:t>
                  </w:r>
                </w:p>
              </w:tc>
              <w:tc>
                <w:tcPr>
                  <w:tcW w:w="5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F1381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A4F9A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18.08</w:t>
                  </w:r>
                </w:p>
              </w:tc>
              <w:tc>
                <w:tcPr>
                  <w:tcW w:w="6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B17A0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0.571 </w:t>
                  </w:r>
                </w:p>
              </w:tc>
              <w:tc>
                <w:tcPr>
                  <w:tcW w:w="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FDC53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4.520</w:t>
                  </w:r>
                </w:p>
              </w:tc>
            </w:tr>
            <w:tr w14:paraId="212036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4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3DCEB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79F82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色选</w:t>
                  </w:r>
                </w:p>
              </w:tc>
              <w:tc>
                <w:tcPr>
                  <w:tcW w:w="6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303D6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0.571</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14D43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4.52</w:t>
                  </w:r>
                </w:p>
              </w:tc>
              <w:tc>
                <w:tcPr>
                  <w:tcW w:w="5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F5612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E5FB4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3.616</w:t>
                  </w:r>
                </w:p>
              </w:tc>
              <w:tc>
                <w:tcPr>
                  <w:tcW w:w="6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B57A7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0.114</w:t>
                  </w:r>
                </w:p>
              </w:tc>
              <w:tc>
                <w:tcPr>
                  <w:tcW w:w="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60C35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0.904</w:t>
                  </w:r>
                </w:p>
              </w:tc>
            </w:tr>
            <w:tr w14:paraId="3FA3FD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4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25D68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AFA38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产品仓</w:t>
                  </w:r>
                </w:p>
              </w:tc>
              <w:tc>
                <w:tcPr>
                  <w:tcW w:w="6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BD20B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0.83</w:t>
                  </w:r>
                  <w:r>
                    <w:rPr>
                      <w:rFonts w:hint="eastAsia" w:cs="Times New Roman"/>
                      <w:i w:val="0"/>
                      <w:iCs w:val="0"/>
                      <w:color w:val="auto"/>
                      <w:kern w:val="0"/>
                      <w:sz w:val="18"/>
                      <w:szCs w:val="18"/>
                      <w:highlight w:val="none"/>
                      <w:u w:val="none"/>
                      <w:lang w:val="en-US" w:eastAsia="zh-CN" w:bidi="ar"/>
                    </w:rPr>
                    <w:t>4</w:t>
                  </w:r>
                  <w:r>
                    <w:rPr>
                      <w:rFonts w:hint="default" w:ascii="Times New Roman" w:hAnsi="Times New Roman" w:eastAsia="宋体" w:cs="Times New Roman"/>
                      <w:i w:val="0"/>
                      <w:iCs w:val="0"/>
                      <w:color w:val="auto"/>
                      <w:kern w:val="0"/>
                      <w:sz w:val="18"/>
                      <w:szCs w:val="18"/>
                      <w:highlight w:val="none"/>
                      <w:u w:val="none"/>
                      <w:lang w:val="en-US" w:eastAsia="zh-CN" w:bidi="ar"/>
                    </w:rPr>
                    <w:t xml:space="preserve"> </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B1BB2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lang w:val="en-US"/>
                    </w:rPr>
                  </w:pPr>
                  <w:r>
                    <w:rPr>
                      <w:rFonts w:hint="default" w:ascii="Times New Roman" w:hAnsi="Times New Roman" w:eastAsia="宋体" w:cs="Times New Roman"/>
                      <w:i w:val="0"/>
                      <w:iCs w:val="0"/>
                      <w:color w:val="auto"/>
                      <w:kern w:val="0"/>
                      <w:sz w:val="18"/>
                      <w:szCs w:val="18"/>
                      <w:highlight w:val="none"/>
                      <w:u w:val="none"/>
                      <w:lang w:val="en-US" w:eastAsia="zh-CN" w:bidi="ar"/>
                    </w:rPr>
                    <w:t>3</w:t>
                  </w:r>
                  <w:r>
                    <w:rPr>
                      <w:rFonts w:hint="eastAsia" w:cs="Times New Roman"/>
                      <w:i w:val="0"/>
                      <w:iCs w:val="0"/>
                      <w:color w:val="auto"/>
                      <w:kern w:val="0"/>
                      <w:sz w:val="18"/>
                      <w:szCs w:val="18"/>
                      <w:highlight w:val="none"/>
                      <w:u w:val="none"/>
                      <w:lang w:val="en-US" w:eastAsia="zh-CN" w:bidi="ar"/>
                    </w:rPr>
                    <w:t>.001</w:t>
                  </w:r>
                </w:p>
              </w:tc>
              <w:tc>
                <w:tcPr>
                  <w:tcW w:w="5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22A31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1DD15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lang w:val="en-US"/>
                    </w:rPr>
                  </w:pPr>
                  <w:r>
                    <w:rPr>
                      <w:rFonts w:hint="default" w:ascii="Times New Roman" w:hAnsi="Times New Roman" w:eastAsia="宋体" w:cs="Times New Roman"/>
                      <w:i w:val="0"/>
                      <w:iCs w:val="0"/>
                      <w:color w:val="auto"/>
                      <w:kern w:val="0"/>
                      <w:sz w:val="18"/>
                      <w:szCs w:val="18"/>
                      <w:highlight w:val="none"/>
                      <w:u w:val="none"/>
                      <w:lang w:val="en-US" w:eastAsia="zh-CN" w:bidi="ar"/>
                    </w:rPr>
                    <w:t>2.4</w:t>
                  </w:r>
                  <w:r>
                    <w:rPr>
                      <w:rFonts w:hint="eastAsia" w:cs="Times New Roman"/>
                      <w:i w:val="0"/>
                      <w:iCs w:val="0"/>
                      <w:color w:val="auto"/>
                      <w:kern w:val="0"/>
                      <w:sz w:val="18"/>
                      <w:szCs w:val="18"/>
                      <w:highlight w:val="none"/>
                      <w:u w:val="none"/>
                      <w:lang w:val="en-US" w:eastAsia="zh-CN" w:bidi="ar"/>
                    </w:rPr>
                    <w:t>01</w:t>
                  </w:r>
                </w:p>
              </w:tc>
              <w:tc>
                <w:tcPr>
                  <w:tcW w:w="6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989F3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0.167 </w:t>
                  </w:r>
                </w:p>
              </w:tc>
              <w:tc>
                <w:tcPr>
                  <w:tcW w:w="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9037F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0.6</w:t>
                  </w:r>
                </w:p>
              </w:tc>
            </w:tr>
            <w:tr w14:paraId="73D722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54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A4FE8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E2F6A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包装</w:t>
                  </w:r>
                </w:p>
              </w:tc>
              <w:tc>
                <w:tcPr>
                  <w:tcW w:w="61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3FEBB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0.006 </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207A7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0.023 </w:t>
                  </w:r>
                </w:p>
              </w:tc>
              <w:tc>
                <w:tcPr>
                  <w:tcW w:w="5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9B079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5894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0.018 </w:t>
                  </w:r>
                </w:p>
              </w:tc>
              <w:tc>
                <w:tcPr>
                  <w:tcW w:w="64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339D7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0.001 </w:t>
                  </w:r>
                </w:p>
              </w:tc>
              <w:tc>
                <w:tcPr>
                  <w:tcW w:w="60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FD88C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0.005 </w:t>
                  </w:r>
                </w:p>
              </w:tc>
            </w:tr>
            <w:tr w14:paraId="33D0A3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246"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50EDCA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合计</w:t>
                  </w:r>
                </w:p>
              </w:tc>
              <w:tc>
                <w:tcPr>
                  <w:tcW w:w="10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E756D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15.191 </w:t>
                  </w:r>
                </w:p>
              </w:tc>
              <w:tc>
                <w:tcPr>
                  <w:tcW w:w="108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9B839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79.960 </w:t>
                  </w:r>
                </w:p>
              </w:tc>
              <w:tc>
                <w:tcPr>
                  <w:tcW w:w="9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A0886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11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A624C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63.968 </w:t>
                  </w:r>
                </w:p>
              </w:tc>
              <w:tc>
                <w:tcPr>
                  <w:tcW w:w="10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666FB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3.038 </w:t>
                  </w:r>
                </w:p>
              </w:tc>
              <w:tc>
                <w:tcPr>
                  <w:tcW w:w="10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62AA3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15.992 </w:t>
                  </w:r>
                </w:p>
              </w:tc>
            </w:tr>
          </w:tbl>
          <w:p w14:paraId="0B2FF24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textAlignment w:val="auto"/>
              <w:rPr>
                <w:rFonts w:hint="eastAsia" w:cs="Times New Roman"/>
                <w:color w:val="auto"/>
                <w:sz w:val="24"/>
                <w:szCs w:val="24"/>
                <w:highlight w:val="none"/>
                <w:shd w:val="clear" w:color="auto" w:fill="auto"/>
                <w:lang w:eastAsia="zh-CN"/>
              </w:rPr>
            </w:pPr>
          </w:p>
          <w:p w14:paraId="79D3FD0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cs="Times New Roman"/>
                <w:color w:val="auto"/>
                <w:sz w:val="24"/>
                <w:szCs w:val="24"/>
                <w:highlight w:val="none"/>
                <w:shd w:val="clear" w:color="auto" w:fill="auto"/>
                <w:lang w:eastAsia="zh-CN"/>
              </w:rPr>
            </w:pPr>
            <w:r>
              <w:rPr>
                <w:rFonts w:hint="eastAsia" w:cs="Times New Roman"/>
                <w:color w:val="auto"/>
                <w:sz w:val="24"/>
                <w:szCs w:val="24"/>
                <w:highlight w:val="none"/>
                <w:shd w:val="clear" w:color="auto" w:fill="auto"/>
                <w:lang w:val="en-US" w:eastAsia="zh-CN"/>
              </w:rPr>
              <w:t>2#原料库房、5#</w:t>
            </w:r>
            <w:r>
              <w:rPr>
                <w:rFonts w:hint="eastAsia" w:cs="Times New Roman"/>
                <w:color w:val="auto"/>
                <w:sz w:val="24"/>
                <w:szCs w:val="24"/>
                <w:highlight w:val="none"/>
                <w:shd w:val="clear" w:color="auto" w:fill="auto"/>
                <w:lang w:eastAsia="zh-CN"/>
              </w:rPr>
              <w:t>生产线</w:t>
            </w:r>
            <w:r>
              <w:rPr>
                <w:rFonts w:hint="eastAsia" w:ascii="Calibri" w:hAnsi="Calibri" w:eastAsia="宋体" w:cs="Times New Roman"/>
                <w:color w:val="auto"/>
                <w:sz w:val="24"/>
                <w:highlight w:val="none"/>
                <w:shd w:val="clear" w:color="auto" w:fill="auto"/>
                <w:lang w:eastAsia="zh-CN"/>
              </w:rPr>
              <w:t>生产</w:t>
            </w:r>
            <w:r>
              <w:rPr>
                <w:rFonts w:hint="eastAsia" w:ascii="Times New Roman" w:hAnsi="Times New Roman" w:eastAsia="宋体" w:cs="Times New Roman"/>
                <w:color w:val="auto"/>
                <w:sz w:val="24"/>
                <w:highlight w:val="none"/>
                <w:shd w:val="clear" w:color="auto" w:fill="auto"/>
                <w:lang w:val="en-US" w:eastAsia="zh-CN"/>
              </w:rPr>
              <w:t>废气经除尘器净化后统一由1根15m高排气筒（DA00</w:t>
            </w:r>
            <w:r>
              <w:rPr>
                <w:rFonts w:hint="eastAsia" w:cs="Times New Roman"/>
                <w:color w:val="auto"/>
                <w:sz w:val="24"/>
                <w:highlight w:val="none"/>
                <w:shd w:val="clear" w:color="auto" w:fill="auto"/>
                <w:lang w:val="en-US" w:eastAsia="zh-CN"/>
              </w:rPr>
              <w:t>4</w:t>
            </w:r>
            <w:r>
              <w:rPr>
                <w:rFonts w:hint="eastAsia" w:ascii="Times New Roman" w:hAnsi="Times New Roman" w:eastAsia="宋体" w:cs="Times New Roman"/>
                <w:color w:val="auto"/>
                <w:sz w:val="24"/>
                <w:highlight w:val="none"/>
                <w:shd w:val="clear" w:color="auto" w:fill="auto"/>
                <w:lang w:val="en-US" w:eastAsia="zh-CN"/>
              </w:rPr>
              <w:t>）有组织排放，</w:t>
            </w:r>
            <w:r>
              <w:rPr>
                <w:rFonts w:hint="eastAsia" w:ascii="Times New Roman" w:hAnsi="Times New Roman" w:eastAsia="宋体" w:cs="Times New Roman"/>
                <w:color w:val="auto"/>
                <w:sz w:val="24"/>
                <w:szCs w:val="24"/>
                <w:highlight w:val="none"/>
                <w:shd w:val="clear" w:color="auto" w:fill="auto"/>
                <w:lang w:val="en-US" w:eastAsia="zh-CN"/>
              </w:rPr>
              <w:t>有组织排放浓度</w:t>
            </w:r>
            <w:r>
              <w:rPr>
                <w:rFonts w:hint="eastAsia" w:cs="Times New Roman"/>
                <w:color w:val="auto"/>
                <w:sz w:val="24"/>
                <w:szCs w:val="24"/>
                <w:highlight w:val="none"/>
                <w:shd w:val="clear" w:color="auto" w:fill="auto"/>
                <w:lang w:val="en-US" w:eastAsia="zh-CN"/>
              </w:rPr>
              <w:t>22.175</w:t>
            </w:r>
            <w:r>
              <w:rPr>
                <w:rFonts w:hint="eastAsia" w:ascii="宋体" w:hAnsi="宋体" w:eastAsia="宋体" w:cs="宋体"/>
                <w:i w:val="0"/>
                <w:iCs w:val="0"/>
                <w:color w:val="auto"/>
                <w:kern w:val="0"/>
                <w:sz w:val="24"/>
                <w:szCs w:val="24"/>
                <w:highlight w:val="none"/>
                <w:u w:val="none"/>
                <w:lang w:val="en-US" w:eastAsia="zh-CN" w:bidi="ar"/>
              </w:rPr>
              <w:t>mg/m</w:t>
            </w:r>
            <w:r>
              <w:rPr>
                <w:rFonts w:hint="eastAsia" w:ascii="宋体" w:hAnsi="宋体" w:eastAsia="宋体" w:cs="宋体"/>
                <w:i w:val="0"/>
                <w:iCs w:val="0"/>
                <w:color w:val="auto"/>
                <w:kern w:val="0"/>
                <w:sz w:val="24"/>
                <w:szCs w:val="24"/>
                <w:highlight w:val="none"/>
                <w:u w:val="none"/>
                <w:vertAlign w:val="superscript"/>
                <w:lang w:val="en-US" w:eastAsia="zh-CN" w:bidi="ar"/>
              </w:rPr>
              <w:t>3</w:t>
            </w:r>
            <w:r>
              <w:rPr>
                <w:rFonts w:hint="eastAsia" w:cs="Times New Roman"/>
                <w:color w:val="auto"/>
                <w:sz w:val="24"/>
                <w:szCs w:val="24"/>
                <w:highlight w:val="none"/>
                <w:shd w:val="clear" w:color="auto" w:fill="auto"/>
                <w:lang w:eastAsia="zh-CN"/>
              </w:rPr>
              <w:t>。</w:t>
            </w:r>
          </w:p>
          <w:p w14:paraId="5E7E5CF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cs="Times New Roman"/>
                <w:color w:val="auto"/>
                <w:sz w:val="24"/>
                <w:szCs w:val="24"/>
                <w:highlight w:val="none"/>
                <w:shd w:val="clear" w:color="auto" w:fill="auto"/>
                <w:lang w:eastAsia="zh-CN"/>
              </w:rPr>
            </w:pPr>
            <w:r>
              <w:rPr>
                <w:rFonts w:hint="eastAsia" w:cs="Times New Roman"/>
                <w:color w:val="auto"/>
                <w:sz w:val="24"/>
                <w:szCs w:val="24"/>
                <w:highlight w:val="none"/>
                <w:shd w:val="clear" w:color="auto" w:fill="auto"/>
                <w:lang w:eastAsia="zh-CN"/>
              </w:rPr>
              <w:t>本项目</w:t>
            </w:r>
            <w:r>
              <w:rPr>
                <w:rFonts w:hint="eastAsia" w:ascii="Times New Roman" w:hAnsi="Times New Roman" w:eastAsia="宋体" w:cs="Times New Roman"/>
                <w:color w:val="auto"/>
                <w:sz w:val="24"/>
                <w:szCs w:val="24"/>
                <w:highlight w:val="none"/>
                <w:shd w:val="clear" w:color="auto" w:fill="auto"/>
                <w:lang w:eastAsia="zh-CN"/>
              </w:rPr>
              <w:t>无组织颗粒物</w:t>
            </w:r>
            <w:r>
              <w:rPr>
                <w:rFonts w:hint="eastAsia" w:cs="Times New Roman"/>
                <w:color w:val="auto"/>
                <w:sz w:val="24"/>
                <w:szCs w:val="24"/>
                <w:highlight w:val="none"/>
                <w:shd w:val="clear" w:color="auto" w:fill="auto"/>
                <w:lang w:eastAsia="zh-CN"/>
              </w:rPr>
              <w:t>控制</w:t>
            </w:r>
            <w:r>
              <w:rPr>
                <w:rFonts w:hint="eastAsia" w:ascii="Times New Roman" w:hAnsi="Times New Roman" w:eastAsia="宋体" w:cs="Times New Roman"/>
                <w:color w:val="auto"/>
                <w:sz w:val="24"/>
                <w:szCs w:val="24"/>
                <w:highlight w:val="none"/>
                <w:shd w:val="clear" w:color="auto" w:fill="auto"/>
                <w:lang w:eastAsia="zh-CN"/>
              </w:rPr>
              <w:t>采取封闭厂房，原料库及生产车间安装电动门，封闭输送，沉降粉尘定期由吸尘车回收，厂区进行地面硬化，道路洒水抑尘，加强精细化管理，控制无组织粉尘污染</w:t>
            </w:r>
            <w:r>
              <w:rPr>
                <w:rFonts w:hint="eastAsia" w:cs="Times New Roman"/>
                <w:color w:val="auto"/>
                <w:sz w:val="24"/>
                <w:szCs w:val="24"/>
                <w:highlight w:val="none"/>
                <w:shd w:val="clear" w:color="auto" w:fill="auto"/>
                <w:lang w:eastAsia="zh-CN"/>
              </w:rPr>
              <w:t>，满足</w:t>
            </w:r>
            <w:r>
              <w:rPr>
                <w:rFonts w:hint="default" w:ascii="Calibri" w:hAnsi="Calibri" w:eastAsia="宋体" w:cs="Times New Roman"/>
                <w:color w:val="auto"/>
                <w:sz w:val="24"/>
                <w:szCs w:val="24"/>
                <w:highlight w:val="none"/>
              </w:rPr>
              <w:t>《镁质耐火材料工业大气污染物排放标准》（DB21/3011-2018）</w:t>
            </w:r>
            <w:r>
              <w:rPr>
                <w:rFonts w:hint="eastAsia" w:ascii="Times New Roman" w:hAnsi="Times New Roman" w:eastAsia="宋体" w:cs="Times New Roman"/>
                <w:color w:val="auto"/>
                <w:sz w:val="24"/>
                <w:szCs w:val="24"/>
                <w:highlight w:val="none"/>
                <w:shd w:val="clear" w:color="auto" w:fill="auto"/>
                <w:lang w:eastAsia="zh-CN"/>
              </w:rPr>
              <w:t>无组织排放控制措施要求</w:t>
            </w:r>
            <w:r>
              <w:rPr>
                <w:rFonts w:hint="eastAsia" w:cs="Times New Roman"/>
                <w:color w:val="auto"/>
                <w:sz w:val="24"/>
                <w:szCs w:val="24"/>
                <w:highlight w:val="none"/>
                <w:shd w:val="clear" w:color="auto" w:fill="auto"/>
                <w:lang w:eastAsia="zh-CN"/>
              </w:rPr>
              <w:t>，对环境影响不大。</w:t>
            </w:r>
          </w:p>
          <w:p w14:paraId="48CB47EF">
            <w:pPr>
              <w:pStyle w:val="16"/>
              <w:keepNext w:val="0"/>
              <w:keepLines w:val="0"/>
              <w:suppressLineNumbers w:val="0"/>
              <w:spacing w:before="0" w:beforeAutospacing="0" w:after="0" w:afterAutospacing="0" w:line="360" w:lineRule="auto"/>
              <w:ind w:left="0" w:right="0"/>
              <w:rPr>
                <w:rFonts w:hint="eastAsia" w:ascii="Times New Roman" w:hAnsi="Times New Roman" w:eastAsia="宋体" w:cs="Times New Roman"/>
                <w:color w:val="auto"/>
                <w:kern w:val="2"/>
                <w:sz w:val="24"/>
                <w:szCs w:val="24"/>
                <w:highlight w:val="none"/>
                <w:shd w:val="clear" w:color="auto" w:fill="auto"/>
                <w:lang w:val="en-US" w:eastAsia="zh-CN" w:bidi="ar-SA"/>
              </w:rPr>
            </w:pPr>
            <w:r>
              <w:rPr>
                <w:rFonts w:hint="eastAsia" w:cs="Times New Roman"/>
                <w:color w:val="auto"/>
                <w:sz w:val="24"/>
                <w:szCs w:val="24"/>
                <w:highlight w:val="none"/>
                <w:shd w:val="clear" w:color="auto" w:fill="auto"/>
                <w:lang w:eastAsia="zh-CN"/>
              </w:rPr>
              <w:t>综上本项目</w:t>
            </w:r>
            <w:r>
              <w:rPr>
                <w:rFonts w:hint="eastAsia" w:cs="Times New Roman"/>
                <w:color w:val="auto"/>
                <w:sz w:val="24"/>
                <w:szCs w:val="24"/>
                <w:highlight w:val="none"/>
                <w:shd w:val="clear" w:color="auto" w:fill="auto"/>
                <w:lang w:val="en-US" w:eastAsia="zh-CN"/>
              </w:rPr>
              <w:t>5#</w:t>
            </w:r>
            <w:r>
              <w:rPr>
                <w:rFonts w:hint="eastAsia" w:cs="Times New Roman"/>
                <w:color w:val="auto"/>
                <w:sz w:val="24"/>
                <w:szCs w:val="24"/>
                <w:highlight w:val="none"/>
                <w:shd w:val="clear" w:color="auto" w:fill="auto"/>
                <w:lang w:eastAsia="zh-CN"/>
              </w:rPr>
              <w:t>生产线排气筒高度；</w:t>
            </w:r>
            <w:r>
              <w:rPr>
                <w:rFonts w:hint="eastAsia" w:ascii="Times New Roman" w:hAnsi="Times New Roman" w:eastAsia="宋体" w:cs="Times New Roman"/>
                <w:color w:val="auto"/>
                <w:sz w:val="24"/>
                <w:szCs w:val="24"/>
                <w:highlight w:val="none"/>
                <w:shd w:val="clear" w:color="auto" w:fill="auto"/>
                <w:lang w:val="en-US" w:eastAsia="zh-CN"/>
              </w:rPr>
              <w:t>有组织及无组织均能</w:t>
            </w:r>
            <w:r>
              <w:rPr>
                <w:rFonts w:ascii="Calibri" w:hAnsi="Calibri" w:eastAsia="宋体" w:cs="Times New Roman"/>
                <w:color w:val="auto"/>
                <w:sz w:val="24"/>
                <w:szCs w:val="24"/>
                <w:highlight w:val="none"/>
                <w:shd w:val="clear" w:color="auto" w:fill="auto"/>
              </w:rPr>
              <w:t>满足</w:t>
            </w:r>
            <w:r>
              <w:rPr>
                <w:rFonts w:hint="default" w:ascii="Calibri" w:hAnsi="Calibri" w:eastAsia="宋体" w:cs="Times New Roman"/>
                <w:color w:val="auto"/>
                <w:sz w:val="24"/>
                <w:szCs w:val="24"/>
                <w:highlight w:val="none"/>
              </w:rPr>
              <w:t>《镁质耐火材料</w:t>
            </w:r>
            <w:r>
              <w:rPr>
                <w:rFonts w:hint="default" w:ascii="Times New Roman" w:hAnsi="Times New Roman" w:eastAsia="宋体" w:cs="Times New Roman"/>
                <w:color w:val="auto"/>
                <w:kern w:val="2"/>
                <w:sz w:val="24"/>
                <w:szCs w:val="24"/>
                <w:highlight w:val="none"/>
                <w:shd w:val="clear" w:color="auto" w:fill="auto"/>
                <w:lang w:val="en-US" w:eastAsia="zh-CN" w:bidi="ar-SA"/>
              </w:rPr>
              <w:t>工业大气污染物排放标准》（DB21/3011-2018）</w:t>
            </w:r>
            <w:r>
              <w:rPr>
                <w:rFonts w:hint="eastAsia" w:ascii="Times New Roman" w:hAnsi="Times New Roman" w:eastAsia="宋体" w:cs="Times New Roman"/>
                <w:color w:val="auto"/>
                <w:kern w:val="2"/>
                <w:sz w:val="24"/>
                <w:szCs w:val="24"/>
                <w:highlight w:val="none"/>
                <w:shd w:val="clear" w:color="auto" w:fill="auto"/>
                <w:lang w:val="en-US" w:eastAsia="zh-CN" w:bidi="ar-SA"/>
              </w:rPr>
              <w:t>要求。</w:t>
            </w:r>
          </w:p>
          <w:p w14:paraId="780CF7EE">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2"/>
                <w:sz w:val="24"/>
                <w:szCs w:val="24"/>
                <w:highlight w:val="none"/>
                <w:shd w:val="clear" w:color="auto" w:fill="auto"/>
                <w:lang w:val="en-US" w:eastAsia="zh-CN" w:bidi="ar-SA"/>
              </w:rPr>
            </w:pPr>
            <w:r>
              <w:rPr>
                <w:rFonts w:hint="eastAsia" w:ascii="Times New Roman" w:hAnsi="Times New Roman" w:eastAsia="宋体" w:cs="Times New Roman"/>
                <w:color w:val="auto"/>
                <w:kern w:val="2"/>
                <w:sz w:val="24"/>
                <w:szCs w:val="24"/>
                <w:highlight w:val="none"/>
                <w:shd w:val="clear" w:color="auto" w:fill="auto"/>
                <w:lang w:val="en-US" w:eastAsia="zh-CN" w:bidi="ar-SA"/>
              </w:rPr>
              <w:t>本项目采用封闭运输，运输车辆出场前进行轮胎清洗，有效减少粉尘产生，厂区内道路</w:t>
            </w:r>
            <w:r>
              <w:rPr>
                <w:rFonts w:hint="eastAsia" w:cs="Times New Roman"/>
                <w:color w:val="auto"/>
                <w:kern w:val="2"/>
                <w:sz w:val="24"/>
                <w:szCs w:val="24"/>
                <w:highlight w:val="none"/>
                <w:shd w:val="clear" w:color="auto" w:fill="auto"/>
                <w:lang w:val="en-US" w:eastAsia="zh-CN" w:bidi="ar-SA"/>
              </w:rPr>
              <w:t>地面硬化</w:t>
            </w:r>
            <w:r>
              <w:rPr>
                <w:rFonts w:hint="eastAsia" w:ascii="Times New Roman" w:hAnsi="Times New Roman" w:eastAsia="宋体" w:cs="Times New Roman"/>
                <w:color w:val="auto"/>
                <w:kern w:val="2"/>
                <w:sz w:val="24"/>
                <w:szCs w:val="24"/>
                <w:highlight w:val="none"/>
                <w:shd w:val="clear" w:color="auto" w:fill="auto"/>
                <w:lang w:val="en-US" w:eastAsia="zh-CN" w:bidi="ar-SA"/>
              </w:rPr>
              <w:t>定期清扫，洒水抑尘，出厂区进入</w:t>
            </w:r>
            <w:r>
              <w:rPr>
                <w:rFonts w:hint="eastAsia" w:cs="Times New Roman"/>
                <w:color w:val="auto"/>
                <w:kern w:val="2"/>
                <w:sz w:val="24"/>
                <w:szCs w:val="24"/>
                <w:highlight w:val="none"/>
                <w:shd w:val="clear" w:color="auto" w:fill="auto"/>
                <w:lang w:val="en-US" w:eastAsia="zh-CN" w:bidi="ar-SA"/>
              </w:rPr>
              <w:t>龙王线</w:t>
            </w:r>
            <w:r>
              <w:rPr>
                <w:rFonts w:hint="eastAsia" w:ascii="Times New Roman" w:hAnsi="Times New Roman" w:eastAsia="宋体" w:cs="Times New Roman"/>
                <w:color w:val="auto"/>
                <w:kern w:val="2"/>
                <w:sz w:val="24"/>
                <w:szCs w:val="24"/>
                <w:highlight w:val="none"/>
                <w:shd w:val="clear" w:color="auto" w:fill="auto"/>
                <w:lang w:val="en-US" w:eastAsia="zh-CN" w:bidi="ar-SA"/>
              </w:rPr>
              <w:t>，直达京哈高速，运输方便，因此产品运输产生的粉尘量较少，对环境影响不大</w:t>
            </w:r>
            <w:r>
              <w:rPr>
                <w:rFonts w:hint="eastAsia" w:cs="Times New Roman"/>
                <w:color w:val="auto"/>
                <w:kern w:val="2"/>
                <w:sz w:val="24"/>
                <w:szCs w:val="24"/>
                <w:highlight w:val="none"/>
                <w:shd w:val="clear" w:color="auto" w:fill="auto"/>
                <w:lang w:val="en-US" w:eastAsia="zh-CN" w:bidi="ar-SA"/>
              </w:rPr>
              <w:t>。</w:t>
            </w:r>
          </w:p>
          <w:p w14:paraId="6738CFE5">
            <w:pPr>
              <w:keepNext w:val="0"/>
              <w:keepLines w:val="0"/>
              <w:suppressLineNumbers w:val="0"/>
              <w:spacing w:before="0" w:beforeAutospacing="0" w:after="0" w:afterAutospacing="0" w:line="360" w:lineRule="auto"/>
              <w:ind w:left="0" w:right="0" w:firstLine="480" w:firstLineChars="200"/>
              <w:rPr>
                <w:rFonts w:hint="eastAsia" w:ascii="Calibri" w:hAnsi="Calibri" w:eastAsia="宋体" w:cs="Times New Roman"/>
                <w:color w:val="auto"/>
                <w:sz w:val="24"/>
                <w:highlight w:val="none"/>
                <w:shd w:val="clear" w:color="auto" w:fill="auto"/>
                <w:lang w:val="en-US" w:eastAsia="zh-CN"/>
              </w:rPr>
            </w:pPr>
            <w:r>
              <w:rPr>
                <w:rFonts w:hint="eastAsia" w:ascii="Calibri" w:hAnsi="Calibri" w:eastAsia="宋体" w:cs="Times New Roman"/>
                <w:color w:val="auto"/>
                <w:sz w:val="24"/>
                <w:highlight w:val="none"/>
                <w:shd w:val="clear" w:color="auto" w:fill="auto"/>
                <w:lang w:eastAsia="zh-CN"/>
              </w:rPr>
              <w:t>本</w:t>
            </w:r>
            <w:r>
              <w:rPr>
                <w:rFonts w:hint="eastAsia" w:ascii="Calibri" w:hAnsi="Calibri" w:cs="Times New Roman"/>
                <w:color w:val="auto"/>
                <w:sz w:val="24"/>
                <w:highlight w:val="none"/>
                <w:shd w:val="clear" w:color="auto" w:fill="auto"/>
                <w:lang w:eastAsia="zh-CN"/>
              </w:rPr>
              <w:t>项目</w:t>
            </w:r>
            <w:r>
              <w:rPr>
                <w:rFonts w:hint="eastAsia" w:ascii="Calibri" w:hAnsi="Calibri" w:eastAsia="宋体" w:cs="Times New Roman"/>
                <w:color w:val="auto"/>
                <w:sz w:val="24"/>
                <w:highlight w:val="none"/>
                <w:shd w:val="clear" w:color="auto" w:fill="auto"/>
                <w:lang w:eastAsia="zh-CN"/>
              </w:rPr>
              <w:t>全厂废气排放</w:t>
            </w:r>
            <w:r>
              <w:rPr>
                <w:rFonts w:ascii="Calibri" w:hAnsi="Calibri" w:eastAsia="宋体" w:cs="Times New Roman"/>
                <w:color w:val="auto"/>
                <w:sz w:val="24"/>
                <w:highlight w:val="none"/>
                <w:shd w:val="clear" w:color="auto" w:fill="auto"/>
              </w:rPr>
              <w:t>情况详见表</w:t>
            </w:r>
            <w:r>
              <w:rPr>
                <w:rFonts w:hint="eastAsia" w:ascii="Calibri" w:hAnsi="Calibri" w:cs="Times New Roman"/>
                <w:color w:val="auto"/>
                <w:sz w:val="24"/>
                <w:highlight w:val="none"/>
                <w:shd w:val="clear" w:color="auto" w:fill="auto"/>
                <w:lang w:val="en-US" w:eastAsia="zh-CN"/>
              </w:rPr>
              <w:t>4-10</w:t>
            </w:r>
            <w:r>
              <w:rPr>
                <w:rFonts w:hint="eastAsia" w:ascii="Calibri" w:hAnsi="Calibri" w:eastAsia="宋体" w:cs="Times New Roman"/>
                <w:color w:val="auto"/>
                <w:sz w:val="24"/>
                <w:highlight w:val="none"/>
                <w:shd w:val="clear" w:color="auto" w:fill="auto"/>
                <w:lang w:val="en-US" w:eastAsia="zh-CN"/>
              </w:rPr>
              <w:t>和表</w:t>
            </w:r>
            <w:r>
              <w:rPr>
                <w:rFonts w:hint="eastAsia" w:ascii="Calibri" w:hAnsi="Calibri" w:cs="Times New Roman"/>
                <w:color w:val="auto"/>
                <w:sz w:val="24"/>
                <w:highlight w:val="none"/>
                <w:shd w:val="clear" w:color="auto" w:fill="auto"/>
                <w:lang w:val="en-US" w:eastAsia="zh-CN"/>
              </w:rPr>
              <w:t>4-11</w:t>
            </w:r>
            <w:r>
              <w:rPr>
                <w:rFonts w:hint="eastAsia" w:ascii="Calibri" w:hAnsi="Calibri" w:eastAsia="宋体" w:cs="Times New Roman"/>
                <w:color w:val="auto"/>
                <w:sz w:val="24"/>
                <w:highlight w:val="none"/>
                <w:shd w:val="clear" w:color="auto" w:fill="auto"/>
                <w:lang w:val="en-US" w:eastAsia="zh-CN"/>
              </w:rPr>
              <w:t>。</w:t>
            </w:r>
          </w:p>
          <w:p w14:paraId="2EA035A9">
            <w:pPr>
              <w:keepNext w:val="0"/>
              <w:keepLines w:val="0"/>
              <w:suppressLineNumbers w:val="0"/>
              <w:spacing w:before="0" w:beforeAutospacing="0" w:after="0" w:afterAutospacing="0" w:line="360" w:lineRule="auto"/>
              <w:ind w:left="0" w:right="0"/>
              <w:jc w:val="center"/>
              <w:rPr>
                <w:rFonts w:ascii="Calibri" w:hAnsi="Calibri" w:eastAsia="宋体" w:cs="Times New Roman"/>
                <w:color w:val="auto"/>
                <w:sz w:val="24"/>
                <w:highlight w:val="none"/>
                <w:shd w:val="clear" w:color="auto" w:fill="auto"/>
              </w:rPr>
            </w:pPr>
            <w:r>
              <w:rPr>
                <w:rFonts w:ascii="Calibri" w:hAnsi="Calibri" w:eastAsia="宋体" w:cs="Times New Roman"/>
                <w:color w:val="auto"/>
                <w:sz w:val="24"/>
                <w:highlight w:val="none"/>
                <w:shd w:val="clear" w:color="auto" w:fill="auto"/>
              </w:rPr>
              <w:t>表</w:t>
            </w:r>
            <w:r>
              <w:rPr>
                <w:rFonts w:hint="eastAsia" w:ascii="Calibri" w:hAnsi="Calibri" w:cs="Times New Roman"/>
                <w:color w:val="auto"/>
                <w:sz w:val="24"/>
                <w:highlight w:val="none"/>
                <w:shd w:val="clear" w:color="auto" w:fill="auto"/>
                <w:lang w:val="en-US" w:eastAsia="zh-CN"/>
              </w:rPr>
              <w:t>4-10</w:t>
            </w:r>
            <w:r>
              <w:rPr>
                <w:rFonts w:hint="eastAsia" w:ascii="Calibri" w:hAnsi="Calibri" w:eastAsia="宋体" w:cs="Times New Roman"/>
                <w:color w:val="auto"/>
                <w:sz w:val="24"/>
                <w:highlight w:val="none"/>
                <w:shd w:val="clear" w:color="auto" w:fill="auto"/>
                <w:lang w:val="en-US" w:eastAsia="zh-CN"/>
              </w:rPr>
              <w:t xml:space="preserve"> </w:t>
            </w:r>
            <w:r>
              <w:rPr>
                <w:rFonts w:ascii="Calibri" w:hAnsi="Calibri" w:eastAsia="宋体" w:cs="Times New Roman"/>
                <w:color w:val="auto"/>
                <w:sz w:val="24"/>
                <w:highlight w:val="none"/>
                <w:shd w:val="clear" w:color="auto" w:fill="auto"/>
              </w:rPr>
              <w:t xml:space="preserve">     </w:t>
            </w:r>
            <w:r>
              <w:rPr>
                <w:rFonts w:hint="eastAsia" w:ascii="Calibri" w:hAnsi="Calibri" w:eastAsia="宋体" w:cs="Times New Roman"/>
                <w:color w:val="auto"/>
                <w:sz w:val="24"/>
                <w:highlight w:val="none"/>
                <w:shd w:val="clear" w:color="auto" w:fill="auto"/>
                <w:lang w:val="en-US" w:eastAsia="zh-CN"/>
              </w:rPr>
              <w:t>项目</w:t>
            </w:r>
            <w:r>
              <w:rPr>
                <w:rFonts w:ascii="Calibri" w:hAnsi="Calibri" w:eastAsia="宋体" w:cs="Times New Roman"/>
                <w:color w:val="auto"/>
                <w:sz w:val="24"/>
                <w:highlight w:val="none"/>
                <w:shd w:val="clear" w:color="auto" w:fill="auto"/>
              </w:rPr>
              <w:t>颗粒物有组织产排情况</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58"/>
              <w:gridCol w:w="1538"/>
              <w:gridCol w:w="1626"/>
              <w:gridCol w:w="1461"/>
              <w:gridCol w:w="1953"/>
            </w:tblGrid>
            <w:tr w14:paraId="62CFD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1758" w:type="dxa"/>
                  <w:noWrap w:val="0"/>
                  <w:vAlign w:val="center"/>
                </w:tcPr>
                <w:p w14:paraId="15E7220D">
                  <w:pPr>
                    <w:keepNext w:val="0"/>
                    <w:keepLines w:val="0"/>
                    <w:suppressLineNumbers w:val="0"/>
                    <w:spacing w:before="0" w:beforeAutospacing="0" w:after="0" w:afterAutospacing="0"/>
                    <w:ind w:left="0" w:right="0"/>
                    <w:jc w:val="center"/>
                    <w:rPr>
                      <w:rFonts w:ascii="Calibri" w:hAnsi="Calibri" w:eastAsia="宋体" w:cs="Times New Roman"/>
                      <w:color w:val="auto"/>
                      <w:sz w:val="21"/>
                      <w:szCs w:val="21"/>
                      <w:highlight w:val="none"/>
                      <w:shd w:val="clear" w:color="auto" w:fill="auto"/>
                    </w:rPr>
                  </w:pPr>
                  <w:r>
                    <w:rPr>
                      <w:rFonts w:ascii="Calibri" w:hAnsi="Calibri" w:eastAsia="宋体" w:cs="Times New Roman"/>
                      <w:color w:val="auto"/>
                      <w:sz w:val="21"/>
                      <w:szCs w:val="21"/>
                      <w:highlight w:val="none"/>
                      <w:shd w:val="clear" w:color="auto" w:fill="auto"/>
                    </w:rPr>
                    <w:t>污染源</w:t>
                  </w:r>
                </w:p>
              </w:tc>
              <w:tc>
                <w:tcPr>
                  <w:tcW w:w="1538" w:type="dxa"/>
                  <w:noWrap w:val="0"/>
                  <w:vAlign w:val="center"/>
                </w:tcPr>
                <w:p w14:paraId="7B49C5C7">
                  <w:pPr>
                    <w:keepNext w:val="0"/>
                    <w:keepLines w:val="0"/>
                    <w:suppressLineNumbers w:val="0"/>
                    <w:spacing w:before="0" w:beforeAutospacing="0" w:after="0" w:afterAutospacing="0"/>
                    <w:ind w:left="0" w:right="0"/>
                    <w:jc w:val="center"/>
                    <w:rPr>
                      <w:rFonts w:ascii="Calibri" w:hAnsi="Calibri" w:eastAsia="宋体" w:cs="Times New Roman"/>
                      <w:color w:val="auto"/>
                      <w:sz w:val="21"/>
                      <w:szCs w:val="21"/>
                      <w:highlight w:val="none"/>
                      <w:shd w:val="clear" w:color="auto" w:fill="auto"/>
                    </w:rPr>
                  </w:pPr>
                  <w:r>
                    <w:rPr>
                      <w:rFonts w:ascii="Calibri" w:hAnsi="Calibri" w:eastAsia="宋体" w:cs="Times New Roman"/>
                      <w:color w:val="auto"/>
                      <w:sz w:val="21"/>
                      <w:szCs w:val="21"/>
                      <w:highlight w:val="none"/>
                      <w:shd w:val="clear" w:color="auto" w:fill="auto"/>
                    </w:rPr>
                    <w:t>年排放量t/a</w:t>
                  </w:r>
                </w:p>
              </w:tc>
              <w:tc>
                <w:tcPr>
                  <w:tcW w:w="1626" w:type="dxa"/>
                  <w:noWrap w:val="0"/>
                  <w:vAlign w:val="center"/>
                </w:tcPr>
                <w:p w14:paraId="079C07F2">
                  <w:pPr>
                    <w:keepNext w:val="0"/>
                    <w:keepLines w:val="0"/>
                    <w:suppressLineNumbers w:val="0"/>
                    <w:spacing w:before="0" w:beforeAutospacing="0" w:after="0" w:afterAutospacing="0"/>
                    <w:ind w:left="0" w:right="0"/>
                    <w:jc w:val="center"/>
                    <w:rPr>
                      <w:rFonts w:ascii="Calibri" w:hAnsi="Calibri" w:eastAsia="宋体" w:cs="Times New Roman"/>
                      <w:color w:val="auto"/>
                      <w:sz w:val="21"/>
                      <w:szCs w:val="21"/>
                      <w:highlight w:val="none"/>
                      <w:shd w:val="clear" w:color="auto" w:fill="auto"/>
                    </w:rPr>
                  </w:pPr>
                  <w:r>
                    <w:rPr>
                      <w:rFonts w:ascii="Calibri" w:hAnsi="Calibri" w:eastAsia="宋体" w:cs="Times New Roman"/>
                      <w:color w:val="auto"/>
                      <w:sz w:val="21"/>
                      <w:szCs w:val="21"/>
                      <w:highlight w:val="none"/>
                      <w:shd w:val="clear" w:color="auto" w:fill="auto"/>
                    </w:rPr>
                    <w:t>排放速率kg/h</w:t>
                  </w:r>
                </w:p>
              </w:tc>
              <w:tc>
                <w:tcPr>
                  <w:tcW w:w="1461" w:type="dxa"/>
                  <w:noWrap w:val="0"/>
                  <w:vAlign w:val="center"/>
                </w:tcPr>
                <w:p w14:paraId="2BD51D34">
                  <w:pPr>
                    <w:keepNext w:val="0"/>
                    <w:keepLines w:val="0"/>
                    <w:suppressLineNumbers w:val="0"/>
                    <w:spacing w:before="0" w:beforeAutospacing="0" w:after="0" w:afterAutospacing="0"/>
                    <w:ind w:left="0" w:right="0"/>
                    <w:jc w:val="center"/>
                    <w:rPr>
                      <w:rFonts w:hint="eastAsia" w:ascii="Calibri" w:hAnsi="Calibri" w:eastAsia="宋体" w:cs="Times New Roman"/>
                      <w:color w:val="auto"/>
                      <w:sz w:val="21"/>
                      <w:szCs w:val="21"/>
                      <w:highlight w:val="none"/>
                      <w:shd w:val="clear" w:color="auto" w:fill="auto"/>
                      <w:lang w:eastAsia="zh-CN"/>
                    </w:rPr>
                  </w:pPr>
                  <w:r>
                    <w:rPr>
                      <w:rFonts w:hint="eastAsia" w:ascii="Calibri" w:hAnsi="Calibri" w:eastAsia="宋体" w:cs="Times New Roman"/>
                      <w:color w:val="auto"/>
                      <w:sz w:val="21"/>
                      <w:szCs w:val="21"/>
                      <w:highlight w:val="none"/>
                      <w:shd w:val="clear" w:color="auto" w:fill="auto"/>
                      <w:lang w:eastAsia="zh-CN"/>
                    </w:rPr>
                    <w:t>风量</w:t>
                  </w:r>
                  <w:r>
                    <w:rPr>
                      <w:rFonts w:hint="eastAsia" w:ascii="Calibri" w:hAnsi="Calibri" w:eastAsia="宋体" w:cs="Times New Roman"/>
                      <w:color w:val="auto"/>
                      <w:sz w:val="21"/>
                      <w:szCs w:val="21"/>
                      <w:highlight w:val="none"/>
                      <w:shd w:val="clear" w:color="auto" w:fill="auto"/>
                      <w:lang w:val="en-US" w:eastAsia="zh-CN"/>
                    </w:rPr>
                    <w:t>m</w:t>
                  </w:r>
                  <w:r>
                    <w:rPr>
                      <w:rFonts w:hint="eastAsia" w:ascii="Calibri" w:hAnsi="Calibri" w:eastAsia="宋体" w:cs="Times New Roman"/>
                      <w:color w:val="auto"/>
                      <w:sz w:val="21"/>
                      <w:szCs w:val="21"/>
                      <w:highlight w:val="none"/>
                      <w:shd w:val="clear" w:color="auto" w:fill="auto"/>
                      <w:vertAlign w:val="superscript"/>
                      <w:lang w:val="en-US" w:eastAsia="zh-CN"/>
                    </w:rPr>
                    <w:t>3</w:t>
                  </w:r>
                  <w:r>
                    <w:rPr>
                      <w:rFonts w:hint="eastAsia" w:ascii="Calibri" w:hAnsi="Calibri" w:eastAsia="宋体" w:cs="Times New Roman"/>
                      <w:color w:val="auto"/>
                      <w:sz w:val="21"/>
                      <w:szCs w:val="21"/>
                      <w:highlight w:val="none"/>
                      <w:shd w:val="clear" w:color="auto" w:fill="auto"/>
                      <w:lang w:val="en-US" w:eastAsia="zh-CN"/>
                    </w:rPr>
                    <w:t>/h</w:t>
                  </w:r>
                </w:p>
              </w:tc>
              <w:tc>
                <w:tcPr>
                  <w:tcW w:w="1953" w:type="dxa"/>
                  <w:noWrap w:val="0"/>
                  <w:vAlign w:val="center"/>
                </w:tcPr>
                <w:p w14:paraId="53638F77">
                  <w:pPr>
                    <w:keepNext w:val="0"/>
                    <w:keepLines w:val="0"/>
                    <w:suppressLineNumbers w:val="0"/>
                    <w:spacing w:before="0" w:beforeAutospacing="0" w:after="0" w:afterAutospacing="0"/>
                    <w:ind w:left="0" w:right="0"/>
                    <w:jc w:val="center"/>
                    <w:rPr>
                      <w:rFonts w:hint="eastAsia" w:ascii="Calibri" w:hAnsi="Calibri" w:eastAsia="宋体" w:cs="Times New Roman"/>
                      <w:color w:val="auto"/>
                      <w:kern w:val="2"/>
                      <w:sz w:val="21"/>
                      <w:szCs w:val="21"/>
                      <w:highlight w:val="none"/>
                      <w:shd w:val="clear" w:color="auto" w:fill="auto"/>
                      <w:lang w:val="en-US" w:eastAsia="zh-CN" w:bidi="ar-SA"/>
                    </w:rPr>
                  </w:pPr>
                  <w:r>
                    <w:rPr>
                      <w:rFonts w:hint="eastAsia" w:ascii="Calibri" w:hAnsi="Calibri" w:eastAsia="宋体" w:cs="Times New Roman"/>
                      <w:color w:val="auto"/>
                      <w:sz w:val="21"/>
                      <w:szCs w:val="21"/>
                      <w:highlight w:val="none"/>
                      <w:shd w:val="clear" w:color="auto" w:fill="auto"/>
                    </w:rPr>
                    <w:t>排放浓度</w:t>
                  </w:r>
                  <w:r>
                    <w:rPr>
                      <w:rFonts w:ascii="Calibri" w:hAnsi="Calibri" w:eastAsia="宋体" w:cs="Times New Roman"/>
                      <w:color w:val="auto"/>
                      <w:kern w:val="0"/>
                      <w:sz w:val="21"/>
                      <w:szCs w:val="21"/>
                      <w:highlight w:val="none"/>
                      <w:shd w:val="clear" w:color="auto" w:fill="auto"/>
                    </w:rPr>
                    <w:t>mg/m</w:t>
                  </w:r>
                  <w:r>
                    <w:rPr>
                      <w:rFonts w:ascii="Calibri" w:hAnsi="Calibri" w:eastAsia="宋体" w:cs="Times New Roman"/>
                      <w:color w:val="auto"/>
                      <w:kern w:val="0"/>
                      <w:sz w:val="21"/>
                      <w:szCs w:val="21"/>
                      <w:highlight w:val="none"/>
                      <w:shd w:val="clear" w:color="auto" w:fill="auto"/>
                      <w:vertAlign w:val="superscript"/>
                    </w:rPr>
                    <w:t>3</w:t>
                  </w:r>
                </w:p>
              </w:tc>
            </w:tr>
            <w:tr w14:paraId="7F6B1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1758" w:type="dxa"/>
                  <w:noWrap w:val="0"/>
                  <w:vAlign w:val="center"/>
                </w:tcPr>
                <w:p w14:paraId="547F8A6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shd w:val="clear" w:color="auto" w:fill="auto"/>
                    </w:rPr>
                  </w:pPr>
                  <w:r>
                    <w:rPr>
                      <w:rFonts w:hint="eastAsia" w:cs="Times New Roman"/>
                      <w:i w:val="0"/>
                      <w:color w:val="auto"/>
                      <w:kern w:val="0"/>
                      <w:sz w:val="21"/>
                      <w:szCs w:val="21"/>
                      <w:highlight w:val="none"/>
                      <w:u w:val="none"/>
                      <w:shd w:val="clear" w:color="auto" w:fill="auto"/>
                      <w:lang w:val="en-US" w:eastAsia="zh-CN" w:bidi="ar"/>
                    </w:rPr>
                    <w:t>1#原料库房、1#、2#生产线</w:t>
                  </w:r>
                  <w:r>
                    <w:rPr>
                      <w:rFonts w:hint="eastAsia" w:ascii="Times New Roman" w:hAnsi="Times New Roman" w:eastAsia="宋体" w:cs="Times New Roman"/>
                      <w:i w:val="0"/>
                      <w:color w:val="auto"/>
                      <w:kern w:val="0"/>
                      <w:sz w:val="21"/>
                      <w:szCs w:val="21"/>
                      <w:highlight w:val="none"/>
                      <w:u w:val="none"/>
                      <w:shd w:val="clear" w:color="auto" w:fill="auto"/>
                      <w:lang w:val="en-US" w:eastAsia="zh-CN" w:bidi="ar"/>
                    </w:rPr>
                    <w:t>（DA001）</w:t>
                  </w:r>
                </w:p>
              </w:tc>
              <w:tc>
                <w:tcPr>
                  <w:tcW w:w="1538" w:type="dxa"/>
                  <w:noWrap w:val="0"/>
                  <w:vAlign w:val="center"/>
                </w:tcPr>
                <w:p w14:paraId="0C5840F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color w:val="auto"/>
                      <w:kern w:val="0"/>
                      <w:sz w:val="21"/>
                      <w:szCs w:val="21"/>
                      <w:highlight w:val="none"/>
                      <w:u w:val="none"/>
                      <w:shd w:val="clear" w:color="auto" w:fill="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1.759 </w:t>
                  </w:r>
                </w:p>
              </w:tc>
              <w:tc>
                <w:tcPr>
                  <w:tcW w:w="1626" w:type="dxa"/>
                  <w:noWrap w:val="0"/>
                  <w:vAlign w:val="center"/>
                </w:tcPr>
                <w:p w14:paraId="44C4B99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color w:val="auto"/>
                      <w:kern w:val="0"/>
                      <w:sz w:val="21"/>
                      <w:szCs w:val="21"/>
                      <w:highlight w:val="none"/>
                      <w:u w:val="none"/>
                      <w:shd w:val="clear" w:color="auto" w:fill="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0.332 </w:t>
                  </w:r>
                </w:p>
              </w:tc>
              <w:tc>
                <w:tcPr>
                  <w:tcW w:w="1461" w:type="dxa"/>
                  <w:noWrap w:val="0"/>
                  <w:vAlign w:val="center"/>
                </w:tcPr>
                <w:p w14:paraId="51FF8B7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color w:val="auto"/>
                      <w:kern w:val="0"/>
                      <w:sz w:val="21"/>
                      <w:szCs w:val="21"/>
                      <w:highlight w:val="none"/>
                      <w:u w:val="none"/>
                      <w:shd w:val="clear" w:color="auto" w:fill="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20000</w:t>
                  </w:r>
                </w:p>
              </w:tc>
              <w:tc>
                <w:tcPr>
                  <w:tcW w:w="1953" w:type="dxa"/>
                  <w:noWrap w:val="0"/>
                  <w:vAlign w:val="center"/>
                </w:tcPr>
                <w:p w14:paraId="0109F30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color w:val="auto"/>
                      <w:kern w:val="0"/>
                      <w:sz w:val="21"/>
                      <w:szCs w:val="21"/>
                      <w:highlight w:val="none"/>
                      <w:u w:val="none"/>
                      <w:shd w:val="clear" w:color="auto" w:fill="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25.910 </w:t>
                  </w:r>
                </w:p>
              </w:tc>
            </w:tr>
            <w:tr w14:paraId="47B03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1758" w:type="dxa"/>
                  <w:noWrap w:val="0"/>
                  <w:vAlign w:val="center"/>
                </w:tcPr>
                <w:p w14:paraId="76B2E56D">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color w:val="auto"/>
                      <w:kern w:val="0"/>
                      <w:sz w:val="21"/>
                      <w:szCs w:val="21"/>
                      <w:highlight w:val="none"/>
                      <w:u w:val="none"/>
                      <w:shd w:val="clear" w:color="auto" w:fill="auto"/>
                      <w:lang w:val="en-US" w:eastAsia="zh-CN" w:bidi="ar"/>
                    </w:rPr>
                  </w:pPr>
                  <w:r>
                    <w:rPr>
                      <w:rFonts w:hint="eastAsia" w:cs="Times New Roman"/>
                      <w:i w:val="0"/>
                      <w:iCs w:val="0"/>
                      <w:color w:val="auto"/>
                      <w:kern w:val="0"/>
                      <w:sz w:val="21"/>
                      <w:szCs w:val="21"/>
                      <w:highlight w:val="none"/>
                      <w:u w:val="none"/>
                      <w:lang w:val="en-US" w:eastAsia="zh-CN" w:bidi="ar"/>
                    </w:rPr>
                    <w:t>3#生产线（DA002）</w:t>
                  </w:r>
                </w:p>
              </w:tc>
              <w:tc>
                <w:tcPr>
                  <w:tcW w:w="1538" w:type="dxa"/>
                  <w:noWrap w:val="0"/>
                  <w:vAlign w:val="center"/>
                </w:tcPr>
                <w:p w14:paraId="5B1EC284">
                  <w:pPr>
                    <w:keepNext w:val="0"/>
                    <w:keepLines w:val="0"/>
                    <w:widowControl/>
                    <w:suppressLineNumbers w:val="0"/>
                    <w:spacing w:before="0" w:beforeAutospacing="0" w:after="0" w:afterAutospacing="0"/>
                    <w:ind w:left="0" w:right="0"/>
                    <w:jc w:val="center"/>
                    <w:textAlignment w:val="center"/>
                    <w:rPr>
                      <w:rFonts w:hint="default" w:cs="Times New Roman"/>
                      <w:i w:val="0"/>
                      <w:color w:val="auto"/>
                      <w:kern w:val="0"/>
                      <w:sz w:val="21"/>
                      <w:szCs w:val="21"/>
                      <w:highlight w:val="none"/>
                      <w:u w:val="none"/>
                      <w:shd w:val="clear" w:color="auto" w:fill="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1.719 </w:t>
                  </w:r>
                </w:p>
              </w:tc>
              <w:tc>
                <w:tcPr>
                  <w:tcW w:w="1626" w:type="dxa"/>
                  <w:noWrap w:val="0"/>
                  <w:vAlign w:val="center"/>
                </w:tcPr>
                <w:p w14:paraId="16AA380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color w:val="auto"/>
                      <w:kern w:val="0"/>
                      <w:sz w:val="21"/>
                      <w:szCs w:val="21"/>
                      <w:highlight w:val="none"/>
                      <w:u w:val="none"/>
                      <w:shd w:val="clear" w:color="auto" w:fill="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0.312 </w:t>
                  </w:r>
                </w:p>
              </w:tc>
              <w:tc>
                <w:tcPr>
                  <w:tcW w:w="1461" w:type="dxa"/>
                  <w:noWrap w:val="0"/>
                  <w:vAlign w:val="center"/>
                </w:tcPr>
                <w:p w14:paraId="7D9B148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color w:val="auto"/>
                      <w:kern w:val="0"/>
                      <w:sz w:val="21"/>
                      <w:szCs w:val="21"/>
                      <w:highlight w:val="none"/>
                      <w:u w:val="none"/>
                      <w:shd w:val="clear" w:color="auto" w:fill="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20000</w:t>
                  </w:r>
                </w:p>
              </w:tc>
              <w:tc>
                <w:tcPr>
                  <w:tcW w:w="1953" w:type="dxa"/>
                  <w:noWrap w:val="0"/>
                  <w:vAlign w:val="center"/>
                </w:tcPr>
                <w:p w14:paraId="756F15E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color w:val="auto"/>
                      <w:kern w:val="0"/>
                      <w:sz w:val="21"/>
                      <w:szCs w:val="21"/>
                      <w:highlight w:val="none"/>
                      <w:u w:val="none"/>
                      <w:shd w:val="clear" w:color="auto" w:fill="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23.990 </w:t>
                  </w:r>
                </w:p>
              </w:tc>
            </w:tr>
            <w:tr w14:paraId="2C6AB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1758" w:type="dxa"/>
                  <w:noWrap w:val="0"/>
                  <w:vAlign w:val="center"/>
                </w:tcPr>
                <w:p w14:paraId="027EAE1A">
                  <w:pPr>
                    <w:keepNext w:val="0"/>
                    <w:keepLines w:val="0"/>
                    <w:widowControl/>
                    <w:suppressLineNumbers w:val="0"/>
                    <w:spacing w:before="0" w:beforeAutospacing="0" w:after="0" w:afterAutospacing="0"/>
                    <w:ind w:left="0" w:right="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4#生产线（DA003）</w:t>
                  </w:r>
                </w:p>
              </w:tc>
              <w:tc>
                <w:tcPr>
                  <w:tcW w:w="1538" w:type="dxa"/>
                  <w:noWrap w:val="0"/>
                  <w:vAlign w:val="center"/>
                </w:tcPr>
                <w:p w14:paraId="37FC963F">
                  <w:pPr>
                    <w:keepNext w:val="0"/>
                    <w:keepLines w:val="0"/>
                    <w:widowControl/>
                    <w:suppressLineNumbers w:val="0"/>
                    <w:spacing w:before="0" w:beforeAutospacing="0" w:after="0" w:afterAutospacing="0"/>
                    <w:ind w:left="0" w:right="0"/>
                    <w:jc w:val="center"/>
                    <w:textAlignment w:val="center"/>
                    <w:rPr>
                      <w:rFonts w:hint="default" w:cs="Times New Roman"/>
                      <w:i w:val="0"/>
                      <w:color w:val="auto"/>
                      <w:kern w:val="0"/>
                      <w:sz w:val="21"/>
                      <w:szCs w:val="21"/>
                      <w:highlight w:val="none"/>
                      <w:u w:val="none"/>
                      <w:shd w:val="clear" w:color="auto" w:fill="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1.719 </w:t>
                  </w:r>
                </w:p>
              </w:tc>
              <w:tc>
                <w:tcPr>
                  <w:tcW w:w="1626" w:type="dxa"/>
                  <w:noWrap w:val="0"/>
                  <w:vAlign w:val="center"/>
                </w:tcPr>
                <w:p w14:paraId="6D803F7C">
                  <w:pPr>
                    <w:keepNext w:val="0"/>
                    <w:keepLines w:val="0"/>
                    <w:widowControl/>
                    <w:suppressLineNumbers w:val="0"/>
                    <w:spacing w:before="0" w:beforeAutospacing="0" w:after="0" w:afterAutospacing="0"/>
                    <w:ind w:left="0" w:right="0"/>
                    <w:jc w:val="center"/>
                    <w:textAlignment w:val="center"/>
                    <w:rPr>
                      <w:rFonts w:hint="default" w:cs="Times New Roman"/>
                      <w:i w:val="0"/>
                      <w:color w:val="auto"/>
                      <w:kern w:val="0"/>
                      <w:sz w:val="21"/>
                      <w:szCs w:val="21"/>
                      <w:highlight w:val="none"/>
                      <w:u w:val="none"/>
                      <w:shd w:val="clear" w:color="auto" w:fill="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0.312 </w:t>
                  </w:r>
                </w:p>
              </w:tc>
              <w:tc>
                <w:tcPr>
                  <w:tcW w:w="1461" w:type="dxa"/>
                  <w:noWrap w:val="0"/>
                  <w:vAlign w:val="center"/>
                </w:tcPr>
                <w:p w14:paraId="2821AA1C">
                  <w:pPr>
                    <w:keepNext w:val="0"/>
                    <w:keepLines w:val="0"/>
                    <w:widowControl/>
                    <w:suppressLineNumbers w:val="0"/>
                    <w:spacing w:before="0" w:beforeAutospacing="0" w:after="0" w:afterAutospacing="0"/>
                    <w:ind w:left="0" w:right="0"/>
                    <w:jc w:val="center"/>
                    <w:textAlignment w:val="center"/>
                    <w:rPr>
                      <w:rFonts w:hint="eastAsia" w:cs="Times New Roman"/>
                      <w:i w:val="0"/>
                      <w:color w:val="auto"/>
                      <w:kern w:val="0"/>
                      <w:sz w:val="21"/>
                      <w:szCs w:val="21"/>
                      <w:highlight w:val="none"/>
                      <w:u w:val="none"/>
                      <w:shd w:val="clear" w:color="auto" w:fill="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20000</w:t>
                  </w:r>
                </w:p>
              </w:tc>
              <w:tc>
                <w:tcPr>
                  <w:tcW w:w="1953" w:type="dxa"/>
                  <w:noWrap w:val="0"/>
                  <w:vAlign w:val="center"/>
                </w:tcPr>
                <w:p w14:paraId="1BC6F11F">
                  <w:pPr>
                    <w:keepNext w:val="0"/>
                    <w:keepLines w:val="0"/>
                    <w:widowControl/>
                    <w:suppressLineNumbers w:val="0"/>
                    <w:spacing w:before="0" w:beforeAutospacing="0" w:after="0" w:afterAutospacing="0"/>
                    <w:ind w:left="0" w:right="0"/>
                    <w:jc w:val="center"/>
                    <w:textAlignment w:val="center"/>
                    <w:rPr>
                      <w:rFonts w:hint="default" w:cs="Times New Roman"/>
                      <w:i w:val="0"/>
                      <w:color w:val="auto"/>
                      <w:kern w:val="0"/>
                      <w:sz w:val="21"/>
                      <w:szCs w:val="21"/>
                      <w:highlight w:val="none"/>
                      <w:u w:val="none"/>
                      <w:shd w:val="clear" w:color="auto" w:fill="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28.914 </w:t>
                  </w:r>
                </w:p>
              </w:tc>
            </w:tr>
            <w:tr w14:paraId="78754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1758" w:type="dxa"/>
                  <w:noWrap w:val="0"/>
                  <w:vAlign w:val="center"/>
                </w:tcPr>
                <w:p w14:paraId="5AF26BD1">
                  <w:pPr>
                    <w:keepNext w:val="0"/>
                    <w:keepLines w:val="0"/>
                    <w:widowControl/>
                    <w:suppressLineNumbers w:val="0"/>
                    <w:spacing w:before="0" w:beforeAutospacing="0" w:after="0" w:afterAutospacing="0"/>
                    <w:ind w:left="0" w:right="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shd w:val="clear" w:color="auto" w:fill="auto"/>
                      <w:lang w:val="en-US" w:eastAsia="zh-CN" w:bidi="ar"/>
                    </w:rPr>
                    <w:t>2#原料库房、</w:t>
                  </w:r>
                  <w:r>
                    <w:rPr>
                      <w:rFonts w:hint="eastAsia" w:cs="Times New Roman"/>
                      <w:i w:val="0"/>
                      <w:iCs w:val="0"/>
                      <w:color w:val="auto"/>
                      <w:kern w:val="0"/>
                      <w:sz w:val="21"/>
                      <w:szCs w:val="21"/>
                      <w:highlight w:val="none"/>
                      <w:u w:val="none"/>
                      <w:lang w:val="en-US" w:eastAsia="zh-CN" w:bidi="ar"/>
                    </w:rPr>
                    <w:t>5#生产线（DA004）</w:t>
                  </w:r>
                </w:p>
              </w:tc>
              <w:tc>
                <w:tcPr>
                  <w:tcW w:w="1538" w:type="dxa"/>
                  <w:noWrap w:val="0"/>
                  <w:vAlign w:val="center"/>
                </w:tcPr>
                <w:p w14:paraId="4E822A58">
                  <w:pPr>
                    <w:keepNext w:val="0"/>
                    <w:keepLines w:val="0"/>
                    <w:widowControl/>
                    <w:suppressLineNumbers w:val="0"/>
                    <w:spacing w:before="0" w:beforeAutospacing="0" w:after="0" w:afterAutospacing="0"/>
                    <w:ind w:left="0" w:right="0"/>
                    <w:jc w:val="center"/>
                    <w:textAlignment w:val="center"/>
                    <w:rPr>
                      <w:rFonts w:hint="default" w:cs="Times New Roman"/>
                      <w:i w:val="0"/>
                      <w:color w:val="auto"/>
                      <w:kern w:val="0"/>
                      <w:sz w:val="21"/>
                      <w:szCs w:val="21"/>
                      <w:highlight w:val="none"/>
                      <w:u w:val="none"/>
                      <w:shd w:val="clear" w:color="auto" w:fill="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1.599 </w:t>
                  </w:r>
                </w:p>
              </w:tc>
              <w:tc>
                <w:tcPr>
                  <w:tcW w:w="1626" w:type="dxa"/>
                  <w:noWrap w:val="0"/>
                  <w:vAlign w:val="center"/>
                </w:tcPr>
                <w:p w14:paraId="1309C1F7">
                  <w:pPr>
                    <w:keepNext w:val="0"/>
                    <w:keepLines w:val="0"/>
                    <w:widowControl/>
                    <w:suppressLineNumbers w:val="0"/>
                    <w:spacing w:before="0" w:beforeAutospacing="0" w:after="0" w:afterAutospacing="0"/>
                    <w:ind w:left="0" w:right="0"/>
                    <w:jc w:val="center"/>
                    <w:textAlignment w:val="center"/>
                    <w:rPr>
                      <w:rFonts w:hint="default" w:cs="Times New Roman"/>
                      <w:i w:val="0"/>
                      <w:color w:val="auto"/>
                      <w:kern w:val="0"/>
                      <w:sz w:val="21"/>
                      <w:szCs w:val="21"/>
                      <w:highlight w:val="none"/>
                      <w:u w:val="none"/>
                      <w:shd w:val="clear" w:color="auto" w:fill="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0.304 </w:t>
                  </w:r>
                </w:p>
              </w:tc>
              <w:tc>
                <w:tcPr>
                  <w:tcW w:w="1461" w:type="dxa"/>
                  <w:noWrap w:val="0"/>
                  <w:vAlign w:val="center"/>
                </w:tcPr>
                <w:p w14:paraId="7DDC0A6D">
                  <w:pPr>
                    <w:keepNext w:val="0"/>
                    <w:keepLines w:val="0"/>
                    <w:widowControl/>
                    <w:suppressLineNumbers w:val="0"/>
                    <w:spacing w:before="0" w:beforeAutospacing="0" w:after="0" w:afterAutospacing="0"/>
                    <w:ind w:left="0" w:right="0"/>
                    <w:jc w:val="center"/>
                    <w:textAlignment w:val="center"/>
                    <w:rPr>
                      <w:rFonts w:hint="default" w:cs="Times New Roman"/>
                      <w:i w:val="0"/>
                      <w:color w:val="auto"/>
                      <w:kern w:val="0"/>
                      <w:sz w:val="21"/>
                      <w:szCs w:val="21"/>
                      <w:highlight w:val="none"/>
                      <w:u w:val="none"/>
                      <w:shd w:val="clear" w:color="auto" w:fill="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15000</w:t>
                  </w:r>
                </w:p>
              </w:tc>
              <w:tc>
                <w:tcPr>
                  <w:tcW w:w="1953" w:type="dxa"/>
                  <w:noWrap w:val="0"/>
                  <w:vAlign w:val="center"/>
                </w:tcPr>
                <w:p w14:paraId="44C4F1C6">
                  <w:pPr>
                    <w:keepNext w:val="0"/>
                    <w:keepLines w:val="0"/>
                    <w:widowControl/>
                    <w:suppressLineNumbers w:val="0"/>
                    <w:spacing w:before="0" w:beforeAutospacing="0" w:after="0" w:afterAutospacing="0"/>
                    <w:ind w:left="0" w:right="0"/>
                    <w:jc w:val="center"/>
                    <w:textAlignment w:val="center"/>
                    <w:rPr>
                      <w:rFonts w:hint="default" w:cs="Times New Roman"/>
                      <w:i w:val="0"/>
                      <w:color w:val="auto"/>
                      <w:kern w:val="0"/>
                      <w:sz w:val="21"/>
                      <w:szCs w:val="21"/>
                      <w:highlight w:val="none"/>
                      <w:u w:val="none"/>
                      <w:shd w:val="clear" w:color="auto" w:fill="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22.175 </w:t>
                  </w:r>
                </w:p>
              </w:tc>
            </w:tr>
            <w:tr w14:paraId="05C34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1758" w:type="dxa"/>
                  <w:noWrap w:val="0"/>
                  <w:vAlign w:val="center"/>
                </w:tcPr>
                <w:p w14:paraId="1339A84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rPr>
                  </w:pPr>
                  <w:r>
                    <w:rPr>
                      <w:rFonts w:hint="eastAsia" w:ascii="Times New Roman" w:hAnsi="Times New Roman" w:eastAsia="宋体" w:cs="Times New Roman"/>
                      <w:color w:val="auto"/>
                      <w:sz w:val="21"/>
                      <w:szCs w:val="21"/>
                      <w:highlight w:val="none"/>
                      <w:shd w:val="clear" w:color="auto" w:fill="auto"/>
                      <w:lang w:eastAsia="zh-CN"/>
                    </w:rPr>
                    <w:t>总</w:t>
                  </w:r>
                  <w:r>
                    <w:rPr>
                      <w:rFonts w:hint="default" w:ascii="Times New Roman" w:hAnsi="Times New Roman" w:eastAsia="宋体" w:cs="Times New Roman"/>
                      <w:color w:val="auto"/>
                      <w:sz w:val="21"/>
                      <w:szCs w:val="21"/>
                      <w:highlight w:val="none"/>
                      <w:shd w:val="clear" w:color="auto" w:fill="auto"/>
                    </w:rPr>
                    <w:t>计</w:t>
                  </w:r>
                </w:p>
              </w:tc>
              <w:tc>
                <w:tcPr>
                  <w:tcW w:w="1538" w:type="dxa"/>
                  <w:noWrap w:val="0"/>
                  <w:vAlign w:val="center"/>
                </w:tcPr>
                <w:p w14:paraId="5963A2F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color w:val="auto"/>
                      <w:kern w:val="0"/>
                      <w:sz w:val="21"/>
                      <w:szCs w:val="21"/>
                      <w:highlight w:val="none"/>
                      <w:u w:val="none"/>
                      <w:shd w:val="clear" w:color="auto" w:fill="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6.795 </w:t>
                  </w:r>
                </w:p>
              </w:tc>
              <w:tc>
                <w:tcPr>
                  <w:tcW w:w="1626" w:type="dxa"/>
                  <w:noWrap w:val="0"/>
                  <w:vAlign w:val="center"/>
                </w:tcPr>
                <w:p w14:paraId="077BEFB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color w:val="auto"/>
                      <w:kern w:val="0"/>
                      <w:sz w:val="21"/>
                      <w:szCs w:val="21"/>
                      <w:highlight w:val="none"/>
                      <w:u w:val="none"/>
                      <w:shd w:val="clear" w:color="auto" w:fill="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p>
              </w:tc>
              <w:tc>
                <w:tcPr>
                  <w:tcW w:w="1461" w:type="dxa"/>
                  <w:noWrap w:val="0"/>
                  <w:vAlign w:val="center"/>
                </w:tcPr>
                <w:p w14:paraId="0C26BB8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color w:val="auto"/>
                      <w:kern w:val="0"/>
                      <w:sz w:val="21"/>
                      <w:szCs w:val="21"/>
                      <w:highlight w:val="none"/>
                      <w:u w:val="none"/>
                      <w:shd w:val="clear" w:color="auto" w:fill="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953" w:type="dxa"/>
                  <w:noWrap w:val="0"/>
                  <w:vAlign w:val="center"/>
                </w:tcPr>
                <w:p w14:paraId="4A253BF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color w:val="auto"/>
                      <w:kern w:val="0"/>
                      <w:sz w:val="21"/>
                      <w:szCs w:val="21"/>
                      <w:highlight w:val="none"/>
                      <w:u w:val="none"/>
                      <w:shd w:val="clear" w:color="auto" w:fill="auto"/>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bl>
          <w:p w14:paraId="498EEA25">
            <w:pPr>
              <w:keepNext w:val="0"/>
              <w:keepLines w:val="0"/>
              <w:suppressLineNumbers w:val="0"/>
              <w:spacing w:before="0" w:beforeAutospacing="0" w:after="0" w:afterAutospacing="0" w:line="360" w:lineRule="auto"/>
              <w:ind w:left="0" w:right="0"/>
              <w:jc w:val="center"/>
              <w:rPr>
                <w:rFonts w:ascii="Calibri" w:hAnsi="Calibri" w:eastAsia="宋体" w:cs="Times New Roman"/>
                <w:color w:val="auto"/>
                <w:sz w:val="24"/>
                <w:highlight w:val="none"/>
                <w:shd w:val="clear" w:color="auto" w:fill="auto"/>
              </w:rPr>
            </w:pPr>
            <w:r>
              <w:rPr>
                <w:rFonts w:ascii="Calibri" w:hAnsi="Calibri" w:eastAsia="宋体" w:cs="Times New Roman"/>
                <w:color w:val="auto"/>
                <w:sz w:val="24"/>
                <w:highlight w:val="none"/>
                <w:shd w:val="clear" w:color="auto" w:fill="auto"/>
              </w:rPr>
              <w:t>表</w:t>
            </w:r>
            <w:r>
              <w:rPr>
                <w:rFonts w:hint="eastAsia" w:ascii="Calibri" w:hAnsi="Calibri" w:cs="Times New Roman"/>
                <w:color w:val="auto"/>
                <w:sz w:val="24"/>
                <w:highlight w:val="none"/>
                <w:shd w:val="clear" w:color="auto" w:fill="auto"/>
                <w:lang w:val="en-US" w:eastAsia="zh-CN"/>
              </w:rPr>
              <w:t>4-11</w:t>
            </w:r>
            <w:r>
              <w:rPr>
                <w:rFonts w:ascii="Calibri" w:hAnsi="Calibri" w:eastAsia="宋体" w:cs="Times New Roman"/>
                <w:color w:val="auto"/>
                <w:sz w:val="24"/>
                <w:highlight w:val="none"/>
                <w:shd w:val="clear" w:color="auto" w:fill="auto"/>
              </w:rPr>
              <w:t xml:space="preserve">  </w:t>
            </w:r>
            <w:r>
              <w:rPr>
                <w:rFonts w:hint="eastAsia" w:ascii="Calibri" w:hAnsi="Calibri" w:eastAsia="宋体" w:cs="Times New Roman"/>
                <w:color w:val="auto"/>
                <w:sz w:val="24"/>
                <w:highlight w:val="none"/>
                <w:shd w:val="clear" w:color="auto" w:fill="auto"/>
                <w:lang w:val="en-US" w:eastAsia="zh-CN"/>
              </w:rPr>
              <w:t xml:space="preserve"> </w:t>
            </w:r>
            <w:r>
              <w:rPr>
                <w:rFonts w:ascii="Calibri" w:hAnsi="Calibri" w:eastAsia="宋体" w:cs="Times New Roman"/>
                <w:color w:val="auto"/>
                <w:sz w:val="24"/>
                <w:highlight w:val="none"/>
                <w:shd w:val="clear" w:color="auto" w:fill="auto"/>
              </w:rPr>
              <w:t xml:space="preserve">  颗粒物无组织产排情况</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79"/>
              <w:gridCol w:w="1859"/>
              <w:gridCol w:w="1616"/>
              <w:gridCol w:w="1800"/>
              <w:gridCol w:w="1605"/>
            </w:tblGrid>
            <w:tr w14:paraId="4F71F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884" w:type="pct"/>
                  <w:noWrap w:val="0"/>
                  <w:vAlign w:val="center"/>
                </w:tcPr>
                <w:p w14:paraId="4A2A5779">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shd w:val="clear" w:color="auto" w:fill="auto"/>
                    </w:rPr>
                  </w:pPr>
                  <w:r>
                    <w:rPr>
                      <w:rFonts w:hint="eastAsia" w:ascii="宋体" w:hAnsi="宋体" w:eastAsia="宋体" w:cs="宋体"/>
                      <w:color w:val="auto"/>
                      <w:kern w:val="0"/>
                      <w:sz w:val="21"/>
                      <w:szCs w:val="21"/>
                      <w:highlight w:val="none"/>
                      <w:shd w:val="clear" w:color="auto" w:fill="auto"/>
                    </w:rPr>
                    <w:t>污染源</w:t>
                  </w:r>
                </w:p>
              </w:tc>
              <w:tc>
                <w:tcPr>
                  <w:tcW w:w="1111" w:type="pct"/>
                  <w:noWrap w:val="0"/>
                  <w:vAlign w:val="center"/>
                </w:tcPr>
                <w:p w14:paraId="72BBFB31">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color w:val="auto"/>
                      <w:kern w:val="0"/>
                      <w:sz w:val="21"/>
                      <w:szCs w:val="21"/>
                      <w:highlight w:val="none"/>
                      <w:shd w:val="clear" w:color="auto" w:fill="auto"/>
                    </w:rPr>
                  </w:pPr>
                  <w:r>
                    <w:rPr>
                      <w:rFonts w:hint="eastAsia" w:cs="Times New Roman"/>
                      <w:color w:val="auto"/>
                      <w:kern w:val="0"/>
                      <w:sz w:val="21"/>
                      <w:szCs w:val="21"/>
                      <w:highlight w:val="none"/>
                      <w:shd w:val="clear" w:color="auto" w:fill="auto"/>
                      <w:lang w:eastAsia="zh-CN"/>
                    </w:rPr>
                    <w:t>产生</w:t>
                  </w:r>
                  <w:r>
                    <w:rPr>
                      <w:rFonts w:hint="default" w:ascii="Times New Roman" w:hAnsi="Times New Roman" w:eastAsia="宋体" w:cs="Times New Roman"/>
                      <w:color w:val="auto"/>
                      <w:kern w:val="0"/>
                      <w:sz w:val="21"/>
                      <w:szCs w:val="21"/>
                      <w:highlight w:val="none"/>
                      <w:shd w:val="clear" w:color="auto" w:fill="auto"/>
                    </w:rPr>
                    <w:t>速率（kg/h）</w:t>
                  </w:r>
                </w:p>
              </w:tc>
              <w:tc>
                <w:tcPr>
                  <w:tcW w:w="966" w:type="pct"/>
                  <w:noWrap w:val="0"/>
                  <w:vAlign w:val="center"/>
                </w:tcPr>
                <w:p w14:paraId="284708BF">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color w:val="auto"/>
                      <w:kern w:val="0"/>
                      <w:sz w:val="21"/>
                      <w:szCs w:val="21"/>
                      <w:highlight w:val="none"/>
                      <w:shd w:val="clear" w:color="auto" w:fill="auto"/>
                    </w:rPr>
                  </w:pPr>
                  <w:r>
                    <w:rPr>
                      <w:rFonts w:hint="eastAsia" w:cs="Times New Roman"/>
                      <w:color w:val="auto"/>
                      <w:kern w:val="0"/>
                      <w:sz w:val="21"/>
                      <w:szCs w:val="21"/>
                      <w:highlight w:val="none"/>
                      <w:shd w:val="clear" w:color="auto" w:fill="auto"/>
                      <w:lang w:eastAsia="zh-CN"/>
                    </w:rPr>
                    <w:t>产生</w:t>
                  </w:r>
                  <w:r>
                    <w:rPr>
                      <w:rFonts w:hint="default" w:ascii="Times New Roman" w:hAnsi="Times New Roman" w:eastAsia="宋体" w:cs="Times New Roman"/>
                      <w:color w:val="auto"/>
                      <w:kern w:val="0"/>
                      <w:sz w:val="21"/>
                      <w:szCs w:val="21"/>
                      <w:highlight w:val="none"/>
                      <w:shd w:val="clear" w:color="auto" w:fill="auto"/>
                    </w:rPr>
                    <w:t>量（t/a）</w:t>
                  </w:r>
                </w:p>
              </w:tc>
              <w:tc>
                <w:tcPr>
                  <w:tcW w:w="1076" w:type="pct"/>
                  <w:noWrap w:val="0"/>
                  <w:vAlign w:val="center"/>
                </w:tcPr>
                <w:p w14:paraId="5A521615">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shd w:val="clear" w:color="auto" w:fill="auto"/>
                    </w:rPr>
                  </w:pPr>
                  <w:r>
                    <w:rPr>
                      <w:rFonts w:hint="default" w:ascii="Times New Roman" w:hAnsi="Times New Roman" w:eastAsia="宋体" w:cs="Times New Roman"/>
                      <w:color w:val="auto"/>
                      <w:kern w:val="0"/>
                      <w:sz w:val="21"/>
                      <w:szCs w:val="21"/>
                      <w:highlight w:val="none"/>
                      <w:shd w:val="clear" w:color="auto" w:fill="auto"/>
                    </w:rPr>
                    <w:t>排放速率（kg/h）</w:t>
                  </w:r>
                </w:p>
              </w:tc>
              <w:tc>
                <w:tcPr>
                  <w:tcW w:w="960" w:type="pct"/>
                  <w:noWrap w:val="0"/>
                  <w:vAlign w:val="center"/>
                </w:tcPr>
                <w:p w14:paraId="49C4323C">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shd w:val="clear" w:color="auto" w:fill="auto"/>
                    </w:rPr>
                  </w:pPr>
                  <w:r>
                    <w:rPr>
                      <w:rFonts w:hint="default" w:ascii="Times New Roman" w:hAnsi="Times New Roman" w:eastAsia="宋体" w:cs="Times New Roman"/>
                      <w:color w:val="auto"/>
                      <w:kern w:val="0"/>
                      <w:sz w:val="21"/>
                      <w:szCs w:val="21"/>
                      <w:highlight w:val="none"/>
                      <w:shd w:val="clear" w:color="auto" w:fill="auto"/>
                    </w:rPr>
                    <w:t>年排放量（t/a）</w:t>
                  </w:r>
                </w:p>
              </w:tc>
            </w:tr>
            <w:tr w14:paraId="7FA8E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84" w:type="pct"/>
                  <w:noWrap w:val="0"/>
                  <w:vAlign w:val="center"/>
                </w:tcPr>
                <w:p w14:paraId="2217C87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color w:val="auto"/>
                      <w:kern w:val="0"/>
                      <w:sz w:val="21"/>
                      <w:szCs w:val="21"/>
                      <w:highlight w:val="none"/>
                      <w:u w:val="none"/>
                      <w:shd w:val="clear" w:color="auto" w:fill="auto"/>
                      <w:lang w:val="en-US" w:eastAsia="zh-CN" w:bidi="ar"/>
                    </w:rPr>
                  </w:pPr>
                  <w:r>
                    <w:rPr>
                      <w:rFonts w:hint="eastAsia" w:ascii="宋体" w:hAnsi="宋体" w:cs="宋体"/>
                      <w:i w:val="0"/>
                      <w:color w:val="auto"/>
                      <w:kern w:val="0"/>
                      <w:sz w:val="21"/>
                      <w:szCs w:val="21"/>
                      <w:highlight w:val="none"/>
                      <w:u w:val="none"/>
                      <w:shd w:val="clear" w:color="auto" w:fill="auto"/>
                      <w:lang w:val="en-US" w:eastAsia="zh-CN" w:bidi="ar"/>
                    </w:rPr>
                    <w:t>1#原料库房</w:t>
                  </w:r>
                </w:p>
              </w:tc>
              <w:tc>
                <w:tcPr>
                  <w:tcW w:w="1111" w:type="pct"/>
                  <w:noWrap w:val="0"/>
                  <w:vAlign w:val="center"/>
                </w:tcPr>
                <w:p w14:paraId="4CA41A82">
                  <w:pPr>
                    <w:keepNext w:val="0"/>
                    <w:keepLines w:val="0"/>
                    <w:widowControl/>
                    <w:suppressLineNumbers w:val="0"/>
                    <w:spacing w:before="0" w:beforeAutospacing="0" w:after="0" w:afterAutospacing="0"/>
                    <w:ind w:left="0" w:right="0"/>
                    <w:jc w:val="center"/>
                    <w:textAlignment w:val="center"/>
                    <w:rPr>
                      <w:rFonts w:hint="eastAsia" w:ascii="宋体" w:hAnsi="宋体" w:cs="宋体"/>
                      <w:i w:val="0"/>
                      <w:color w:val="auto"/>
                      <w:kern w:val="0"/>
                      <w:sz w:val="21"/>
                      <w:szCs w:val="21"/>
                      <w:highlight w:val="none"/>
                      <w:u w:val="none"/>
                      <w:shd w:val="clear" w:color="auto" w:fill="auto"/>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0.48</w:t>
                  </w:r>
                </w:p>
              </w:tc>
              <w:tc>
                <w:tcPr>
                  <w:tcW w:w="966" w:type="pct"/>
                  <w:noWrap w:val="0"/>
                  <w:vAlign w:val="center"/>
                </w:tcPr>
                <w:p w14:paraId="446D2AB7">
                  <w:pPr>
                    <w:keepNext w:val="0"/>
                    <w:keepLines w:val="0"/>
                    <w:widowControl/>
                    <w:suppressLineNumbers w:val="0"/>
                    <w:spacing w:before="0" w:beforeAutospacing="0" w:after="0" w:afterAutospacing="0"/>
                    <w:ind w:left="0" w:right="0"/>
                    <w:jc w:val="center"/>
                    <w:textAlignment w:val="center"/>
                    <w:rPr>
                      <w:rFonts w:hint="eastAsia" w:ascii="宋体" w:hAnsi="宋体" w:cs="宋体"/>
                      <w:i w:val="0"/>
                      <w:color w:val="auto"/>
                      <w:kern w:val="0"/>
                      <w:sz w:val="21"/>
                      <w:szCs w:val="21"/>
                      <w:highlight w:val="none"/>
                      <w:u w:val="none"/>
                      <w:shd w:val="clear" w:color="auto" w:fill="auto"/>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1.202</w:t>
                  </w:r>
                </w:p>
              </w:tc>
              <w:tc>
                <w:tcPr>
                  <w:tcW w:w="1076" w:type="pct"/>
                  <w:noWrap w:val="0"/>
                  <w:vAlign w:val="center"/>
                </w:tcPr>
                <w:p w14:paraId="4B011EA6">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0.096 </w:t>
                  </w:r>
                </w:p>
              </w:tc>
              <w:tc>
                <w:tcPr>
                  <w:tcW w:w="960" w:type="pct"/>
                  <w:noWrap w:val="0"/>
                  <w:vAlign w:val="center"/>
                </w:tcPr>
                <w:p w14:paraId="391B53D6">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0.240 </w:t>
                  </w:r>
                </w:p>
              </w:tc>
            </w:tr>
            <w:tr w14:paraId="01E17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84" w:type="pct"/>
                  <w:noWrap w:val="0"/>
                  <w:vAlign w:val="center"/>
                </w:tcPr>
                <w:p w14:paraId="49E2915B">
                  <w:pPr>
                    <w:keepNext w:val="0"/>
                    <w:keepLines w:val="0"/>
                    <w:widowControl/>
                    <w:suppressLineNumbers w:val="0"/>
                    <w:spacing w:before="0" w:beforeAutospacing="0" w:after="0" w:afterAutospacing="0"/>
                    <w:ind w:left="0" w:right="0"/>
                    <w:jc w:val="center"/>
                    <w:textAlignment w:val="center"/>
                    <w:rPr>
                      <w:rFonts w:hint="eastAsia" w:ascii="宋体" w:hAnsi="宋体" w:cs="宋体"/>
                      <w:i w:val="0"/>
                      <w:color w:val="auto"/>
                      <w:kern w:val="0"/>
                      <w:sz w:val="21"/>
                      <w:szCs w:val="21"/>
                      <w:highlight w:val="none"/>
                      <w:u w:val="none"/>
                      <w:shd w:val="clear" w:color="auto" w:fill="auto"/>
                      <w:lang w:val="en-US" w:eastAsia="zh-CN" w:bidi="ar"/>
                    </w:rPr>
                  </w:pPr>
                  <w:r>
                    <w:rPr>
                      <w:rFonts w:hint="eastAsia" w:ascii="宋体" w:hAnsi="宋体" w:cs="宋体"/>
                      <w:i w:val="0"/>
                      <w:color w:val="auto"/>
                      <w:kern w:val="0"/>
                      <w:sz w:val="21"/>
                      <w:szCs w:val="21"/>
                      <w:highlight w:val="none"/>
                      <w:u w:val="none"/>
                      <w:shd w:val="clear" w:color="auto" w:fill="auto"/>
                      <w:lang w:val="en-US" w:eastAsia="zh-CN" w:bidi="ar"/>
                    </w:rPr>
                    <w:t>2#原料库房</w:t>
                  </w:r>
                </w:p>
              </w:tc>
              <w:tc>
                <w:tcPr>
                  <w:tcW w:w="1111" w:type="pct"/>
                  <w:noWrap w:val="0"/>
                  <w:vAlign w:val="center"/>
                </w:tcPr>
                <w:p w14:paraId="5A01DBF5">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cs="宋体"/>
                      <w:i w:val="0"/>
                      <w:color w:val="auto"/>
                      <w:kern w:val="0"/>
                      <w:sz w:val="21"/>
                      <w:szCs w:val="21"/>
                      <w:highlight w:val="none"/>
                      <w:u w:val="none"/>
                      <w:shd w:val="clear" w:color="auto" w:fill="auto"/>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0.48</w:t>
                  </w:r>
                </w:p>
              </w:tc>
              <w:tc>
                <w:tcPr>
                  <w:tcW w:w="966" w:type="pct"/>
                  <w:noWrap w:val="0"/>
                  <w:vAlign w:val="center"/>
                </w:tcPr>
                <w:p w14:paraId="5B511644">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cs="宋体"/>
                      <w:i w:val="0"/>
                      <w:color w:val="auto"/>
                      <w:kern w:val="0"/>
                      <w:sz w:val="21"/>
                      <w:szCs w:val="21"/>
                      <w:highlight w:val="none"/>
                      <w:u w:val="none"/>
                      <w:shd w:val="clear" w:color="auto" w:fill="auto"/>
                      <w:lang w:val="en-US" w:eastAsia="zh-CN" w:bidi="ar"/>
                    </w:rPr>
                  </w:pPr>
                  <w:r>
                    <w:rPr>
                      <w:rFonts w:hint="eastAsia" w:cs="Times New Roman"/>
                      <w:i w:val="0"/>
                      <w:iCs w:val="0"/>
                      <w:color w:val="auto"/>
                      <w:kern w:val="0"/>
                      <w:sz w:val="18"/>
                      <w:szCs w:val="18"/>
                      <w:highlight w:val="none"/>
                      <w:u w:val="none"/>
                      <w:lang w:val="en-US" w:eastAsia="zh-CN" w:bidi="ar"/>
                    </w:rPr>
                    <w:t>1.206</w:t>
                  </w:r>
                  <w:r>
                    <w:rPr>
                      <w:rFonts w:hint="default" w:ascii="Times New Roman" w:hAnsi="Times New Roman" w:eastAsia="宋体" w:cs="Times New Roman"/>
                      <w:i w:val="0"/>
                      <w:iCs w:val="0"/>
                      <w:color w:val="auto"/>
                      <w:kern w:val="0"/>
                      <w:sz w:val="18"/>
                      <w:szCs w:val="18"/>
                      <w:highlight w:val="none"/>
                      <w:u w:val="none"/>
                      <w:lang w:val="en-US" w:eastAsia="zh-CN" w:bidi="ar"/>
                    </w:rPr>
                    <w:t xml:space="preserve"> </w:t>
                  </w:r>
                </w:p>
              </w:tc>
              <w:tc>
                <w:tcPr>
                  <w:tcW w:w="1076" w:type="pct"/>
                  <w:noWrap w:val="0"/>
                  <w:vAlign w:val="center"/>
                </w:tcPr>
                <w:p w14:paraId="182D7FF8">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0.096 </w:t>
                  </w:r>
                </w:p>
              </w:tc>
              <w:tc>
                <w:tcPr>
                  <w:tcW w:w="960" w:type="pct"/>
                  <w:noWrap w:val="0"/>
                  <w:vAlign w:val="center"/>
                </w:tcPr>
                <w:p w14:paraId="0F0CE1DD">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0.241 </w:t>
                  </w:r>
                </w:p>
              </w:tc>
            </w:tr>
            <w:tr w14:paraId="60033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84" w:type="pct"/>
                  <w:noWrap w:val="0"/>
                  <w:vAlign w:val="center"/>
                </w:tcPr>
                <w:p w14:paraId="246CBDF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color w:val="auto"/>
                      <w:kern w:val="0"/>
                      <w:sz w:val="21"/>
                      <w:szCs w:val="21"/>
                      <w:highlight w:val="none"/>
                      <w:u w:val="none"/>
                      <w:shd w:val="clear" w:color="auto" w:fill="auto"/>
                      <w:lang w:val="en-US" w:eastAsia="zh-CN" w:bidi="ar"/>
                    </w:rPr>
                  </w:pPr>
                  <w:r>
                    <w:rPr>
                      <w:rFonts w:hint="eastAsia" w:ascii="宋体" w:hAnsi="宋体" w:cs="宋体"/>
                      <w:i w:val="0"/>
                      <w:color w:val="auto"/>
                      <w:kern w:val="0"/>
                      <w:sz w:val="21"/>
                      <w:szCs w:val="21"/>
                      <w:highlight w:val="none"/>
                      <w:u w:val="none"/>
                      <w:shd w:val="clear" w:color="auto" w:fill="auto"/>
                      <w:lang w:val="en-US" w:eastAsia="zh-CN" w:bidi="ar"/>
                    </w:rPr>
                    <w:t>1#</w:t>
                  </w:r>
                  <w:r>
                    <w:rPr>
                      <w:rFonts w:hint="eastAsia" w:ascii="宋体" w:hAnsi="宋体" w:eastAsia="宋体" w:cs="宋体"/>
                      <w:i w:val="0"/>
                      <w:color w:val="auto"/>
                      <w:kern w:val="0"/>
                      <w:sz w:val="21"/>
                      <w:szCs w:val="21"/>
                      <w:highlight w:val="none"/>
                      <w:u w:val="none"/>
                      <w:shd w:val="clear" w:color="auto" w:fill="auto"/>
                      <w:lang w:val="en-US" w:eastAsia="zh-CN" w:bidi="ar"/>
                    </w:rPr>
                    <w:t>生产车间</w:t>
                  </w:r>
                </w:p>
              </w:tc>
              <w:tc>
                <w:tcPr>
                  <w:tcW w:w="1111" w:type="pct"/>
                  <w:noWrap w:val="0"/>
                  <w:vAlign w:val="center"/>
                </w:tcPr>
                <w:p w14:paraId="4614533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14.621</w:t>
                  </w:r>
                </w:p>
              </w:tc>
              <w:tc>
                <w:tcPr>
                  <w:tcW w:w="966" w:type="pct"/>
                  <w:noWrap w:val="0"/>
                  <w:vAlign w:val="center"/>
                </w:tcPr>
                <w:p w14:paraId="19CE0F4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75.037</w:t>
                  </w:r>
                </w:p>
              </w:tc>
              <w:tc>
                <w:tcPr>
                  <w:tcW w:w="1076" w:type="pct"/>
                  <w:noWrap w:val="0"/>
                  <w:vAlign w:val="center"/>
                </w:tcPr>
                <w:p w14:paraId="7B4FDD1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color w:val="auto"/>
                      <w:kern w:val="0"/>
                      <w:sz w:val="21"/>
                      <w:szCs w:val="21"/>
                      <w:highlight w:val="none"/>
                      <w:u w:val="none"/>
                      <w:shd w:val="clear" w:color="auto" w:fill="auto"/>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2.924 </w:t>
                  </w:r>
                </w:p>
              </w:tc>
              <w:tc>
                <w:tcPr>
                  <w:tcW w:w="960" w:type="pct"/>
                  <w:noWrap w:val="0"/>
                  <w:vAlign w:val="center"/>
                </w:tcPr>
                <w:p w14:paraId="24E4151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color w:val="auto"/>
                      <w:kern w:val="0"/>
                      <w:sz w:val="21"/>
                      <w:szCs w:val="21"/>
                      <w:highlight w:val="none"/>
                      <w:u w:val="none"/>
                      <w:shd w:val="clear" w:color="auto" w:fill="auto"/>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15.007 </w:t>
                  </w:r>
                </w:p>
              </w:tc>
            </w:tr>
            <w:tr w14:paraId="58D55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84" w:type="pct"/>
                  <w:noWrap w:val="0"/>
                  <w:vAlign w:val="center"/>
                </w:tcPr>
                <w:p w14:paraId="2430586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color w:val="auto"/>
                      <w:kern w:val="0"/>
                      <w:sz w:val="21"/>
                      <w:szCs w:val="21"/>
                      <w:highlight w:val="none"/>
                      <w:u w:val="none"/>
                      <w:shd w:val="clear" w:color="auto" w:fill="auto"/>
                      <w:lang w:val="en-US" w:eastAsia="zh-CN" w:bidi="ar"/>
                    </w:rPr>
                  </w:pPr>
                  <w:r>
                    <w:rPr>
                      <w:rFonts w:hint="eastAsia" w:ascii="宋体" w:hAnsi="宋体" w:cs="宋体"/>
                      <w:i w:val="0"/>
                      <w:color w:val="auto"/>
                      <w:kern w:val="0"/>
                      <w:sz w:val="21"/>
                      <w:szCs w:val="21"/>
                      <w:highlight w:val="none"/>
                      <w:u w:val="none"/>
                      <w:shd w:val="clear" w:color="auto" w:fill="auto"/>
                      <w:lang w:val="en-US" w:eastAsia="zh-CN" w:bidi="ar"/>
                    </w:rPr>
                    <w:t>2#</w:t>
                  </w:r>
                  <w:r>
                    <w:rPr>
                      <w:rFonts w:hint="eastAsia" w:ascii="宋体" w:hAnsi="宋体" w:eastAsia="宋体" w:cs="宋体"/>
                      <w:i w:val="0"/>
                      <w:color w:val="auto"/>
                      <w:kern w:val="0"/>
                      <w:sz w:val="21"/>
                      <w:szCs w:val="21"/>
                      <w:highlight w:val="none"/>
                      <w:u w:val="none"/>
                      <w:shd w:val="clear" w:color="auto" w:fill="auto"/>
                      <w:lang w:val="en-US" w:eastAsia="zh-CN" w:bidi="ar"/>
                    </w:rPr>
                    <w:t>生产车间</w:t>
                  </w:r>
                </w:p>
              </w:tc>
              <w:tc>
                <w:tcPr>
                  <w:tcW w:w="1111" w:type="pct"/>
                  <w:noWrap w:val="0"/>
                  <w:vAlign w:val="center"/>
                </w:tcPr>
                <w:p w14:paraId="2704912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42.993</w:t>
                  </w:r>
                </w:p>
              </w:tc>
              <w:tc>
                <w:tcPr>
                  <w:tcW w:w="966" w:type="pct"/>
                  <w:noWrap w:val="0"/>
                  <w:vAlign w:val="center"/>
                </w:tcPr>
                <w:p w14:paraId="04E1664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227.228</w:t>
                  </w:r>
                </w:p>
              </w:tc>
              <w:tc>
                <w:tcPr>
                  <w:tcW w:w="1076" w:type="pct"/>
                  <w:noWrap w:val="0"/>
                  <w:vAlign w:val="center"/>
                </w:tcPr>
                <w:p w14:paraId="60443094">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8.599 </w:t>
                  </w:r>
                </w:p>
              </w:tc>
              <w:tc>
                <w:tcPr>
                  <w:tcW w:w="960" w:type="pct"/>
                  <w:noWrap w:val="0"/>
                  <w:vAlign w:val="center"/>
                </w:tcPr>
                <w:p w14:paraId="0AE95E92">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45.445 </w:t>
                  </w:r>
                </w:p>
              </w:tc>
            </w:tr>
            <w:tr w14:paraId="41DA0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84" w:type="pct"/>
                  <w:noWrap w:val="0"/>
                  <w:vAlign w:val="center"/>
                </w:tcPr>
                <w:p w14:paraId="4CE5F33E">
                  <w:pPr>
                    <w:keepNext w:val="0"/>
                    <w:keepLines w:val="0"/>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shd w:val="clear" w:color="auto" w:fill="auto"/>
                    </w:rPr>
                  </w:pPr>
                  <w:r>
                    <w:rPr>
                      <w:rFonts w:hint="eastAsia" w:ascii="宋体" w:hAnsi="宋体" w:eastAsia="宋体" w:cs="宋体"/>
                      <w:color w:val="auto"/>
                      <w:kern w:val="0"/>
                      <w:sz w:val="21"/>
                      <w:szCs w:val="21"/>
                      <w:highlight w:val="none"/>
                      <w:shd w:val="clear" w:color="auto" w:fill="auto"/>
                    </w:rPr>
                    <w:t>合计</w:t>
                  </w:r>
                </w:p>
              </w:tc>
              <w:tc>
                <w:tcPr>
                  <w:tcW w:w="1111" w:type="pct"/>
                  <w:noWrap w:val="0"/>
                  <w:vAlign w:val="center"/>
                </w:tcPr>
                <w:p w14:paraId="7F3D0B8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58.577</w:t>
                  </w:r>
                </w:p>
              </w:tc>
              <w:tc>
                <w:tcPr>
                  <w:tcW w:w="966" w:type="pct"/>
                  <w:noWrap w:val="0"/>
                  <w:vAlign w:val="center"/>
                </w:tcPr>
                <w:p w14:paraId="2122560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304.673</w:t>
                  </w:r>
                </w:p>
              </w:tc>
              <w:tc>
                <w:tcPr>
                  <w:tcW w:w="1076" w:type="pct"/>
                  <w:noWrap w:val="0"/>
                  <w:vAlign w:val="center"/>
                </w:tcPr>
                <w:p w14:paraId="3079CF8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color w:val="auto"/>
                      <w:kern w:val="0"/>
                      <w:sz w:val="21"/>
                      <w:szCs w:val="21"/>
                      <w:highlight w:val="none"/>
                      <w:u w:val="none"/>
                      <w:shd w:val="clear" w:color="auto" w:fill="auto"/>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11.715 </w:t>
                  </w:r>
                </w:p>
              </w:tc>
              <w:tc>
                <w:tcPr>
                  <w:tcW w:w="960" w:type="pct"/>
                  <w:noWrap w:val="0"/>
                  <w:vAlign w:val="center"/>
                </w:tcPr>
                <w:p w14:paraId="77D0760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color w:val="auto"/>
                      <w:kern w:val="0"/>
                      <w:sz w:val="21"/>
                      <w:szCs w:val="21"/>
                      <w:highlight w:val="none"/>
                      <w:u w:val="none"/>
                      <w:shd w:val="clear" w:color="auto" w:fill="auto"/>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 xml:space="preserve">60.934 </w:t>
                  </w:r>
                </w:p>
              </w:tc>
            </w:tr>
          </w:tbl>
          <w:p w14:paraId="70E8D86A">
            <w:pPr>
              <w:keepNext w:val="0"/>
              <w:keepLines w:val="0"/>
              <w:suppressLineNumbers w:val="0"/>
              <w:adjustRightInd w:val="0"/>
              <w:snapToGrid w:val="0"/>
              <w:spacing w:before="0" w:beforeAutospacing="0" w:after="0" w:afterAutospacing="0" w:line="480" w:lineRule="exact"/>
              <w:ind w:left="0" w:right="0"/>
              <w:jc w:val="center"/>
              <w:rPr>
                <w:rFonts w:hint="eastAsia" w:ascii="Calibri" w:hAnsi="Calibri" w:eastAsia="宋体" w:cs="Times New Roman"/>
                <w:color w:val="auto"/>
                <w:sz w:val="24"/>
                <w:szCs w:val="24"/>
                <w:highlight w:val="none"/>
                <w:shd w:val="clear" w:color="auto" w:fill="auto"/>
                <w:lang w:val="en-US" w:eastAsia="zh-CN"/>
              </w:rPr>
            </w:pPr>
            <w:r>
              <w:rPr>
                <w:rFonts w:ascii="Calibri" w:hAnsi="Calibri" w:eastAsia="宋体" w:cs="Times New Roman"/>
                <w:color w:val="auto"/>
                <w:sz w:val="24"/>
                <w:szCs w:val="24"/>
                <w:highlight w:val="none"/>
                <w:shd w:val="clear" w:color="auto" w:fill="auto"/>
              </w:rPr>
              <w:t>表</w:t>
            </w:r>
            <w:r>
              <w:rPr>
                <w:rFonts w:hint="eastAsia" w:ascii="Calibri" w:hAnsi="Calibri" w:cs="Times New Roman"/>
                <w:color w:val="auto"/>
                <w:sz w:val="24"/>
                <w:highlight w:val="none"/>
                <w:shd w:val="clear" w:color="auto" w:fill="auto"/>
                <w:lang w:val="en-US" w:eastAsia="zh-CN"/>
              </w:rPr>
              <w:t>4-8</w:t>
            </w:r>
            <w:r>
              <w:rPr>
                <w:rFonts w:ascii="Calibri" w:hAnsi="Calibri" w:eastAsia="宋体" w:cs="Times New Roman"/>
                <w:color w:val="auto"/>
                <w:sz w:val="24"/>
                <w:szCs w:val="24"/>
                <w:highlight w:val="none"/>
                <w:shd w:val="clear" w:color="auto" w:fill="auto"/>
              </w:rPr>
              <w:t xml:space="preserve">    </w:t>
            </w:r>
            <w:r>
              <w:rPr>
                <w:rFonts w:hint="eastAsia" w:ascii="Calibri" w:hAnsi="Calibri" w:eastAsia="宋体" w:cs="Times New Roman"/>
                <w:color w:val="auto"/>
                <w:sz w:val="24"/>
                <w:szCs w:val="24"/>
                <w:highlight w:val="none"/>
                <w:shd w:val="clear" w:color="auto" w:fill="auto"/>
                <w:lang w:eastAsia="zh-CN"/>
              </w:rPr>
              <w:t>大气排放口基本情况表</w:t>
            </w:r>
          </w:p>
          <w:tbl>
            <w:tblPr>
              <w:tblStyle w:val="25"/>
              <w:tblW w:w="83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33"/>
              <w:gridCol w:w="1034"/>
              <w:gridCol w:w="1258"/>
              <w:gridCol w:w="1130"/>
              <w:gridCol w:w="1189"/>
              <w:gridCol w:w="765"/>
              <w:gridCol w:w="732"/>
              <w:gridCol w:w="537"/>
              <w:gridCol w:w="615"/>
              <w:gridCol w:w="369"/>
            </w:tblGrid>
            <w:tr w14:paraId="5B8AB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9" w:hRule="atLeast"/>
                <w:tblHeader/>
                <w:jc w:val="center"/>
              </w:trPr>
              <w:tc>
                <w:tcPr>
                  <w:tcW w:w="733" w:type="dxa"/>
                  <w:vMerge w:val="restart"/>
                  <w:noWrap/>
                  <w:vAlign w:val="center"/>
                </w:tcPr>
                <w:p w14:paraId="414AA81F">
                  <w:pPr>
                    <w:pStyle w:val="46"/>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rPr>
                  </w:pPr>
                  <w:r>
                    <w:rPr>
                      <w:rFonts w:hint="default" w:ascii="Times New Roman" w:hAnsi="Times New Roman" w:eastAsia="宋体" w:cs="Times New Roman"/>
                      <w:color w:val="auto"/>
                      <w:sz w:val="21"/>
                      <w:szCs w:val="21"/>
                      <w:highlight w:val="none"/>
                      <w:shd w:val="clear" w:color="auto" w:fill="auto"/>
                    </w:rPr>
                    <w:t>排放口编号</w:t>
                  </w:r>
                </w:p>
              </w:tc>
              <w:tc>
                <w:tcPr>
                  <w:tcW w:w="1034" w:type="dxa"/>
                  <w:vMerge w:val="restart"/>
                  <w:noWrap/>
                  <w:vAlign w:val="center"/>
                </w:tcPr>
                <w:p w14:paraId="53ACB75C">
                  <w:pPr>
                    <w:pStyle w:val="46"/>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rPr>
                  </w:pPr>
                  <w:r>
                    <w:rPr>
                      <w:rFonts w:hint="default" w:ascii="Times New Roman" w:hAnsi="Times New Roman" w:eastAsia="宋体" w:cs="Times New Roman"/>
                      <w:color w:val="auto"/>
                      <w:sz w:val="21"/>
                      <w:szCs w:val="21"/>
                      <w:highlight w:val="none"/>
                      <w:shd w:val="clear" w:color="auto" w:fill="auto"/>
                    </w:rPr>
                    <w:t>排放口名称</w:t>
                  </w:r>
                </w:p>
              </w:tc>
              <w:tc>
                <w:tcPr>
                  <w:tcW w:w="1258" w:type="dxa"/>
                  <w:vMerge w:val="restart"/>
                  <w:noWrap/>
                  <w:vAlign w:val="center"/>
                </w:tcPr>
                <w:p w14:paraId="27E8515B">
                  <w:pPr>
                    <w:pStyle w:val="46"/>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rPr>
                  </w:pPr>
                  <w:r>
                    <w:rPr>
                      <w:rFonts w:hint="default" w:ascii="Times New Roman" w:hAnsi="Times New Roman" w:eastAsia="宋体" w:cs="Times New Roman"/>
                      <w:color w:val="auto"/>
                      <w:sz w:val="21"/>
                      <w:szCs w:val="21"/>
                      <w:highlight w:val="none"/>
                      <w:shd w:val="clear" w:color="auto" w:fill="auto"/>
                    </w:rPr>
                    <w:t>监测指标</w:t>
                  </w:r>
                </w:p>
              </w:tc>
              <w:tc>
                <w:tcPr>
                  <w:tcW w:w="2319" w:type="dxa"/>
                  <w:gridSpan w:val="2"/>
                  <w:noWrap/>
                  <w:vAlign w:val="center"/>
                </w:tcPr>
                <w:p w14:paraId="0AE4FFC7">
                  <w:pPr>
                    <w:pStyle w:val="46"/>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rPr>
                  </w:pPr>
                  <w:r>
                    <w:rPr>
                      <w:rFonts w:hint="default" w:ascii="Times New Roman" w:hAnsi="Times New Roman" w:eastAsia="宋体" w:cs="Times New Roman"/>
                      <w:color w:val="auto"/>
                      <w:sz w:val="21"/>
                      <w:szCs w:val="21"/>
                      <w:highlight w:val="none"/>
                      <w:shd w:val="clear" w:color="auto" w:fill="auto"/>
                    </w:rPr>
                    <w:t>排放口地理坐标</w:t>
                  </w:r>
                </w:p>
              </w:tc>
              <w:tc>
                <w:tcPr>
                  <w:tcW w:w="765" w:type="dxa"/>
                  <w:vMerge w:val="restart"/>
                  <w:noWrap/>
                  <w:vAlign w:val="center"/>
                </w:tcPr>
                <w:p w14:paraId="71DE870D">
                  <w:pPr>
                    <w:pStyle w:val="46"/>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rPr>
                  </w:pPr>
                  <w:r>
                    <w:rPr>
                      <w:rFonts w:hint="default" w:ascii="Times New Roman" w:hAnsi="Times New Roman" w:eastAsia="宋体" w:cs="Times New Roman"/>
                      <w:color w:val="auto"/>
                      <w:sz w:val="21"/>
                      <w:szCs w:val="21"/>
                      <w:highlight w:val="none"/>
                      <w:shd w:val="clear" w:color="auto" w:fill="auto"/>
                    </w:rPr>
                    <w:t>排气筒高度（m）</w:t>
                  </w:r>
                </w:p>
              </w:tc>
              <w:tc>
                <w:tcPr>
                  <w:tcW w:w="732" w:type="dxa"/>
                  <w:vMerge w:val="restart"/>
                  <w:noWrap/>
                  <w:vAlign w:val="center"/>
                </w:tcPr>
                <w:p w14:paraId="53809694">
                  <w:pPr>
                    <w:pStyle w:val="46"/>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rPr>
                  </w:pPr>
                  <w:r>
                    <w:rPr>
                      <w:rFonts w:hint="default" w:ascii="Times New Roman" w:hAnsi="Times New Roman" w:eastAsia="宋体" w:cs="Times New Roman"/>
                      <w:color w:val="auto"/>
                      <w:sz w:val="21"/>
                      <w:szCs w:val="21"/>
                      <w:highlight w:val="none"/>
                      <w:shd w:val="clear" w:color="auto" w:fill="auto"/>
                    </w:rPr>
                    <w:t>排气筒出口内径（m）</w:t>
                  </w:r>
                </w:p>
              </w:tc>
              <w:tc>
                <w:tcPr>
                  <w:tcW w:w="537" w:type="dxa"/>
                  <w:vMerge w:val="restart"/>
                  <w:noWrap/>
                  <w:vAlign w:val="center"/>
                </w:tcPr>
                <w:p w14:paraId="608167C9">
                  <w:pPr>
                    <w:pStyle w:val="46"/>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lang w:eastAsia="zh-CN"/>
                    </w:rPr>
                  </w:pPr>
                  <w:r>
                    <w:rPr>
                      <w:rFonts w:hint="default" w:ascii="Times New Roman" w:hAnsi="Times New Roman" w:eastAsia="宋体" w:cs="Times New Roman"/>
                      <w:color w:val="auto"/>
                      <w:sz w:val="21"/>
                      <w:szCs w:val="21"/>
                      <w:highlight w:val="none"/>
                      <w:shd w:val="clear" w:color="auto" w:fill="auto"/>
                      <w:lang w:eastAsia="zh-CN"/>
                    </w:rPr>
                    <w:t>监测要求</w:t>
                  </w:r>
                </w:p>
              </w:tc>
              <w:tc>
                <w:tcPr>
                  <w:tcW w:w="615" w:type="dxa"/>
                  <w:vMerge w:val="restart"/>
                  <w:noWrap/>
                  <w:vAlign w:val="center"/>
                </w:tcPr>
                <w:p w14:paraId="4F9174A1">
                  <w:pPr>
                    <w:pStyle w:val="46"/>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rPr>
                  </w:pPr>
                  <w:r>
                    <w:rPr>
                      <w:rFonts w:hint="default" w:ascii="Times New Roman" w:hAnsi="Times New Roman" w:eastAsia="宋体" w:cs="Times New Roman"/>
                      <w:color w:val="auto"/>
                      <w:sz w:val="21"/>
                      <w:szCs w:val="21"/>
                      <w:highlight w:val="none"/>
                      <w:shd w:val="clear" w:color="auto" w:fill="auto"/>
                    </w:rPr>
                    <w:t>排气温度（℃）</w:t>
                  </w:r>
                </w:p>
              </w:tc>
              <w:tc>
                <w:tcPr>
                  <w:tcW w:w="369" w:type="dxa"/>
                  <w:vMerge w:val="restart"/>
                  <w:noWrap/>
                  <w:vAlign w:val="center"/>
                </w:tcPr>
                <w:p w14:paraId="1FF14ABD">
                  <w:pPr>
                    <w:pStyle w:val="46"/>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rPr>
                  </w:pPr>
                  <w:r>
                    <w:rPr>
                      <w:rFonts w:hint="default" w:ascii="Times New Roman" w:hAnsi="Times New Roman" w:eastAsia="宋体" w:cs="Times New Roman"/>
                      <w:color w:val="auto"/>
                      <w:sz w:val="21"/>
                      <w:szCs w:val="21"/>
                      <w:highlight w:val="none"/>
                      <w:shd w:val="clear" w:color="auto" w:fill="auto"/>
                    </w:rPr>
                    <w:t>其他信息</w:t>
                  </w:r>
                </w:p>
              </w:tc>
            </w:tr>
            <w:tr w14:paraId="620CA6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1" w:hRule="atLeast"/>
                <w:tblHeader/>
                <w:jc w:val="center"/>
              </w:trPr>
              <w:tc>
                <w:tcPr>
                  <w:tcW w:w="733" w:type="dxa"/>
                  <w:vMerge w:val="continue"/>
                  <w:noWrap/>
                  <w:vAlign w:val="center"/>
                </w:tcPr>
                <w:p w14:paraId="467252F4">
                  <w:pPr>
                    <w:pStyle w:val="46"/>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rPr>
                  </w:pPr>
                </w:p>
              </w:tc>
              <w:tc>
                <w:tcPr>
                  <w:tcW w:w="1034" w:type="dxa"/>
                  <w:vMerge w:val="continue"/>
                  <w:noWrap/>
                  <w:vAlign w:val="center"/>
                </w:tcPr>
                <w:p w14:paraId="48D73862">
                  <w:pPr>
                    <w:pStyle w:val="46"/>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rPr>
                  </w:pPr>
                </w:p>
              </w:tc>
              <w:tc>
                <w:tcPr>
                  <w:tcW w:w="1258" w:type="dxa"/>
                  <w:vMerge w:val="continue"/>
                  <w:noWrap/>
                  <w:vAlign w:val="center"/>
                </w:tcPr>
                <w:p w14:paraId="137541EA">
                  <w:pPr>
                    <w:pStyle w:val="46"/>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rPr>
                  </w:pPr>
                </w:p>
              </w:tc>
              <w:tc>
                <w:tcPr>
                  <w:tcW w:w="1130" w:type="dxa"/>
                  <w:noWrap/>
                  <w:vAlign w:val="center"/>
                </w:tcPr>
                <w:p w14:paraId="42E6DFB0">
                  <w:pPr>
                    <w:pStyle w:val="46"/>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lang w:eastAsia="zh-CN"/>
                    </w:rPr>
                  </w:pPr>
                  <w:r>
                    <w:rPr>
                      <w:rFonts w:hint="default" w:ascii="Times New Roman" w:hAnsi="Times New Roman" w:cs="Times New Roman"/>
                      <w:color w:val="auto"/>
                      <w:sz w:val="21"/>
                      <w:szCs w:val="21"/>
                      <w:highlight w:val="none"/>
                      <w:shd w:val="clear" w:color="auto" w:fill="auto"/>
                      <w:lang w:val="en-US" w:eastAsia="zh-CN"/>
                    </w:rPr>
                    <w:t>X</w:t>
                  </w:r>
                </w:p>
              </w:tc>
              <w:tc>
                <w:tcPr>
                  <w:tcW w:w="1189" w:type="dxa"/>
                  <w:noWrap/>
                  <w:vAlign w:val="center"/>
                </w:tcPr>
                <w:p w14:paraId="6D77316D">
                  <w:pPr>
                    <w:pStyle w:val="46"/>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napToGrid w:val="0"/>
                      <w:color w:val="auto"/>
                      <w:kern w:val="20"/>
                      <w:sz w:val="21"/>
                      <w:szCs w:val="21"/>
                      <w:highlight w:val="none"/>
                      <w:shd w:val="clear" w:color="auto" w:fill="auto"/>
                      <w:lang w:eastAsia="zh-CN"/>
                    </w:rPr>
                  </w:pPr>
                  <w:r>
                    <w:rPr>
                      <w:rFonts w:hint="default" w:ascii="Times New Roman" w:hAnsi="Times New Roman" w:cs="Times New Roman"/>
                      <w:color w:val="auto"/>
                      <w:sz w:val="21"/>
                      <w:szCs w:val="21"/>
                      <w:highlight w:val="none"/>
                      <w:shd w:val="clear" w:color="auto" w:fill="auto"/>
                      <w:lang w:val="en-US" w:eastAsia="zh-CN"/>
                    </w:rPr>
                    <w:t>Y</w:t>
                  </w:r>
                </w:p>
              </w:tc>
              <w:tc>
                <w:tcPr>
                  <w:tcW w:w="765" w:type="dxa"/>
                  <w:vMerge w:val="continue"/>
                  <w:noWrap/>
                  <w:vAlign w:val="center"/>
                </w:tcPr>
                <w:p w14:paraId="2CC10259">
                  <w:pPr>
                    <w:pStyle w:val="46"/>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rPr>
                  </w:pPr>
                </w:p>
              </w:tc>
              <w:tc>
                <w:tcPr>
                  <w:tcW w:w="732" w:type="dxa"/>
                  <w:vMerge w:val="continue"/>
                  <w:noWrap/>
                  <w:vAlign w:val="center"/>
                </w:tcPr>
                <w:p w14:paraId="23E84E64">
                  <w:pPr>
                    <w:pStyle w:val="46"/>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rPr>
                  </w:pPr>
                </w:p>
              </w:tc>
              <w:tc>
                <w:tcPr>
                  <w:tcW w:w="537" w:type="dxa"/>
                  <w:vMerge w:val="continue"/>
                  <w:noWrap/>
                  <w:vAlign w:val="center"/>
                </w:tcPr>
                <w:p w14:paraId="0B9F9018">
                  <w:pPr>
                    <w:pStyle w:val="46"/>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rPr>
                  </w:pPr>
                </w:p>
              </w:tc>
              <w:tc>
                <w:tcPr>
                  <w:tcW w:w="615" w:type="dxa"/>
                  <w:vMerge w:val="continue"/>
                  <w:noWrap/>
                  <w:vAlign w:val="center"/>
                </w:tcPr>
                <w:p w14:paraId="01A02430">
                  <w:pPr>
                    <w:pStyle w:val="46"/>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rPr>
                  </w:pPr>
                </w:p>
              </w:tc>
              <w:tc>
                <w:tcPr>
                  <w:tcW w:w="369" w:type="dxa"/>
                  <w:vMerge w:val="continue"/>
                  <w:noWrap/>
                  <w:vAlign w:val="center"/>
                </w:tcPr>
                <w:p w14:paraId="62ACA0B1">
                  <w:pPr>
                    <w:pStyle w:val="46"/>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rPr>
                  </w:pPr>
                </w:p>
              </w:tc>
            </w:tr>
            <w:tr w14:paraId="7A5A7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12" w:hRule="atLeast"/>
                <w:tblHeader/>
                <w:jc w:val="center"/>
              </w:trPr>
              <w:tc>
                <w:tcPr>
                  <w:tcW w:w="733" w:type="dxa"/>
                  <w:noWrap/>
                  <w:vAlign w:val="center"/>
                </w:tcPr>
                <w:p w14:paraId="49F79209">
                  <w:pPr>
                    <w:pStyle w:val="5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lang w:eastAsia="zh-CN"/>
                    </w:rPr>
                  </w:pPr>
                  <w:r>
                    <w:rPr>
                      <w:rFonts w:hint="default" w:ascii="Times New Roman" w:hAnsi="Times New Roman" w:cs="Times New Roman"/>
                      <w:color w:val="auto"/>
                      <w:sz w:val="21"/>
                      <w:szCs w:val="21"/>
                      <w:highlight w:val="none"/>
                      <w:shd w:val="clear" w:color="auto" w:fill="auto"/>
                      <w:lang w:eastAsia="zh-CN"/>
                    </w:rPr>
                    <w:t>DA001</w:t>
                  </w:r>
                </w:p>
              </w:tc>
              <w:tc>
                <w:tcPr>
                  <w:tcW w:w="1034" w:type="dxa"/>
                  <w:noWrap/>
                  <w:vAlign w:val="center"/>
                </w:tcPr>
                <w:p w14:paraId="7B65E4B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lang w:eastAsia="zh-CN"/>
                    </w:rPr>
                  </w:pPr>
                  <w:r>
                    <w:rPr>
                      <w:rFonts w:hint="eastAsia" w:cs="Times New Roman"/>
                      <w:i w:val="0"/>
                      <w:color w:val="auto"/>
                      <w:kern w:val="0"/>
                      <w:sz w:val="21"/>
                      <w:szCs w:val="21"/>
                      <w:highlight w:val="none"/>
                      <w:u w:val="none"/>
                      <w:shd w:val="clear" w:color="auto" w:fill="auto"/>
                      <w:lang w:val="en-US" w:eastAsia="zh-CN" w:bidi="ar"/>
                    </w:rPr>
                    <w:t>1#原料库房、</w:t>
                  </w:r>
                  <w:r>
                    <w:rPr>
                      <w:rFonts w:hint="eastAsia" w:cs="Times New Roman"/>
                      <w:color w:val="auto"/>
                      <w:sz w:val="21"/>
                      <w:szCs w:val="21"/>
                      <w:highlight w:val="none"/>
                      <w:shd w:val="clear" w:color="auto" w:fill="auto"/>
                      <w:lang w:val="en-US" w:eastAsia="zh-CN"/>
                    </w:rPr>
                    <w:t>1#、2#</w:t>
                  </w:r>
                  <w:r>
                    <w:rPr>
                      <w:rFonts w:hint="default" w:ascii="Times New Roman" w:hAnsi="Times New Roman" w:eastAsia="宋体" w:cs="Times New Roman"/>
                      <w:color w:val="auto"/>
                      <w:sz w:val="21"/>
                      <w:szCs w:val="21"/>
                      <w:highlight w:val="none"/>
                      <w:shd w:val="clear" w:color="auto" w:fill="auto"/>
                      <w:lang w:eastAsia="zh-CN"/>
                    </w:rPr>
                    <w:t>生产</w:t>
                  </w:r>
                  <w:r>
                    <w:rPr>
                      <w:rFonts w:hint="eastAsia" w:cs="Times New Roman"/>
                      <w:color w:val="auto"/>
                      <w:sz w:val="21"/>
                      <w:szCs w:val="21"/>
                      <w:highlight w:val="none"/>
                      <w:shd w:val="clear" w:color="auto" w:fill="auto"/>
                      <w:lang w:eastAsia="zh-CN"/>
                    </w:rPr>
                    <w:t>线</w:t>
                  </w:r>
                  <w:r>
                    <w:rPr>
                      <w:rFonts w:hint="default" w:ascii="Times New Roman" w:hAnsi="Times New Roman" w:eastAsia="宋体" w:cs="Times New Roman"/>
                      <w:color w:val="auto"/>
                      <w:sz w:val="21"/>
                      <w:szCs w:val="21"/>
                      <w:highlight w:val="none"/>
                      <w:shd w:val="clear" w:color="auto" w:fill="auto"/>
                      <w:lang w:eastAsia="zh-CN"/>
                    </w:rPr>
                    <w:t>排气筒</w:t>
                  </w:r>
                </w:p>
              </w:tc>
              <w:tc>
                <w:tcPr>
                  <w:tcW w:w="1258" w:type="dxa"/>
                  <w:noWrap/>
                  <w:vAlign w:val="center"/>
                </w:tcPr>
                <w:p w14:paraId="3C57EB02">
                  <w:pPr>
                    <w:pStyle w:val="52"/>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z w:val="21"/>
                      <w:szCs w:val="21"/>
                      <w:highlight w:val="none"/>
                      <w:shd w:val="clear" w:color="auto" w:fill="auto"/>
                    </w:rPr>
                    <w:t>颗粒物</w:t>
                  </w:r>
                </w:p>
              </w:tc>
              <w:tc>
                <w:tcPr>
                  <w:tcW w:w="1130" w:type="dxa"/>
                  <w:noWrap/>
                  <w:vAlign w:val="center"/>
                </w:tcPr>
                <w:p w14:paraId="20080EE3">
                  <w:pPr>
                    <w:pStyle w:val="52"/>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auto"/>
                      <w:lang w:val="en-US"/>
                    </w:rPr>
                  </w:pPr>
                  <w:r>
                    <w:rPr>
                      <w:rFonts w:hint="eastAsia" w:ascii="Times New Roman" w:hAnsi="Times New Roman" w:cs="Times New Roman"/>
                      <w:color w:val="auto"/>
                      <w:kern w:val="0"/>
                      <w:sz w:val="21"/>
                      <w:szCs w:val="21"/>
                      <w:highlight w:val="none"/>
                      <w:shd w:val="clear" w:color="auto" w:fill="auto"/>
                      <w:lang w:val="en-US" w:eastAsia="zh-CN"/>
                    </w:rPr>
                    <w:t>513925.82</w:t>
                  </w:r>
                </w:p>
              </w:tc>
              <w:tc>
                <w:tcPr>
                  <w:tcW w:w="1189" w:type="dxa"/>
                  <w:noWrap/>
                  <w:vAlign w:val="center"/>
                </w:tcPr>
                <w:p w14:paraId="1DC54233">
                  <w:pPr>
                    <w:pStyle w:val="52"/>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shd w:val="clear" w:color="auto" w:fill="auto"/>
                      <w:lang w:val="en-US"/>
                    </w:rPr>
                  </w:pPr>
                  <w:r>
                    <w:rPr>
                      <w:rFonts w:hint="eastAsia" w:ascii="Times New Roman" w:hAnsi="Times New Roman" w:cs="Times New Roman"/>
                      <w:color w:val="auto"/>
                      <w:kern w:val="0"/>
                      <w:sz w:val="21"/>
                      <w:szCs w:val="21"/>
                      <w:highlight w:val="none"/>
                      <w:shd w:val="clear" w:color="auto" w:fill="auto"/>
                      <w:lang w:val="en-US" w:eastAsia="zh-CN"/>
                    </w:rPr>
                    <w:t>4480476.64</w:t>
                  </w:r>
                </w:p>
              </w:tc>
              <w:tc>
                <w:tcPr>
                  <w:tcW w:w="765" w:type="dxa"/>
                  <w:noWrap/>
                  <w:vAlign w:val="center"/>
                </w:tcPr>
                <w:p w14:paraId="53F87579">
                  <w:pPr>
                    <w:pStyle w:val="52"/>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shd w:val="clear" w:color="auto" w:fill="auto"/>
                      <w:lang w:val="en-US" w:eastAsia="zh-CN"/>
                    </w:rPr>
                  </w:pPr>
                  <w:r>
                    <w:rPr>
                      <w:rFonts w:hint="default" w:ascii="Times New Roman" w:hAnsi="Times New Roman" w:cs="Times New Roman"/>
                      <w:color w:val="auto"/>
                      <w:kern w:val="0"/>
                      <w:sz w:val="21"/>
                      <w:szCs w:val="21"/>
                      <w:highlight w:val="none"/>
                      <w:shd w:val="clear" w:color="auto" w:fill="auto"/>
                      <w:lang w:val="en-US" w:eastAsia="zh-CN"/>
                    </w:rPr>
                    <w:t>15</w:t>
                  </w:r>
                </w:p>
              </w:tc>
              <w:tc>
                <w:tcPr>
                  <w:tcW w:w="732" w:type="dxa"/>
                  <w:noWrap/>
                  <w:vAlign w:val="center"/>
                </w:tcPr>
                <w:p w14:paraId="09C6533B">
                  <w:pPr>
                    <w:pStyle w:val="52"/>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shd w:val="clear" w:color="auto" w:fill="auto"/>
                      <w:lang w:val="en-US" w:eastAsia="zh-CN"/>
                    </w:rPr>
                  </w:pPr>
                  <w:r>
                    <w:rPr>
                      <w:rFonts w:hint="default" w:ascii="Times New Roman" w:hAnsi="Times New Roman" w:cs="Times New Roman"/>
                      <w:color w:val="auto"/>
                      <w:kern w:val="0"/>
                      <w:sz w:val="21"/>
                      <w:szCs w:val="21"/>
                      <w:highlight w:val="none"/>
                      <w:shd w:val="clear" w:color="auto" w:fill="auto"/>
                      <w:lang w:val="en-US" w:eastAsia="zh-CN"/>
                    </w:rPr>
                    <w:t>1</w:t>
                  </w:r>
                </w:p>
              </w:tc>
              <w:tc>
                <w:tcPr>
                  <w:tcW w:w="537" w:type="dxa"/>
                  <w:noWrap/>
                  <w:vAlign w:val="center"/>
                </w:tcPr>
                <w:p w14:paraId="45774171">
                  <w:pPr>
                    <w:pStyle w:val="52"/>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shd w:val="clear" w:color="auto" w:fill="auto"/>
                      <w:lang w:val="en-US" w:eastAsia="zh-CN"/>
                    </w:rPr>
                  </w:pPr>
                  <w:r>
                    <w:rPr>
                      <w:rFonts w:hint="default" w:ascii="Times New Roman" w:hAnsi="Times New Roman" w:cs="Times New Roman"/>
                      <w:color w:val="auto"/>
                      <w:kern w:val="0"/>
                      <w:sz w:val="21"/>
                      <w:szCs w:val="21"/>
                      <w:highlight w:val="none"/>
                      <w:shd w:val="clear" w:color="auto" w:fill="auto"/>
                      <w:lang w:val="en-US" w:eastAsia="zh-CN"/>
                    </w:rPr>
                    <w:t>手工监测</w:t>
                  </w:r>
                </w:p>
              </w:tc>
              <w:tc>
                <w:tcPr>
                  <w:tcW w:w="615" w:type="dxa"/>
                  <w:noWrap/>
                  <w:vAlign w:val="center"/>
                </w:tcPr>
                <w:p w14:paraId="306BAA4D">
                  <w:pPr>
                    <w:pStyle w:val="52"/>
                    <w:keepNext w:val="0"/>
                    <w:keepLines w:val="0"/>
                    <w:suppressLineNumbers w:val="0"/>
                    <w:spacing w:before="0" w:beforeAutospacing="0" w:after="0" w:afterAutospacing="0"/>
                    <w:ind w:left="0" w:right="0"/>
                    <w:jc w:val="center"/>
                    <w:rPr>
                      <w:rFonts w:hint="default" w:ascii="Times New Roman" w:hAnsi="Times New Roman" w:cs="Times New Roman"/>
                      <w:color w:val="auto"/>
                      <w:kern w:val="0"/>
                      <w:sz w:val="21"/>
                      <w:szCs w:val="21"/>
                      <w:highlight w:val="none"/>
                      <w:shd w:val="clear" w:color="auto" w:fill="auto"/>
                      <w:lang w:val="en-US" w:eastAsia="zh-CN"/>
                    </w:rPr>
                  </w:pPr>
                  <w:r>
                    <w:rPr>
                      <w:rFonts w:hint="default" w:ascii="Times New Roman" w:hAnsi="Times New Roman" w:cs="Times New Roman"/>
                      <w:color w:val="auto"/>
                      <w:kern w:val="0"/>
                      <w:sz w:val="21"/>
                      <w:szCs w:val="21"/>
                      <w:highlight w:val="none"/>
                      <w:shd w:val="clear" w:color="auto" w:fill="auto"/>
                      <w:lang w:val="en-US" w:eastAsia="zh-CN"/>
                    </w:rPr>
                    <w:t>25</w:t>
                  </w:r>
                </w:p>
              </w:tc>
              <w:tc>
                <w:tcPr>
                  <w:tcW w:w="369" w:type="dxa"/>
                  <w:noWrap/>
                  <w:vAlign w:val="center"/>
                </w:tcPr>
                <w:p w14:paraId="02205087">
                  <w:pPr>
                    <w:pStyle w:val="46"/>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rPr>
                  </w:pPr>
                </w:p>
              </w:tc>
            </w:tr>
            <w:tr w14:paraId="4FFEA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12" w:hRule="atLeast"/>
                <w:tblHeader/>
                <w:jc w:val="center"/>
              </w:trPr>
              <w:tc>
                <w:tcPr>
                  <w:tcW w:w="733" w:type="dxa"/>
                  <w:noWrap/>
                  <w:vAlign w:val="center"/>
                </w:tcPr>
                <w:p w14:paraId="6279530E">
                  <w:pPr>
                    <w:pStyle w:val="52"/>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21"/>
                      <w:szCs w:val="21"/>
                      <w:highlight w:val="none"/>
                      <w:shd w:val="clear" w:color="auto" w:fill="auto"/>
                      <w:lang w:eastAsia="zh-CN"/>
                    </w:rPr>
                  </w:pPr>
                  <w:r>
                    <w:rPr>
                      <w:rFonts w:hint="default" w:ascii="Times New Roman" w:hAnsi="Times New Roman" w:cs="Times New Roman"/>
                      <w:color w:val="auto"/>
                      <w:sz w:val="21"/>
                      <w:szCs w:val="21"/>
                      <w:highlight w:val="none"/>
                      <w:shd w:val="clear" w:color="auto" w:fill="auto"/>
                      <w:lang w:eastAsia="zh-CN"/>
                    </w:rPr>
                    <w:t>DA00</w:t>
                  </w:r>
                  <w:r>
                    <w:rPr>
                      <w:rFonts w:hint="default" w:ascii="Times New Roman" w:hAnsi="Times New Roman" w:cs="Times New Roman"/>
                      <w:color w:val="auto"/>
                      <w:sz w:val="21"/>
                      <w:szCs w:val="21"/>
                      <w:highlight w:val="none"/>
                      <w:shd w:val="clear" w:color="auto" w:fill="auto"/>
                      <w:lang w:val="en-US" w:eastAsia="zh-CN"/>
                    </w:rPr>
                    <w:t>2</w:t>
                  </w:r>
                </w:p>
              </w:tc>
              <w:tc>
                <w:tcPr>
                  <w:tcW w:w="1034" w:type="dxa"/>
                  <w:noWrap/>
                  <w:vAlign w:val="center"/>
                </w:tcPr>
                <w:p w14:paraId="2394899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lang w:eastAsia="zh-CN"/>
                    </w:rPr>
                  </w:pPr>
                  <w:r>
                    <w:rPr>
                      <w:rFonts w:hint="eastAsia" w:cs="Times New Roman"/>
                      <w:color w:val="auto"/>
                      <w:sz w:val="21"/>
                      <w:szCs w:val="21"/>
                      <w:highlight w:val="none"/>
                      <w:shd w:val="clear" w:color="auto" w:fill="auto"/>
                      <w:lang w:val="en-US" w:eastAsia="zh-CN"/>
                    </w:rPr>
                    <w:t>3#</w:t>
                  </w:r>
                  <w:r>
                    <w:rPr>
                      <w:rFonts w:hint="default" w:ascii="Times New Roman" w:hAnsi="Times New Roman" w:eastAsia="宋体" w:cs="Times New Roman"/>
                      <w:color w:val="auto"/>
                      <w:sz w:val="21"/>
                      <w:szCs w:val="21"/>
                      <w:highlight w:val="none"/>
                      <w:shd w:val="clear" w:color="auto" w:fill="auto"/>
                      <w:lang w:eastAsia="zh-CN"/>
                    </w:rPr>
                    <w:t>生产</w:t>
                  </w:r>
                  <w:r>
                    <w:rPr>
                      <w:rFonts w:hint="eastAsia" w:cs="Times New Roman"/>
                      <w:color w:val="auto"/>
                      <w:sz w:val="21"/>
                      <w:szCs w:val="21"/>
                      <w:highlight w:val="none"/>
                      <w:shd w:val="clear" w:color="auto" w:fill="auto"/>
                      <w:lang w:eastAsia="zh-CN"/>
                    </w:rPr>
                    <w:t>线</w:t>
                  </w:r>
                  <w:r>
                    <w:rPr>
                      <w:rFonts w:hint="default" w:ascii="Times New Roman" w:hAnsi="Times New Roman" w:eastAsia="宋体" w:cs="Times New Roman"/>
                      <w:color w:val="auto"/>
                      <w:sz w:val="21"/>
                      <w:szCs w:val="21"/>
                      <w:highlight w:val="none"/>
                      <w:shd w:val="clear" w:color="auto" w:fill="auto"/>
                      <w:lang w:eastAsia="zh-CN"/>
                    </w:rPr>
                    <w:t>排气筒</w:t>
                  </w:r>
                </w:p>
              </w:tc>
              <w:tc>
                <w:tcPr>
                  <w:tcW w:w="1258" w:type="dxa"/>
                  <w:noWrap/>
                  <w:vAlign w:val="center"/>
                </w:tcPr>
                <w:p w14:paraId="4D9FFBCE">
                  <w:pPr>
                    <w:pStyle w:val="52"/>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z w:val="21"/>
                      <w:szCs w:val="21"/>
                      <w:highlight w:val="none"/>
                      <w:shd w:val="clear" w:color="auto" w:fill="auto"/>
                    </w:rPr>
                    <w:t>颗粒物</w:t>
                  </w:r>
                </w:p>
              </w:tc>
              <w:tc>
                <w:tcPr>
                  <w:tcW w:w="1130" w:type="dxa"/>
                  <w:noWrap/>
                  <w:vAlign w:val="center"/>
                </w:tcPr>
                <w:p w14:paraId="33F18D79">
                  <w:pPr>
                    <w:pStyle w:val="52"/>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shd w:val="clear" w:color="auto" w:fill="auto"/>
                      <w:lang w:val="en-US" w:eastAsia="zh-CN"/>
                    </w:rPr>
                  </w:pPr>
                  <w:r>
                    <w:rPr>
                      <w:rFonts w:hint="eastAsia" w:ascii="Times New Roman" w:hAnsi="Times New Roman" w:cs="Times New Roman"/>
                      <w:color w:val="auto"/>
                      <w:kern w:val="0"/>
                      <w:sz w:val="21"/>
                      <w:szCs w:val="21"/>
                      <w:highlight w:val="none"/>
                      <w:shd w:val="clear" w:color="auto" w:fill="auto"/>
                      <w:lang w:val="en-US" w:eastAsia="zh-CN"/>
                    </w:rPr>
                    <w:t>513794.15</w:t>
                  </w:r>
                </w:p>
              </w:tc>
              <w:tc>
                <w:tcPr>
                  <w:tcW w:w="1189" w:type="dxa"/>
                  <w:noWrap/>
                  <w:vAlign w:val="center"/>
                </w:tcPr>
                <w:p w14:paraId="1A1BDAAD">
                  <w:pPr>
                    <w:pStyle w:val="52"/>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shd w:val="clear" w:color="auto" w:fill="auto"/>
                      <w:lang w:val="en-US" w:eastAsia="zh-CN"/>
                    </w:rPr>
                  </w:pPr>
                  <w:r>
                    <w:rPr>
                      <w:rFonts w:hint="eastAsia" w:ascii="Times New Roman" w:hAnsi="Times New Roman" w:cs="Times New Roman"/>
                      <w:color w:val="auto"/>
                      <w:kern w:val="0"/>
                      <w:sz w:val="21"/>
                      <w:szCs w:val="21"/>
                      <w:highlight w:val="none"/>
                      <w:shd w:val="clear" w:color="auto" w:fill="auto"/>
                      <w:lang w:val="en-US" w:eastAsia="zh-CN"/>
                    </w:rPr>
                    <w:t>4480246.68</w:t>
                  </w:r>
                </w:p>
              </w:tc>
              <w:tc>
                <w:tcPr>
                  <w:tcW w:w="765" w:type="dxa"/>
                  <w:noWrap/>
                  <w:vAlign w:val="center"/>
                </w:tcPr>
                <w:p w14:paraId="54919853">
                  <w:pPr>
                    <w:pStyle w:val="52"/>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shd w:val="clear" w:color="auto" w:fill="auto"/>
                      <w:lang w:val="en-US" w:eastAsia="zh-CN"/>
                    </w:rPr>
                  </w:pPr>
                  <w:r>
                    <w:rPr>
                      <w:rFonts w:hint="default" w:ascii="Times New Roman" w:hAnsi="Times New Roman" w:cs="Times New Roman"/>
                      <w:color w:val="auto"/>
                      <w:kern w:val="0"/>
                      <w:sz w:val="21"/>
                      <w:szCs w:val="21"/>
                      <w:highlight w:val="none"/>
                      <w:shd w:val="clear" w:color="auto" w:fill="auto"/>
                      <w:lang w:val="en-US" w:eastAsia="zh-CN"/>
                    </w:rPr>
                    <w:t>15</w:t>
                  </w:r>
                </w:p>
              </w:tc>
              <w:tc>
                <w:tcPr>
                  <w:tcW w:w="732" w:type="dxa"/>
                  <w:noWrap/>
                  <w:vAlign w:val="center"/>
                </w:tcPr>
                <w:p w14:paraId="6F0080B0">
                  <w:pPr>
                    <w:pStyle w:val="52"/>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shd w:val="clear" w:color="auto" w:fill="auto"/>
                      <w:lang w:val="en-US" w:eastAsia="zh-CN"/>
                    </w:rPr>
                  </w:pPr>
                  <w:r>
                    <w:rPr>
                      <w:rFonts w:hint="default" w:ascii="Times New Roman" w:hAnsi="Times New Roman" w:cs="Times New Roman"/>
                      <w:color w:val="auto"/>
                      <w:kern w:val="0"/>
                      <w:sz w:val="21"/>
                      <w:szCs w:val="21"/>
                      <w:highlight w:val="none"/>
                      <w:shd w:val="clear" w:color="auto" w:fill="auto"/>
                      <w:lang w:val="en-US" w:eastAsia="zh-CN"/>
                    </w:rPr>
                    <w:t>1</w:t>
                  </w:r>
                </w:p>
              </w:tc>
              <w:tc>
                <w:tcPr>
                  <w:tcW w:w="537" w:type="dxa"/>
                  <w:noWrap/>
                  <w:vAlign w:val="center"/>
                </w:tcPr>
                <w:p w14:paraId="5EAA3AB4">
                  <w:pPr>
                    <w:pStyle w:val="52"/>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shd w:val="clear" w:color="auto" w:fill="auto"/>
                      <w:lang w:val="en-US" w:eastAsia="zh-CN"/>
                    </w:rPr>
                  </w:pPr>
                  <w:r>
                    <w:rPr>
                      <w:rFonts w:hint="default" w:ascii="Times New Roman" w:hAnsi="Times New Roman" w:cs="Times New Roman"/>
                      <w:color w:val="auto"/>
                      <w:kern w:val="0"/>
                      <w:sz w:val="21"/>
                      <w:szCs w:val="21"/>
                      <w:highlight w:val="none"/>
                      <w:shd w:val="clear" w:color="auto" w:fill="auto"/>
                      <w:lang w:val="en-US" w:eastAsia="zh-CN"/>
                    </w:rPr>
                    <w:t>手工监测</w:t>
                  </w:r>
                </w:p>
              </w:tc>
              <w:tc>
                <w:tcPr>
                  <w:tcW w:w="615" w:type="dxa"/>
                  <w:noWrap/>
                  <w:vAlign w:val="center"/>
                </w:tcPr>
                <w:p w14:paraId="5B2C9AB8">
                  <w:pPr>
                    <w:pStyle w:val="52"/>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shd w:val="clear" w:color="auto" w:fill="auto"/>
                      <w:lang w:val="en-US" w:eastAsia="zh-CN"/>
                    </w:rPr>
                  </w:pPr>
                  <w:r>
                    <w:rPr>
                      <w:rFonts w:hint="default" w:ascii="Times New Roman" w:hAnsi="Times New Roman" w:cs="Times New Roman"/>
                      <w:color w:val="auto"/>
                      <w:kern w:val="0"/>
                      <w:sz w:val="21"/>
                      <w:szCs w:val="21"/>
                      <w:highlight w:val="none"/>
                      <w:shd w:val="clear" w:color="auto" w:fill="auto"/>
                      <w:lang w:val="en-US" w:eastAsia="zh-CN"/>
                    </w:rPr>
                    <w:t>25</w:t>
                  </w:r>
                </w:p>
              </w:tc>
              <w:tc>
                <w:tcPr>
                  <w:tcW w:w="369" w:type="dxa"/>
                  <w:noWrap/>
                  <w:vAlign w:val="center"/>
                </w:tcPr>
                <w:p w14:paraId="37DF9D9A">
                  <w:pPr>
                    <w:pStyle w:val="46"/>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rPr>
                  </w:pPr>
                </w:p>
              </w:tc>
            </w:tr>
            <w:tr w14:paraId="693907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12" w:hRule="atLeast"/>
                <w:tblHeader/>
                <w:jc w:val="center"/>
              </w:trPr>
              <w:tc>
                <w:tcPr>
                  <w:tcW w:w="733" w:type="dxa"/>
                  <w:noWrap/>
                  <w:vAlign w:val="center"/>
                </w:tcPr>
                <w:p w14:paraId="121FB64B">
                  <w:pPr>
                    <w:pStyle w:val="52"/>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21"/>
                      <w:szCs w:val="21"/>
                      <w:highlight w:val="none"/>
                      <w:shd w:val="clear" w:color="auto" w:fill="auto"/>
                      <w:lang w:eastAsia="zh-CN"/>
                    </w:rPr>
                  </w:pPr>
                  <w:r>
                    <w:rPr>
                      <w:rFonts w:hint="default" w:ascii="Times New Roman" w:hAnsi="Times New Roman" w:cs="Times New Roman"/>
                      <w:color w:val="auto"/>
                      <w:sz w:val="21"/>
                      <w:szCs w:val="21"/>
                      <w:highlight w:val="none"/>
                      <w:shd w:val="clear" w:color="auto" w:fill="auto"/>
                      <w:lang w:eastAsia="zh-CN"/>
                    </w:rPr>
                    <w:t>DA00</w:t>
                  </w:r>
                  <w:r>
                    <w:rPr>
                      <w:rFonts w:hint="eastAsia" w:ascii="Times New Roman" w:hAnsi="Times New Roman" w:cs="Times New Roman"/>
                      <w:color w:val="auto"/>
                      <w:sz w:val="21"/>
                      <w:szCs w:val="21"/>
                      <w:highlight w:val="none"/>
                      <w:shd w:val="clear" w:color="auto" w:fill="auto"/>
                      <w:lang w:val="en-US" w:eastAsia="zh-CN"/>
                    </w:rPr>
                    <w:t>3</w:t>
                  </w:r>
                </w:p>
              </w:tc>
              <w:tc>
                <w:tcPr>
                  <w:tcW w:w="1034" w:type="dxa"/>
                  <w:noWrap/>
                  <w:vAlign w:val="center"/>
                </w:tcPr>
                <w:p w14:paraId="1C9EE896">
                  <w:pPr>
                    <w:keepNext w:val="0"/>
                    <w:keepLines w:val="0"/>
                    <w:suppressLineNumbers w:val="0"/>
                    <w:spacing w:before="0" w:beforeAutospacing="0" w:after="0" w:afterAutospacing="0"/>
                    <w:ind w:left="0" w:leftChars="0" w:right="0" w:rightChars="0"/>
                    <w:jc w:val="center"/>
                    <w:rPr>
                      <w:rFonts w:hint="eastAsia"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4#</w:t>
                  </w:r>
                  <w:r>
                    <w:rPr>
                      <w:rFonts w:hint="default" w:ascii="Times New Roman" w:hAnsi="Times New Roman" w:eastAsia="宋体" w:cs="Times New Roman"/>
                      <w:color w:val="auto"/>
                      <w:sz w:val="21"/>
                      <w:szCs w:val="21"/>
                      <w:highlight w:val="none"/>
                      <w:shd w:val="clear" w:color="auto" w:fill="auto"/>
                      <w:lang w:eastAsia="zh-CN"/>
                    </w:rPr>
                    <w:t>生产</w:t>
                  </w:r>
                  <w:r>
                    <w:rPr>
                      <w:rFonts w:hint="eastAsia" w:cs="Times New Roman"/>
                      <w:color w:val="auto"/>
                      <w:sz w:val="21"/>
                      <w:szCs w:val="21"/>
                      <w:highlight w:val="none"/>
                      <w:shd w:val="clear" w:color="auto" w:fill="auto"/>
                      <w:lang w:eastAsia="zh-CN"/>
                    </w:rPr>
                    <w:t>线</w:t>
                  </w:r>
                  <w:r>
                    <w:rPr>
                      <w:rFonts w:hint="default" w:ascii="Times New Roman" w:hAnsi="Times New Roman" w:eastAsia="宋体" w:cs="Times New Roman"/>
                      <w:color w:val="auto"/>
                      <w:sz w:val="21"/>
                      <w:szCs w:val="21"/>
                      <w:highlight w:val="none"/>
                      <w:shd w:val="clear" w:color="auto" w:fill="auto"/>
                      <w:lang w:eastAsia="zh-CN"/>
                    </w:rPr>
                    <w:t>排气筒</w:t>
                  </w:r>
                </w:p>
              </w:tc>
              <w:tc>
                <w:tcPr>
                  <w:tcW w:w="1258" w:type="dxa"/>
                  <w:noWrap/>
                  <w:vAlign w:val="center"/>
                </w:tcPr>
                <w:p w14:paraId="3973C857">
                  <w:pPr>
                    <w:pStyle w:val="52"/>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z w:val="21"/>
                      <w:szCs w:val="21"/>
                      <w:highlight w:val="none"/>
                      <w:shd w:val="clear" w:color="auto" w:fill="auto"/>
                    </w:rPr>
                    <w:t>颗粒物</w:t>
                  </w:r>
                </w:p>
              </w:tc>
              <w:tc>
                <w:tcPr>
                  <w:tcW w:w="1130" w:type="dxa"/>
                  <w:noWrap/>
                  <w:vAlign w:val="center"/>
                </w:tcPr>
                <w:p w14:paraId="79E5A7F1">
                  <w:pPr>
                    <w:pStyle w:val="52"/>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shd w:val="clear" w:color="auto" w:fill="auto"/>
                      <w:lang w:val="en-US" w:eastAsia="zh-CN"/>
                    </w:rPr>
                  </w:pPr>
                  <w:r>
                    <w:rPr>
                      <w:rFonts w:hint="eastAsia" w:ascii="Times New Roman" w:hAnsi="Times New Roman" w:cs="Times New Roman"/>
                      <w:color w:val="auto"/>
                      <w:kern w:val="0"/>
                      <w:sz w:val="21"/>
                      <w:szCs w:val="21"/>
                      <w:highlight w:val="none"/>
                      <w:shd w:val="clear" w:color="auto" w:fill="auto"/>
                      <w:lang w:val="en-US" w:eastAsia="zh-CN"/>
                    </w:rPr>
                    <w:t>513995.11</w:t>
                  </w:r>
                </w:p>
              </w:tc>
              <w:tc>
                <w:tcPr>
                  <w:tcW w:w="1189" w:type="dxa"/>
                  <w:noWrap/>
                  <w:vAlign w:val="center"/>
                </w:tcPr>
                <w:p w14:paraId="7D9E4DCA">
                  <w:pPr>
                    <w:pStyle w:val="52"/>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shd w:val="clear" w:color="auto" w:fill="auto"/>
                      <w:lang w:val="en-US" w:eastAsia="zh-CN"/>
                    </w:rPr>
                  </w:pPr>
                  <w:r>
                    <w:rPr>
                      <w:rFonts w:hint="eastAsia" w:ascii="Times New Roman" w:hAnsi="Times New Roman" w:cs="Times New Roman"/>
                      <w:color w:val="auto"/>
                      <w:kern w:val="0"/>
                      <w:sz w:val="21"/>
                      <w:szCs w:val="21"/>
                      <w:highlight w:val="none"/>
                      <w:shd w:val="clear" w:color="auto" w:fill="auto"/>
                      <w:lang w:val="en-US" w:eastAsia="zh-CN"/>
                    </w:rPr>
                    <w:t>4480405.50</w:t>
                  </w:r>
                </w:p>
              </w:tc>
              <w:tc>
                <w:tcPr>
                  <w:tcW w:w="765" w:type="dxa"/>
                  <w:noWrap/>
                  <w:vAlign w:val="center"/>
                </w:tcPr>
                <w:p w14:paraId="7CDF4E56">
                  <w:pPr>
                    <w:pStyle w:val="52"/>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shd w:val="clear" w:color="auto" w:fill="auto"/>
                      <w:lang w:val="en-US" w:eastAsia="zh-CN"/>
                    </w:rPr>
                  </w:pPr>
                  <w:r>
                    <w:rPr>
                      <w:rFonts w:hint="default" w:ascii="Times New Roman" w:hAnsi="Times New Roman" w:cs="Times New Roman"/>
                      <w:color w:val="auto"/>
                      <w:kern w:val="0"/>
                      <w:sz w:val="21"/>
                      <w:szCs w:val="21"/>
                      <w:highlight w:val="none"/>
                      <w:shd w:val="clear" w:color="auto" w:fill="auto"/>
                      <w:lang w:val="en-US" w:eastAsia="zh-CN"/>
                    </w:rPr>
                    <w:t>15</w:t>
                  </w:r>
                </w:p>
              </w:tc>
              <w:tc>
                <w:tcPr>
                  <w:tcW w:w="732" w:type="dxa"/>
                  <w:noWrap/>
                  <w:vAlign w:val="center"/>
                </w:tcPr>
                <w:p w14:paraId="7BB864D9">
                  <w:pPr>
                    <w:pStyle w:val="52"/>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shd w:val="clear" w:color="auto" w:fill="auto"/>
                      <w:lang w:val="en-US" w:eastAsia="zh-CN"/>
                    </w:rPr>
                  </w:pPr>
                  <w:r>
                    <w:rPr>
                      <w:rFonts w:hint="default" w:ascii="Times New Roman" w:hAnsi="Times New Roman" w:cs="Times New Roman"/>
                      <w:color w:val="auto"/>
                      <w:kern w:val="0"/>
                      <w:sz w:val="21"/>
                      <w:szCs w:val="21"/>
                      <w:highlight w:val="none"/>
                      <w:shd w:val="clear" w:color="auto" w:fill="auto"/>
                      <w:lang w:val="en-US" w:eastAsia="zh-CN"/>
                    </w:rPr>
                    <w:t>1</w:t>
                  </w:r>
                </w:p>
              </w:tc>
              <w:tc>
                <w:tcPr>
                  <w:tcW w:w="537" w:type="dxa"/>
                  <w:noWrap/>
                  <w:vAlign w:val="center"/>
                </w:tcPr>
                <w:p w14:paraId="49C06FF9">
                  <w:pPr>
                    <w:pStyle w:val="52"/>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shd w:val="clear" w:color="auto" w:fill="auto"/>
                      <w:lang w:val="en-US" w:eastAsia="zh-CN"/>
                    </w:rPr>
                  </w:pPr>
                  <w:r>
                    <w:rPr>
                      <w:rFonts w:hint="default" w:ascii="Times New Roman" w:hAnsi="Times New Roman" w:cs="Times New Roman"/>
                      <w:color w:val="auto"/>
                      <w:kern w:val="0"/>
                      <w:sz w:val="21"/>
                      <w:szCs w:val="21"/>
                      <w:highlight w:val="none"/>
                      <w:shd w:val="clear" w:color="auto" w:fill="auto"/>
                      <w:lang w:val="en-US" w:eastAsia="zh-CN"/>
                    </w:rPr>
                    <w:t>手工监测</w:t>
                  </w:r>
                </w:p>
              </w:tc>
              <w:tc>
                <w:tcPr>
                  <w:tcW w:w="615" w:type="dxa"/>
                  <w:noWrap/>
                  <w:vAlign w:val="center"/>
                </w:tcPr>
                <w:p w14:paraId="0642E308">
                  <w:pPr>
                    <w:pStyle w:val="52"/>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shd w:val="clear" w:color="auto" w:fill="auto"/>
                      <w:lang w:val="en-US" w:eastAsia="zh-CN"/>
                    </w:rPr>
                  </w:pPr>
                  <w:r>
                    <w:rPr>
                      <w:rFonts w:hint="default" w:ascii="Times New Roman" w:hAnsi="Times New Roman" w:cs="Times New Roman"/>
                      <w:color w:val="auto"/>
                      <w:kern w:val="0"/>
                      <w:sz w:val="21"/>
                      <w:szCs w:val="21"/>
                      <w:highlight w:val="none"/>
                      <w:shd w:val="clear" w:color="auto" w:fill="auto"/>
                      <w:lang w:val="en-US" w:eastAsia="zh-CN"/>
                    </w:rPr>
                    <w:t>25</w:t>
                  </w:r>
                </w:p>
              </w:tc>
              <w:tc>
                <w:tcPr>
                  <w:tcW w:w="369" w:type="dxa"/>
                  <w:noWrap/>
                  <w:vAlign w:val="center"/>
                </w:tcPr>
                <w:p w14:paraId="795AD35B">
                  <w:pPr>
                    <w:pStyle w:val="46"/>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rPr>
                  </w:pPr>
                </w:p>
              </w:tc>
            </w:tr>
            <w:tr w14:paraId="1FD98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12" w:hRule="atLeast"/>
                <w:tblHeader/>
                <w:jc w:val="center"/>
              </w:trPr>
              <w:tc>
                <w:tcPr>
                  <w:tcW w:w="733" w:type="dxa"/>
                  <w:noWrap/>
                  <w:vAlign w:val="center"/>
                </w:tcPr>
                <w:p w14:paraId="4D044AA6">
                  <w:pPr>
                    <w:pStyle w:val="52"/>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21"/>
                      <w:szCs w:val="21"/>
                      <w:highlight w:val="none"/>
                      <w:shd w:val="clear" w:color="auto" w:fill="auto"/>
                      <w:lang w:eastAsia="zh-CN"/>
                    </w:rPr>
                  </w:pPr>
                  <w:r>
                    <w:rPr>
                      <w:rFonts w:hint="default" w:ascii="Times New Roman" w:hAnsi="Times New Roman" w:cs="Times New Roman"/>
                      <w:color w:val="auto"/>
                      <w:sz w:val="21"/>
                      <w:szCs w:val="21"/>
                      <w:highlight w:val="none"/>
                      <w:shd w:val="clear" w:color="auto" w:fill="auto"/>
                      <w:lang w:eastAsia="zh-CN"/>
                    </w:rPr>
                    <w:t>DA00</w:t>
                  </w:r>
                  <w:r>
                    <w:rPr>
                      <w:rFonts w:hint="eastAsia" w:ascii="Times New Roman" w:hAnsi="Times New Roman" w:cs="Times New Roman"/>
                      <w:color w:val="auto"/>
                      <w:sz w:val="21"/>
                      <w:szCs w:val="21"/>
                      <w:highlight w:val="none"/>
                      <w:shd w:val="clear" w:color="auto" w:fill="auto"/>
                      <w:lang w:val="en-US" w:eastAsia="zh-CN"/>
                    </w:rPr>
                    <w:t>4</w:t>
                  </w:r>
                </w:p>
              </w:tc>
              <w:tc>
                <w:tcPr>
                  <w:tcW w:w="1034" w:type="dxa"/>
                  <w:noWrap/>
                  <w:vAlign w:val="center"/>
                </w:tcPr>
                <w:p w14:paraId="65084739">
                  <w:pPr>
                    <w:keepNext w:val="0"/>
                    <w:keepLines w:val="0"/>
                    <w:suppressLineNumbers w:val="0"/>
                    <w:spacing w:before="0" w:beforeAutospacing="0" w:after="0" w:afterAutospacing="0"/>
                    <w:ind w:left="0" w:leftChars="0" w:right="0" w:rightChars="0"/>
                    <w:jc w:val="center"/>
                    <w:rPr>
                      <w:rFonts w:hint="eastAsia" w:cs="Times New Roman"/>
                      <w:color w:val="auto"/>
                      <w:sz w:val="21"/>
                      <w:szCs w:val="21"/>
                      <w:highlight w:val="none"/>
                      <w:shd w:val="clear" w:color="auto" w:fill="auto"/>
                      <w:lang w:val="en-US" w:eastAsia="zh-CN"/>
                    </w:rPr>
                  </w:pPr>
                  <w:r>
                    <w:rPr>
                      <w:rFonts w:hint="eastAsia" w:cs="Times New Roman"/>
                      <w:i w:val="0"/>
                      <w:color w:val="auto"/>
                      <w:kern w:val="0"/>
                      <w:sz w:val="21"/>
                      <w:szCs w:val="21"/>
                      <w:highlight w:val="none"/>
                      <w:u w:val="none"/>
                      <w:shd w:val="clear" w:color="auto" w:fill="auto"/>
                      <w:lang w:val="en-US" w:eastAsia="zh-CN" w:bidi="ar"/>
                    </w:rPr>
                    <w:t>2#原料库房、</w:t>
                  </w:r>
                  <w:r>
                    <w:rPr>
                      <w:rFonts w:hint="eastAsia" w:cs="Times New Roman"/>
                      <w:color w:val="auto"/>
                      <w:sz w:val="21"/>
                      <w:szCs w:val="21"/>
                      <w:highlight w:val="none"/>
                      <w:shd w:val="clear" w:color="auto" w:fill="auto"/>
                      <w:lang w:val="en-US" w:eastAsia="zh-CN"/>
                    </w:rPr>
                    <w:t>5#</w:t>
                  </w:r>
                  <w:r>
                    <w:rPr>
                      <w:rFonts w:hint="default" w:ascii="Times New Roman" w:hAnsi="Times New Roman" w:eastAsia="宋体" w:cs="Times New Roman"/>
                      <w:color w:val="auto"/>
                      <w:sz w:val="21"/>
                      <w:szCs w:val="21"/>
                      <w:highlight w:val="none"/>
                      <w:shd w:val="clear" w:color="auto" w:fill="auto"/>
                      <w:lang w:eastAsia="zh-CN"/>
                    </w:rPr>
                    <w:t>生产</w:t>
                  </w:r>
                  <w:r>
                    <w:rPr>
                      <w:rFonts w:hint="eastAsia" w:cs="Times New Roman"/>
                      <w:color w:val="auto"/>
                      <w:sz w:val="21"/>
                      <w:szCs w:val="21"/>
                      <w:highlight w:val="none"/>
                      <w:shd w:val="clear" w:color="auto" w:fill="auto"/>
                      <w:lang w:eastAsia="zh-CN"/>
                    </w:rPr>
                    <w:t>线</w:t>
                  </w:r>
                  <w:r>
                    <w:rPr>
                      <w:rFonts w:hint="default" w:ascii="Times New Roman" w:hAnsi="Times New Roman" w:eastAsia="宋体" w:cs="Times New Roman"/>
                      <w:color w:val="auto"/>
                      <w:sz w:val="21"/>
                      <w:szCs w:val="21"/>
                      <w:highlight w:val="none"/>
                      <w:shd w:val="clear" w:color="auto" w:fill="auto"/>
                      <w:lang w:eastAsia="zh-CN"/>
                    </w:rPr>
                    <w:t>排气筒</w:t>
                  </w:r>
                </w:p>
              </w:tc>
              <w:tc>
                <w:tcPr>
                  <w:tcW w:w="1258" w:type="dxa"/>
                  <w:noWrap/>
                  <w:vAlign w:val="center"/>
                </w:tcPr>
                <w:p w14:paraId="1DB888E9">
                  <w:pPr>
                    <w:pStyle w:val="52"/>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 w:val="21"/>
                      <w:szCs w:val="21"/>
                      <w:highlight w:val="none"/>
                      <w:shd w:val="clear" w:color="auto" w:fill="auto"/>
                    </w:rPr>
                  </w:pPr>
                  <w:r>
                    <w:rPr>
                      <w:rFonts w:hint="default" w:ascii="Times New Roman" w:hAnsi="Times New Roman" w:cs="Times New Roman"/>
                      <w:color w:val="auto"/>
                      <w:sz w:val="21"/>
                      <w:szCs w:val="21"/>
                      <w:highlight w:val="none"/>
                      <w:shd w:val="clear" w:color="auto" w:fill="auto"/>
                    </w:rPr>
                    <w:t>颗粒物</w:t>
                  </w:r>
                </w:p>
              </w:tc>
              <w:tc>
                <w:tcPr>
                  <w:tcW w:w="1130" w:type="dxa"/>
                  <w:noWrap/>
                  <w:vAlign w:val="center"/>
                </w:tcPr>
                <w:p w14:paraId="05B4A3BC">
                  <w:pPr>
                    <w:pStyle w:val="52"/>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shd w:val="clear" w:color="auto" w:fill="auto"/>
                      <w:lang w:val="en-US" w:eastAsia="zh-CN"/>
                    </w:rPr>
                  </w:pPr>
                  <w:r>
                    <w:rPr>
                      <w:rFonts w:hint="eastAsia" w:ascii="Times New Roman" w:hAnsi="Times New Roman" w:cs="Times New Roman"/>
                      <w:color w:val="auto"/>
                      <w:kern w:val="0"/>
                      <w:sz w:val="21"/>
                      <w:szCs w:val="21"/>
                      <w:highlight w:val="none"/>
                      <w:shd w:val="clear" w:color="auto" w:fill="auto"/>
                      <w:lang w:val="en-US" w:eastAsia="zh-CN"/>
                    </w:rPr>
                    <w:t>514002.21</w:t>
                  </w:r>
                </w:p>
              </w:tc>
              <w:tc>
                <w:tcPr>
                  <w:tcW w:w="1189" w:type="dxa"/>
                  <w:noWrap/>
                  <w:vAlign w:val="center"/>
                </w:tcPr>
                <w:p w14:paraId="73786FED">
                  <w:pPr>
                    <w:pStyle w:val="52"/>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shd w:val="clear" w:color="auto" w:fill="auto"/>
                      <w:lang w:val="en-US" w:eastAsia="zh-CN"/>
                    </w:rPr>
                  </w:pPr>
                  <w:r>
                    <w:rPr>
                      <w:rFonts w:hint="eastAsia" w:ascii="Times New Roman" w:hAnsi="Times New Roman" w:cs="Times New Roman"/>
                      <w:color w:val="auto"/>
                      <w:kern w:val="0"/>
                      <w:sz w:val="21"/>
                      <w:szCs w:val="21"/>
                      <w:highlight w:val="none"/>
                      <w:shd w:val="clear" w:color="auto" w:fill="auto"/>
                      <w:lang w:val="en-US" w:eastAsia="zh-CN"/>
                    </w:rPr>
                    <w:t>4480413.44</w:t>
                  </w:r>
                </w:p>
              </w:tc>
              <w:tc>
                <w:tcPr>
                  <w:tcW w:w="765" w:type="dxa"/>
                  <w:noWrap/>
                  <w:vAlign w:val="center"/>
                </w:tcPr>
                <w:p w14:paraId="73FBDDD9">
                  <w:pPr>
                    <w:pStyle w:val="52"/>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shd w:val="clear" w:color="auto" w:fill="auto"/>
                      <w:lang w:val="en-US" w:eastAsia="zh-CN"/>
                    </w:rPr>
                  </w:pPr>
                  <w:r>
                    <w:rPr>
                      <w:rFonts w:hint="default" w:ascii="Times New Roman" w:hAnsi="Times New Roman" w:cs="Times New Roman"/>
                      <w:color w:val="auto"/>
                      <w:kern w:val="0"/>
                      <w:sz w:val="21"/>
                      <w:szCs w:val="21"/>
                      <w:highlight w:val="none"/>
                      <w:shd w:val="clear" w:color="auto" w:fill="auto"/>
                      <w:lang w:val="en-US" w:eastAsia="zh-CN"/>
                    </w:rPr>
                    <w:t>15</w:t>
                  </w:r>
                </w:p>
              </w:tc>
              <w:tc>
                <w:tcPr>
                  <w:tcW w:w="732" w:type="dxa"/>
                  <w:noWrap/>
                  <w:vAlign w:val="center"/>
                </w:tcPr>
                <w:p w14:paraId="0A0FA8B9">
                  <w:pPr>
                    <w:pStyle w:val="52"/>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shd w:val="clear" w:color="auto" w:fill="auto"/>
                      <w:lang w:val="en-US" w:eastAsia="zh-CN"/>
                    </w:rPr>
                  </w:pPr>
                  <w:r>
                    <w:rPr>
                      <w:rFonts w:hint="default" w:ascii="Times New Roman" w:hAnsi="Times New Roman" w:cs="Times New Roman"/>
                      <w:color w:val="auto"/>
                      <w:kern w:val="0"/>
                      <w:sz w:val="21"/>
                      <w:szCs w:val="21"/>
                      <w:highlight w:val="none"/>
                      <w:shd w:val="clear" w:color="auto" w:fill="auto"/>
                      <w:lang w:val="en-US" w:eastAsia="zh-CN"/>
                    </w:rPr>
                    <w:t>1</w:t>
                  </w:r>
                </w:p>
              </w:tc>
              <w:tc>
                <w:tcPr>
                  <w:tcW w:w="537" w:type="dxa"/>
                  <w:noWrap/>
                  <w:vAlign w:val="center"/>
                </w:tcPr>
                <w:p w14:paraId="428534EE">
                  <w:pPr>
                    <w:pStyle w:val="52"/>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shd w:val="clear" w:color="auto" w:fill="auto"/>
                      <w:lang w:val="en-US" w:eastAsia="zh-CN"/>
                    </w:rPr>
                  </w:pPr>
                  <w:r>
                    <w:rPr>
                      <w:rFonts w:hint="default" w:ascii="Times New Roman" w:hAnsi="Times New Roman" w:cs="Times New Roman"/>
                      <w:color w:val="auto"/>
                      <w:kern w:val="0"/>
                      <w:sz w:val="21"/>
                      <w:szCs w:val="21"/>
                      <w:highlight w:val="none"/>
                      <w:shd w:val="clear" w:color="auto" w:fill="auto"/>
                      <w:lang w:val="en-US" w:eastAsia="zh-CN"/>
                    </w:rPr>
                    <w:t>手工监测</w:t>
                  </w:r>
                </w:p>
              </w:tc>
              <w:tc>
                <w:tcPr>
                  <w:tcW w:w="615" w:type="dxa"/>
                  <w:noWrap/>
                  <w:vAlign w:val="center"/>
                </w:tcPr>
                <w:p w14:paraId="44E8792C">
                  <w:pPr>
                    <w:pStyle w:val="52"/>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highlight w:val="none"/>
                      <w:shd w:val="clear" w:color="auto" w:fill="auto"/>
                      <w:lang w:val="en-US" w:eastAsia="zh-CN"/>
                    </w:rPr>
                  </w:pPr>
                  <w:r>
                    <w:rPr>
                      <w:rFonts w:hint="default" w:ascii="Times New Roman" w:hAnsi="Times New Roman" w:cs="Times New Roman"/>
                      <w:color w:val="auto"/>
                      <w:kern w:val="0"/>
                      <w:sz w:val="21"/>
                      <w:szCs w:val="21"/>
                      <w:highlight w:val="none"/>
                      <w:shd w:val="clear" w:color="auto" w:fill="auto"/>
                      <w:lang w:val="en-US" w:eastAsia="zh-CN"/>
                    </w:rPr>
                    <w:t>25</w:t>
                  </w:r>
                </w:p>
              </w:tc>
              <w:tc>
                <w:tcPr>
                  <w:tcW w:w="369" w:type="dxa"/>
                  <w:noWrap/>
                  <w:vAlign w:val="center"/>
                </w:tcPr>
                <w:p w14:paraId="52FD52F4">
                  <w:pPr>
                    <w:pStyle w:val="46"/>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shd w:val="clear" w:color="auto" w:fill="auto"/>
                    </w:rPr>
                  </w:pPr>
                </w:p>
              </w:tc>
            </w:tr>
          </w:tbl>
          <w:p w14:paraId="3D72935E">
            <w:pPr>
              <w:keepNext w:val="0"/>
              <w:keepLines w:val="0"/>
              <w:widowControl w:val="0"/>
              <w:suppressLineNumbers w:val="0"/>
              <w:spacing w:before="0" w:beforeAutospacing="0" w:after="0" w:afterAutospacing="0" w:line="360" w:lineRule="auto"/>
              <w:ind w:left="0" w:right="0" w:firstLine="480" w:firstLineChars="200"/>
              <w:jc w:val="both"/>
              <w:rPr>
                <w:rFonts w:hint="eastAsia" w:ascii="Calibri" w:hAnsi="Calibri" w:eastAsia="宋体" w:cs="Times New Roman"/>
                <w:color w:val="auto"/>
                <w:sz w:val="24"/>
                <w:szCs w:val="24"/>
                <w:highlight w:val="none"/>
                <w:shd w:val="clear" w:color="auto" w:fill="auto"/>
                <w:lang w:eastAsia="zh-CN"/>
              </w:rPr>
            </w:pPr>
            <w:r>
              <w:rPr>
                <w:rFonts w:hint="eastAsia" w:ascii="Times New Roman" w:hAnsi="Times New Roman" w:eastAsia="宋体" w:cs="Times New Roman"/>
                <w:color w:val="auto"/>
                <w:kern w:val="2"/>
                <w:sz w:val="24"/>
                <w:szCs w:val="24"/>
                <w:highlight w:val="none"/>
                <w:shd w:val="clear" w:color="auto" w:fill="auto"/>
                <w:lang w:val="en-US" w:eastAsia="zh-CN" w:bidi="ar"/>
              </w:rPr>
              <w:t>本项目</w:t>
            </w:r>
            <w:r>
              <w:rPr>
                <w:rFonts w:hint="default" w:ascii="Times New Roman" w:hAnsi="Times New Roman" w:eastAsia="宋体" w:cs="Times New Roman"/>
                <w:color w:val="auto"/>
                <w:kern w:val="2"/>
                <w:sz w:val="24"/>
                <w:szCs w:val="24"/>
                <w:highlight w:val="none"/>
                <w:shd w:val="clear" w:color="auto" w:fill="auto"/>
                <w:lang w:val="en-US" w:eastAsia="zh-CN" w:bidi="ar"/>
              </w:rPr>
              <w:t>在采取了本环评要求的污染防治措施后</w:t>
            </w:r>
            <w:r>
              <w:rPr>
                <w:rFonts w:hint="eastAsia" w:ascii="Times New Roman" w:hAnsi="Times New Roman" w:eastAsia="宋体" w:cs="Times New Roman"/>
                <w:color w:val="auto"/>
                <w:kern w:val="2"/>
                <w:sz w:val="24"/>
                <w:szCs w:val="24"/>
                <w:highlight w:val="none"/>
                <w:shd w:val="clear" w:color="auto" w:fill="auto"/>
                <w:lang w:val="en-US" w:eastAsia="zh-CN" w:bidi="ar"/>
              </w:rPr>
              <w:t>，项目</w:t>
            </w:r>
            <w:r>
              <w:rPr>
                <w:rFonts w:ascii="Calibri" w:hAnsi="Calibri" w:eastAsia="宋体" w:cs="Times New Roman"/>
                <w:color w:val="auto"/>
                <w:sz w:val="24"/>
                <w:szCs w:val="24"/>
                <w:highlight w:val="none"/>
                <w:shd w:val="clear" w:color="auto" w:fill="auto"/>
              </w:rPr>
              <w:t>有组织</w:t>
            </w:r>
            <w:r>
              <w:rPr>
                <w:rFonts w:hint="eastAsia" w:ascii="Calibri" w:hAnsi="Calibri" w:eastAsia="宋体" w:cs="Times New Roman"/>
                <w:color w:val="auto"/>
                <w:sz w:val="24"/>
                <w:szCs w:val="24"/>
                <w:highlight w:val="none"/>
                <w:shd w:val="clear" w:color="auto" w:fill="auto"/>
                <w:lang w:eastAsia="zh-CN"/>
              </w:rPr>
              <w:t>颗粒物和无</w:t>
            </w:r>
            <w:r>
              <w:rPr>
                <w:rFonts w:ascii="Calibri" w:hAnsi="Calibri" w:eastAsia="宋体" w:cs="Times New Roman"/>
                <w:color w:val="auto"/>
                <w:sz w:val="24"/>
                <w:szCs w:val="24"/>
                <w:highlight w:val="none"/>
                <w:shd w:val="clear" w:color="auto" w:fill="auto"/>
              </w:rPr>
              <w:t>组织</w:t>
            </w:r>
            <w:r>
              <w:rPr>
                <w:rFonts w:hint="eastAsia" w:ascii="Calibri" w:hAnsi="Calibri" w:eastAsia="宋体" w:cs="Times New Roman"/>
                <w:color w:val="auto"/>
                <w:sz w:val="24"/>
                <w:szCs w:val="24"/>
                <w:highlight w:val="none"/>
                <w:shd w:val="clear" w:color="auto" w:fill="auto"/>
                <w:lang w:eastAsia="zh-CN"/>
              </w:rPr>
              <w:t>颗粒物</w:t>
            </w:r>
            <w:r>
              <w:rPr>
                <w:rFonts w:ascii="Calibri" w:hAnsi="Calibri" w:eastAsia="宋体" w:cs="Times New Roman"/>
                <w:color w:val="auto"/>
                <w:sz w:val="24"/>
                <w:szCs w:val="24"/>
                <w:highlight w:val="none"/>
                <w:shd w:val="clear" w:color="auto" w:fill="auto"/>
              </w:rPr>
              <w:t>排放浓度均满足</w:t>
            </w:r>
            <w:r>
              <w:rPr>
                <w:rFonts w:hint="default" w:ascii="Calibri" w:hAnsi="Calibri" w:eastAsia="宋体" w:cs="Times New Roman"/>
                <w:color w:val="auto"/>
                <w:sz w:val="24"/>
                <w:szCs w:val="24"/>
                <w:highlight w:val="none"/>
              </w:rPr>
              <w:t>《镁质耐火材料工业大气污染物排放标准》（DB21/3011-2018）</w:t>
            </w:r>
            <w:r>
              <w:rPr>
                <w:rFonts w:hint="eastAsia" w:ascii="Calibri" w:hAnsi="Calibri" w:eastAsia="宋体" w:cs="Times New Roman"/>
                <w:color w:val="auto"/>
                <w:sz w:val="24"/>
                <w:szCs w:val="24"/>
                <w:highlight w:val="none"/>
                <w:lang w:val="en-US" w:eastAsia="zh-CN"/>
              </w:rPr>
              <w:t>要求</w:t>
            </w:r>
            <w:r>
              <w:rPr>
                <w:rFonts w:ascii="Calibri" w:hAnsi="Calibri" w:eastAsia="宋体" w:cs="Times New Roman"/>
                <w:color w:val="auto"/>
                <w:sz w:val="24"/>
                <w:highlight w:val="none"/>
                <w:shd w:val="clear" w:color="auto" w:fill="auto"/>
              </w:rPr>
              <w:t>。</w:t>
            </w:r>
            <w:r>
              <w:rPr>
                <w:rFonts w:hint="eastAsia" w:ascii="Calibri" w:hAnsi="Calibri" w:eastAsia="宋体" w:cs="Times New Roman"/>
                <w:color w:val="auto"/>
                <w:sz w:val="24"/>
                <w:szCs w:val="24"/>
                <w:highlight w:val="none"/>
                <w:shd w:val="clear" w:color="auto" w:fill="auto"/>
                <w:lang w:eastAsia="zh-CN"/>
              </w:rPr>
              <w:t>在加强维护管理、可满足稳定达标排放，对环境影响不大。</w:t>
            </w:r>
          </w:p>
          <w:p w14:paraId="3D55E89F">
            <w:pPr>
              <w:keepNext w:val="0"/>
              <w:keepLines w:val="0"/>
              <w:widowControl w:val="0"/>
              <w:suppressLineNumbers w:val="0"/>
              <w:spacing w:before="0" w:beforeAutospacing="0" w:after="0" w:afterAutospacing="0" w:line="360" w:lineRule="auto"/>
              <w:ind w:left="0" w:right="0" w:firstLine="480" w:firstLineChars="200"/>
              <w:jc w:val="both"/>
              <w:rPr>
                <w:rFonts w:hint="eastAsia" w:ascii="Calibri" w:hAnsi="Calibri" w:eastAsia="宋体" w:cs="Times New Roman"/>
                <w:color w:val="auto"/>
                <w:sz w:val="24"/>
                <w:szCs w:val="24"/>
                <w:highlight w:val="none"/>
                <w:shd w:val="clear" w:color="auto" w:fill="auto"/>
                <w:lang w:eastAsia="zh-CN"/>
              </w:rPr>
            </w:pPr>
            <w:r>
              <w:rPr>
                <w:rFonts w:hint="eastAsia" w:ascii="Times New Roman" w:hAnsi="Times New Roman" w:eastAsia="宋体" w:cs="Times New Roman"/>
                <w:b w:val="0"/>
                <w:bCs w:val="0"/>
                <w:color w:val="auto"/>
                <w:sz w:val="24"/>
                <w:szCs w:val="24"/>
                <w:highlight w:val="none"/>
                <w:lang w:val="en-US" w:eastAsia="zh-CN"/>
              </w:rPr>
              <w:t>排气筒高度15m，满足《镁质耐火材料工业大气污染物排放标准》（DB21/3011-2018）要求。</w:t>
            </w:r>
          </w:p>
          <w:p w14:paraId="410B6D11">
            <w:pPr>
              <w:keepNext w:val="0"/>
              <w:keepLines w:val="0"/>
              <w:numPr>
                <w:ilvl w:val="0"/>
                <w:numId w:val="0"/>
              </w:numPr>
              <w:suppressLineNumbers w:val="0"/>
              <w:spacing w:before="0" w:beforeAutospacing="0" w:after="0" w:afterAutospacing="0" w:line="360" w:lineRule="auto"/>
              <w:ind w:left="-60" w:leftChars="0" w:right="0" w:rightChars="0" w:firstLine="480" w:firstLineChars="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kern w:val="2"/>
                <w:sz w:val="24"/>
                <w:szCs w:val="24"/>
                <w:highlight w:val="none"/>
                <w:lang w:val="en-US" w:eastAsia="zh-CN" w:bidi="ar-SA"/>
              </w:rPr>
              <w:t>2、</w:t>
            </w:r>
            <w:r>
              <w:rPr>
                <w:rFonts w:hint="eastAsia" w:ascii="Calibri" w:hAnsi="Calibri" w:eastAsia="宋体" w:cs="Times New Roman"/>
                <w:color w:val="auto"/>
                <w:sz w:val="24"/>
                <w:highlight w:val="none"/>
                <w:shd w:val="clear" w:color="auto" w:fill="auto"/>
                <w:lang w:val="en-US" w:eastAsia="zh-CN"/>
              </w:rPr>
              <w:t>废气治理技术可行性分析</w:t>
            </w:r>
          </w:p>
          <w:p w14:paraId="346E41D5">
            <w:pPr>
              <w:pStyle w:val="17"/>
              <w:keepNext w:val="0"/>
              <w:keepLines w:val="0"/>
              <w:suppressLineNumbers w:val="0"/>
              <w:spacing w:before="0" w:beforeAutospacing="0" w:after="0" w:afterAutospacing="0" w:line="360" w:lineRule="auto"/>
              <w:ind w:left="0" w:leftChars="0" w:right="0" w:firstLine="559" w:firstLineChars="233"/>
              <w:rPr>
                <w:rFonts w:hint="eastAsia"/>
                <w:color w:val="auto"/>
                <w:highlight w:val="none"/>
              </w:rPr>
            </w:pPr>
            <w:r>
              <w:rPr>
                <w:rFonts w:hint="default" w:ascii="Times New Roman" w:hAnsi="Times New Roman" w:eastAsia="宋体" w:cs="Times New Roman"/>
                <w:color w:val="auto"/>
                <w:kern w:val="2"/>
                <w:sz w:val="24"/>
                <w:szCs w:val="24"/>
                <w:highlight w:val="none"/>
                <w:lang w:val="en-US" w:eastAsia="zh-CN" w:bidi="ar-SA"/>
              </w:rPr>
              <w:t>根据</w:t>
            </w:r>
            <w:r>
              <w:rPr>
                <w:rFonts w:hint="eastAsia" w:ascii="Times New Roman" w:hAnsi="Times New Roman" w:eastAsia="宋体" w:cs="Times New Roman"/>
                <w:color w:val="auto"/>
                <w:spacing w:val="0"/>
                <w:w w:val="100"/>
                <w:kern w:val="0"/>
                <w:position w:val="0"/>
                <w:sz w:val="24"/>
                <w:szCs w:val="24"/>
                <w:highlight w:val="none"/>
                <w:lang w:val="en-US" w:eastAsia="zh-CN"/>
              </w:rPr>
              <w:t>《排污许可证申请与核发技术规范 石墨及其他非金属矿物制品制造》（HJ1119-2020）</w:t>
            </w:r>
            <w:r>
              <w:rPr>
                <w:rFonts w:hint="default" w:ascii="Times New Roman" w:hAnsi="Times New Roman" w:eastAsia="宋体" w:cs="Times New Roman"/>
                <w:color w:val="auto"/>
                <w:kern w:val="2"/>
                <w:sz w:val="24"/>
                <w:szCs w:val="24"/>
                <w:highlight w:val="none"/>
                <w:lang w:val="en-US" w:eastAsia="zh-CN" w:bidi="ar-SA"/>
              </w:rPr>
              <w:t>中“4.3.2 废气 污染 防治可行技术要求</w:t>
            </w:r>
            <w:r>
              <w:rPr>
                <w:rFonts w:hint="eastAsia"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石墨 、碳素制品 生产排污单位废气污染防治可行技术可参考资料性附录A中表A.1</w:t>
            </w:r>
            <w:r>
              <w:rPr>
                <w:rFonts w:hint="eastAsia"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 xml:space="preserve"> 废气</w:t>
            </w:r>
            <w:r>
              <w:rPr>
                <w:rFonts w:hint="eastAsia" w:eastAsia="宋体" w:cs="Times New Roman"/>
                <w:color w:val="auto"/>
                <w:kern w:val="2"/>
                <w:sz w:val="24"/>
                <w:szCs w:val="24"/>
                <w:highlight w:val="none"/>
                <w:lang w:val="en-US" w:eastAsia="zh-CN" w:bidi="ar-SA"/>
              </w:rPr>
              <w:t>类别：</w:t>
            </w:r>
            <w:r>
              <w:rPr>
                <w:rFonts w:hint="default" w:ascii="Times New Roman" w:hAnsi="Times New Roman" w:eastAsia="宋体" w:cs="Times New Roman"/>
                <w:color w:val="auto"/>
                <w:kern w:val="2"/>
                <w:sz w:val="24"/>
                <w:szCs w:val="24"/>
                <w:highlight w:val="none"/>
                <w:lang w:val="en-US" w:eastAsia="zh-CN" w:bidi="ar-SA"/>
              </w:rPr>
              <w:t>原料准备环节（除煅烧）、返回料处理环节、机加工环节、其他工艺流程中原料准备环节、以及磨机、破碎机、</w:t>
            </w:r>
            <w:r>
              <w:rPr>
                <w:rFonts w:hint="eastAsia" w:cs="Times New Roman"/>
                <w:color w:val="auto"/>
                <w:kern w:val="2"/>
                <w:sz w:val="24"/>
                <w:szCs w:val="24"/>
                <w:highlight w:val="none"/>
                <w:lang w:val="en-US" w:eastAsia="zh-CN" w:bidi="ar-SA"/>
              </w:rPr>
              <w:t>振动筛</w:t>
            </w:r>
            <w:r>
              <w:rPr>
                <w:rFonts w:hint="default" w:ascii="Times New Roman" w:hAnsi="Times New Roman" w:eastAsia="宋体" w:cs="Times New Roman"/>
                <w:color w:val="auto"/>
                <w:kern w:val="2"/>
                <w:sz w:val="24"/>
                <w:szCs w:val="24"/>
                <w:highlight w:val="none"/>
                <w:lang w:val="en-US" w:eastAsia="zh-CN" w:bidi="ar-SA"/>
              </w:rPr>
              <w:t>、运输机、给料机</w:t>
            </w:r>
            <w:r>
              <w:rPr>
                <w:rFonts w:hint="eastAsia"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吸料天车、清理机等对应含颗粒物的废气</w:t>
            </w:r>
            <w:r>
              <w:rPr>
                <w:rFonts w:hint="eastAsia" w:eastAsia="宋体" w:cs="Times New Roman"/>
                <w:color w:val="auto"/>
                <w:kern w:val="2"/>
                <w:sz w:val="24"/>
                <w:szCs w:val="24"/>
                <w:highlight w:val="none"/>
                <w:lang w:val="en-US" w:eastAsia="zh-CN" w:bidi="ar-SA"/>
              </w:rPr>
              <w:t>；主要污染物：颗粒物；可行技术：袋式除尘法</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本项目废气污染治理设施工艺为“集气罩+袋式除尘器+15m高排气筒”，属于袋式除尘器，符合《排污许可证申请与核发技术规范 石墨及其他非金属矿物制品制造》（HJ1119-2020）中有关废气污染治理设施工艺要求，为可行性技术</w:t>
            </w:r>
            <w:r>
              <w:rPr>
                <w:rFonts w:hint="eastAsia" w:eastAsia="宋体" w:cs="Times New Roman"/>
                <w:color w:val="auto"/>
                <w:kern w:val="2"/>
                <w:sz w:val="24"/>
                <w:szCs w:val="24"/>
                <w:highlight w:val="none"/>
                <w:lang w:val="en-US" w:eastAsia="zh-CN" w:bidi="ar-SA"/>
              </w:rPr>
              <w:t>。</w:t>
            </w:r>
          </w:p>
          <w:p w14:paraId="10D7CAC9">
            <w:pPr>
              <w:keepNext w:val="0"/>
              <w:keepLines w:val="0"/>
              <w:suppressLineNumbers w:val="0"/>
              <w:spacing w:before="0" w:beforeAutospacing="0" w:after="0" w:afterAutospacing="0"/>
              <w:ind w:left="420" w:leftChars="200" w:right="0"/>
              <w:jc w:val="center"/>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表</w:t>
            </w:r>
            <w:r>
              <w:rPr>
                <w:rFonts w:hint="eastAsia" w:ascii="Calibri" w:hAnsi="Calibri" w:cs="Times New Roman"/>
                <w:color w:val="auto"/>
                <w:sz w:val="24"/>
                <w:highlight w:val="none"/>
                <w:shd w:val="clear" w:color="auto" w:fill="auto"/>
                <w:lang w:val="en-US" w:eastAsia="zh-CN"/>
              </w:rPr>
              <w:t>4-9</w:t>
            </w:r>
            <w:r>
              <w:rPr>
                <w:rFonts w:hint="eastAsia" w:ascii="Times New Roman" w:hAnsi="Times New Roman" w:eastAsia="宋体" w:cs="Times New Roman"/>
                <w:color w:val="auto"/>
                <w:sz w:val="24"/>
                <w:highlight w:val="none"/>
                <w:lang w:val="en-US" w:eastAsia="zh-CN"/>
              </w:rPr>
              <w:t xml:space="preserve">  </w:t>
            </w:r>
            <w:r>
              <w:rPr>
                <w:rFonts w:hint="eastAsia" w:ascii="Times New Roman" w:hAnsi="Times New Roman" w:eastAsia="宋体" w:cs="Times New Roman"/>
                <w:color w:val="auto"/>
                <w:sz w:val="24"/>
                <w:highlight w:val="none"/>
              </w:rPr>
              <w:t>废气产排污节点、污染物及污染治理设施信息表</w:t>
            </w:r>
          </w:p>
          <w:tbl>
            <w:tblPr>
              <w:tblStyle w:val="2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0"/>
              <w:gridCol w:w="797"/>
              <w:gridCol w:w="634"/>
              <w:gridCol w:w="827"/>
              <w:gridCol w:w="827"/>
              <w:gridCol w:w="945"/>
              <w:gridCol w:w="797"/>
              <w:gridCol w:w="1891"/>
              <w:gridCol w:w="669"/>
            </w:tblGrid>
            <w:tr w14:paraId="6CFA2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80" w:type="pct"/>
                  <w:tcBorders>
                    <w:tl2br w:val="nil"/>
                    <w:tr2bl w:val="nil"/>
                  </w:tcBorders>
                  <w:noWrap w:val="0"/>
                  <w:vAlign w:val="center"/>
                </w:tcPr>
                <w:p w14:paraId="0B03AB9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对应产污环节名称</w:t>
                  </w:r>
                </w:p>
              </w:tc>
              <w:tc>
                <w:tcPr>
                  <w:tcW w:w="476" w:type="pct"/>
                  <w:tcBorders>
                    <w:tl2br w:val="nil"/>
                    <w:tr2bl w:val="nil"/>
                  </w:tcBorders>
                  <w:noWrap w:val="0"/>
                  <w:vAlign w:val="center"/>
                </w:tcPr>
                <w:p w14:paraId="4040B12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rPr>
                    <w:t>污染物种类</w:t>
                  </w:r>
                </w:p>
              </w:tc>
              <w:tc>
                <w:tcPr>
                  <w:tcW w:w="379" w:type="pct"/>
                  <w:tcBorders>
                    <w:tl2br w:val="nil"/>
                    <w:tr2bl w:val="nil"/>
                  </w:tcBorders>
                  <w:noWrap w:val="0"/>
                  <w:vAlign w:val="center"/>
                </w:tcPr>
                <w:p w14:paraId="0646C6B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rPr>
                    <w:t>排放形式</w:t>
                  </w:r>
                </w:p>
              </w:tc>
              <w:tc>
                <w:tcPr>
                  <w:tcW w:w="494" w:type="pct"/>
                  <w:tcBorders>
                    <w:tl2br w:val="nil"/>
                    <w:tr2bl w:val="nil"/>
                  </w:tcBorders>
                  <w:noWrap w:val="0"/>
                  <w:vAlign w:val="center"/>
                </w:tcPr>
                <w:p w14:paraId="34F7279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color w:val="auto"/>
                      <w:highlight w:val="none"/>
                    </w:rPr>
                  </w:pPr>
                  <w:r>
                    <w:rPr>
                      <w:rFonts w:hint="eastAsia"/>
                      <w:color w:val="auto"/>
                      <w:highlight w:val="none"/>
                      <w:lang w:val="en-US" w:eastAsia="zh-CN"/>
                    </w:rPr>
                    <w:t>可行技术</w:t>
                  </w:r>
                </w:p>
              </w:tc>
              <w:tc>
                <w:tcPr>
                  <w:tcW w:w="494" w:type="pct"/>
                  <w:tcBorders>
                    <w:tl2br w:val="nil"/>
                    <w:tr2bl w:val="nil"/>
                  </w:tcBorders>
                  <w:noWrap w:val="0"/>
                  <w:vAlign w:val="center"/>
                </w:tcPr>
                <w:p w14:paraId="55A517C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rPr>
                    <w:t>污染治理设施</w:t>
                  </w:r>
                </w:p>
              </w:tc>
              <w:tc>
                <w:tcPr>
                  <w:tcW w:w="565" w:type="pct"/>
                  <w:tcBorders>
                    <w:tl2br w:val="nil"/>
                    <w:tr2bl w:val="nil"/>
                  </w:tcBorders>
                  <w:noWrap w:val="0"/>
                  <w:vAlign w:val="center"/>
                </w:tcPr>
                <w:p w14:paraId="439666D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rPr>
                    <w:t>是否为可行技术</w:t>
                  </w:r>
                </w:p>
              </w:tc>
              <w:tc>
                <w:tcPr>
                  <w:tcW w:w="476" w:type="pct"/>
                  <w:tcBorders>
                    <w:tl2br w:val="nil"/>
                    <w:tr2bl w:val="nil"/>
                  </w:tcBorders>
                  <w:noWrap w:val="0"/>
                  <w:vAlign w:val="center"/>
                </w:tcPr>
                <w:p w14:paraId="0FB048D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排放口类型</w:t>
                  </w:r>
                </w:p>
              </w:tc>
              <w:tc>
                <w:tcPr>
                  <w:tcW w:w="1130" w:type="pct"/>
                  <w:tcBorders>
                    <w:tl2br w:val="nil"/>
                    <w:tr2bl w:val="nil"/>
                  </w:tcBorders>
                  <w:noWrap w:val="0"/>
                  <w:vAlign w:val="center"/>
                </w:tcPr>
                <w:p w14:paraId="73D5F90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r>
                    <w:rPr>
                      <w:rFonts w:hint="eastAsia" w:ascii="Times New Roman" w:hAnsi="Times New Roman" w:eastAsia="宋体" w:cs="Times New Roman"/>
                      <w:color w:val="auto"/>
                      <w:sz w:val="21"/>
                      <w:szCs w:val="21"/>
                      <w:highlight w:val="none"/>
                      <w:vertAlign w:val="baseline"/>
                      <w:lang w:eastAsia="zh-CN"/>
                    </w:rPr>
                    <w:t>执行标准</w:t>
                  </w:r>
                </w:p>
              </w:tc>
              <w:tc>
                <w:tcPr>
                  <w:tcW w:w="400" w:type="pct"/>
                  <w:tcBorders>
                    <w:tl2br w:val="nil"/>
                    <w:tr2bl w:val="nil"/>
                  </w:tcBorders>
                  <w:noWrap w:val="0"/>
                  <w:vAlign w:val="center"/>
                </w:tcPr>
                <w:p w14:paraId="6F0B765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t>达标情况</w:t>
                  </w:r>
                </w:p>
              </w:tc>
            </w:tr>
            <w:tr w14:paraId="1073D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3" w:hRule="atLeast"/>
                <w:jc w:val="center"/>
              </w:trPr>
              <w:tc>
                <w:tcPr>
                  <w:tcW w:w="970" w:type="dxa"/>
                  <w:tcBorders>
                    <w:tl2br w:val="nil"/>
                    <w:tr2bl w:val="nil"/>
                  </w:tcBorders>
                  <w:noWrap w:val="0"/>
                  <w:vAlign w:val="center"/>
                </w:tcPr>
                <w:p w14:paraId="686BBEF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i w:val="0"/>
                      <w:color w:val="auto"/>
                      <w:kern w:val="0"/>
                      <w:sz w:val="21"/>
                      <w:szCs w:val="21"/>
                      <w:highlight w:val="none"/>
                      <w:u w:val="none"/>
                      <w:shd w:val="clear" w:color="auto" w:fill="auto"/>
                      <w:lang w:val="en-US" w:eastAsia="zh-CN" w:bidi="ar"/>
                    </w:rPr>
                    <w:t>1#原料库房、</w:t>
                  </w:r>
                  <w:r>
                    <w:rPr>
                      <w:rFonts w:hint="eastAsia" w:cs="Times New Roman"/>
                      <w:color w:val="auto"/>
                      <w:sz w:val="21"/>
                      <w:szCs w:val="21"/>
                      <w:highlight w:val="none"/>
                      <w:shd w:val="clear" w:color="auto" w:fill="auto"/>
                      <w:lang w:val="en-US" w:eastAsia="zh-CN"/>
                    </w:rPr>
                    <w:t>1#、2#</w:t>
                  </w:r>
                  <w:r>
                    <w:rPr>
                      <w:rFonts w:hint="default" w:ascii="Times New Roman" w:hAnsi="Times New Roman" w:eastAsia="宋体" w:cs="Times New Roman"/>
                      <w:color w:val="auto"/>
                      <w:sz w:val="21"/>
                      <w:szCs w:val="21"/>
                      <w:highlight w:val="none"/>
                      <w:shd w:val="clear" w:color="auto" w:fill="auto"/>
                      <w:lang w:eastAsia="zh-CN"/>
                    </w:rPr>
                    <w:t>生产</w:t>
                  </w:r>
                  <w:r>
                    <w:rPr>
                      <w:rFonts w:hint="eastAsia" w:cs="Times New Roman"/>
                      <w:color w:val="auto"/>
                      <w:sz w:val="21"/>
                      <w:szCs w:val="21"/>
                      <w:highlight w:val="none"/>
                      <w:shd w:val="clear" w:color="auto" w:fill="auto"/>
                      <w:lang w:eastAsia="zh-CN"/>
                    </w:rPr>
                    <w:t>线</w:t>
                  </w:r>
                  <w:r>
                    <w:rPr>
                      <w:rFonts w:hint="default" w:ascii="Times New Roman" w:hAnsi="Times New Roman" w:eastAsia="宋体" w:cs="Times New Roman"/>
                      <w:color w:val="auto"/>
                      <w:sz w:val="21"/>
                      <w:szCs w:val="21"/>
                      <w:highlight w:val="none"/>
                      <w:shd w:val="clear" w:color="auto" w:fill="auto"/>
                      <w:lang w:eastAsia="zh-CN"/>
                    </w:rPr>
                    <w:t>排气筒</w:t>
                  </w:r>
                </w:p>
              </w:tc>
              <w:tc>
                <w:tcPr>
                  <w:tcW w:w="476" w:type="pct"/>
                  <w:tcBorders>
                    <w:tl2br w:val="nil"/>
                    <w:tr2bl w:val="nil"/>
                  </w:tcBorders>
                  <w:noWrap w:val="0"/>
                  <w:vAlign w:val="center"/>
                </w:tcPr>
                <w:p w14:paraId="6B5384D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eastAsia="zh-CN"/>
                    </w:rPr>
                    <w:t>颗粒物</w:t>
                  </w:r>
                </w:p>
              </w:tc>
              <w:tc>
                <w:tcPr>
                  <w:tcW w:w="379" w:type="pct"/>
                  <w:tcBorders>
                    <w:tl2br w:val="nil"/>
                    <w:tr2bl w:val="nil"/>
                  </w:tcBorders>
                  <w:noWrap w:val="0"/>
                  <w:vAlign w:val="center"/>
                </w:tcPr>
                <w:p w14:paraId="7DF0424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lang w:eastAsia="zh-CN"/>
                    </w:rPr>
                  </w:pPr>
                  <w:r>
                    <w:rPr>
                      <w:rFonts w:hint="eastAsia" w:cs="Times New Roman"/>
                      <w:color w:val="auto"/>
                      <w:sz w:val="21"/>
                      <w:szCs w:val="21"/>
                      <w:highlight w:val="none"/>
                      <w:vertAlign w:val="baseline"/>
                      <w:lang w:val="en-US" w:eastAsia="zh-CN"/>
                    </w:rPr>
                    <w:t>DA001</w:t>
                  </w:r>
                  <w:r>
                    <w:rPr>
                      <w:rFonts w:hint="default" w:ascii="Times New Roman" w:hAnsi="Times New Roman" w:eastAsia="宋体" w:cs="Times New Roman"/>
                      <w:color w:val="auto"/>
                      <w:sz w:val="21"/>
                      <w:szCs w:val="21"/>
                      <w:highlight w:val="none"/>
                      <w:vertAlign w:val="baseline"/>
                      <w:lang w:eastAsia="zh-CN"/>
                    </w:rPr>
                    <w:t>有组织</w:t>
                  </w:r>
                </w:p>
              </w:tc>
              <w:tc>
                <w:tcPr>
                  <w:tcW w:w="494" w:type="pct"/>
                  <w:tcBorders>
                    <w:tl2br w:val="nil"/>
                    <w:tr2bl w:val="nil"/>
                  </w:tcBorders>
                  <w:noWrap w:val="0"/>
                  <w:vAlign w:val="center"/>
                </w:tcPr>
                <w:p w14:paraId="3438EBE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auto"/>
                      <w:sz w:val="21"/>
                      <w:szCs w:val="21"/>
                      <w:highlight w:val="none"/>
                      <w:lang w:val="en-US" w:eastAsia="zh-CN"/>
                    </w:rPr>
                  </w:pPr>
                  <w:r>
                    <w:rPr>
                      <w:rFonts w:hint="eastAsia" w:eastAsia="宋体" w:cs="Times New Roman"/>
                      <w:color w:val="auto"/>
                      <w:kern w:val="2"/>
                      <w:sz w:val="21"/>
                      <w:szCs w:val="21"/>
                      <w:highlight w:val="none"/>
                      <w:lang w:val="en-US" w:eastAsia="zh-CN" w:bidi="ar-SA"/>
                    </w:rPr>
                    <w:t>袋式除尘法</w:t>
                  </w:r>
                </w:p>
              </w:tc>
              <w:tc>
                <w:tcPr>
                  <w:tcW w:w="494" w:type="pct"/>
                  <w:tcBorders>
                    <w:tl2br w:val="nil"/>
                    <w:tr2bl w:val="nil"/>
                  </w:tcBorders>
                  <w:noWrap w:val="0"/>
                  <w:vAlign w:val="center"/>
                </w:tcPr>
                <w:p w14:paraId="31DA54D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布袋除尘器</w:t>
                  </w:r>
                </w:p>
              </w:tc>
              <w:tc>
                <w:tcPr>
                  <w:tcW w:w="565" w:type="pct"/>
                  <w:tcBorders>
                    <w:tl2br w:val="nil"/>
                    <w:tr2bl w:val="nil"/>
                  </w:tcBorders>
                  <w:noWrap w:val="0"/>
                  <w:vAlign w:val="center"/>
                </w:tcPr>
                <w:p w14:paraId="38C2092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是</w:t>
                  </w:r>
                </w:p>
              </w:tc>
              <w:tc>
                <w:tcPr>
                  <w:tcW w:w="476" w:type="pct"/>
                  <w:tcBorders>
                    <w:tl2br w:val="nil"/>
                    <w:tr2bl w:val="nil"/>
                  </w:tcBorders>
                  <w:noWrap w:val="0"/>
                  <w:vAlign w:val="center"/>
                </w:tcPr>
                <w:p w14:paraId="53D693A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center"/>
                    <w:rPr>
                      <w:rFonts w:hint="eastAsia"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一般排放口</w:t>
                  </w:r>
                </w:p>
              </w:tc>
              <w:tc>
                <w:tcPr>
                  <w:tcW w:w="1130" w:type="pct"/>
                  <w:tcBorders>
                    <w:tl2br w:val="nil"/>
                    <w:tr2bl w:val="nil"/>
                  </w:tcBorders>
                  <w:noWrap w:val="0"/>
                  <w:vAlign w:val="center"/>
                </w:tcPr>
                <w:p w14:paraId="54CD6A5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bCs/>
                      <w:color w:val="auto"/>
                      <w:kern w:val="2"/>
                      <w:sz w:val="21"/>
                      <w:szCs w:val="21"/>
                      <w:highlight w:val="none"/>
                      <w:lang w:val="en-US" w:eastAsia="zh-CN" w:bidi="ar-SA"/>
                    </w:rPr>
                    <w:t>《镁质耐火材料工业大气污染物排放标准》（DB21/3011-2018）</w:t>
                  </w:r>
                </w:p>
              </w:tc>
              <w:tc>
                <w:tcPr>
                  <w:tcW w:w="400" w:type="pct"/>
                  <w:tcBorders>
                    <w:tl2br w:val="nil"/>
                    <w:tr2bl w:val="nil"/>
                  </w:tcBorders>
                  <w:noWrap w:val="0"/>
                  <w:vAlign w:val="center"/>
                </w:tcPr>
                <w:p w14:paraId="1012052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达标</w:t>
                  </w:r>
                </w:p>
              </w:tc>
            </w:tr>
            <w:tr w14:paraId="6BE39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3" w:hRule="atLeast"/>
                <w:jc w:val="center"/>
              </w:trPr>
              <w:tc>
                <w:tcPr>
                  <w:tcW w:w="970" w:type="dxa"/>
                  <w:tcBorders>
                    <w:tl2br w:val="nil"/>
                    <w:tr2bl w:val="nil"/>
                  </w:tcBorders>
                  <w:noWrap w:val="0"/>
                  <w:vAlign w:val="center"/>
                </w:tcPr>
                <w:p w14:paraId="40548F46">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shd w:val="clear" w:color="auto" w:fill="auto"/>
                      <w:lang w:val="en-US" w:eastAsia="zh-CN"/>
                    </w:rPr>
                    <w:t>3#</w:t>
                  </w:r>
                  <w:r>
                    <w:rPr>
                      <w:rFonts w:hint="default" w:ascii="Times New Roman" w:hAnsi="Times New Roman" w:eastAsia="宋体" w:cs="Times New Roman"/>
                      <w:color w:val="auto"/>
                      <w:sz w:val="21"/>
                      <w:szCs w:val="21"/>
                      <w:highlight w:val="none"/>
                      <w:shd w:val="clear" w:color="auto" w:fill="auto"/>
                      <w:lang w:eastAsia="zh-CN"/>
                    </w:rPr>
                    <w:t>生产</w:t>
                  </w:r>
                  <w:r>
                    <w:rPr>
                      <w:rFonts w:hint="eastAsia" w:cs="Times New Roman"/>
                      <w:color w:val="auto"/>
                      <w:sz w:val="21"/>
                      <w:szCs w:val="21"/>
                      <w:highlight w:val="none"/>
                      <w:shd w:val="clear" w:color="auto" w:fill="auto"/>
                      <w:lang w:eastAsia="zh-CN"/>
                    </w:rPr>
                    <w:t>线</w:t>
                  </w:r>
                  <w:r>
                    <w:rPr>
                      <w:rFonts w:hint="default" w:ascii="Times New Roman" w:hAnsi="Times New Roman" w:eastAsia="宋体" w:cs="Times New Roman"/>
                      <w:color w:val="auto"/>
                      <w:sz w:val="21"/>
                      <w:szCs w:val="21"/>
                      <w:highlight w:val="none"/>
                      <w:shd w:val="clear" w:color="auto" w:fill="auto"/>
                      <w:lang w:eastAsia="zh-CN"/>
                    </w:rPr>
                    <w:t>排气筒</w:t>
                  </w:r>
                </w:p>
              </w:tc>
              <w:tc>
                <w:tcPr>
                  <w:tcW w:w="476" w:type="pct"/>
                  <w:tcBorders>
                    <w:tl2br w:val="nil"/>
                    <w:tr2bl w:val="nil"/>
                  </w:tcBorders>
                  <w:noWrap w:val="0"/>
                  <w:vAlign w:val="center"/>
                </w:tcPr>
                <w:p w14:paraId="46568A8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颗粒物</w:t>
                  </w:r>
                </w:p>
              </w:tc>
              <w:tc>
                <w:tcPr>
                  <w:tcW w:w="379" w:type="pct"/>
                  <w:tcBorders>
                    <w:tl2br w:val="nil"/>
                    <w:tr2bl w:val="nil"/>
                  </w:tcBorders>
                  <w:noWrap w:val="0"/>
                  <w:vAlign w:val="center"/>
                </w:tcPr>
                <w:p w14:paraId="7846EEB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vertAlign w:val="baseline"/>
                      <w:lang w:eastAsia="zh-CN"/>
                    </w:rPr>
                  </w:pPr>
                  <w:r>
                    <w:rPr>
                      <w:rFonts w:hint="eastAsia" w:cs="Times New Roman"/>
                      <w:color w:val="auto"/>
                      <w:sz w:val="21"/>
                      <w:szCs w:val="21"/>
                      <w:highlight w:val="none"/>
                      <w:vertAlign w:val="baseline"/>
                      <w:lang w:val="en-US" w:eastAsia="zh-CN"/>
                    </w:rPr>
                    <w:t>DA002</w:t>
                  </w:r>
                  <w:r>
                    <w:rPr>
                      <w:rFonts w:hint="default" w:ascii="Times New Roman" w:hAnsi="Times New Roman" w:eastAsia="宋体" w:cs="Times New Roman"/>
                      <w:color w:val="auto"/>
                      <w:sz w:val="21"/>
                      <w:szCs w:val="21"/>
                      <w:highlight w:val="none"/>
                      <w:vertAlign w:val="baseline"/>
                      <w:lang w:eastAsia="zh-CN"/>
                    </w:rPr>
                    <w:t>有组织</w:t>
                  </w:r>
                </w:p>
              </w:tc>
              <w:tc>
                <w:tcPr>
                  <w:tcW w:w="494" w:type="pct"/>
                  <w:tcBorders>
                    <w:tl2br w:val="nil"/>
                    <w:tr2bl w:val="nil"/>
                  </w:tcBorders>
                  <w:noWrap w:val="0"/>
                  <w:vAlign w:val="center"/>
                </w:tcPr>
                <w:p w14:paraId="37E2784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sz w:val="21"/>
                      <w:szCs w:val="21"/>
                      <w:highlight w:val="none"/>
                      <w:lang w:val="en-US" w:eastAsia="zh-CN"/>
                    </w:rPr>
                  </w:pPr>
                  <w:r>
                    <w:rPr>
                      <w:rFonts w:hint="eastAsia" w:eastAsia="宋体" w:cs="Times New Roman"/>
                      <w:color w:val="auto"/>
                      <w:kern w:val="2"/>
                      <w:sz w:val="21"/>
                      <w:szCs w:val="21"/>
                      <w:highlight w:val="none"/>
                      <w:lang w:val="en-US" w:eastAsia="zh-CN" w:bidi="ar-SA"/>
                    </w:rPr>
                    <w:t>袋式除尘法</w:t>
                  </w:r>
                </w:p>
              </w:tc>
              <w:tc>
                <w:tcPr>
                  <w:tcW w:w="494" w:type="pct"/>
                  <w:tcBorders>
                    <w:tl2br w:val="nil"/>
                    <w:tr2bl w:val="nil"/>
                  </w:tcBorders>
                  <w:noWrap w:val="0"/>
                  <w:vAlign w:val="center"/>
                </w:tcPr>
                <w:p w14:paraId="3AF3EF7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布袋除尘器</w:t>
                  </w:r>
                </w:p>
              </w:tc>
              <w:tc>
                <w:tcPr>
                  <w:tcW w:w="565" w:type="pct"/>
                  <w:tcBorders>
                    <w:tl2br w:val="nil"/>
                    <w:tr2bl w:val="nil"/>
                  </w:tcBorders>
                  <w:noWrap w:val="0"/>
                  <w:vAlign w:val="center"/>
                </w:tcPr>
                <w:p w14:paraId="3D0EBB0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是</w:t>
                  </w:r>
                </w:p>
              </w:tc>
              <w:tc>
                <w:tcPr>
                  <w:tcW w:w="476" w:type="pct"/>
                  <w:tcBorders>
                    <w:tl2br w:val="nil"/>
                    <w:tr2bl w:val="nil"/>
                  </w:tcBorders>
                  <w:noWrap w:val="0"/>
                  <w:vAlign w:val="center"/>
                </w:tcPr>
                <w:p w14:paraId="4263B69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一般排放口</w:t>
                  </w:r>
                </w:p>
              </w:tc>
              <w:tc>
                <w:tcPr>
                  <w:tcW w:w="1130" w:type="pct"/>
                  <w:tcBorders>
                    <w:tl2br w:val="nil"/>
                    <w:tr2bl w:val="nil"/>
                  </w:tcBorders>
                  <w:noWrap w:val="0"/>
                  <w:vAlign w:val="center"/>
                </w:tcPr>
                <w:p w14:paraId="52F89DC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kern w:val="2"/>
                      <w:sz w:val="21"/>
                      <w:szCs w:val="21"/>
                      <w:highlight w:val="none"/>
                      <w:lang w:val="en-US" w:eastAsia="zh-CN" w:bidi="ar-SA"/>
                    </w:rPr>
                    <w:t>《镁质耐火材料工业大气污染物排放标准》（DB21/3011-2018）</w:t>
                  </w:r>
                </w:p>
              </w:tc>
              <w:tc>
                <w:tcPr>
                  <w:tcW w:w="400" w:type="pct"/>
                  <w:tcBorders>
                    <w:tl2br w:val="nil"/>
                    <w:tr2bl w:val="nil"/>
                  </w:tcBorders>
                  <w:noWrap w:val="0"/>
                  <w:vAlign w:val="center"/>
                </w:tcPr>
                <w:p w14:paraId="6DBDDB5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达标</w:t>
                  </w:r>
                </w:p>
              </w:tc>
            </w:tr>
            <w:tr w14:paraId="642F9E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3" w:hRule="atLeast"/>
                <w:jc w:val="center"/>
              </w:trPr>
              <w:tc>
                <w:tcPr>
                  <w:tcW w:w="970" w:type="dxa"/>
                  <w:tcBorders>
                    <w:tl2br w:val="nil"/>
                    <w:tr2bl w:val="nil"/>
                  </w:tcBorders>
                  <w:noWrap w:val="0"/>
                  <w:vAlign w:val="center"/>
                </w:tcPr>
                <w:p w14:paraId="5A5EDA30">
                  <w:pPr>
                    <w:keepNext w:val="0"/>
                    <w:keepLines w:val="0"/>
                    <w:suppressLineNumbers w:val="0"/>
                    <w:spacing w:before="0" w:beforeAutospacing="0" w:after="0" w:afterAutospacing="0"/>
                    <w:ind w:left="0" w:leftChars="0" w:right="0" w:rightChars="0"/>
                    <w:jc w:val="center"/>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shd w:val="clear" w:color="auto" w:fill="auto"/>
                      <w:lang w:val="en-US" w:eastAsia="zh-CN"/>
                    </w:rPr>
                    <w:t>4#</w:t>
                  </w:r>
                  <w:r>
                    <w:rPr>
                      <w:rFonts w:hint="default" w:ascii="Times New Roman" w:hAnsi="Times New Roman" w:eastAsia="宋体" w:cs="Times New Roman"/>
                      <w:color w:val="auto"/>
                      <w:sz w:val="21"/>
                      <w:szCs w:val="21"/>
                      <w:highlight w:val="none"/>
                      <w:shd w:val="clear" w:color="auto" w:fill="auto"/>
                      <w:lang w:eastAsia="zh-CN"/>
                    </w:rPr>
                    <w:t>生产</w:t>
                  </w:r>
                  <w:r>
                    <w:rPr>
                      <w:rFonts w:hint="eastAsia" w:cs="Times New Roman"/>
                      <w:color w:val="auto"/>
                      <w:sz w:val="21"/>
                      <w:szCs w:val="21"/>
                      <w:highlight w:val="none"/>
                      <w:shd w:val="clear" w:color="auto" w:fill="auto"/>
                      <w:lang w:eastAsia="zh-CN"/>
                    </w:rPr>
                    <w:t>线</w:t>
                  </w:r>
                  <w:r>
                    <w:rPr>
                      <w:rFonts w:hint="default" w:ascii="Times New Roman" w:hAnsi="Times New Roman" w:eastAsia="宋体" w:cs="Times New Roman"/>
                      <w:color w:val="auto"/>
                      <w:sz w:val="21"/>
                      <w:szCs w:val="21"/>
                      <w:highlight w:val="none"/>
                      <w:shd w:val="clear" w:color="auto" w:fill="auto"/>
                      <w:lang w:eastAsia="zh-CN"/>
                    </w:rPr>
                    <w:t>排气筒</w:t>
                  </w:r>
                </w:p>
              </w:tc>
              <w:tc>
                <w:tcPr>
                  <w:tcW w:w="797" w:type="dxa"/>
                  <w:tcBorders>
                    <w:tl2br w:val="nil"/>
                    <w:tr2bl w:val="nil"/>
                  </w:tcBorders>
                  <w:noWrap w:val="0"/>
                  <w:vAlign w:val="center"/>
                </w:tcPr>
                <w:p w14:paraId="7AE71DA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颗粒物</w:t>
                  </w:r>
                </w:p>
              </w:tc>
              <w:tc>
                <w:tcPr>
                  <w:tcW w:w="634" w:type="dxa"/>
                  <w:tcBorders>
                    <w:tl2br w:val="nil"/>
                    <w:tr2bl w:val="nil"/>
                  </w:tcBorders>
                  <w:noWrap w:val="0"/>
                  <w:vAlign w:val="center"/>
                </w:tcPr>
                <w:p w14:paraId="0D206DD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vertAlign w:val="baseline"/>
                      <w:lang w:eastAsia="zh-CN"/>
                    </w:rPr>
                  </w:pPr>
                  <w:r>
                    <w:rPr>
                      <w:rFonts w:hint="eastAsia" w:cs="Times New Roman"/>
                      <w:color w:val="auto"/>
                      <w:sz w:val="21"/>
                      <w:szCs w:val="21"/>
                      <w:highlight w:val="none"/>
                      <w:vertAlign w:val="baseline"/>
                      <w:lang w:val="en-US" w:eastAsia="zh-CN"/>
                    </w:rPr>
                    <w:t>DA003</w:t>
                  </w:r>
                  <w:r>
                    <w:rPr>
                      <w:rFonts w:hint="default" w:ascii="Times New Roman" w:hAnsi="Times New Roman" w:eastAsia="宋体" w:cs="Times New Roman"/>
                      <w:color w:val="auto"/>
                      <w:sz w:val="21"/>
                      <w:szCs w:val="21"/>
                      <w:highlight w:val="none"/>
                      <w:vertAlign w:val="baseline"/>
                      <w:lang w:eastAsia="zh-CN"/>
                    </w:rPr>
                    <w:t>有组织</w:t>
                  </w:r>
                </w:p>
              </w:tc>
              <w:tc>
                <w:tcPr>
                  <w:tcW w:w="827" w:type="dxa"/>
                  <w:tcBorders>
                    <w:tl2br w:val="nil"/>
                    <w:tr2bl w:val="nil"/>
                  </w:tcBorders>
                  <w:noWrap w:val="0"/>
                  <w:vAlign w:val="center"/>
                </w:tcPr>
                <w:p w14:paraId="7E0A89C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eastAsia="宋体" w:cs="Times New Roman"/>
                      <w:color w:val="auto"/>
                      <w:kern w:val="2"/>
                      <w:sz w:val="21"/>
                      <w:szCs w:val="21"/>
                      <w:highlight w:val="none"/>
                      <w:lang w:val="en-US" w:eastAsia="zh-CN" w:bidi="ar-SA"/>
                    </w:rPr>
                  </w:pPr>
                  <w:r>
                    <w:rPr>
                      <w:rFonts w:hint="eastAsia" w:eastAsia="宋体" w:cs="Times New Roman"/>
                      <w:color w:val="auto"/>
                      <w:kern w:val="2"/>
                      <w:sz w:val="21"/>
                      <w:szCs w:val="21"/>
                      <w:highlight w:val="none"/>
                      <w:lang w:val="en-US" w:eastAsia="zh-CN" w:bidi="ar-SA"/>
                    </w:rPr>
                    <w:t>袋式除尘法</w:t>
                  </w:r>
                </w:p>
              </w:tc>
              <w:tc>
                <w:tcPr>
                  <w:tcW w:w="827" w:type="dxa"/>
                  <w:tcBorders>
                    <w:tl2br w:val="nil"/>
                    <w:tr2bl w:val="nil"/>
                  </w:tcBorders>
                  <w:noWrap w:val="0"/>
                  <w:vAlign w:val="center"/>
                </w:tcPr>
                <w:p w14:paraId="7575144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布袋除尘器</w:t>
                  </w:r>
                </w:p>
              </w:tc>
              <w:tc>
                <w:tcPr>
                  <w:tcW w:w="945" w:type="dxa"/>
                  <w:tcBorders>
                    <w:tl2br w:val="nil"/>
                    <w:tr2bl w:val="nil"/>
                  </w:tcBorders>
                  <w:noWrap w:val="0"/>
                  <w:vAlign w:val="center"/>
                </w:tcPr>
                <w:p w14:paraId="3B29F02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是</w:t>
                  </w:r>
                </w:p>
              </w:tc>
              <w:tc>
                <w:tcPr>
                  <w:tcW w:w="797" w:type="dxa"/>
                  <w:tcBorders>
                    <w:tl2br w:val="nil"/>
                    <w:tr2bl w:val="nil"/>
                  </w:tcBorders>
                  <w:noWrap w:val="0"/>
                  <w:vAlign w:val="center"/>
                </w:tcPr>
                <w:p w14:paraId="0CC78C2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一般排放口</w:t>
                  </w:r>
                </w:p>
              </w:tc>
              <w:tc>
                <w:tcPr>
                  <w:tcW w:w="1891" w:type="dxa"/>
                  <w:tcBorders>
                    <w:tl2br w:val="nil"/>
                    <w:tr2bl w:val="nil"/>
                  </w:tcBorders>
                  <w:noWrap w:val="0"/>
                  <w:vAlign w:val="center"/>
                </w:tcPr>
                <w:p w14:paraId="03FC764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kern w:val="2"/>
                      <w:sz w:val="21"/>
                      <w:szCs w:val="21"/>
                      <w:highlight w:val="none"/>
                      <w:lang w:val="en-US" w:eastAsia="zh-CN" w:bidi="ar-SA"/>
                    </w:rPr>
                    <w:t>《镁质耐火材料工业大气污染物排放标准》（DB21/3011-2018）</w:t>
                  </w:r>
                </w:p>
              </w:tc>
              <w:tc>
                <w:tcPr>
                  <w:tcW w:w="669" w:type="dxa"/>
                  <w:tcBorders>
                    <w:tl2br w:val="nil"/>
                    <w:tr2bl w:val="nil"/>
                  </w:tcBorders>
                  <w:noWrap w:val="0"/>
                  <w:vAlign w:val="center"/>
                </w:tcPr>
                <w:p w14:paraId="24E8B28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达标</w:t>
                  </w:r>
                </w:p>
              </w:tc>
            </w:tr>
            <w:tr w14:paraId="7A43E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3" w:hRule="atLeast"/>
                <w:jc w:val="center"/>
              </w:trPr>
              <w:tc>
                <w:tcPr>
                  <w:tcW w:w="970" w:type="dxa"/>
                  <w:tcBorders>
                    <w:tl2br w:val="nil"/>
                    <w:tr2bl w:val="nil"/>
                  </w:tcBorders>
                  <w:noWrap w:val="0"/>
                  <w:vAlign w:val="center"/>
                </w:tcPr>
                <w:p w14:paraId="1A251694">
                  <w:pPr>
                    <w:keepNext w:val="0"/>
                    <w:keepLines w:val="0"/>
                    <w:suppressLineNumbers w:val="0"/>
                    <w:spacing w:before="0" w:beforeAutospacing="0" w:after="0" w:afterAutospacing="0"/>
                    <w:ind w:left="0" w:leftChars="0" w:right="0" w:rightChars="0"/>
                    <w:jc w:val="center"/>
                    <w:rPr>
                      <w:rFonts w:hint="eastAsia" w:cs="Times New Roman"/>
                      <w:color w:val="auto"/>
                      <w:sz w:val="21"/>
                      <w:szCs w:val="21"/>
                      <w:highlight w:val="none"/>
                      <w:vertAlign w:val="baseline"/>
                      <w:lang w:val="en-US" w:eastAsia="zh-CN"/>
                    </w:rPr>
                  </w:pPr>
                  <w:r>
                    <w:rPr>
                      <w:rFonts w:hint="eastAsia" w:cs="Times New Roman"/>
                      <w:i w:val="0"/>
                      <w:color w:val="auto"/>
                      <w:kern w:val="0"/>
                      <w:sz w:val="21"/>
                      <w:szCs w:val="21"/>
                      <w:highlight w:val="none"/>
                      <w:u w:val="none"/>
                      <w:shd w:val="clear" w:color="auto" w:fill="auto"/>
                      <w:lang w:val="en-US" w:eastAsia="zh-CN" w:bidi="ar"/>
                    </w:rPr>
                    <w:t>2#原料库房、</w:t>
                  </w:r>
                  <w:r>
                    <w:rPr>
                      <w:rFonts w:hint="eastAsia" w:cs="Times New Roman"/>
                      <w:color w:val="auto"/>
                      <w:sz w:val="21"/>
                      <w:szCs w:val="21"/>
                      <w:highlight w:val="none"/>
                      <w:shd w:val="clear" w:color="auto" w:fill="auto"/>
                      <w:lang w:val="en-US" w:eastAsia="zh-CN"/>
                    </w:rPr>
                    <w:t>5#</w:t>
                  </w:r>
                  <w:r>
                    <w:rPr>
                      <w:rFonts w:hint="default" w:ascii="Times New Roman" w:hAnsi="Times New Roman" w:eastAsia="宋体" w:cs="Times New Roman"/>
                      <w:color w:val="auto"/>
                      <w:sz w:val="21"/>
                      <w:szCs w:val="21"/>
                      <w:highlight w:val="none"/>
                      <w:shd w:val="clear" w:color="auto" w:fill="auto"/>
                      <w:lang w:eastAsia="zh-CN"/>
                    </w:rPr>
                    <w:t>生产</w:t>
                  </w:r>
                  <w:r>
                    <w:rPr>
                      <w:rFonts w:hint="eastAsia" w:cs="Times New Roman"/>
                      <w:color w:val="auto"/>
                      <w:sz w:val="21"/>
                      <w:szCs w:val="21"/>
                      <w:highlight w:val="none"/>
                      <w:shd w:val="clear" w:color="auto" w:fill="auto"/>
                      <w:lang w:eastAsia="zh-CN"/>
                    </w:rPr>
                    <w:t>线</w:t>
                  </w:r>
                  <w:r>
                    <w:rPr>
                      <w:rFonts w:hint="default" w:ascii="Times New Roman" w:hAnsi="Times New Roman" w:eastAsia="宋体" w:cs="Times New Roman"/>
                      <w:color w:val="auto"/>
                      <w:sz w:val="21"/>
                      <w:szCs w:val="21"/>
                      <w:highlight w:val="none"/>
                      <w:shd w:val="clear" w:color="auto" w:fill="auto"/>
                      <w:lang w:eastAsia="zh-CN"/>
                    </w:rPr>
                    <w:t>排气筒</w:t>
                  </w:r>
                </w:p>
              </w:tc>
              <w:tc>
                <w:tcPr>
                  <w:tcW w:w="797" w:type="dxa"/>
                  <w:tcBorders>
                    <w:tl2br w:val="nil"/>
                    <w:tr2bl w:val="nil"/>
                  </w:tcBorders>
                  <w:noWrap w:val="0"/>
                  <w:vAlign w:val="center"/>
                </w:tcPr>
                <w:p w14:paraId="7AF7B9D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颗粒物</w:t>
                  </w:r>
                </w:p>
              </w:tc>
              <w:tc>
                <w:tcPr>
                  <w:tcW w:w="634" w:type="dxa"/>
                  <w:tcBorders>
                    <w:tl2br w:val="nil"/>
                    <w:tr2bl w:val="nil"/>
                  </w:tcBorders>
                  <w:noWrap w:val="0"/>
                  <w:vAlign w:val="center"/>
                </w:tcPr>
                <w:p w14:paraId="3EE075E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vertAlign w:val="baseline"/>
                      <w:lang w:eastAsia="zh-CN"/>
                    </w:rPr>
                  </w:pPr>
                  <w:r>
                    <w:rPr>
                      <w:rFonts w:hint="eastAsia" w:cs="Times New Roman"/>
                      <w:color w:val="auto"/>
                      <w:sz w:val="21"/>
                      <w:szCs w:val="21"/>
                      <w:highlight w:val="none"/>
                      <w:vertAlign w:val="baseline"/>
                      <w:lang w:val="en-US" w:eastAsia="zh-CN"/>
                    </w:rPr>
                    <w:t>DA004</w:t>
                  </w:r>
                  <w:r>
                    <w:rPr>
                      <w:rFonts w:hint="default" w:ascii="Times New Roman" w:hAnsi="Times New Roman" w:eastAsia="宋体" w:cs="Times New Roman"/>
                      <w:color w:val="auto"/>
                      <w:sz w:val="21"/>
                      <w:szCs w:val="21"/>
                      <w:highlight w:val="none"/>
                      <w:vertAlign w:val="baseline"/>
                      <w:lang w:eastAsia="zh-CN"/>
                    </w:rPr>
                    <w:t>有组织</w:t>
                  </w:r>
                </w:p>
              </w:tc>
              <w:tc>
                <w:tcPr>
                  <w:tcW w:w="827" w:type="dxa"/>
                  <w:tcBorders>
                    <w:tl2br w:val="nil"/>
                    <w:tr2bl w:val="nil"/>
                  </w:tcBorders>
                  <w:noWrap w:val="0"/>
                  <w:vAlign w:val="center"/>
                </w:tcPr>
                <w:p w14:paraId="7630488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eastAsia="宋体" w:cs="Times New Roman"/>
                      <w:color w:val="auto"/>
                      <w:kern w:val="2"/>
                      <w:sz w:val="21"/>
                      <w:szCs w:val="21"/>
                      <w:highlight w:val="none"/>
                      <w:lang w:val="en-US" w:eastAsia="zh-CN" w:bidi="ar-SA"/>
                    </w:rPr>
                  </w:pPr>
                  <w:r>
                    <w:rPr>
                      <w:rFonts w:hint="eastAsia" w:eastAsia="宋体" w:cs="Times New Roman"/>
                      <w:color w:val="auto"/>
                      <w:kern w:val="2"/>
                      <w:sz w:val="21"/>
                      <w:szCs w:val="21"/>
                      <w:highlight w:val="none"/>
                      <w:lang w:val="en-US" w:eastAsia="zh-CN" w:bidi="ar-SA"/>
                    </w:rPr>
                    <w:t>袋式除尘法</w:t>
                  </w:r>
                </w:p>
              </w:tc>
              <w:tc>
                <w:tcPr>
                  <w:tcW w:w="827" w:type="dxa"/>
                  <w:tcBorders>
                    <w:tl2br w:val="nil"/>
                    <w:tr2bl w:val="nil"/>
                  </w:tcBorders>
                  <w:noWrap w:val="0"/>
                  <w:vAlign w:val="center"/>
                </w:tcPr>
                <w:p w14:paraId="1ADBD47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布袋除尘器</w:t>
                  </w:r>
                </w:p>
              </w:tc>
              <w:tc>
                <w:tcPr>
                  <w:tcW w:w="945" w:type="dxa"/>
                  <w:tcBorders>
                    <w:tl2br w:val="nil"/>
                    <w:tr2bl w:val="nil"/>
                  </w:tcBorders>
                  <w:noWrap w:val="0"/>
                  <w:vAlign w:val="center"/>
                </w:tcPr>
                <w:p w14:paraId="35C32E9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rPr>
                      <w:rFonts w:hint="eastAsia"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是</w:t>
                  </w:r>
                </w:p>
              </w:tc>
              <w:tc>
                <w:tcPr>
                  <w:tcW w:w="797" w:type="dxa"/>
                  <w:tcBorders>
                    <w:tl2br w:val="nil"/>
                    <w:tr2bl w:val="nil"/>
                  </w:tcBorders>
                  <w:noWrap w:val="0"/>
                  <w:vAlign w:val="center"/>
                </w:tcPr>
                <w:p w14:paraId="4762205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center"/>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一般排放口</w:t>
                  </w:r>
                </w:p>
              </w:tc>
              <w:tc>
                <w:tcPr>
                  <w:tcW w:w="1891" w:type="dxa"/>
                  <w:tcBorders>
                    <w:tl2br w:val="nil"/>
                    <w:tr2bl w:val="nil"/>
                  </w:tcBorders>
                  <w:noWrap w:val="0"/>
                  <w:vAlign w:val="center"/>
                </w:tcPr>
                <w:p w14:paraId="3C793AC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kern w:val="2"/>
                      <w:sz w:val="21"/>
                      <w:szCs w:val="21"/>
                      <w:highlight w:val="none"/>
                      <w:lang w:val="en-US" w:eastAsia="zh-CN" w:bidi="ar-SA"/>
                    </w:rPr>
                    <w:t>《镁质耐火材料工业大气污染物排放标准》（DB21/3011-2018）</w:t>
                  </w:r>
                </w:p>
              </w:tc>
              <w:tc>
                <w:tcPr>
                  <w:tcW w:w="669" w:type="dxa"/>
                  <w:tcBorders>
                    <w:tl2br w:val="nil"/>
                    <w:tr2bl w:val="nil"/>
                  </w:tcBorders>
                  <w:noWrap w:val="0"/>
                  <w:vAlign w:val="center"/>
                </w:tcPr>
                <w:p w14:paraId="2B9A984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达标</w:t>
                  </w:r>
                </w:p>
              </w:tc>
            </w:tr>
          </w:tbl>
          <w:p w14:paraId="5B574126">
            <w:pPr>
              <w:keepNext w:val="0"/>
              <w:keepLines w:val="0"/>
              <w:suppressLineNumbers w:val="0"/>
              <w:spacing w:before="0" w:beforeAutospacing="0" w:after="0" w:afterAutospacing="0" w:line="500" w:lineRule="exact"/>
              <w:ind w:left="0" w:right="0"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pacing w:val="0"/>
                <w:w w:val="100"/>
                <w:kern w:val="0"/>
                <w:position w:val="0"/>
                <w:sz w:val="24"/>
                <w:szCs w:val="24"/>
                <w:highlight w:val="none"/>
                <w:lang w:val="en-US" w:eastAsia="zh-CN"/>
              </w:rPr>
              <w:t>本项目生产线产生的颗粒物采用布袋除尘的措施，属于《排污许可证申请与核发技术规范 石墨及其他非金属矿物制品制造》（HJ1119-2020）规定的可行性技术，污染物排放可</w:t>
            </w:r>
            <w:r>
              <w:rPr>
                <w:rFonts w:ascii="Calibri" w:hAnsi="Calibri" w:eastAsia="宋体" w:cs="Times New Roman"/>
                <w:color w:val="auto"/>
                <w:sz w:val="24"/>
                <w:szCs w:val="24"/>
                <w:highlight w:val="none"/>
              </w:rPr>
              <w:t>满足</w:t>
            </w:r>
            <w:r>
              <w:rPr>
                <w:rFonts w:hint="eastAsia" w:ascii="Calibri" w:hAnsi="Calibri" w:eastAsia="宋体" w:cs="Times New Roman"/>
                <w:color w:val="auto"/>
                <w:sz w:val="24"/>
                <w:szCs w:val="24"/>
                <w:highlight w:val="none"/>
              </w:rPr>
              <w:t>《镁质耐火材料工业大气污染物排放标准》（DB21/3011-2018）</w:t>
            </w:r>
            <w:r>
              <w:rPr>
                <w:rFonts w:ascii="Calibri" w:hAnsi="Calibri" w:eastAsia="宋体" w:cs="Times New Roman"/>
                <w:color w:val="auto"/>
                <w:sz w:val="24"/>
                <w:szCs w:val="24"/>
                <w:highlight w:val="none"/>
              </w:rPr>
              <w:t>要求</w:t>
            </w:r>
            <w:r>
              <w:rPr>
                <w:rFonts w:hint="eastAsia" w:ascii="Times New Roman" w:hAnsi="Times New Roman" w:eastAsia="宋体" w:cs="Times New Roman"/>
                <w:color w:val="auto"/>
                <w:sz w:val="24"/>
                <w:szCs w:val="24"/>
                <w:highlight w:val="none"/>
                <w:lang w:val="en-US" w:eastAsia="zh-CN"/>
              </w:rPr>
              <w:t>。</w:t>
            </w:r>
          </w:p>
          <w:p w14:paraId="1C06CD92">
            <w:pPr>
              <w:keepNext w:val="0"/>
              <w:keepLines w:val="0"/>
              <w:suppressLineNumbers w:val="0"/>
              <w:spacing w:before="0" w:beforeAutospacing="0" w:after="0" w:afterAutospacing="0" w:line="500" w:lineRule="exact"/>
              <w:ind w:left="0" w:right="0" w:firstLine="480" w:firstLineChars="200"/>
              <w:rPr>
                <w:rFonts w:hint="eastAsia"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本项目各原料车间、各生产车间均封闭，减少粉尘无组织排放，并通过洒水抑尘进一步减少扬尘，使用清扫车定期清扫，及时收集落地粉尘，避免二次污染。通过“封闭车间+洒水抑尘+清扫车”可有效减少粉尘排放，确保达标排放。本方法经过同类型企业验证，技术成熟，稳定可靠，科学经济，措施可行。</w:t>
            </w:r>
          </w:p>
          <w:p w14:paraId="54764487">
            <w:pPr>
              <w:keepNext w:val="0"/>
              <w:keepLines w:val="0"/>
              <w:numPr>
                <w:ilvl w:val="0"/>
                <w:numId w:val="14"/>
              </w:numPr>
              <w:suppressLineNumbers w:val="0"/>
              <w:spacing w:before="0" w:beforeAutospacing="0" w:after="0" w:afterAutospacing="0" w:line="500" w:lineRule="exact"/>
              <w:ind w:left="0" w:right="0" w:firstLine="480" w:firstLineChars="200"/>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排气筒合理性分析</w:t>
            </w:r>
          </w:p>
          <w:p w14:paraId="537D7CED">
            <w:pPr>
              <w:keepNext w:val="0"/>
              <w:keepLines w:val="0"/>
              <w:numPr>
                <w:ilvl w:val="0"/>
                <w:numId w:val="0"/>
              </w:numPr>
              <w:suppressLineNumbers w:val="0"/>
              <w:spacing w:before="0" w:beforeAutospacing="0" w:after="0" w:afterAutospacing="0" w:line="500" w:lineRule="exact"/>
              <w:ind w:left="0" w:leftChars="0" w:right="0" w:rightChars="0" w:firstLine="420" w:firstLineChars="175"/>
              <w:rPr>
                <w:rFonts w:hint="default" w:cs="Times New Roman"/>
                <w:color w:val="auto"/>
                <w:sz w:val="24"/>
                <w:szCs w:val="24"/>
                <w:highlight w:val="none"/>
                <w:lang w:val="en-US" w:eastAsia="zh-CN"/>
              </w:rPr>
            </w:pPr>
            <w:r>
              <w:rPr>
                <w:rFonts w:hint="eastAsia" w:cs="Times New Roman"/>
                <w:b w:val="0"/>
                <w:bCs w:val="0"/>
                <w:color w:val="auto"/>
                <w:sz w:val="24"/>
                <w:szCs w:val="24"/>
                <w:highlight w:val="none"/>
                <w:lang w:val="en-US" w:eastAsia="zh-CN"/>
              </w:rPr>
              <w:t>根据</w:t>
            </w:r>
            <w:r>
              <w:rPr>
                <w:rFonts w:hint="eastAsia" w:ascii="Times New Roman" w:hAnsi="Times New Roman" w:eastAsia="宋体" w:cs="Times New Roman"/>
                <w:b w:val="0"/>
                <w:bCs w:val="0"/>
                <w:color w:val="auto"/>
                <w:sz w:val="24"/>
                <w:szCs w:val="24"/>
                <w:highlight w:val="none"/>
                <w:lang w:val="en-US" w:eastAsia="zh-CN"/>
              </w:rPr>
              <w:t>《镁质耐火材料工业大气污染物排放标准》（DB21/3011-2018）</w:t>
            </w:r>
            <w:r>
              <w:rPr>
                <w:rFonts w:hint="eastAsia" w:cs="Times New Roman"/>
                <w:b w:val="0"/>
                <w:bCs w:val="0"/>
                <w:color w:val="auto"/>
                <w:sz w:val="24"/>
                <w:szCs w:val="24"/>
                <w:highlight w:val="none"/>
                <w:lang w:val="en-US" w:eastAsia="zh-CN"/>
              </w:rPr>
              <w:t>“4.3.3所有排气筒高度应不低于15m。”</w:t>
            </w:r>
            <w:r>
              <w:rPr>
                <w:rFonts w:hint="eastAsia" w:ascii="Times New Roman" w:hAnsi="Times New Roman" w:eastAsia="宋体" w:cs="Times New Roman"/>
                <w:b w:val="0"/>
                <w:bCs w:val="0"/>
                <w:color w:val="auto"/>
                <w:sz w:val="24"/>
                <w:szCs w:val="24"/>
                <w:highlight w:val="none"/>
                <w:lang w:val="en-US" w:eastAsia="zh-CN"/>
              </w:rPr>
              <w:t>本项目1#原料库房、1#、2#生产线；3#生产线；4#生产线；2#原料库房、5#生产线各设有15m高排气筒，符合要求。</w:t>
            </w:r>
          </w:p>
          <w:p w14:paraId="134AB454">
            <w:pPr>
              <w:keepNext w:val="0"/>
              <w:keepLines w:val="0"/>
              <w:numPr>
                <w:ilvl w:val="0"/>
                <w:numId w:val="0"/>
              </w:numPr>
              <w:suppressLineNumbers w:val="0"/>
              <w:spacing w:before="0" w:beforeAutospacing="0" w:after="0" w:afterAutospacing="0" w:line="360" w:lineRule="auto"/>
              <w:ind w:left="-60" w:leftChars="0" w:right="0" w:rightChars="0" w:firstLine="480" w:firstLineChars="0"/>
              <w:rPr>
                <w:rFonts w:hint="eastAsia" w:ascii="Times New Roman" w:hAnsi="Times New Roman" w:eastAsia="宋体" w:cs="Times New Roman"/>
                <w:color w:val="auto"/>
                <w:sz w:val="24"/>
                <w:highlight w:val="none"/>
                <w:shd w:val="clear" w:color="auto" w:fill="auto"/>
                <w:lang w:val="en-US" w:eastAsia="zh-CN"/>
              </w:rPr>
            </w:pPr>
            <w:r>
              <w:rPr>
                <w:rFonts w:hint="eastAsia" w:cs="Times New Roman"/>
                <w:color w:val="auto"/>
                <w:kern w:val="2"/>
                <w:sz w:val="24"/>
                <w:szCs w:val="24"/>
                <w:highlight w:val="none"/>
                <w:shd w:val="clear" w:fill="auto"/>
                <w:lang w:val="en-US" w:eastAsia="zh-CN" w:bidi="ar-SA"/>
              </w:rPr>
              <w:t>4</w:t>
            </w:r>
            <w:r>
              <w:rPr>
                <w:rFonts w:hint="eastAsia" w:ascii="Times New Roman" w:hAnsi="Times New Roman" w:eastAsia="宋体" w:cs="Times New Roman"/>
                <w:color w:val="auto"/>
                <w:kern w:val="2"/>
                <w:sz w:val="24"/>
                <w:szCs w:val="24"/>
                <w:highlight w:val="none"/>
                <w:shd w:val="clear" w:fill="auto"/>
                <w:lang w:val="en-US" w:eastAsia="zh-CN" w:bidi="ar-SA"/>
              </w:rPr>
              <w:t>、</w:t>
            </w:r>
            <w:r>
              <w:rPr>
                <w:rFonts w:hint="eastAsia" w:ascii="Times New Roman" w:hAnsi="Times New Roman" w:eastAsia="宋体" w:cs="Times New Roman"/>
                <w:color w:val="auto"/>
                <w:sz w:val="24"/>
                <w:highlight w:val="none"/>
                <w:shd w:val="clear" w:color="auto" w:fill="auto"/>
                <w:lang w:val="en-US" w:eastAsia="zh-CN"/>
              </w:rPr>
              <w:t>非正常工况分析</w:t>
            </w:r>
          </w:p>
          <w:p w14:paraId="7C324980">
            <w:pPr>
              <w:pStyle w:val="10"/>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b w:val="0"/>
                <w:bCs w:val="0"/>
                <w:color w:val="auto"/>
                <w:sz w:val="24"/>
                <w:szCs w:val="24"/>
                <w:highlight w:val="none"/>
                <w:lang w:eastAsia="zh-CN"/>
              </w:rPr>
            </w:pPr>
            <w:r>
              <w:rPr>
                <w:rFonts w:hint="eastAsia" w:ascii="Times New Roman" w:hAnsi="Times New Roman" w:eastAsia="宋体" w:cs="Times New Roman"/>
                <w:b w:val="0"/>
                <w:bCs w:val="0"/>
                <w:color w:val="auto"/>
                <w:sz w:val="24"/>
                <w:szCs w:val="24"/>
                <w:highlight w:val="none"/>
                <w:lang w:eastAsia="zh-CN"/>
              </w:rPr>
              <w:t>本项目非正常工况主要为</w:t>
            </w:r>
            <w:r>
              <w:rPr>
                <w:rFonts w:hint="eastAsia" w:ascii="Times New Roman" w:hAnsi="Times New Roman" w:eastAsia="宋体" w:cs="Times New Roman"/>
                <w:b w:val="0"/>
                <w:bCs w:val="0"/>
                <w:color w:val="auto"/>
                <w:sz w:val="24"/>
                <w:szCs w:val="24"/>
                <w:highlight w:val="none"/>
                <w:lang w:val="en-US" w:eastAsia="zh-CN"/>
              </w:rPr>
              <w:t>环保治理设施</w:t>
            </w:r>
            <w:r>
              <w:rPr>
                <w:rFonts w:hint="eastAsia" w:ascii="Times New Roman" w:hAnsi="Times New Roman" w:eastAsia="宋体" w:cs="Times New Roman"/>
                <w:b w:val="0"/>
                <w:bCs w:val="0"/>
                <w:color w:val="auto"/>
                <w:sz w:val="24"/>
                <w:szCs w:val="24"/>
                <w:highlight w:val="none"/>
                <w:lang w:eastAsia="zh-CN"/>
              </w:rPr>
              <w:t>故障、维修时。</w:t>
            </w:r>
          </w:p>
          <w:p w14:paraId="20DEF747">
            <w:pPr>
              <w:pStyle w:val="17"/>
              <w:keepNext w:val="0"/>
              <w:keepLines w:val="0"/>
              <w:numPr>
                <w:ilvl w:val="0"/>
                <w:numId w:val="0"/>
              </w:numPr>
              <w:suppressLineNumbers w:val="0"/>
              <w:spacing w:before="0" w:beforeAutospacing="0" w:after="0" w:afterAutospacing="0" w:line="360" w:lineRule="auto"/>
              <w:ind w:left="0" w:right="0" w:firstLine="480" w:firstLineChars="200"/>
              <w:rPr>
                <w:rFonts w:hint="eastAsia"/>
                <w:color w:val="auto"/>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环保治理设施</w:t>
            </w:r>
            <w:r>
              <w:rPr>
                <w:rFonts w:hint="eastAsia" w:ascii="Times New Roman" w:hAnsi="Times New Roman" w:eastAsia="宋体" w:cs="Times New Roman"/>
                <w:b w:val="0"/>
                <w:bCs w:val="0"/>
                <w:color w:val="auto"/>
                <w:sz w:val="24"/>
                <w:szCs w:val="24"/>
                <w:highlight w:val="none"/>
                <w:lang w:eastAsia="zh-CN"/>
              </w:rPr>
              <w:t>故障、维修时，</w:t>
            </w:r>
            <w:r>
              <w:rPr>
                <w:rFonts w:hint="eastAsia" w:ascii="Times New Roman" w:hAnsi="Times New Roman" w:eastAsia="宋体" w:cs="Times New Roman"/>
                <w:b w:val="0"/>
                <w:bCs w:val="0"/>
                <w:color w:val="auto"/>
                <w:sz w:val="24"/>
                <w:szCs w:val="24"/>
                <w:highlight w:val="none"/>
                <w:lang w:val="en-US" w:eastAsia="zh-CN"/>
              </w:rPr>
              <w:t>设备</w:t>
            </w:r>
            <w:r>
              <w:rPr>
                <w:rFonts w:hint="eastAsia" w:ascii="Times New Roman" w:hAnsi="Times New Roman" w:eastAsia="宋体" w:cs="Times New Roman"/>
                <w:b w:val="0"/>
                <w:bCs w:val="0"/>
                <w:color w:val="auto"/>
                <w:sz w:val="24"/>
                <w:szCs w:val="24"/>
                <w:highlight w:val="none"/>
                <w:lang w:eastAsia="zh-CN"/>
              </w:rPr>
              <w:t>无法正常运转，本项目产生的</w:t>
            </w:r>
            <w:r>
              <w:rPr>
                <w:rFonts w:hint="eastAsia" w:ascii="Times New Roman" w:hAnsi="Times New Roman" w:eastAsia="宋体" w:cs="Times New Roman"/>
                <w:b w:val="0"/>
                <w:bCs w:val="0"/>
                <w:color w:val="auto"/>
                <w:sz w:val="24"/>
                <w:szCs w:val="24"/>
                <w:highlight w:val="none"/>
                <w:lang w:val="en-US" w:eastAsia="zh-CN"/>
              </w:rPr>
              <w:t>废气</w:t>
            </w:r>
            <w:r>
              <w:rPr>
                <w:rFonts w:hint="eastAsia" w:ascii="Times New Roman" w:hAnsi="Times New Roman" w:eastAsia="宋体" w:cs="Times New Roman"/>
                <w:b w:val="0"/>
                <w:bCs w:val="0"/>
                <w:color w:val="auto"/>
                <w:sz w:val="24"/>
                <w:szCs w:val="24"/>
                <w:highlight w:val="none"/>
                <w:lang w:eastAsia="zh-CN"/>
              </w:rPr>
              <w:t>未经处理直接排放</w:t>
            </w:r>
            <w:r>
              <w:rPr>
                <w:rFonts w:hint="eastAsia" w:ascii="Times New Roman" w:hAnsi="Times New Roman" w:eastAsia="宋体" w:cs="Times New Roman"/>
                <w:b w:val="0"/>
                <w:bCs w:val="0"/>
                <w:color w:val="auto"/>
                <w:sz w:val="24"/>
                <w:szCs w:val="24"/>
                <w:highlight w:val="none"/>
                <w:lang w:val="en-US" w:eastAsia="zh-CN"/>
              </w:rPr>
              <w:t>，远远超过</w:t>
            </w:r>
            <w:r>
              <w:rPr>
                <w:rFonts w:hint="eastAsia" w:ascii="Times New Roman" w:hAnsi="Times New Roman" w:eastAsia="宋体" w:cs="Times New Roman"/>
                <w:b w:val="0"/>
                <w:bCs w:val="0"/>
                <w:color w:val="auto"/>
                <w:sz w:val="24"/>
                <w:szCs w:val="24"/>
                <w:highlight w:val="none"/>
                <w:lang w:eastAsia="zh-CN"/>
              </w:rPr>
              <w:t>排放限值要求。由于本项目除尘器采用正规厂家生产的</w:t>
            </w:r>
            <w:r>
              <w:rPr>
                <w:rFonts w:hint="eastAsia" w:ascii="Times New Roman" w:hAnsi="Times New Roman" w:eastAsia="宋体" w:cs="Times New Roman"/>
                <w:b w:val="0"/>
                <w:bCs w:val="0"/>
                <w:color w:val="auto"/>
                <w:sz w:val="24"/>
                <w:szCs w:val="24"/>
                <w:highlight w:val="none"/>
                <w:lang w:val="en-US" w:eastAsia="zh-CN"/>
              </w:rPr>
              <w:t>设备</w:t>
            </w:r>
            <w:r>
              <w:rPr>
                <w:rFonts w:hint="eastAsia" w:ascii="Times New Roman" w:hAnsi="Times New Roman" w:eastAsia="宋体" w:cs="Times New Roman"/>
                <w:b w:val="0"/>
                <w:bCs w:val="0"/>
                <w:color w:val="auto"/>
                <w:sz w:val="24"/>
                <w:szCs w:val="24"/>
                <w:highlight w:val="none"/>
                <w:lang w:eastAsia="zh-CN"/>
              </w:rPr>
              <w:t>，停产时会进行维护、检修，故</w:t>
            </w:r>
            <w:r>
              <w:rPr>
                <w:rFonts w:hint="eastAsia" w:ascii="Times New Roman" w:hAnsi="Times New Roman" w:eastAsia="宋体" w:cs="Times New Roman"/>
                <w:b w:val="0"/>
                <w:bCs w:val="0"/>
                <w:color w:val="auto"/>
                <w:sz w:val="24"/>
                <w:szCs w:val="24"/>
                <w:highlight w:val="none"/>
                <w:lang w:val="en-US" w:eastAsia="zh-CN"/>
              </w:rPr>
              <w:t>设备</w:t>
            </w:r>
            <w:r>
              <w:rPr>
                <w:rFonts w:hint="eastAsia" w:ascii="Times New Roman" w:hAnsi="Times New Roman" w:eastAsia="宋体" w:cs="Times New Roman"/>
                <w:b w:val="0"/>
                <w:bCs w:val="0"/>
                <w:color w:val="auto"/>
                <w:sz w:val="24"/>
                <w:szCs w:val="24"/>
                <w:highlight w:val="none"/>
                <w:lang w:eastAsia="zh-CN"/>
              </w:rPr>
              <w:t>故障、维修状况发生的频率较低，不大于</w:t>
            </w:r>
            <w:r>
              <w:rPr>
                <w:rFonts w:hint="eastAsia" w:ascii="Times New Roman" w:hAnsi="Times New Roman" w:eastAsia="宋体" w:cs="Times New Roman"/>
                <w:b w:val="0"/>
                <w:bCs w:val="0"/>
                <w:color w:val="auto"/>
                <w:sz w:val="24"/>
                <w:szCs w:val="24"/>
                <w:highlight w:val="none"/>
                <w:lang w:val="en-US" w:eastAsia="zh-CN"/>
              </w:rPr>
              <w:t>1次/年，每次持续时间约为0.5h。</w:t>
            </w:r>
          </w:p>
          <w:p w14:paraId="4B36FDAE">
            <w:pPr>
              <w:keepNext w:val="0"/>
              <w:keepLines w:val="0"/>
              <w:suppressLineNumbers w:val="0"/>
              <w:adjustRightInd w:val="0"/>
              <w:snapToGrid w:val="0"/>
              <w:spacing w:before="0" w:beforeAutospacing="0" w:after="0" w:afterAutospacing="0" w:line="480" w:lineRule="exact"/>
              <w:ind w:left="0" w:right="0" w:firstLine="480" w:firstLineChars="200"/>
              <w:jc w:val="center"/>
              <w:rPr>
                <w:rFonts w:ascii="Calibri" w:hAnsi="Calibri" w:eastAsia="宋体" w:cs="Times New Roman"/>
                <w:color w:val="auto"/>
                <w:highlight w:val="none"/>
              </w:rPr>
            </w:pPr>
            <w:r>
              <w:rPr>
                <w:rFonts w:ascii="Calibri" w:hAnsi="Calibri" w:eastAsia="宋体" w:cs="Times New Roman"/>
                <w:bCs/>
                <w:color w:val="auto"/>
                <w:sz w:val="24"/>
                <w:highlight w:val="none"/>
              </w:rPr>
              <w:t>表</w:t>
            </w:r>
            <w:r>
              <w:rPr>
                <w:rFonts w:hint="eastAsia" w:ascii="Calibri" w:hAnsi="Calibri" w:cs="Times New Roman"/>
                <w:color w:val="auto"/>
                <w:sz w:val="24"/>
                <w:highlight w:val="none"/>
                <w:shd w:val="clear" w:color="auto" w:fill="auto"/>
                <w:lang w:val="en-US" w:eastAsia="zh-CN"/>
              </w:rPr>
              <w:t>4-10</w:t>
            </w:r>
            <w:r>
              <w:rPr>
                <w:rFonts w:ascii="Calibri" w:hAnsi="Calibri" w:eastAsia="宋体" w:cs="Times New Roman"/>
                <w:bCs/>
                <w:color w:val="auto"/>
                <w:sz w:val="24"/>
                <w:highlight w:val="none"/>
              </w:rPr>
              <w:t xml:space="preserve">  </w:t>
            </w:r>
            <w:r>
              <w:rPr>
                <w:rFonts w:hint="eastAsia" w:ascii="Calibri" w:hAnsi="Calibri" w:eastAsia="宋体" w:cs="Times New Roman"/>
                <w:bCs/>
                <w:color w:val="auto"/>
                <w:sz w:val="24"/>
                <w:highlight w:val="none"/>
              </w:rPr>
              <w:t>污染源</w:t>
            </w:r>
            <w:r>
              <w:rPr>
                <w:rFonts w:hint="eastAsia" w:ascii="宋体" w:hAnsi="宋体" w:eastAsia="宋体" w:cs="宋体"/>
                <w:bCs/>
                <w:color w:val="auto"/>
                <w:sz w:val="24"/>
                <w:szCs w:val="22"/>
                <w:highlight w:val="none"/>
              </w:rPr>
              <w:t>非正常排放量</w:t>
            </w:r>
            <w:r>
              <w:rPr>
                <w:rFonts w:hint="eastAsia" w:ascii="Calibri" w:hAnsi="Calibri" w:eastAsia="宋体" w:cs="Times New Roman"/>
                <w:bCs/>
                <w:color w:val="auto"/>
                <w:sz w:val="24"/>
                <w:szCs w:val="22"/>
                <w:highlight w:val="none"/>
              </w:rPr>
              <w:t>核算表</w:t>
            </w:r>
          </w:p>
          <w:tbl>
            <w:tblPr>
              <w:tblStyle w:val="25"/>
              <w:tblW w:w="85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1013"/>
              <w:gridCol w:w="915"/>
              <w:gridCol w:w="720"/>
              <w:gridCol w:w="1170"/>
              <w:gridCol w:w="1065"/>
              <w:gridCol w:w="885"/>
              <w:gridCol w:w="696"/>
              <w:gridCol w:w="635"/>
              <w:gridCol w:w="979"/>
            </w:tblGrid>
            <w:tr w14:paraId="6A6161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noWrap w:val="0"/>
                  <w:vAlign w:val="center"/>
                </w:tcPr>
                <w:p w14:paraId="52440ED6">
                  <w:pPr>
                    <w:keepNext w:val="0"/>
                    <w:keepLines w:val="0"/>
                    <w:suppressLineNumbers w:val="0"/>
                    <w:adjustRightInd w:val="0"/>
                    <w:snapToGrid w:val="0"/>
                    <w:spacing w:before="0" w:beforeAutospacing="0" w:after="0" w:afterAutospacing="0"/>
                    <w:ind w:left="0" w:right="0"/>
                    <w:jc w:val="center"/>
                    <w:rPr>
                      <w:rFonts w:ascii="Calibri" w:hAnsi="Calibri" w:eastAsia="宋体" w:cs="Times New Roman"/>
                      <w:color w:val="auto"/>
                      <w:szCs w:val="21"/>
                      <w:highlight w:val="none"/>
                    </w:rPr>
                  </w:pPr>
                  <w:r>
                    <w:rPr>
                      <w:rFonts w:ascii="Calibri" w:hAnsi="Calibri" w:eastAsia="宋体" w:cs="Times New Roman"/>
                      <w:color w:val="auto"/>
                      <w:szCs w:val="21"/>
                      <w:highlight w:val="none"/>
                    </w:rPr>
                    <w:t>序号</w:t>
                  </w:r>
                </w:p>
              </w:tc>
              <w:tc>
                <w:tcPr>
                  <w:tcW w:w="1013" w:type="dxa"/>
                  <w:noWrap w:val="0"/>
                  <w:vAlign w:val="center"/>
                </w:tcPr>
                <w:p w14:paraId="3F5AF449">
                  <w:pPr>
                    <w:keepNext w:val="0"/>
                    <w:keepLines w:val="0"/>
                    <w:suppressLineNumbers w:val="0"/>
                    <w:adjustRightInd w:val="0"/>
                    <w:snapToGrid w:val="0"/>
                    <w:spacing w:before="0" w:beforeAutospacing="0" w:after="0" w:afterAutospacing="0"/>
                    <w:ind w:left="0" w:right="0"/>
                    <w:jc w:val="center"/>
                    <w:rPr>
                      <w:rFonts w:ascii="Calibri" w:hAnsi="Calibri" w:eastAsia="宋体" w:cs="Times New Roman"/>
                      <w:color w:val="auto"/>
                      <w:szCs w:val="21"/>
                      <w:highlight w:val="none"/>
                    </w:rPr>
                  </w:pPr>
                  <w:r>
                    <w:rPr>
                      <w:rFonts w:ascii="Calibri" w:hAnsi="Calibri" w:eastAsia="宋体" w:cs="Times New Roman"/>
                      <w:color w:val="auto"/>
                      <w:szCs w:val="21"/>
                      <w:highlight w:val="none"/>
                    </w:rPr>
                    <w:t>污染</w:t>
                  </w:r>
                  <w:r>
                    <w:rPr>
                      <w:rFonts w:hint="eastAsia" w:ascii="Calibri" w:hAnsi="Calibri" w:eastAsia="宋体" w:cs="Times New Roman"/>
                      <w:color w:val="auto"/>
                      <w:szCs w:val="21"/>
                      <w:highlight w:val="none"/>
                    </w:rPr>
                    <w:t>源</w:t>
                  </w:r>
                </w:p>
              </w:tc>
              <w:tc>
                <w:tcPr>
                  <w:tcW w:w="915" w:type="dxa"/>
                  <w:noWrap w:val="0"/>
                  <w:vAlign w:val="center"/>
                </w:tcPr>
                <w:p w14:paraId="4677FE4A">
                  <w:pPr>
                    <w:keepNext w:val="0"/>
                    <w:keepLines w:val="0"/>
                    <w:suppressLineNumbers w:val="0"/>
                    <w:adjustRightInd w:val="0"/>
                    <w:snapToGrid w:val="0"/>
                    <w:spacing w:before="0" w:beforeAutospacing="0" w:after="0" w:afterAutospacing="0"/>
                    <w:ind w:left="0" w:right="0"/>
                    <w:jc w:val="center"/>
                    <w:rPr>
                      <w:rFonts w:ascii="Calibri" w:hAnsi="Calibri" w:eastAsia="宋体" w:cs="Times New Roman"/>
                      <w:color w:val="auto"/>
                      <w:szCs w:val="21"/>
                      <w:highlight w:val="none"/>
                    </w:rPr>
                  </w:pPr>
                  <w:r>
                    <w:rPr>
                      <w:rFonts w:hint="eastAsia" w:ascii="Calibri" w:hAnsi="Calibri" w:eastAsia="宋体" w:cs="Times New Roman"/>
                      <w:color w:val="auto"/>
                      <w:szCs w:val="21"/>
                      <w:highlight w:val="none"/>
                    </w:rPr>
                    <w:t>非正常排放原因</w:t>
                  </w:r>
                </w:p>
              </w:tc>
              <w:tc>
                <w:tcPr>
                  <w:tcW w:w="720" w:type="dxa"/>
                  <w:noWrap w:val="0"/>
                  <w:vAlign w:val="center"/>
                </w:tcPr>
                <w:p w14:paraId="1B89214E">
                  <w:pPr>
                    <w:keepNext w:val="0"/>
                    <w:keepLines w:val="0"/>
                    <w:suppressLineNumbers w:val="0"/>
                    <w:adjustRightInd w:val="0"/>
                    <w:snapToGrid w:val="0"/>
                    <w:spacing w:before="0" w:beforeAutospacing="0" w:after="0" w:afterAutospacing="0"/>
                    <w:ind w:left="0" w:right="0"/>
                    <w:jc w:val="center"/>
                    <w:rPr>
                      <w:rFonts w:ascii="Calibri" w:hAnsi="Calibri" w:eastAsia="宋体" w:cs="Times New Roman"/>
                      <w:color w:val="auto"/>
                      <w:szCs w:val="21"/>
                      <w:highlight w:val="none"/>
                    </w:rPr>
                  </w:pPr>
                  <w:r>
                    <w:rPr>
                      <w:rFonts w:hint="eastAsia" w:ascii="Calibri" w:hAnsi="Calibri" w:eastAsia="宋体" w:cs="Times New Roman"/>
                      <w:color w:val="auto"/>
                      <w:szCs w:val="21"/>
                      <w:highlight w:val="none"/>
                    </w:rPr>
                    <w:t>污染物</w:t>
                  </w:r>
                </w:p>
              </w:tc>
              <w:tc>
                <w:tcPr>
                  <w:tcW w:w="1170" w:type="dxa"/>
                  <w:noWrap w:val="0"/>
                  <w:vAlign w:val="center"/>
                </w:tcPr>
                <w:p w14:paraId="77B68185">
                  <w:pPr>
                    <w:keepNext w:val="0"/>
                    <w:keepLines w:val="0"/>
                    <w:suppressLineNumbers w:val="0"/>
                    <w:adjustRightInd w:val="0"/>
                    <w:snapToGrid w:val="0"/>
                    <w:spacing w:before="0" w:beforeAutospacing="0" w:after="0" w:afterAutospacing="0"/>
                    <w:ind w:left="0" w:right="0"/>
                    <w:jc w:val="center"/>
                    <w:rPr>
                      <w:rFonts w:ascii="Calibri" w:hAnsi="Calibri" w:eastAsia="宋体" w:cs="Times New Roman"/>
                      <w:color w:val="auto"/>
                      <w:szCs w:val="21"/>
                      <w:highlight w:val="none"/>
                    </w:rPr>
                  </w:pPr>
                  <w:r>
                    <w:rPr>
                      <w:rFonts w:hint="eastAsia" w:ascii="Calibri" w:hAnsi="Calibri" w:eastAsia="宋体" w:cs="Times New Roman"/>
                      <w:color w:val="auto"/>
                      <w:szCs w:val="21"/>
                      <w:highlight w:val="none"/>
                    </w:rPr>
                    <w:t>非正常</w:t>
                  </w:r>
                  <w:r>
                    <w:rPr>
                      <w:rFonts w:ascii="Calibri" w:hAnsi="Calibri" w:eastAsia="宋体" w:cs="Times New Roman"/>
                      <w:color w:val="auto"/>
                      <w:szCs w:val="21"/>
                      <w:highlight w:val="none"/>
                    </w:rPr>
                    <w:t>排放浓度</w:t>
                  </w:r>
                </w:p>
                <w:p w14:paraId="240D6DC4">
                  <w:pPr>
                    <w:keepNext w:val="0"/>
                    <w:keepLines w:val="0"/>
                    <w:suppressLineNumbers w:val="0"/>
                    <w:adjustRightInd w:val="0"/>
                    <w:snapToGrid w:val="0"/>
                    <w:spacing w:before="0" w:beforeAutospacing="0" w:after="0" w:afterAutospacing="0"/>
                    <w:ind w:left="0" w:right="0"/>
                    <w:jc w:val="center"/>
                    <w:rPr>
                      <w:rFonts w:ascii="Calibri" w:hAnsi="Calibri" w:eastAsia="宋体" w:cs="Times New Roman"/>
                      <w:color w:val="auto"/>
                      <w:szCs w:val="21"/>
                      <w:highlight w:val="none"/>
                    </w:rPr>
                  </w:pPr>
                  <w:r>
                    <w:rPr>
                      <w:rFonts w:ascii="Calibri" w:hAnsi="Calibri" w:eastAsia="宋体" w:cs="Times New Roman"/>
                      <w:color w:val="auto"/>
                      <w:szCs w:val="21"/>
                      <w:highlight w:val="none"/>
                    </w:rPr>
                    <w:t>（</w:t>
                  </w:r>
                  <w:r>
                    <w:rPr>
                      <w:rFonts w:hint="eastAsia" w:ascii="Calibri" w:hAnsi="Calibri" w:eastAsia="宋体" w:cs="Times New Roman"/>
                      <w:color w:val="auto"/>
                      <w:szCs w:val="21"/>
                      <w:highlight w:val="none"/>
                      <w:lang w:val="en-US" w:eastAsia="zh-CN"/>
                    </w:rPr>
                    <w:t>m</w:t>
                  </w:r>
                  <w:r>
                    <w:rPr>
                      <w:rFonts w:ascii="Calibri" w:hAnsi="Calibri" w:eastAsia="宋体" w:cs="Times New Roman"/>
                      <w:color w:val="auto"/>
                      <w:szCs w:val="21"/>
                      <w:highlight w:val="none"/>
                    </w:rPr>
                    <w:t>g/m</w:t>
                  </w:r>
                  <w:r>
                    <w:rPr>
                      <w:rFonts w:ascii="Calibri" w:hAnsi="Calibri" w:eastAsia="宋体" w:cs="Times New Roman"/>
                      <w:color w:val="auto"/>
                      <w:szCs w:val="21"/>
                      <w:highlight w:val="none"/>
                      <w:vertAlign w:val="superscript"/>
                    </w:rPr>
                    <w:t>3</w:t>
                  </w:r>
                  <w:r>
                    <w:rPr>
                      <w:rFonts w:ascii="Calibri" w:hAnsi="Calibri" w:eastAsia="宋体" w:cs="Times New Roman"/>
                      <w:color w:val="auto"/>
                      <w:szCs w:val="21"/>
                      <w:highlight w:val="none"/>
                    </w:rPr>
                    <w:t>）</w:t>
                  </w:r>
                </w:p>
              </w:tc>
              <w:tc>
                <w:tcPr>
                  <w:tcW w:w="1065" w:type="dxa"/>
                  <w:noWrap w:val="0"/>
                  <w:vAlign w:val="center"/>
                </w:tcPr>
                <w:p w14:paraId="78D6CE35">
                  <w:pPr>
                    <w:keepNext w:val="0"/>
                    <w:keepLines w:val="0"/>
                    <w:suppressLineNumbers w:val="0"/>
                    <w:adjustRightInd w:val="0"/>
                    <w:snapToGrid w:val="0"/>
                    <w:spacing w:before="0" w:beforeAutospacing="0" w:after="0" w:afterAutospacing="0"/>
                    <w:ind w:left="0" w:right="0"/>
                    <w:jc w:val="center"/>
                    <w:rPr>
                      <w:rFonts w:ascii="Calibri" w:hAnsi="Calibri" w:eastAsia="宋体" w:cs="Times New Roman"/>
                      <w:color w:val="auto"/>
                      <w:szCs w:val="21"/>
                      <w:highlight w:val="none"/>
                    </w:rPr>
                  </w:pPr>
                  <w:r>
                    <w:rPr>
                      <w:rFonts w:hint="eastAsia" w:ascii="Calibri" w:hAnsi="Calibri" w:eastAsia="宋体" w:cs="Times New Roman"/>
                      <w:color w:val="auto"/>
                      <w:szCs w:val="21"/>
                      <w:highlight w:val="none"/>
                    </w:rPr>
                    <w:t>非正常</w:t>
                  </w:r>
                  <w:r>
                    <w:rPr>
                      <w:rFonts w:ascii="Calibri" w:hAnsi="Calibri" w:eastAsia="宋体" w:cs="Times New Roman"/>
                      <w:color w:val="auto"/>
                      <w:szCs w:val="21"/>
                      <w:highlight w:val="none"/>
                    </w:rPr>
                    <w:t>排放速率</w:t>
                  </w:r>
                </w:p>
                <w:p w14:paraId="50CE9979">
                  <w:pPr>
                    <w:keepNext w:val="0"/>
                    <w:keepLines w:val="0"/>
                    <w:suppressLineNumbers w:val="0"/>
                    <w:adjustRightInd w:val="0"/>
                    <w:snapToGrid w:val="0"/>
                    <w:spacing w:before="0" w:beforeAutospacing="0" w:after="0" w:afterAutospacing="0"/>
                    <w:ind w:left="0" w:right="0"/>
                    <w:jc w:val="center"/>
                    <w:rPr>
                      <w:rFonts w:ascii="Calibri" w:hAnsi="Calibri" w:eastAsia="宋体" w:cs="Times New Roman"/>
                      <w:color w:val="auto"/>
                      <w:szCs w:val="21"/>
                      <w:highlight w:val="none"/>
                    </w:rPr>
                  </w:pPr>
                  <w:r>
                    <w:rPr>
                      <w:rFonts w:ascii="Calibri" w:hAnsi="Calibri" w:eastAsia="宋体" w:cs="Times New Roman"/>
                      <w:color w:val="auto"/>
                      <w:szCs w:val="21"/>
                      <w:highlight w:val="none"/>
                    </w:rPr>
                    <w:t>（kg/h）</w:t>
                  </w:r>
                </w:p>
              </w:tc>
              <w:tc>
                <w:tcPr>
                  <w:tcW w:w="885" w:type="dxa"/>
                  <w:noWrap w:val="0"/>
                  <w:vAlign w:val="center"/>
                </w:tcPr>
                <w:p w14:paraId="35377B0E">
                  <w:pPr>
                    <w:keepNext w:val="0"/>
                    <w:keepLines w:val="0"/>
                    <w:suppressLineNumbers w:val="0"/>
                    <w:adjustRightInd w:val="0"/>
                    <w:snapToGrid w:val="0"/>
                    <w:spacing w:before="0" w:beforeAutospacing="0" w:after="0" w:afterAutospacing="0"/>
                    <w:ind w:left="0" w:right="0"/>
                    <w:jc w:val="center"/>
                    <w:rPr>
                      <w:rFonts w:ascii="Calibri" w:hAnsi="Calibri" w:eastAsia="宋体" w:cs="Times New Roman"/>
                      <w:color w:val="auto"/>
                      <w:szCs w:val="21"/>
                      <w:highlight w:val="none"/>
                    </w:rPr>
                  </w:pPr>
                  <w:r>
                    <w:rPr>
                      <w:rFonts w:hint="eastAsia" w:ascii="Calibri" w:hAnsi="Calibri" w:eastAsia="宋体" w:cs="Times New Roman"/>
                      <w:color w:val="auto"/>
                      <w:szCs w:val="21"/>
                      <w:highlight w:val="none"/>
                    </w:rPr>
                    <w:t>非正常</w:t>
                  </w:r>
                  <w:r>
                    <w:rPr>
                      <w:rFonts w:ascii="Calibri" w:hAnsi="Calibri" w:eastAsia="宋体" w:cs="Times New Roman"/>
                      <w:color w:val="auto"/>
                      <w:szCs w:val="21"/>
                      <w:highlight w:val="none"/>
                    </w:rPr>
                    <w:t>排放</w:t>
                  </w:r>
                  <w:r>
                    <w:rPr>
                      <w:rFonts w:hint="eastAsia" w:ascii="Calibri" w:hAnsi="Calibri" w:eastAsia="宋体" w:cs="Times New Roman"/>
                      <w:color w:val="auto"/>
                      <w:szCs w:val="21"/>
                      <w:highlight w:val="none"/>
                      <w:lang w:eastAsia="zh-CN"/>
                    </w:rPr>
                    <w:t>量</w:t>
                  </w:r>
                </w:p>
                <w:p w14:paraId="2D032A53">
                  <w:pPr>
                    <w:keepNext w:val="0"/>
                    <w:keepLines w:val="0"/>
                    <w:suppressLineNumbers w:val="0"/>
                    <w:adjustRightInd w:val="0"/>
                    <w:snapToGrid w:val="0"/>
                    <w:spacing w:before="0" w:beforeAutospacing="0" w:after="0" w:afterAutospacing="0"/>
                    <w:ind w:left="0" w:right="0"/>
                    <w:jc w:val="center"/>
                    <w:rPr>
                      <w:rFonts w:ascii="Calibri" w:hAnsi="Calibri" w:eastAsia="宋体" w:cs="Times New Roman"/>
                      <w:color w:val="auto"/>
                      <w:szCs w:val="21"/>
                      <w:highlight w:val="none"/>
                    </w:rPr>
                  </w:pPr>
                  <w:r>
                    <w:rPr>
                      <w:rFonts w:ascii="Calibri" w:hAnsi="Calibri" w:eastAsia="宋体" w:cs="Times New Roman"/>
                      <w:color w:val="auto"/>
                      <w:szCs w:val="21"/>
                      <w:highlight w:val="none"/>
                    </w:rPr>
                    <w:t>（</w:t>
                  </w:r>
                  <w:r>
                    <w:rPr>
                      <w:rFonts w:hint="eastAsia" w:ascii="Calibri" w:hAnsi="Calibri" w:eastAsia="宋体" w:cs="Times New Roman"/>
                      <w:color w:val="auto"/>
                      <w:szCs w:val="21"/>
                      <w:highlight w:val="none"/>
                      <w:lang w:val="en-US" w:eastAsia="zh-CN"/>
                    </w:rPr>
                    <w:t>t/</w:t>
                  </w:r>
                  <w:r>
                    <w:rPr>
                      <w:rFonts w:hint="eastAsia" w:ascii="Calibri" w:hAnsi="Calibri" w:cs="Times New Roman"/>
                      <w:color w:val="auto"/>
                      <w:szCs w:val="21"/>
                      <w:highlight w:val="none"/>
                      <w:lang w:val="en-US" w:eastAsia="zh-CN"/>
                    </w:rPr>
                    <w:t>次</w:t>
                  </w:r>
                  <w:r>
                    <w:rPr>
                      <w:rFonts w:ascii="Calibri" w:hAnsi="Calibri" w:eastAsia="宋体" w:cs="Times New Roman"/>
                      <w:color w:val="auto"/>
                      <w:szCs w:val="21"/>
                      <w:highlight w:val="none"/>
                    </w:rPr>
                    <w:t>）</w:t>
                  </w:r>
                </w:p>
              </w:tc>
              <w:tc>
                <w:tcPr>
                  <w:tcW w:w="696" w:type="dxa"/>
                  <w:noWrap w:val="0"/>
                  <w:vAlign w:val="center"/>
                </w:tcPr>
                <w:p w14:paraId="66FD52E5">
                  <w:pPr>
                    <w:keepNext w:val="0"/>
                    <w:keepLines w:val="0"/>
                    <w:suppressLineNumbers w:val="0"/>
                    <w:adjustRightInd w:val="0"/>
                    <w:snapToGrid w:val="0"/>
                    <w:spacing w:before="0" w:beforeAutospacing="0" w:after="0" w:afterAutospacing="0"/>
                    <w:ind w:left="0" w:right="0"/>
                    <w:jc w:val="center"/>
                    <w:rPr>
                      <w:rFonts w:ascii="Calibri" w:hAnsi="Calibri" w:eastAsia="宋体" w:cs="Times New Roman"/>
                      <w:color w:val="auto"/>
                      <w:szCs w:val="21"/>
                      <w:highlight w:val="none"/>
                    </w:rPr>
                  </w:pPr>
                  <w:r>
                    <w:rPr>
                      <w:rFonts w:hint="eastAsia" w:ascii="Calibri" w:hAnsi="Calibri" w:eastAsia="宋体" w:cs="Times New Roman"/>
                      <w:color w:val="auto"/>
                      <w:szCs w:val="21"/>
                      <w:highlight w:val="none"/>
                    </w:rPr>
                    <w:t>单次持续时间/(h)</w:t>
                  </w:r>
                </w:p>
              </w:tc>
              <w:tc>
                <w:tcPr>
                  <w:tcW w:w="635" w:type="dxa"/>
                  <w:noWrap w:val="0"/>
                  <w:vAlign w:val="center"/>
                </w:tcPr>
                <w:p w14:paraId="74C1940F">
                  <w:pPr>
                    <w:keepNext w:val="0"/>
                    <w:keepLines w:val="0"/>
                    <w:suppressLineNumbers w:val="0"/>
                    <w:adjustRightInd w:val="0"/>
                    <w:snapToGrid w:val="0"/>
                    <w:spacing w:before="0" w:beforeAutospacing="0" w:after="0" w:afterAutospacing="0"/>
                    <w:ind w:left="0" w:right="0"/>
                    <w:jc w:val="center"/>
                    <w:rPr>
                      <w:rFonts w:ascii="Calibri" w:hAnsi="Calibri" w:eastAsia="宋体" w:cs="Times New Roman"/>
                      <w:color w:val="auto"/>
                      <w:szCs w:val="21"/>
                      <w:highlight w:val="none"/>
                    </w:rPr>
                  </w:pPr>
                  <w:r>
                    <w:rPr>
                      <w:rFonts w:hint="eastAsia" w:ascii="Calibri" w:hAnsi="Calibri" w:eastAsia="宋体" w:cs="Times New Roman"/>
                      <w:color w:val="auto"/>
                      <w:szCs w:val="21"/>
                      <w:highlight w:val="none"/>
                    </w:rPr>
                    <w:t>年发生频次/(次)</w:t>
                  </w:r>
                </w:p>
              </w:tc>
              <w:tc>
                <w:tcPr>
                  <w:tcW w:w="979" w:type="dxa"/>
                  <w:noWrap w:val="0"/>
                  <w:vAlign w:val="center"/>
                </w:tcPr>
                <w:p w14:paraId="29416BCB">
                  <w:pPr>
                    <w:keepNext w:val="0"/>
                    <w:keepLines w:val="0"/>
                    <w:suppressLineNumbers w:val="0"/>
                    <w:adjustRightInd w:val="0"/>
                    <w:snapToGrid w:val="0"/>
                    <w:spacing w:before="0" w:beforeAutospacing="0" w:after="0" w:afterAutospacing="0"/>
                    <w:ind w:left="0" w:right="0"/>
                    <w:jc w:val="center"/>
                    <w:rPr>
                      <w:rFonts w:ascii="Calibri" w:hAnsi="Calibri" w:eastAsia="宋体" w:cs="Times New Roman"/>
                      <w:color w:val="auto"/>
                      <w:szCs w:val="21"/>
                      <w:highlight w:val="none"/>
                    </w:rPr>
                  </w:pPr>
                  <w:r>
                    <w:rPr>
                      <w:rFonts w:hint="eastAsia" w:ascii="Calibri" w:hAnsi="Calibri" w:eastAsia="宋体" w:cs="Times New Roman"/>
                      <w:color w:val="auto"/>
                      <w:szCs w:val="21"/>
                      <w:highlight w:val="none"/>
                    </w:rPr>
                    <w:t>应对措施</w:t>
                  </w:r>
                </w:p>
              </w:tc>
            </w:tr>
            <w:tr w14:paraId="2B63F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noWrap w:val="0"/>
                  <w:vAlign w:val="center"/>
                </w:tcPr>
                <w:p w14:paraId="2C592C34">
                  <w:pPr>
                    <w:keepNext w:val="0"/>
                    <w:keepLines w:val="0"/>
                    <w:suppressLineNumbers w:val="0"/>
                    <w:adjustRightInd w:val="0"/>
                    <w:snapToGrid w:val="0"/>
                    <w:spacing w:before="0" w:beforeAutospacing="0" w:after="0" w:afterAutospacing="0"/>
                    <w:ind w:left="0" w:right="0"/>
                    <w:jc w:val="center"/>
                    <w:rPr>
                      <w:rFonts w:ascii="Calibri" w:hAnsi="Calibri" w:eastAsia="宋体" w:cs="Times New Roman"/>
                      <w:color w:val="auto"/>
                      <w:szCs w:val="21"/>
                      <w:highlight w:val="none"/>
                    </w:rPr>
                  </w:pPr>
                  <w:r>
                    <w:rPr>
                      <w:rFonts w:ascii="Calibri" w:hAnsi="Calibri" w:eastAsia="宋体" w:cs="Times New Roman"/>
                      <w:color w:val="auto"/>
                      <w:szCs w:val="21"/>
                      <w:highlight w:val="none"/>
                    </w:rPr>
                    <w:t>1</w:t>
                  </w:r>
                </w:p>
              </w:tc>
              <w:tc>
                <w:tcPr>
                  <w:tcW w:w="1013" w:type="dxa"/>
                  <w:noWrap w:val="0"/>
                  <w:vAlign w:val="center"/>
                </w:tcPr>
                <w:p w14:paraId="015C9D4C">
                  <w:pPr>
                    <w:keepNext w:val="0"/>
                    <w:keepLines w:val="0"/>
                    <w:suppressLineNumbers w:val="0"/>
                    <w:spacing w:before="0" w:beforeAutospacing="0" w:after="0" w:afterAutospacing="0"/>
                    <w:ind w:left="0" w:leftChars="0" w:right="0" w:rightChars="0"/>
                    <w:jc w:val="center"/>
                    <w:rPr>
                      <w:rFonts w:hint="default" w:ascii="Calibri" w:hAnsi="Calibri" w:eastAsia="宋体" w:cs="宋体"/>
                      <w:color w:val="auto"/>
                      <w:sz w:val="21"/>
                      <w:szCs w:val="21"/>
                      <w:highlight w:val="none"/>
                      <w:lang w:val="en-US" w:eastAsia="zh-CN"/>
                    </w:rPr>
                  </w:pPr>
                  <w:r>
                    <w:rPr>
                      <w:rFonts w:hint="eastAsia" w:cs="Times New Roman"/>
                      <w:i w:val="0"/>
                      <w:color w:val="auto"/>
                      <w:kern w:val="0"/>
                      <w:sz w:val="21"/>
                      <w:szCs w:val="21"/>
                      <w:highlight w:val="none"/>
                      <w:u w:val="none"/>
                      <w:shd w:val="clear" w:color="auto" w:fill="auto"/>
                      <w:lang w:val="en-US" w:eastAsia="zh-CN" w:bidi="ar"/>
                    </w:rPr>
                    <w:t>1#原料库房、</w:t>
                  </w:r>
                  <w:r>
                    <w:rPr>
                      <w:rFonts w:hint="eastAsia" w:cs="Times New Roman"/>
                      <w:color w:val="auto"/>
                      <w:sz w:val="21"/>
                      <w:szCs w:val="21"/>
                      <w:highlight w:val="none"/>
                      <w:shd w:val="clear" w:color="auto" w:fill="auto"/>
                      <w:lang w:val="en-US" w:eastAsia="zh-CN"/>
                    </w:rPr>
                    <w:t>1#、2#</w:t>
                  </w:r>
                  <w:r>
                    <w:rPr>
                      <w:rFonts w:hint="default" w:ascii="Times New Roman" w:hAnsi="Times New Roman" w:eastAsia="宋体" w:cs="Times New Roman"/>
                      <w:color w:val="auto"/>
                      <w:sz w:val="21"/>
                      <w:szCs w:val="21"/>
                      <w:highlight w:val="none"/>
                      <w:shd w:val="clear" w:color="auto" w:fill="auto"/>
                      <w:lang w:eastAsia="zh-CN"/>
                    </w:rPr>
                    <w:t>生产</w:t>
                  </w:r>
                  <w:r>
                    <w:rPr>
                      <w:rFonts w:hint="eastAsia" w:cs="Times New Roman"/>
                      <w:color w:val="auto"/>
                      <w:sz w:val="21"/>
                      <w:szCs w:val="21"/>
                      <w:highlight w:val="none"/>
                      <w:shd w:val="clear" w:color="auto" w:fill="auto"/>
                      <w:lang w:eastAsia="zh-CN"/>
                    </w:rPr>
                    <w:t>线</w:t>
                  </w:r>
                  <w:r>
                    <w:rPr>
                      <w:rFonts w:hint="default" w:ascii="Times New Roman" w:hAnsi="Times New Roman" w:eastAsia="宋体" w:cs="Times New Roman"/>
                      <w:color w:val="auto"/>
                      <w:sz w:val="21"/>
                      <w:szCs w:val="21"/>
                      <w:highlight w:val="none"/>
                      <w:shd w:val="clear" w:color="auto" w:fill="auto"/>
                      <w:lang w:eastAsia="zh-CN"/>
                    </w:rPr>
                    <w:t>排气筒</w:t>
                  </w:r>
                </w:p>
              </w:tc>
              <w:tc>
                <w:tcPr>
                  <w:tcW w:w="915" w:type="dxa"/>
                  <w:noWrap w:val="0"/>
                  <w:vAlign w:val="center"/>
                </w:tcPr>
                <w:p w14:paraId="79C0AFCC">
                  <w:pPr>
                    <w:keepNext w:val="0"/>
                    <w:keepLines w:val="0"/>
                    <w:suppressLineNumbers w:val="0"/>
                    <w:adjustRightInd w:val="0"/>
                    <w:snapToGrid w:val="0"/>
                    <w:spacing w:before="0" w:beforeAutospacing="0" w:after="0" w:afterAutospacing="0"/>
                    <w:ind w:left="0" w:right="0"/>
                    <w:jc w:val="center"/>
                    <w:rPr>
                      <w:rFonts w:hint="eastAsia" w:ascii="Calibri" w:hAnsi="Calibri" w:eastAsia="宋体" w:cs="Times New Roman"/>
                      <w:color w:val="auto"/>
                      <w:szCs w:val="21"/>
                      <w:highlight w:val="none"/>
                      <w:lang w:eastAsia="zh-CN"/>
                    </w:rPr>
                  </w:pPr>
                  <w:r>
                    <w:rPr>
                      <w:rFonts w:hint="eastAsia" w:ascii="Calibri" w:hAnsi="Calibri" w:eastAsia="宋体" w:cs="Times New Roman"/>
                      <w:color w:val="auto"/>
                      <w:szCs w:val="21"/>
                      <w:highlight w:val="none"/>
                      <w:lang w:eastAsia="zh-CN"/>
                    </w:rPr>
                    <w:t>布袋除尘器故障</w:t>
                  </w:r>
                </w:p>
              </w:tc>
              <w:tc>
                <w:tcPr>
                  <w:tcW w:w="720" w:type="dxa"/>
                  <w:noWrap w:val="0"/>
                  <w:vAlign w:val="center"/>
                </w:tcPr>
                <w:p w14:paraId="166955E1">
                  <w:pPr>
                    <w:keepNext w:val="0"/>
                    <w:keepLines w:val="0"/>
                    <w:suppressLineNumbers w:val="0"/>
                    <w:adjustRightInd w:val="0"/>
                    <w:snapToGrid w:val="0"/>
                    <w:spacing w:before="0" w:beforeAutospacing="0" w:after="0" w:afterAutospacing="0"/>
                    <w:ind w:left="0" w:right="0"/>
                    <w:jc w:val="center"/>
                    <w:rPr>
                      <w:rFonts w:hint="eastAsia" w:ascii="Calibri" w:hAnsi="Calibri" w:eastAsia="宋体" w:cs="Times New Roman"/>
                      <w:color w:val="auto"/>
                      <w:szCs w:val="21"/>
                      <w:highlight w:val="none"/>
                      <w:lang w:eastAsia="zh-CN"/>
                    </w:rPr>
                  </w:pPr>
                  <w:r>
                    <w:rPr>
                      <w:rFonts w:hint="eastAsia" w:ascii="Calibri" w:hAnsi="Calibri" w:eastAsia="宋体" w:cs="Times New Roman"/>
                      <w:color w:val="auto"/>
                      <w:kern w:val="0"/>
                      <w:szCs w:val="21"/>
                      <w:highlight w:val="none"/>
                      <w:lang w:eastAsia="zh-CN" w:bidi="ar"/>
                    </w:rPr>
                    <w:t>颗粒物</w:t>
                  </w:r>
                </w:p>
              </w:tc>
              <w:tc>
                <w:tcPr>
                  <w:tcW w:w="1170" w:type="dxa"/>
                  <w:noWrap w:val="0"/>
                  <w:vAlign w:val="center"/>
                </w:tcPr>
                <w:p w14:paraId="6BEC5CD5">
                  <w:pPr>
                    <w:keepNext w:val="0"/>
                    <w:keepLines w:val="0"/>
                    <w:widowControl/>
                    <w:suppressLineNumbers w:val="0"/>
                    <w:spacing w:before="0" w:beforeAutospacing="0" w:after="0" w:afterAutospacing="0"/>
                    <w:ind w:left="0" w:right="0"/>
                    <w:jc w:val="center"/>
                    <w:textAlignment w:val="bottom"/>
                    <w:rPr>
                      <w:rFonts w:hint="default" w:ascii="Calibri" w:hAnsi="Calibri" w:cs="Times New Roman"/>
                      <w:color w:val="auto"/>
                      <w:szCs w:val="21"/>
                      <w:highlight w:val="none"/>
                      <w:lang w:val="en-US" w:eastAsia="zh-CN"/>
                    </w:rPr>
                  </w:pPr>
                  <w:r>
                    <w:rPr>
                      <w:rFonts w:hint="default" w:ascii="Calibri" w:hAnsi="Calibri" w:eastAsia="宋体" w:cs="Calibri"/>
                      <w:i w:val="0"/>
                      <w:iCs w:val="0"/>
                      <w:color w:val="auto"/>
                      <w:kern w:val="0"/>
                      <w:sz w:val="21"/>
                      <w:szCs w:val="21"/>
                      <w:highlight w:val="none"/>
                      <w:u w:val="none"/>
                      <w:lang w:val="en-US" w:eastAsia="zh-CN" w:bidi="ar"/>
                    </w:rPr>
                    <w:t>6729.816</w:t>
                  </w:r>
                </w:p>
              </w:tc>
              <w:tc>
                <w:tcPr>
                  <w:tcW w:w="1065" w:type="dxa"/>
                  <w:noWrap w:val="0"/>
                  <w:vAlign w:val="center"/>
                </w:tcPr>
                <w:p w14:paraId="4CF62804">
                  <w:pPr>
                    <w:keepNext w:val="0"/>
                    <w:keepLines w:val="0"/>
                    <w:widowControl/>
                    <w:suppressLineNumbers w:val="0"/>
                    <w:spacing w:before="0" w:beforeAutospacing="0" w:after="0" w:afterAutospacing="0"/>
                    <w:ind w:left="0" w:right="0"/>
                    <w:jc w:val="center"/>
                    <w:textAlignment w:val="bottom"/>
                    <w:rPr>
                      <w:rFonts w:hint="default" w:ascii="Calibri" w:hAnsi="Calibri" w:cs="Times New Roman"/>
                      <w:color w:val="auto"/>
                      <w:szCs w:val="21"/>
                      <w:highlight w:val="none"/>
                      <w:lang w:val="en-US" w:eastAsia="zh-CN"/>
                    </w:rPr>
                  </w:pPr>
                  <w:r>
                    <w:rPr>
                      <w:rFonts w:hint="default" w:ascii="Calibri" w:hAnsi="Calibri" w:eastAsia="宋体" w:cs="Calibri"/>
                      <w:i w:val="0"/>
                      <w:iCs w:val="0"/>
                      <w:color w:val="auto"/>
                      <w:kern w:val="0"/>
                      <w:sz w:val="21"/>
                      <w:szCs w:val="21"/>
                      <w:highlight w:val="none"/>
                      <w:u w:val="none"/>
                      <w:lang w:val="en-US" w:eastAsia="zh-CN" w:bidi="ar"/>
                    </w:rPr>
                    <w:t>75.177</w:t>
                  </w:r>
                </w:p>
              </w:tc>
              <w:tc>
                <w:tcPr>
                  <w:tcW w:w="885" w:type="dxa"/>
                  <w:noWrap w:val="0"/>
                  <w:vAlign w:val="center"/>
                </w:tcPr>
                <w:p w14:paraId="514A5675">
                  <w:pPr>
                    <w:keepNext w:val="0"/>
                    <w:keepLines w:val="0"/>
                    <w:widowControl/>
                    <w:suppressLineNumbers w:val="0"/>
                    <w:spacing w:before="0" w:beforeAutospacing="0" w:after="0" w:afterAutospacing="0"/>
                    <w:ind w:left="0" w:right="0"/>
                    <w:jc w:val="center"/>
                    <w:textAlignment w:val="bottom"/>
                    <w:rPr>
                      <w:rFonts w:hint="default" w:ascii="Calibri" w:hAnsi="Calibri" w:eastAsia="宋体" w:cs="Times New Roman"/>
                      <w:color w:val="auto"/>
                      <w:szCs w:val="21"/>
                      <w:highlight w:val="none"/>
                      <w:lang w:val="en-US" w:eastAsia="zh-CN"/>
                    </w:rPr>
                  </w:pPr>
                  <w:r>
                    <w:rPr>
                      <w:rFonts w:hint="default" w:ascii="Calibri" w:hAnsi="Calibri" w:eastAsia="宋体" w:cs="Calibri"/>
                      <w:i w:val="0"/>
                      <w:iCs w:val="0"/>
                      <w:color w:val="auto"/>
                      <w:kern w:val="0"/>
                      <w:sz w:val="21"/>
                      <w:szCs w:val="21"/>
                      <w:highlight w:val="none"/>
                      <w:u w:val="none"/>
                      <w:lang w:val="en-US" w:eastAsia="zh-CN" w:bidi="ar"/>
                    </w:rPr>
                    <w:t>0.038</w:t>
                  </w:r>
                </w:p>
              </w:tc>
              <w:tc>
                <w:tcPr>
                  <w:tcW w:w="696" w:type="dxa"/>
                  <w:noWrap w:val="0"/>
                  <w:vAlign w:val="center"/>
                </w:tcPr>
                <w:p w14:paraId="52A84298">
                  <w:pPr>
                    <w:keepNext w:val="0"/>
                    <w:keepLines w:val="0"/>
                    <w:suppressLineNumbers w:val="0"/>
                    <w:spacing w:before="0" w:beforeAutospacing="0" w:after="0" w:afterAutospacing="0"/>
                    <w:ind w:left="0" w:right="0"/>
                    <w:jc w:val="center"/>
                    <w:rPr>
                      <w:rFonts w:hint="default" w:ascii="Calibri" w:hAnsi="Calibri" w:eastAsia="宋体" w:cs="Times New Roman"/>
                      <w:color w:val="auto"/>
                      <w:szCs w:val="21"/>
                      <w:highlight w:val="none"/>
                      <w:lang w:val="en-US" w:eastAsia="zh-CN"/>
                    </w:rPr>
                  </w:pPr>
                  <w:r>
                    <w:rPr>
                      <w:rFonts w:hint="eastAsia" w:ascii="Calibri" w:hAnsi="Calibri" w:eastAsia="宋体" w:cs="Times New Roman"/>
                      <w:color w:val="auto"/>
                      <w:szCs w:val="21"/>
                      <w:highlight w:val="none"/>
                      <w:lang w:val="en-US" w:eastAsia="zh-CN"/>
                    </w:rPr>
                    <w:t>0.5</w:t>
                  </w:r>
                </w:p>
              </w:tc>
              <w:tc>
                <w:tcPr>
                  <w:tcW w:w="635" w:type="dxa"/>
                  <w:noWrap w:val="0"/>
                  <w:vAlign w:val="center"/>
                </w:tcPr>
                <w:p w14:paraId="2396DC43">
                  <w:pPr>
                    <w:keepNext w:val="0"/>
                    <w:keepLines w:val="0"/>
                    <w:suppressLineNumbers w:val="0"/>
                    <w:spacing w:before="0" w:beforeAutospacing="0" w:after="0" w:afterAutospacing="0"/>
                    <w:ind w:left="0" w:right="0"/>
                    <w:jc w:val="center"/>
                    <w:rPr>
                      <w:rFonts w:hint="eastAsia" w:ascii="Calibri" w:hAnsi="Calibri" w:eastAsia="宋体" w:cs="Times New Roman"/>
                      <w:color w:val="auto"/>
                      <w:szCs w:val="21"/>
                      <w:highlight w:val="none"/>
                      <w:lang w:val="en-US" w:eastAsia="zh-CN"/>
                    </w:rPr>
                  </w:pPr>
                  <w:r>
                    <w:rPr>
                      <w:rFonts w:hint="default" w:ascii="Arial" w:hAnsi="Arial" w:eastAsia="宋体" w:cs="Arial"/>
                      <w:color w:val="auto"/>
                      <w:szCs w:val="21"/>
                      <w:highlight w:val="none"/>
                    </w:rPr>
                    <w:t>≤</w:t>
                  </w:r>
                  <w:r>
                    <w:rPr>
                      <w:rFonts w:hint="eastAsia" w:ascii="Calibri" w:hAnsi="Calibri" w:eastAsia="宋体" w:cs="Times New Roman"/>
                      <w:color w:val="auto"/>
                      <w:szCs w:val="21"/>
                      <w:highlight w:val="none"/>
                      <w:lang w:val="en-US" w:eastAsia="zh-CN"/>
                    </w:rPr>
                    <w:t>1</w:t>
                  </w:r>
                </w:p>
              </w:tc>
              <w:tc>
                <w:tcPr>
                  <w:tcW w:w="979" w:type="dxa"/>
                  <w:noWrap w:val="0"/>
                  <w:vAlign w:val="center"/>
                </w:tcPr>
                <w:p w14:paraId="41C82BD9">
                  <w:pPr>
                    <w:keepNext w:val="0"/>
                    <w:keepLines w:val="0"/>
                    <w:suppressLineNumbers w:val="0"/>
                    <w:spacing w:before="0" w:beforeAutospacing="0" w:after="0" w:afterAutospacing="0"/>
                    <w:ind w:left="0" w:right="0"/>
                    <w:jc w:val="center"/>
                    <w:rPr>
                      <w:rFonts w:hint="default" w:ascii="Calibri" w:hAnsi="Calibri" w:eastAsia="宋体" w:cs="Times New Roman"/>
                      <w:color w:val="auto"/>
                      <w:szCs w:val="21"/>
                      <w:highlight w:val="none"/>
                      <w:lang w:val="en-US" w:eastAsia="zh-CN"/>
                    </w:rPr>
                  </w:pPr>
                  <w:r>
                    <w:rPr>
                      <w:rFonts w:hint="eastAsia" w:ascii="Calibri" w:hAnsi="Calibri" w:eastAsia="宋体" w:cs="Times New Roman"/>
                      <w:color w:val="auto"/>
                      <w:szCs w:val="21"/>
                      <w:highlight w:val="none"/>
                      <w:lang w:val="en-US" w:eastAsia="zh-CN"/>
                    </w:rPr>
                    <w:t>生产线停止运行</w:t>
                  </w:r>
                </w:p>
              </w:tc>
            </w:tr>
            <w:tr w14:paraId="524E6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noWrap w:val="0"/>
                  <w:vAlign w:val="center"/>
                </w:tcPr>
                <w:p w14:paraId="61750B09">
                  <w:pPr>
                    <w:keepNext w:val="0"/>
                    <w:keepLines w:val="0"/>
                    <w:suppressLineNumbers w:val="0"/>
                    <w:adjustRightInd w:val="0"/>
                    <w:snapToGrid w:val="0"/>
                    <w:spacing w:before="0" w:beforeAutospacing="0" w:after="0" w:afterAutospacing="0"/>
                    <w:ind w:left="0" w:leftChars="0" w:right="0" w:rightChars="0"/>
                    <w:jc w:val="center"/>
                    <w:rPr>
                      <w:rFonts w:hint="eastAsia" w:ascii="Calibri" w:hAnsi="Calibri" w:eastAsia="宋体" w:cs="Times New Roman"/>
                      <w:color w:val="auto"/>
                      <w:szCs w:val="21"/>
                      <w:highlight w:val="none"/>
                      <w:lang w:eastAsia="zh-CN"/>
                    </w:rPr>
                  </w:pPr>
                  <w:r>
                    <w:rPr>
                      <w:rFonts w:hint="eastAsia" w:ascii="Calibri" w:hAnsi="Calibri" w:cs="Times New Roman"/>
                      <w:color w:val="auto"/>
                      <w:szCs w:val="21"/>
                      <w:highlight w:val="none"/>
                      <w:lang w:val="en-US" w:eastAsia="zh-CN"/>
                    </w:rPr>
                    <w:t>2</w:t>
                  </w:r>
                </w:p>
              </w:tc>
              <w:tc>
                <w:tcPr>
                  <w:tcW w:w="1013" w:type="dxa"/>
                  <w:noWrap w:val="0"/>
                  <w:vAlign w:val="center"/>
                </w:tcPr>
                <w:p w14:paraId="013D9899">
                  <w:pPr>
                    <w:keepNext w:val="0"/>
                    <w:keepLines w:val="0"/>
                    <w:suppressLineNumbers w:val="0"/>
                    <w:spacing w:before="0" w:beforeAutospacing="0" w:after="0" w:afterAutospacing="0"/>
                    <w:ind w:left="0" w:leftChars="0" w:right="0" w:rightChars="0"/>
                    <w:jc w:val="center"/>
                    <w:rPr>
                      <w:rFonts w:hint="eastAsia" w:ascii="Calibri" w:hAnsi="Calibri" w:eastAsia="宋体" w:cs="宋体"/>
                      <w:color w:val="auto"/>
                      <w:sz w:val="21"/>
                      <w:szCs w:val="21"/>
                      <w:highlight w:val="none"/>
                      <w:lang w:val="en-US" w:eastAsia="zh-CN"/>
                    </w:rPr>
                  </w:pPr>
                  <w:r>
                    <w:rPr>
                      <w:rFonts w:hint="eastAsia" w:cs="Times New Roman"/>
                      <w:color w:val="auto"/>
                      <w:sz w:val="21"/>
                      <w:szCs w:val="21"/>
                      <w:highlight w:val="none"/>
                      <w:shd w:val="clear" w:color="auto" w:fill="auto"/>
                      <w:lang w:val="en-US" w:eastAsia="zh-CN"/>
                    </w:rPr>
                    <w:t>3#</w:t>
                  </w:r>
                  <w:r>
                    <w:rPr>
                      <w:rFonts w:hint="default" w:ascii="Times New Roman" w:hAnsi="Times New Roman" w:eastAsia="宋体" w:cs="Times New Roman"/>
                      <w:color w:val="auto"/>
                      <w:sz w:val="21"/>
                      <w:szCs w:val="21"/>
                      <w:highlight w:val="none"/>
                      <w:shd w:val="clear" w:color="auto" w:fill="auto"/>
                      <w:lang w:eastAsia="zh-CN"/>
                    </w:rPr>
                    <w:t>生产</w:t>
                  </w:r>
                  <w:r>
                    <w:rPr>
                      <w:rFonts w:hint="eastAsia" w:cs="Times New Roman"/>
                      <w:color w:val="auto"/>
                      <w:sz w:val="21"/>
                      <w:szCs w:val="21"/>
                      <w:highlight w:val="none"/>
                      <w:shd w:val="clear" w:color="auto" w:fill="auto"/>
                      <w:lang w:eastAsia="zh-CN"/>
                    </w:rPr>
                    <w:t>线</w:t>
                  </w:r>
                  <w:r>
                    <w:rPr>
                      <w:rFonts w:hint="default" w:ascii="Times New Roman" w:hAnsi="Times New Roman" w:eastAsia="宋体" w:cs="Times New Roman"/>
                      <w:color w:val="auto"/>
                      <w:sz w:val="21"/>
                      <w:szCs w:val="21"/>
                      <w:highlight w:val="none"/>
                      <w:shd w:val="clear" w:color="auto" w:fill="auto"/>
                      <w:lang w:eastAsia="zh-CN"/>
                    </w:rPr>
                    <w:t>排气筒</w:t>
                  </w:r>
                </w:p>
              </w:tc>
              <w:tc>
                <w:tcPr>
                  <w:tcW w:w="915" w:type="dxa"/>
                  <w:noWrap w:val="0"/>
                  <w:vAlign w:val="center"/>
                </w:tcPr>
                <w:p w14:paraId="25E23D91">
                  <w:pPr>
                    <w:keepNext w:val="0"/>
                    <w:keepLines w:val="0"/>
                    <w:suppressLineNumbers w:val="0"/>
                    <w:adjustRightInd w:val="0"/>
                    <w:snapToGrid w:val="0"/>
                    <w:spacing w:before="0" w:beforeAutospacing="0" w:after="0" w:afterAutospacing="0"/>
                    <w:ind w:left="0" w:leftChars="0" w:right="0" w:rightChars="0"/>
                    <w:jc w:val="center"/>
                    <w:rPr>
                      <w:rFonts w:hint="eastAsia" w:ascii="Calibri" w:hAnsi="Calibri" w:eastAsia="宋体" w:cs="Times New Roman"/>
                      <w:color w:val="auto"/>
                      <w:szCs w:val="21"/>
                      <w:highlight w:val="none"/>
                      <w:lang w:eastAsia="zh-CN"/>
                    </w:rPr>
                  </w:pPr>
                  <w:r>
                    <w:rPr>
                      <w:rFonts w:hint="eastAsia" w:ascii="Calibri" w:hAnsi="Calibri" w:eastAsia="宋体" w:cs="Times New Roman"/>
                      <w:color w:val="auto"/>
                      <w:szCs w:val="21"/>
                      <w:highlight w:val="none"/>
                      <w:lang w:eastAsia="zh-CN"/>
                    </w:rPr>
                    <w:t>布袋除尘器故障</w:t>
                  </w:r>
                </w:p>
              </w:tc>
              <w:tc>
                <w:tcPr>
                  <w:tcW w:w="720" w:type="dxa"/>
                  <w:noWrap w:val="0"/>
                  <w:vAlign w:val="center"/>
                </w:tcPr>
                <w:p w14:paraId="485D30E2">
                  <w:pPr>
                    <w:keepNext w:val="0"/>
                    <w:keepLines w:val="0"/>
                    <w:suppressLineNumbers w:val="0"/>
                    <w:adjustRightInd w:val="0"/>
                    <w:snapToGrid w:val="0"/>
                    <w:spacing w:before="0" w:beforeAutospacing="0" w:after="0" w:afterAutospacing="0"/>
                    <w:ind w:left="0" w:leftChars="0" w:right="0" w:rightChars="0"/>
                    <w:jc w:val="center"/>
                    <w:rPr>
                      <w:rFonts w:hint="eastAsia" w:ascii="Calibri" w:hAnsi="Calibri" w:eastAsia="宋体" w:cs="Times New Roman"/>
                      <w:color w:val="auto"/>
                      <w:kern w:val="0"/>
                      <w:szCs w:val="21"/>
                      <w:highlight w:val="none"/>
                      <w:lang w:eastAsia="zh-CN" w:bidi="ar"/>
                    </w:rPr>
                  </w:pPr>
                  <w:r>
                    <w:rPr>
                      <w:rFonts w:hint="eastAsia" w:ascii="Calibri" w:hAnsi="Calibri" w:eastAsia="宋体" w:cs="Times New Roman"/>
                      <w:color w:val="auto"/>
                      <w:kern w:val="0"/>
                      <w:szCs w:val="21"/>
                      <w:highlight w:val="none"/>
                      <w:lang w:eastAsia="zh-CN" w:bidi="ar"/>
                    </w:rPr>
                    <w:t>颗粒物</w:t>
                  </w:r>
                </w:p>
              </w:tc>
              <w:tc>
                <w:tcPr>
                  <w:tcW w:w="1170" w:type="dxa"/>
                  <w:noWrap w:val="0"/>
                  <w:vAlign w:val="center"/>
                </w:tcPr>
                <w:p w14:paraId="4A1C079F">
                  <w:pPr>
                    <w:keepNext w:val="0"/>
                    <w:keepLines w:val="0"/>
                    <w:widowControl/>
                    <w:suppressLineNumbers w:val="0"/>
                    <w:spacing w:before="0" w:beforeAutospacing="0" w:after="0" w:afterAutospacing="0"/>
                    <w:ind w:left="0" w:right="0"/>
                    <w:jc w:val="center"/>
                    <w:textAlignment w:val="bottom"/>
                    <w:rPr>
                      <w:rFonts w:hint="default" w:ascii="Calibri" w:hAnsi="Calibri"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6489.816</w:t>
                  </w:r>
                </w:p>
              </w:tc>
              <w:tc>
                <w:tcPr>
                  <w:tcW w:w="1065" w:type="dxa"/>
                  <w:noWrap w:val="0"/>
                  <w:vAlign w:val="center"/>
                </w:tcPr>
                <w:p w14:paraId="66DC3A60">
                  <w:pPr>
                    <w:keepNext w:val="0"/>
                    <w:keepLines w:val="0"/>
                    <w:widowControl/>
                    <w:suppressLineNumbers w:val="0"/>
                    <w:spacing w:before="0" w:beforeAutospacing="0" w:after="0" w:afterAutospacing="0"/>
                    <w:ind w:left="0" w:right="0"/>
                    <w:jc w:val="center"/>
                    <w:textAlignment w:val="bottom"/>
                    <w:rPr>
                      <w:rFonts w:hint="eastAsia" w:ascii="Calibri" w:hAnsi="Calibri" w:cs="Times New Roman"/>
                      <w:color w:val="auto"/>
                      <w:szCs w:val="21"/>
                      <w:highlight w:val="none"/>
                      <w:lang w:val="en-US" w:eastAsia="zh-CN"/>
                    </w:rPr>
                  </w:pPr>
                  <w:r>
                    <w:rPr>
                      <w:rFonts w:hint="default" w:ascii="Calibri" w:hAnsi="Calibri" w:eastAsia="宋体" w:cs="Calibri"/>
                      <w:i w:val="0"/>
                      <w:iCs w:val="0"/>
                      <w:color w:val="auto"/>
                      <w:kern w:val="0"/>
                      <w:sz w:val="21"/>
                      <w:szCs w:val="21"/>
                      <w:highlight w:val="none"/>
                      <w:u w:val="none"/>
                      <w:lang w:val="en-US" w:eastAsia="zh-CN" w:bidi="ar"/>
                    </w:rPr>
                    <w:t>71.337</w:t>
                  </w:r>
                </w:p>
              </w:tc>
              <w:tc>
                <w:tcPr>
                  <w:tcW w:w="885" w:type="dxa"/>
                  <w:noWrap w:val="0"/>
                  <w:vAlign w:val="center"/>
                </w:tcPr>
                <w:p w14:paraId="101D6EDD">
                  <w:pPr>
                    <w:keepNext w:val="0"/>
                    <w:keepLines w:val="0"/>
                    <w:widowControl/>
                    <w:suppressLineNumbers w:val="0"/>
                    <w:spacing w:before="0" w:beforeAutospacing="0" w:after="0" w:afterAutospacing="0"/>
                    <w:ind w:left="0" w:right="0"/>
                    <w:jc w:val="center"/>
                    <w:textAlignment w:val="bottom"/>
                    <w:rPr>
                      <w:rFonts w:hint="default" w:ascii="Calibri" w:hAnsi="Calibri" w:eastAsia="宋体" w:cs="Times New Roman"/>
                      <w:color w:val="auto"/>
                      <w:szCs w:val="21"/>
                      <w:highlight w:val="none"/>
                      <w:lang w:val="en-US" w:eastAsia="zh-CN"/>
                    </w:rPr>
                  </w:pPr>
                  <w:r>
                    <w:rPr>
                      <w:rFonts w:hint="default" w:ascii="Calibri" w:hAnsi="Calibri" w:eastAsia="宋体" w:cs="Calibri"/>
                      <w:i w:val="0"/>
                      <w:iCs w:val="0"/>
                      <w:color w:val="auto"/>
                      <w:kern w:val="0"/>
                      <w:sz w:val="21"/>
                      <w:szCs w:val="21"/>
                      <w:highlight w:val="none"/>
                      <w:u w:val="none"/>
                      <w:lang w:val="en-US" w:eastAsia="zh-CN" w:bidi="ar"/>
                    </w:rPr>
                    <w:t>0.036</w:t>
                  </w:r>
                </w:p>
              </w:tc>
              <w:tc>
                <w:tcPr>
                  <w:tcW w:w="696" w:type="dxa"/>
                  <w:noWrap w:val="0"/>
                  <w:vAlign w:val="center"/>
                </w:tcPr>
                <w:p w14:paraId="7D21C5CC">
                  <w:pPr>
                    <w:keepNext w:val="0"/>
                    <w:keepLines w:val="0"/>
                    <w:suppressLineNumbers w:val="0"/>
                    <w:spacing w:before="0" w:beforeAutospacing="0" w:after="0" w:afterAutospacing="0"/>
                    <w:ind w:left="0" w:leftChars="0" w:right="0" w:rightChars="0"/>
                    <w:jc w:val="center"/>
                    <w:rPr>
                      <w:rFonts w:hint="eastAsia" w:ascii="Calibri" w:hAnsi="Calibri" w:eastAsia="宋体" w:cs="Times New Roman"/>
                      <w:color w:val="auto"/>
                      <w:szCs w:val="21"/>
                      <w:highlight w:val="none"/>
                      <w:lang w:val="en-US" w:eastAsia="zh-CN"/>
                    </w:rPr>
                  </w:pPr>
                  <w:r>
                    <w:rPr>
                      <w:rFonts w:hint="eastAsia" w:ascii="Calibri" w:hAnsi="Calibri" w:eastAsia="宋体" w:cs="Times New Roman"/>
                      <w:color w:val="auto"/>
                      <w:szCs w:val="21"/>
                      <w:highlight w:val="none"/>
                      <w:lang w:val="en-US" w:eastAsia="zh-CN"/>
                    </w:rPr>
                    <w:t>0.5</w:t>
                  </w:r>
                </w:p>
              </w:tc>
              <w:tc>
                <w:tcPr>
                  <w:tcW w:w="635" w:type="dxa"/>
                  <w:noWrap w:val="0"/>
                  <w:vAlign w:val="center"/>
                </w:tcPr>
                <w:p w14:paraId="5965B296">
                  <w:pPr>
                    <w:keepNext w:val="0"/>
                    <w:keepLines w:val="0"/>
                    <w:suppressLineNumbers w:val="0"/>
                    <w:spacing w:before="0" w:beforeAutospacing="0" w:after="0" w:afterAutospacing="0"/>
                    <w:ind w:left="0" w:leftChars="0" w:right="0" w:rightChars="0"/>
                    <w:jc w:val="center"/>
                    <w:rPr>
                      <w:rFonts w:hint="default" w:ascii="Arial" w:hAnsi="Arial" w:eastAsia="宋体" w:cs="Arial"/>
                      <w:color w:val="auto"/>
                      <w:szCs w:val="21"/>
                      <w:highlight w:val="none"/>
                    </w:rPr>
                  </w:pPr>
                  <w:r>
                    <w:rPr>
                      <w:rFonts w:hint="default" w:ascii="Arial" w:hAnsi="Arial" w:eastAsia="宋体" w:cs="Arial"/>
                      <w:color w:val="auto"/>
                      <w:szCs w:val="21"/>
                      <w:highlight w:val="none"/>
                    </w:rPr>
                    <w:t>≤</w:t>
                  </w:r>
                  <w:r>
                    <w:rPr>
                      <w:rFonts w:hint="eastAsia" w:ascii="Calibri" w:hAnsi="Calibri" w:eastAsia="宋体" w:cs="Times New Roman"/>
                      <w:color w:val="auto"/>
                      <w:szCs w:val="21"/>
                      <w:highlight w:val="none"/>
                      <w:lang w:val="en-US" w:eastAsia="zh-CN"/>
                    </w:rPr>
                    <w:t>1</w:t>
                  </w:r>
                </w:p>
              </w:tc>
              <w:tc>
                <w:tcPr>
                  <w:tcW w:w="979" w:type="dxa"/>
                  <w:noWrap w:val="0"/>
                  <w:vAlign w:val="center"/>
                </w:tcPr>
                <w:p w14:paraId="4B33FAB7">
                  <w:pPr>
                    <w:keepNext w:val="0"/>
                    <w:keepLines w:val="0"/>
                    <w:suppressLineNumbers w:val="0"/>
                    <w:spacing w:before="0" w:beforeAutospacing="0" w:after="0" w:afterAutospacing="0"/>
                    <w:ind w:left="0" w:leftChars="0" w:right="0" w:rightChars="0"/>
                    <w:jc w:val="center"/>
                    <w:rPr>
                      <w:rFonts w:hint="eastAsia" w:ascii="Calibri" w:hAnsi="Calibri" w:eastAsia="宋体" w:cs="Times New Roman"/>
                      <w:color w:val="auto"/>
                      <w:szCs w:val="21"/>
                      <w:highlight w:val="none"/>
                      <w:lang w:val="en-US" w:eastAsia="zh-CN"/>
                    </w:rPr>
                  </w:pPr>
                  <w:r>
                    <w:rPr>
                      <w:rFonts w:hint="eastAsia" w:ascii="Calibri" w:hAnsi="Calibri" w:eastAsia="宋体" w:cs="Times New Roman"/>
                      <w:color w:val="auto"/>
                      <w:szCs w:val="21"/>
                      <w:highlight w:val="none"/>
                      <w:lang w:val="en-US" w:eastAsia="zh-CN"/>
                    </w:rPr>
                    <w:t>生产线停止运行</w:t>
                  </w:r>
                </w:p>
              </w:tc>
            </w:tr>
            <w:tr w14:paraId="4257B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noWrap w:val="0"/>
                  <w:vAlign w:val="center"/>
                </w:tcPr>
                <w:p w14:paraId="2B2256AF">
                  <w:pPr>
                    <w:keepNext w:val="0"/>
                    <w:keepLines w:val="0"/>
                    <w:suppressLineNumbers w:val="0"/>
                    <w:adjustRightInd w:val="0"/>
                    <w:snapToGrid w:val="0"/>
                    <w:spacing w:before="0" w:beforeAutospacing="0" w:after="0" w:afterAutospacing="0"/>
                    <w:ind w:left="0" w:leftChars="0" w:right="0" w:rightChars="0"/>
                    <w:jc w:val="center"/>
                    <w:rPr>
                      <w:rFonts w:hint="eastAsia" w:ascii="Calibri" w:hAnsi="Calibri" w:eastAsia="宋体" w:cs="Times New Roman"/>
                      <w:color w:val="auto"/>
                      <w:szCs w:val="21"/>
                      <w:highlight w:val="none"/>
                      <w:lang w:eastAsia="zh-CN"/>
                    </w:rPr>
                  </w:pPr>
                  <w:r>
                    <w:rPr>
                      <w:rFonts w:hint="eastAsia" w:ascii="Calibri" w:hAnsi="Calibri" w:cs="Times New Roman"/>
                      <w:color w:val="auto"/>
                      <w:szCs w:val="21"/>
                      <w:highlight w:val="none"/>
                      <w:lang w:val="en-US" w:eastAsia="zh-CN"/>
                    </w:rPr>
                    <w:t>3</w:t>
                  </w:r>
                </w:p>
              </w:tc>
              <w:tc>
                <w:tcPr>
                  <w:tcW w:w="1013" w:type="dxa"/>
                  <w:noWrap w:val="0"/>
                  <w:vAlign w:val="center"/>
                </w:tcPr>
                <w:p w14:paraId="45111C63">
                  <w:pPr>
                    <w:keepNext w:val="0"/>
                    <w:keepLines w:val="0"/>
                    <w:suppressLineNumbers w:val="0"/>
                    <w:spacing w:before="0" w:beforeAutospacing="0" w:after="0" w:afterAutospacing="0"/>
                    <w:ind w:left="0" w:leftChars="0" w:right="0" w:rightChars="0"/>
                    <w:jc w:val="center"/>
                    <w:rPr>
                      <w:rFonts w:hint="eastAsia" w:ascii="Calibri" w:hAnsi="Calibri" w:cs="宋体"/>
                      <w:color w:val="auto"/>
                      <w:sz w:val="21"/>
                      <w:szCs w:val="21"/>
                      <w:highlight w:val="none"/>
                      <w:lang w:val="en-US" w:eastAsia="zh-CN"/>
                    </w:rPr>
                  </w:pPr>
                  <w:r>
                    <w:rPr>
                      <w:rFonts w:hint="eastAsia" w:cs="Times New Roman"/>
                      <w:color w:val="auto"/>
                      <w:sz w:val="21"/>
                      <w:szCs w:val="21"/>
                      <w:highlight w:val="none"/>
                      <w:shd w:val="clear" w:color="auto" w:fill="auto"/>
                      <w:lang w:val="en-US" w:eastAsia="zh-CN"/>
                    </w:rPr>
                    <w:t>4#</w:t>
                  </w:r>
                  <w:r>
                    <w:rPr>
                      <w:rFonts w:hint="default" w:ascii="Times New Roman" w:hAnsi="Times New Roman" w:eastAsia="宋体" w:cs="Times New Roman"/>
                      <w:color w:val="auto"/>
                      <w:sz w:val="21"/>
                      <w:szCs w:val="21"/>
                      <w:highlight w:val="none"/>
                      <w:shd w:val="clear" w:color="auto" w:fill="auto"/>
                      <w:lang w:eastAsia="zh-CN"/>
                    </w:rPr>
                    <w:t>生产</w:t>
                  </w:r>
                  <w:r>
                    <w:rPr>
                      <w:rFonts w:hint="eastAsia" w:cs="Times New Roman"/>
                      <w:color w:val="auto"/>
                      <w:sz w:val="21"/>
                      <w:szCs w:val="21"/>
                      <w:highlight w:val="none"/>
                      <w:shd w:val="clear" w:color="auto" w:fill="auto"/>
                      <w:lang w:eastAsia="zh-CN"/>
                    </w:rPr>
                    <w:t>线</w:t>
                  </w:r>
                  <w:r>
                    <w:rPr>
                      <w:rFonts w:hint="default" w:ascii="Times New Roman" w:hAnsi="Times New Roman" w:eastAsia="宋体" w:cs="Times New Roman"/>
                      <w:color w:val="auto"/>
                      <w:sz w:val="21"/>
                      <w:szCs w:val="21"/>
                      <w:highlight w:val="none"/>
                      <w:shd w:val="clear" w:color="auto" w:fill="auto"/>
                      <w:lang w:eastAsia="zh-CN"/>
                    </w:rPr>
                    <w:t>排气筒</w:t>
                  </w:r>
                </w:p>
              </w:tc>
              <w:tc>
                <w:tcPr>
                  <w:tcW w:w="915" w:type="dxa"/>
                  <w:noWrap w:val="0"/>
                  <w:vAlign w:val="center"/>
                </w:tcPr>
                <w:p w14:paraId="6B7BA62D">
                  <w:pPr>
                    <w:keepNext w:val="0"/>
                    <w:keepLines w:val="0"/>
                    <w:suppressLineNumbers w:val="0"/>
                    <w:adjustRightInd w:val="0"/>
                    <w:snapToGrid w:val="0"/>
                    <w:spacing w:before="0" w:beforeAutospacing="0" w:after="0" w:afterAutospacing="0"/>
                    <w:ind w:left="0" w:leftChars="0" w:right="0" w:rightChars="0"/>
                    <w:jc w:val="center"/>
                    <w:rPr>
                      <w:rFonts w:hint="eastAsia" w:ascii="Calibri" w:hAnsi="Calibri" w:eastAsia="宋体" w:cs="Times New Roman"/>
                      <w:color w:val="auto"/>
                      <w:szCs w:val="21"/>
                      <w:highlight w:val="none"/>
                      <w:lang w:eastAsia="zh-CN"/>
                    </w:rPr>
                  </w:pPr>
                  <w:r>
                    <w:rPr>
                      <w:rFonts w:hint="eastAsia" w:ascii="Calibri" w:hAnsi="Calibri" w:eastAsia="宋体" w:cs="Times New Roman"/>
                      <w:color w:val="auto"/>
                      <w:szCs w:val="21"/>
                      <w:highlight w:val="none"/>
                      <w:lang w:eastAsia="zh-CN"/>
                    </w:rPr>
                    <w:t>布袋除尘器故障</w:t>
                  </w:r>
                </w:p>
              </w:tc>
              <w:tc>
                <w:tcPr>
                  <w:tcW w:w="720" w:type="dxa"/>
                  <w:noWrap w:val="0"/>
                  <w:vAlign w:val="center"/>
                </w:tcPr>
                <w:p w14:paraId="67E0CFDB">
                  <w:pPr>
                    <w:keepNext w:val="0"/>
                    <w:keepLines w:val="0"/>
                    <w:suppressLineNumbers w:val="0"/>
                    <w:adjustRightInd w:val="0"/>
                    <w:snapToGrid w:val="0"/>
                    <w:spacing w:before="0" w:beforeAutospacing="0" w:after="0" w:afterAutospacing="0"/>
                    <w:ind w:left="0" w:leftChars="0" w:right="0" w:rightChars="0"/>
                    <w:jc w:val="center"/>
                    <w:rPr>
                      <w:rFonts w:hint="eastAsia" w:ascii="Calibri" w:hAnsi="Calibri" w:eastAsia="宋体" w:cs="Times New Roman"/>
                      <w:color w:val="auto"/>
                      <w:kern w:val="0"/>
                      <w:szCs w:val="21"/>
                      <w:highlight w:val="none"/>
                      <w:lang w:eastAsia="zh-CN" w:bidi="ar"/>
                    </w:rPr>
                  </w:pPr>
                  <w:r>
                    <w:rPr>
                      <w:rFonts w:hint="eastAsia" w:ascii="Calibri" w:hAnsi="Calibri" w:eastAsia="宋体" w:cs="Times New Roman"/>
                      <w:color w:val="auto"/>
                      <w:kern w:val="0"/>
                      <w:szCs w:val="21"/>
                      <w:highlight w:val="none"/>
                      <w:lang w:eastAsia="zh-CN" w:bidi="ar"/>
                    </w:rPr>
                    <w:t>颗粒物</w:t>
                  </w:r>
                </w:p>
              </w:tc>
              <w:tc>
                <w:tcPr>
                  <w:tcW w:w="1170" w:type="dxa"/>
                  <w:noWrap w:val="0"/>
                  <w:vAlign w:val="center"/>
                </w:tcPr>
                <w:p w14:paraId="3F7813A6">
                  <w:pPr>
                    <w:keepNext w:val="0"/>
                    <w:keepLines w:val="0"/>
                    <w:widowControl/>
                    <w:suppressLineNumbers w:val="0"/>
                    <w:spacing w:before="0" w:beforeAutospacing="0" w:after="0" w:afterAutospacing="0"/>
                    <w:ind w:left="0" w:right="0"/>
                    <w:jc w:val="center"/>
                    <w:textAlignment w:val="bottom"/>
                    <w:rPr>
                      <w:rFonts w:hint="eastAsia" w:ascii="Calibri" w:hAnsi="Calibri"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7668.240</w:t>
                  </w:r>
                </w:p>
              </w:tc>
              <w:tc>
                <w:tcPr>
                  <w:tcW w:w="1065" w:type="dxa"/>
                  <w:noWrap w:val="0"/>
                  <w:vAlign w:val="center"/>
                </w:tcPr>
                <w:p w14:paraId="65BE07C9">
                  <w:pPr>
                    <w:keepNext w:val="0"/>
                    <w:keepLines w:val="0"/>
                    <w:widowControl/>
                    <w:suppressLineNumbers w:val="0"/>
                    <w:spacing w:before="0" w:beforeAutospacing="0" w:after="0" w:afterAutospacing="0"/>
                    <w:ind w:left="0" w:right="0"/>
                    <w:jc w:val="center"/>
                    <w:textAlignment w:val="bottom"/>
                    <w:rPr>
                      <w:rFonts w:hint="eastAsia" w:ascii="Calibri" w:hAnsi="Calibri" w:cs="Times New Roman"/>
                      <w:color w:val="auto"/>
                      <w:szCs w:val="21"/>
                      <w:highlight w:val="none"/>
                      <w:lang w:val="en-US" w:eastAsia="zh-CN"/>
                    </w:rPr>
                  </w:pPr>
                  <w:r>
                    <w:rPr>
                      <w:rFonts w:hint="default" w:ascii="Calibri" w:hAnsi="Calibri" w:eastAsia="宋体" w:cs="Calibri"/>
                      <w:i w:val="0"/>
                      <w:iCs w:val="0"/>
                      <w:color w:val="auto"/>
                      <w:kern w:val="0"/>
                      <w:sz w:val="21"/>
                      <w:szCs w:val="21"/>
                      <w:highlight w:val="none"/>
                      <w:u w:val="none"/>
                      <w:lang w:val="en-US" w:eastAsia="zh-CN" w:bidi="ar"/>
                    </w:rPr>
                    <w:t>71.337</w:t>
                  </w:r>
                </w:p>
              </w:tc>
              <w:tc>
                <w:tcPr>
                  <w:tcW w:w="885" w:type="dxa"/>
                  <w:noWrap w:val="0"/>
                  <w:vAlign w:val="center"/>
                </w:tcPr>
                <w:p w14:paraId="630FC47E">
                  <w:pPr>
                    <w:keepNext w:val="0"/>
                    <w:keepLines w:val="0"/>
                    <w:widowControl/>
                    <w:suppressLineNumbers w:val="0"/>
                    <w:spacing w:before="0" w:beforeAutospacing="0" w:after="0" w:afterAutospacing="0"/>
                    <w:ind w:left="0" w:right="0"/>
                    <w:jc w:val="center"/>
                    <w:textAlignment w:val="bottom"/>
                    <w:rPr>
                      <w:rFonts w:hint="eastAsia" w:ascii="Calibri" w:hAnsi="Calibri" w:cs="Times New Roman"/>
                      <w:color w:val="auto"/>
                      <w:szCs w:val="21"/>
                      <w:highlight w:val="none"/>
                      <w:lang w:val="en-US" w:eastAsia="zh-CN"/>
                    </w:rPr>
                  </w:pPr>
                  <w:r>
                    <w:rPr>
                      <w:rFonts w:hint="default" w:ascii="Calibri" w:hAnsi="Calibri" w:eastAsia="宋体" w:cs="Calibri"/>
                      <w:i w:val="0"/>
                      <w:iCs w:val="0"/>
                      <w:color w:val="auto"/>
                      <w:kern w:val="0"/>
                      <w:sz w:val="21"/>
                      <w:szCs w:val="21"/>
                      <w:highlight w:val="none"/>
                      <w:u w:val="none"/>
                      <w:lang w:val="en-US" w:eastAsia="zh-CN" w:bidi="ar"/>
                    </w:rPr>
                    <w:t>0.036</w:t>
                  </w:r>
                </w:p>
              </w:tc>
              <w:tc>
                <w:tcPr>
                  <w:tcW w:w="696" w:type="dxa"/>
                  <w:noWrap w:val="0"/>
                  <w:vAlign w:val="center"/>
                </w:tcPr>
                <w:p w14:paraId="2B072C9D">
                  <w:pPr>
                    <w:keepNext w:val="0"/>
                    <w:keepLines w:val="0"/>
                    <w:suppressLineNumbers w:val="0"/>
                    <w:spacing w:before="0" w:beforeAutospacing="0" w:after="0" w:afterAutospacing="0"/>
                    <w:ind w:left="0" w:leftChars="0" w:right="0" w:rightChars="0"/>
                    <w:jc w:val="center"/>
                    <w:rPr>
                      <w:rFonts w:hint="eastAsia" w:ascii="Calibri" w:hAnsi="Calibri" w:eastAsia="宋体" w:cs="Times New Roman"/>
                      <w:color w:val="auto"/>
                      <w:szCs w:val="21"/>
                      <w:highlight w:val="none"/>
                      <w:lang w:val="en-US" w:eastAsia="zh-CN"/>
                    </w:rPr>
                  </w:pPr>
                  <w:r>
                    <w:rPr>
                      <w:rFonts w:hint="eastAsia" w:ascii="Calibri" w:hAnsi="Calibri" w:eastAsia="宋体" w:cs="Times New Roman"/>
                      <w:color w:val="auto"/>
                      <w:szCs w:val="21"/>
                      <w:highlight w:val="none"/>
                      <w:lang w:val="en-US" w:eastAsia="zh-CN"/>
                    </w:rPr>
                    <w:t>0.5</w:t>
                  </w:r>
                </w:p>
              </w:tc>
              <w:tc>
                <w:tcPr>
                  <w:tcW w:w="635" w:type="dxa"/>
                  <w:noWrap w:val="0"/>
                  <w:vAlign w:val="center"/>
                </w:tcPr>
                <w:p w14:paraId="0E59BC15">
                  <w:pPr>
                    <w:keepNext w:val="0"/>
                    <w:keepLines w:val="0"/>
                    <w:suppressLineNumbers w:val="0"/>
                    <w:spacing w:before="0" w:beforeAutospacing="0" w:after="0" w:afterAutospacing="0"/>
                    <w:ind w:left="0" w:leftChars="0" w:right="0" w:rightChars="0"/>
                    <w:jc w:val="center"/>
                    <w:rPr>
                      <w:rFonts w:hint="default" w:ascii="Arial" w:hAnsi="Arial" w:eastAsia="宋体" w:cs="Arial"/>
                      <w:color w:val="auto"/>
                      <w:szCs w:val="21"/>
                      <w:highlight w:val="none"/>
                    </w:rPr>
                  </w:pPr>
                  <w:r>
                    <w:rPr>
                      <w:rFonts w:hint="default" w:ascii="Arial" w:hAnsi="Arial" w:eastAsia="宋体" w:cs="Arial"/>
                      <w:color w:val="auto"/>
                      <w:szCs w:val="21"/>
                      <w:highlight w:val="none"/>
                    </w:rPr>
                    <w:t>≤</w:t>
                  </w:r>
                  <w:r>
                    <w:rPr>
                      <w:rFonts w:hint="eastAsia" w:ascii="Calibri" w:hAnsi="Calibri" w:eastAsia="宋体" w:cs="Times New Roman"/>
                      <w:color w:val="auto"/>
                      <w:szCs w:val="21"/>
                      <w:highlight w:val="none"/>
                      <w:lang w:val="en-US" w:eastAsia="zh-CN"/>
                    </w:rPr>
                    <w:t>1</w:t>
                  </w:r>
                </w:p>
              </w:tc>
              <w:tc>
                <w:tcPr>
                  <w:tcW w:w="979" w:type="dxa"/>
                  <w:noWrap w:val="0"/>
                  <w:vAlign w:val="center"/>
                </w:tcPr>
                <w:p w14:paraId="2954A96D">
                  <w:pPr>
                    <w:keepNext w:val="0"/>
                    <w:keepLines w:val="0"/>
                    <w:suppressLineNumbers w:val="0"/>
                    <w:spacing w:before="0" w:beforeAutospacing="0" w:after="0" w:afterAutospacing="0"/>
                    <w:ind w:left="0" w:leftChars="0" w:right="0" w:rightChars="0"/>
                    <w:jc w:val="center"/>
                    <w:rPr>
                      <w:rFonts w:hint="eastAsia" w:ascii="Calibri" w:hAnsi="Calibri" w:eastAsia="宋体" w:cs="Times New Roman"/>
                      <w:color w:val="auto"/>
                      <w:szCs w:val="21"/>
                      <w:highlight w:val="none"/>
                      <w:lang w:val="en-US" w:eastAsia="zh-CN"/>
                    </w:rPr>
                  </w:pPr>
                  <w:r>
                    <w:rPr>
                      <w:rFonts w:hint="eastAsia" w:ascii="Calibri" w:hAnsi="Calibri" w:eastAsia="宋体" w:cs="Times New Roman"/>
                      <w:color w:val="auto"/>
                      <w:szCs w:val="21"/>
                      <w:highlight w:val="none"/>
                      <w:lang w:val="en-US" w:eastAsia="zh-CN"/>
                    </w:rPr>
                    <w:t>生产线停止运行</w:t>
                  </w:r>
                </w:p>
              </w:tc>
            </w:tr>
            <w:tr w14:paraId="3EF4D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dxa"/>
                  <w:noWrap w:val="0"/>
                  <w:vAlign w:val="center"/>
                </w:tcPr>
                <w:p w14:paraId="76CD9675">
                  <w:pPr>
                    <w:keepNext w:val="0"/>
                    <w:keepLines w:val="0"/>
                    <w:suppressLineNumbers w:val="0"/>
                    <w:adjustRightInd w:val="0"/>
                    <w:snapToGrid w:val="0"/>
                    <w:spacing w:before="0" w:beforeAutospacing="0" w:after="0" w:afterAutospacing="0"/>
                    <w:ind w:left="0" w:leftChars="0" w:right="0" w:rightChars="0"/>
                    <w:jc w:val="center"/>
                    <w:rPr>
                      <w:rFonts w:ascii="Calibri" w:hAnsi="Calibri" w:eastAsia="宋体" w:cs="Times New Roman"/>
                      <w:color w:val="auto"/>
                      <w:szCs w:val="21"/>
                      <w:highlight w:val="none"/>
                    </w:rPr>
                  </w:pPr>
                  <w:r>
                    <w:rPr>
                      <w:rFonts w:hint="eastAsia" w:ascii="Calibri" w:hAnsi="Calibri" w:cs="Times New Roman"/>
                      <w:color w:val="auto"/>
                      <w:szCs w:val="21"/>
                      <w:highlight w:val="none"/>
                      <w:lang w:val="en-US" w:eastAsia="zh-CN"/>
                    </w:rPr>
                    <w:t>4</w:t>
                  </w:r>
                </w:p>
              </w:tc>
              <w:tc>
                <w:tcPr>
                  <w:tcW w:w="1013" w:type="dxa"/>
                  <w:noWrap w:val="0"/>
                  <w:vAlign w:val="center"/>
                </w:tcPr>
                <w:p w14:paraId="69938EA9">
                  <w:pPr>
                    <w:keepNext w:val="0"/>
                    <w:keepLines w:val="0"/>
                    <w:suppressLineNumbers w:val="0"/>
                    <w:spacing w:before="0" w:beforeAutospacing="0" w:after="0" w:afterAutospacing="0"/>
                    <w:ind w:left="0" w:leftChars="0" w:right="0" w:rightChars="0"/>
                    <w:jc w:val="center"/>
                    <w:rPr>
                      <w:rFonts w:hint="eastAsia" w:ascii="Calibri" w:hAnsi="Calibri" w:cs="宋体"/>
                      <w:color w:val="auto"/>
                      <w:sz w:val="21"/>
                      <w:szCs w:val="21"/>
                      <w:highlight w:val="none"/>
                      <w:lang w:val="en-US" w:eastAsia="zh-CN"/>
                    </w:rPr>
                  </w:pPr>
                  <w:r>
                    <w:rPr>
                      <w:rFonts w:hint="eastAsia" w:cs="Times New Roman"/>
                      <w:i w:val="0"/>
                      <w:color w:val="auto"/>
                      <w:kern w:val="0"/>
                      <w:sz w:val="21"/>
                      <w:szCs w:val="21"/>
                      <w:highlight w:val="none"/>
                      <w:u w:val="none"/>
                      <w:shd w:val="clear" w:color="auto" w:fill="auto"/>
                      <w:lang w:val="en-US" w:eastAsia="zh-CN" w:bidi="ar"/>
                    </w:rPr>
                    <w:t>2#原料库房、</w:t>
                  </w:r>
                  <w:r>
                    <w:rPr>
                      <w:rFonts w:hint="eastAsia" w:cs="Times New Roman"/>
                      <w:color w:val="auto"/>
                      <w:sz w:val="21"/>
                      <w:szCs w:val="21"/>
                      <w:highlight w:val="none"/>
                      <w:shd w:val="clear" w:color="auto" w:fill="auto"/>
                      <w:lang w:val="en-US" w:eastAsia="zh-CN"/>
                    </w:rPr>
                    <w:t>5#</w:t>
                  </w:r>
                  <w:r>
                    <w:rPr>
                      <w:rFonts w:hint="default" w:ascii="Times New Roman" w:hAnsi="Times New Roman" w:eastAsia="宋体" w:cs="Times New Roman"/>
                      <w:color w:val="auto"/>
                      <w:sz w:val="21"/>
                      <w:szCs w:val="21"/>
                      <w:highlight w:val="none"/>
                      <w:shd w:val="clear" w:color="auto" w:fill="auto"/>
                      <w:lang w:eastAsia="zh-CN"/>
                    </w:rPr>
                    <w:t>生产</w:t>
                  </w:r>
                  <w:r>
                    <w:rPr>
                      <w:rFonts w:hint="eastAsia" w:cs="Times New Roman"/>
                      <w:color w:val="auto"/>
                      <w:sz w:val="21"/>
                      <w:szCs w:val="21"/>
                      <w:highlight w:val="none"/>
                      <w:shd w:val="clear" w:color="auto" w:fill="auto"/>
                      <w:lang w:eastAsia="zh-CN"/>
                    </w:rPr>
                    <w:t>线</w:t>
                  </w:r>
                  <w:r>
                    <w:rPr>
                      <w:rFonts w:hint="default" w:ascii="Times New Roman" w:hAnsi="Times New Roman" w:eastAsia="宋体" w:cs="Times New Roman"/>
                      <w:color w:val="auto"/>
                      <w:sz w:val="21"/>
                      <w:szCs w:val="21"/>
                      <w:highlight w:val="none"/>
                      <w:shd w:val="clear" w:color="auto" w:fill="auto"/>
                      <w:lang w:eastAsia="zh-CN"/>
                    </w:rPr>
                    <w:t>排气筒</w:t>
                  </w:r>
                </w:p>
              </w:tc>
              <w:tc>
                <w:tcPr>
                  <w:tcW w:w="915" w:type="dxa"/>
                  <w:noWrap w:val="0"/>
                  <w:vAlign w:val="center"/>
                </w:tcPr>
                <w:p w14:paraId="79620BEF">
                  <w:pPr>
                    <w:keepNext w:val="0"/>
                    <w:keepLines w:val="0"/>
                    <w:suppressLineNumbers w:val="0"/>
                    <w:adjustRightInd w:val="0"/>
                    <w:snapToGrid w:val="0"/>
                    <w:spacing w:before="0" w:beforeAutospacing="0" w:after="0" w:afterAutospacing="0"/>
                    <w:ind w:left="0" w:leftChars="0" w:right="0" w:rightChars="0"/>
                    <w:jc w:val="center"/>
                    <w:rPr>
                      <w:rFonts w:hint="eastAsia" w:ascii="Calibri" w:hAnsi="Calibri" w:eastAsia="宋体" w:cs="Times New Roman"/>
                      <w:color w:val="auto"/>
                      <w:szCs w:val="21"/>
                      <w:highlight w:val="none"/>
                      <w:lang w:eastAsia="zh-CN"/>
                    </w:rPr>
                  </w:pPr>
                  <w:r>
                    <w:rPr>
                      <w:rFonts w:hint="eastAsia" w:ascii="Calibri" w:hAnsi="Calibri" w:eastAsia="宋体" w:cs="Times New Roman"/>
                      <w:color w:val="auto"/>
                      <w:szCs w:val="21"/>
                      <w:highlight w:val="none"/>
                      <w:lang w:eastAsia="zh-CN"/>
                    </w:rPr>
                    <w:t>布袋除尘器故障</w:t>
                  </w:r>
                </w:p>
              </w:tc>
              <w:tc>
                <w:tcPr>
                  <w:tcW w:w="720" w:type="dxa"/>
                  <w:noWrap w:val="0"/>
                  <w:vAlign w:val="center"/>
                </w:tcPr>
                <w:p w14:paraId="29B0425F">
                  <w:pPr>
                    <w:keepNext w:val="0"/>
                    <w:keepLines w:val="0"/>
                    <w:suppressLineNumbers w:val="0"/>
                    <w:adjustRightInd w:val="0"/>
                    <w:snapToGrid w:val="0"/>
                    <w:spacing w:before="0" w:beforeAutospacing="0" w:after="0" w:afterAutospacing="0"/>
                    <w:ind w:left="0" w:leftChars="0" w:right="0" w:rightChars="0"/>
                    <w:jc w:val="center"/>
                    <w:rPr>
                      <w:rFonts w:hint="eastAsia" w:ascii="Calibri" w:hAnsi="Calibri" w:eastAsia="宋体" w:cs="Times New Roman"/>
                      <w:color w:val="auto"/>
                      <w:kern w:val="0"/>
                      <w:szCs w:val="21"/>
                      <w:highlight w:val="none"/>
                      <w:lang w:eastAsia="zh-CN" w:bidi="ar"/>
                    </w:rPr>
                  </w:pPr>
                  <w:r>
                    <w:rPr>
                      <w:rFonts w:hint="eastAsia" w:ascii="Calibri" w:hAnsi="Calibri" w:eastAsia="宋体" w:cs="Times New Roman"/>
                      <w:color w:val="auto"/>
                      <w:kern w:val="0"/>
                      <w:szCs w:val="21"/>
                      <w:highlight w:val="none"/>
                      <w:lang w:eastAsia="zh-CN" w:bidi="ar"/>
                    </w:rPr>
                    <w:t>颗粒物</w:t>
                  </w:r>
                </w:p>
              </w:tc>
              <w:tc>
                <w:tcPr>
                  <w:tcW w:w="1170" w:type="dxa"/>
                  <w:noWrap w:val="0"/>
                  <w:vAlign w:val="center"/>
                </w:tcPr>
                <w:p w14:paraId="45925DE2">
                  <w:pPr>
                    <w:keepNext w:val="0"/>
                    <w:keepLines w:val="0"/>
                    <w:widowControl/>
                    <w:suppressLineNumbers w:val="0"/>
                    <w:spacing w:before="0" w:beforeAutospacing="0" w:after="0" w:afterAutospacing="0"/>
                    <w:ind w:left="0" w:right="0"/>
                    <w:jc w:val="center"/>
                    <w:textAlignment w:val="bottom"/>
                    <w:rPr>
                      <w:rFonts w:hint="eastAsia" w:ascii="Calibri" w:hAnsi="Calibri" w:cs="Times New Roman"/>
                      <w:color w:val="auto"/>
                      <w:szCs w:val="21"/>
                      <w:highlight w:val="none"/>
                      <w:lang w:val="en-US" w:eastAsia="zh-CN"/>
                    </w:rPr>
                  </w:pPr>
                  <w:r>
                    <w:rPr>
                      <w:rFonts w:hint="default" w:ascii="Calibri" w:hAnsi="Calibri" w:eastAsia="宋体" w:cs="Calibri"/>
                      <w:i w:val="0"/>
                      <w:iCs w:val="0"/>
                      <w:color w:val="auto"/>
                      <w:kern w:val="0"/>
                      <w:sz w:val="21"/>
                      <w:szCs w:val="21"/>
                      <w:highlight w:val="none"/>
                      <w:u w:val="none"/>
                      <w:lang w:val="en-US" w:eastAsia="zh-CN" w:bidi="ar"/>
                    </w:rPr>
                    <w:t>5623.776</w:t>
                  </w:r>
                </w:p>
              </w:tc>
              <w:tc>
                <w:tcPr>
                  <w:tcW w:w="1065" w:type="dxa"/>
                  <w:noWrap w:val="0"/>
                  <w:vAlign w:val="center"/>
                </w:tcPr>
                <w:p w14:paraId="2B8FC9A2">
                  <w:pPr>
                    <w:keepNext w:val="0"/>
                    <w:keepLines w:val="0"/>
                    <w:widowControl/>
                    <w:suppressLineNumbers w:val="0"/>
                    <w:spacing w:before="0" w:beforeAutospacing="0" w:after="0" w:afterAutospacing="0"/>
                    <w:ind w:left="0" w:right="0"/>
                    <w:jc w:val="center"/>
                    <w:textAlignment w:val="bottom"/>
                    <w:rPr>
                      <w:rFonts w:hint="eastAsia" w:ascii="Calibri" w:hAnsi="Calibri" w:cs="Times New Roman"/>
                      <w:color w:val="auto"/>
                      <w:szCs w:val="21"/>
                      <w:highlight w:val="none"/>
                      <w:lang w:val="en-US" w:eastAsia="zh-CN"/>
                    </w:rPr>
                  </w:pPr>
                  <w:r>
                    <w:rPr>
                      <w:rFonts w:hint="default" w:ascii="Calibri" w:hAnsi="Calibri" w:eastAsia="宋体" w:cs="Calibri"/>
                      <w:i w:val="0"/>
                      <w:iCs w:val="0"/>
                      <w:color w:val="auto"/>
                      <w:kern w:val="0"/>
                      <w:sz w:val="21"/>
                      <w:szCs w:val="21"/>
                      <w:highlight w:val="none"/>
                      <w:u w:val="none"/>
                      <w:lang w:val="en-US" w:eastAsia="zh-CN" w:bidi="ar"/>
                    </w:rPr>
                    <w:t>60.765</w:t>
                  </w:r>
                </w:p>
              </w:tc>
              <w:tc>
                <w:tcPr>
                  <w:tcW w:w="885" w:type="dxa"/>
                  <w:noWrap w:val="0"/>
                  <w:vAlign w:val="center"/>
                </w:tcPr>
                <w:p w14:paraId="2FE0384A">
                  <w:pPr>
                    <w:keepNext w:val="0"/>
                    <w:keepLines w:val="0"/>
                    <w:widowControl/>
                    <w:suppressLineNumbers w:val="0"/>
                    <w:spacing w:before="0" w:beforeAutospacing="0" w:after="0" w:afterAutospacing="0"/>
                    <w:ind w:left="0" w:right="0"/>
                    <w:jc w:val="center"/>
                    <w:textAlignment w:val="bottom"/>
                    <w:rPr>
                      <w:rFonts w:hint="default" w:ascii="Calibri" w:hAnsi="Calibri" w:cs="Times New Roman"/>
                      <w:color w:val="auto"/>
                      <w:szCs w:val="21"/>
                      <w:highlight w:val="none"/>
                      <w:lang w:val="en-US" w:eastAsia="zh-CN"/>
                    </w:rPr>
                  </w:pPr>
                  <w:r>
                    <w:rPr>
                      <w:rFonts w:hint="default" w:ascii="Calibri" w:hAnsi="Calibri" w:eastAsia="宋体" w:cs="Calibri"/>
                      <w:i w:val="0"/>
                      <w:iCs w:val="0"/>
                      <w:color w:val="auto"/>
                      <w:kern w:val="0"/>
                      <w:sz w:val="21"/>
                      <w:szCs w:val="21"/>
                      <w:highlight w:val="none"/>
                      <w:u w:val="none"/>
                      <w:lang w:val="en-US" w:eastAsia="zh-CN" w:bidi="ar"/>
                    </w:rPr>
                    <w:t>0.03</w:t>
                  </w:r>
                </w:p>
              </w:tc>
              <w:tc>
                <w:tcPr>
                  <w:tcW w:w="696" w:type="dxa"/>
                  <w:noWrap w:val="0"/>
                  <w:vAlign w:val="center"/>
                </w:tcPr>
                <w:p w14:paraId="481A5D4F">
                  <w:pPr>
                    <w:keepNext w:val="0"/>
                    <w:keepLines w:val="0"/>
                    <w:suppressLineNumbers w:val="0"/>
                    <w:spacing w:before="0" w:beforeAutospacing="0" w:after="0" w:afterAutospacing="0"/>
                    <w:ind w:left="0" w:leftChars="0" w:right="0" w:rightChars="0"/>
                    <w:jc w:val="center"/>
                    <w:rPr>
                      <w:rFonts w:hint="eastAsia" w:ascii="Calibri" w:hAnsi="Calibri" w:eastAsia="宋体" w:cs="Times New Roman"/>
                      <w:color w:val="auto"/>
                      <w:szCs w:val="21"/>
                      <w:highlight w:val="none"/>
                      <w:lang w:val="en-US" w:eastAsia="zh-CN"/>
                    </w:rPr>
                  </w:pPr>
                  <w:r>
                    <w:rPr>
                      <w:rFonts w:hint="eastAsia" w:ascii="Calibri" w:hAnsi="Calibri" w:eastAsia="宋体" w:cs="Times New Roman"/>
                      <w:color w:val="auto"/>
                      <w:szCs w:val="21"/>
                      <w:highlight w:val="none"/>
                      <w:lang w:val="en-US" w:eastAsia="zh-CN"/>
                    </w:rPr>
                    <w:t>0.5</w:t>
                  </w:r>
                </w:p>
              </w:tc>
              <w:tc>
                <w:tcPr>
                  <w:tcW w:w="635" w:type="dxa"/>
                  <w:noWrap w:val="0"/>
                  <w:vAlign w:val="center"/>
                </w:tcPr>
                <w:p w14:paraId="23388145">
                  <w:pPr>
                    <w:keepNext w:val="0"/>
                    <w:keepLines w:val="0"/>
                    <w:suppressLineNumbers w:val="0"/>
                    <w:spacing w:before="0" w:beforeAutospacing="0" w:after="0" w:afterAutospacing="0"/>
                    <w:ind w:left="0" w:leftChars="0" w:right="0" w:rightChars="0"/>
                    <w:jc w:val="center"/>
                    <w:rPr>
                      <w:rFonts w:hint="default" w:ascii="Arial" w:hAnsi="Arial" w:eastAsia="宋体" w:cs="Arial"/>
                      <w:color w:val="auto"/>
                      <w:szCs w:val="21"/>
                      <w:highlight w:val="none"/>
                    </w:rPr>
                  </w:pPr>
                  <w:r>
                    <w:rPr>
                      <w:rFonts w:hint="default" w:ascii="Arial" w:hAnsi="Arial" w:eastAsia="宋体" w:cs="Arial"/>
                      <w:color w:val="auto"/>
                      <w:szCs w:val="21"/>
                      <w:highlight w:val="none"/>
                    </w:rPr>
                    <w:t>≤</w:t>
                  </w:r>
                  <w:r>
                    <w:rPr>
                      <w:rFonts w:hint="eastAsia" w:ascii="Calibri" w:hAnsi="Calibri" w:eastAsia="宋体" w:cs="Times New Roman"/>
                      <w:color w:val="auto"/>
                      <w:szCs w:val="21"/>
                      <w:highlight w:val="none"/>
                      <w:lang w:val="en-US" w:eastAsia="zh-CN"/>
                    </w:rPr>
                    <w:t>1</w:t>
                  </w:r>
                </w:p>
              </w:tc>
              <w:tc>
                <w:tcPr>
                  <w:tcW w:w="979" w:type="dxa"/>
                  <w:noWrap w:val="0"/>
                  <w:vAlign w:val="center"/>
                </w:tcPr>
                <w:p w14:paraId="1FB943F6">
                  <w:pPr>
                    <w:keepNext w:val="0"/>
                    <w:keepLines w:val="0"/>
                    <w:suppressLineNumbers w:val="0"/>
                    <w:spacing w:before="0" w:beforeAutospacing="0" w:after="0" w:afterAutospacing="0"/>
                    <w:ind w:left="0" w:leftChars="0" w:right="0" w:rightChars="0"/>
                    <w:jc w:val="center"/>
                    <w:rPr>
                      <w:rFonts w:hint="eastAsia" w:ascii="Calibri" w:hAnsi="Calibri" w:eastAsia="宋体" w:cs="Times New Roman"/>
                      <w:color w:val="auto"/>
                      <w:szCs w:val="21"/>
                      <w:highlight w:val="none"/>
                      <w:lang w:val="en-US" w:eastAsia="zh-CN"/>
                    </w:rPr>
                  </w:pPr>
                  <w:r>
                    <w:rPr>
                      <w:rFonts w:hint="eastAsia" w:ascii="Calibri" w:hAnsi="Calibri" w:eastAsia="宋体" w:cs="Times New Roman"/>
                      <w:color w:val="auto"/>
                      <w:szCs w:val="21"/>
                      <w:highlight w:val="none"/>
                      <w:lang w:val="en-US" w:eastAsia="zh-CN"/>
                    </w:rPr>
                    <w:t>生产线停止运行</w:t>
                  </w:r>
                </w:p>
              </w:tc>
            </w:tr>
          </w:tbl>
          <w:p w14:paraId="234436D4">
            <w:pPr>
              <w:pStyle w:val="10"/>
              <w:keepNext w:val="0"/>
              <w:keepLines w:val="0"/>
              <w:suppressLineNumbers w:val="0"/>
              <w:spacing w:before="0" w:beforeAutospacing="0" w:after="0" w:afterAutospacing="0" w:line="360" w:lineRule="auto"/>
              <w:ind w:left="0" w:right="0" w:firstLine="480" w:firstLineChars="200"/>
              <w:rPr>
                <w:rFonts w:hint="default" w:ascii="Calibri" w:hAnsi="Calibri" w:eastAsia="宋体" w:cs="Times New Roman"/>
                <w:color w:val="auto"/>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在环保治理设施故障、维修时，要求相关设备停止运行，待环保设施可正常运行后方可运行。采取以上措施后，本项目非正常工况排放的污染物对周围大气环境影响不大。</w:t>
            </w:r>
          </w:p>
          <w:p w14:paraId="19637637">
            <w:pPr>
              <w:pStyle w:val="11"/>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cs="Times New Roman"/>
                <w:b w:val="0"/>
                <w:bCs w:val="0"/>
                <w:color w:val="auto"/>
                <w:kern w:val="2"/>
                <w:sz w:val="24"/>
                <w:szCs w:val="24"/>
                <w:highlight w:val="none"/>
                <w:lang w:val="en-US" w:eastAsia="zh-CN" w:bidi="ar-SA"/>
              </w:rPr>
              <w:t>5</w:t>
            </w:r>
            <w:r>
              <w:rPr>
                <w:rFonts w:hint="eastAsia" w:ascii="Times New Roman" w:hAnsi="Times New Roman" w:eastAsia="宋体" w:cs="Times New Roman"/>
                <w:b w:val="0"/>
                <w:bCs w:val="0"/>
                <w:color w:val="auto"/>
                <w:kern w:val="2"/>
                <w:sz w:val="24"/>
                <w:szCs w:val="24"/>
                <w:highlight w:val="none"/>
                <w:lang w:val="en-US" w:eastAsia="zh-CN" w:bidi="ar-SA"/>
              </w:rPr>
              <w:t>、</w:t>
            </w:r>
            <w:r>
              <w:rPr>
                <w:rFonts w:hint="eastAsia" w:ascii="Times New Roman" w:hAnsi="Times New Roman" w:eastAsia="宋体" w:cs="Times New Roman"/>
                <w:color w:val="auto"/>
                <w:sz w:val="24"/>
                <w:szCs w:val="24"/>
                <w:highlight w:val="none"/>
                <w:lang w:val="en-US" w:eastAsia="zh-CN"/>
              </w:rPr>
              <w:t>自行监测要求</w:t>
            </w:r>
          </w:p>
          <w:p w14:paraId="05EDC2B3">
            <w:pPr>
              <w:pStyle w:val="11"/>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eastAsia="宋体" w:cs="Times New Roman"/>
                <w:b w:val="0"/>
                <w:bCs w:val="0"/>
                <w:color w:val="auto"/>
                <w:kern w:val="2"/>
                <w:sz w:val="24"/>
                <w:szCs w:val="24"/>
                <w:highlight w:val="none"/>
                <w:lang w:val="en-US" w:eastAsia="zh-CN" w:bidi="ar-SA"/>
              </w:rPr>
              <w:t xml:space="preserve">根据《排污单位自行监测技术指南 </w:t>
            </w:r>
            <w:r>
              <w:rPr>
                <w:rFonts w:hint="default" w:ascii="Times New Roman" w:hAnsi="Times New Roman" w:eastAsia="宋体" w:cs="Times New Roman"/>
                <w:color w:val="auto"/>
                <w:spacing w:val="0"/>
                <w:sz w:val="24"/>
                <w:szCs w:val="24"/>
                <w:highlight w:val="none"/>
              </w:rPr>
              <w:t>石墨及其他非金属矿物制品制造</w:t>
            </w:r>
            <w:r>
              <w:rPr>
                <w:rFonts w:hint="eastAsia" w:ascii="Times New Roman" w:hAnsi="Times New Roman" w:eastAsia="宋体" w:cs="Times New Roman"/>
                <w:b w:val="0"/>
                <w:bCs w:val="0"/>
                <w:color w:val="auto"/>
                <w:kern w:val="2"/>
                <w:sz w:val="24"/>
                <w:szCs w:val="24"/>
                <w:highlight w:val="none"/>
                <w:lang w:val="en-US" w:eastAsia="zh-CN" w:bidi="ar-SA"/>
              </w:rPr>
              <w:t>》（</w:t>
            </w:r>
            <w:r>
              <w:rPr>
                <w:rFonts w:hint="default" w:ascii="Times New Roman" w:hAnsi="Times New Roman" w:eastAsia="宋体" w:cs="Times New Roman"/>
                <w:color w:val="auto"/>
                <w:spacing w:val="0"/>
                <w:sz w:val="24"/>
                <w:szCs w:val="24"/>
                <w:highlight w:val="none"/>
              </w:rPr>
              <w:t>HJ1119-2020</w:t>
            </w:r>
            <w:r>
              <w:rPr>
                <w:rFonts w:hint="eastAsia" w:ascii="Times New Roman" w:hAnsi="Times New Roman" w:eastAsia="宋体" w:cs="Times New Roman"/>
                <w:b w:val="0"/>
                <w:bCs w:val="0"/>
                <w:color w:val="auto"/>
                <w:kern w:val="2"/>
                <w:sz w:val="24"/>
                <w:szCs w:val="24"/>
                <w:highlight w:val="none"/>
                <w:lang w:val="en-US" w:eastAsia="zh-CN" w:bidi="ar-SA"/>
              </w:rPr>
              <w:t>），本项目大气污染物自行监测要求如下表：</w:t>
            </w:r>
          </w:p>
          <w:p w14:paraId="3FC7B7AC">
            <w:pPr>
              <w:keepNext w:val="0"/>
              <w:keepLines w:val="0"/>
              <w:suppressLineNumbers w:val="0"/>
              <w:spacing w:before="0" w:beforeAutospacing="0" w:after="0" w:afterAutospacing="0" w:line="360" w:lineRule="auto"/>
              <w:ind w:left="0" w:right="0"/>
              <w:jc w:val="center"/>
              <w:rPr>
                <w:rFonts w:ascii="Calibri" w:hAnsi="Calibri" w:eastAsia="宋体" w:cs="Times New Roman"/>
                <w:color w:val="auto"/>
                <w:sz w:val="24"/>
                <w:highlight w:val="none"/>
              </w:rPr>
            </w:pPr>
            <w:r>
              <w:rPr>
                <w:rFonts w:ascii="Calibri" w:hAnsi="Calibri" w:eastAsia="宋体" w:cs="Times New Roman"/>
                <w:color w:val="auto"/>
                <w:sz w:val="24"/>
                <w:highlight w:val="none"/>
              </w:rPr>
              <w:t>表</w:t>
            </w:r>
            <w:r>
              <w:rPr>
                <w:rFonts w:hint="eastAsia" w:ascii="Calibri" w:hAnsi="Calibri" w:cs="Times New Roman"/>
                <w:color w:val="auto"/>
                <w:sz w:val="24"/>
                <w:highlight w:val="none"/>
                <w:shd w:val="clear" w:color="auto" w:fill="auto"/>
                <w:lang w:val="en-US" w:eastAsia="zh-CN"/>
              </w:rPr>
              <w:t>4-11</w:t>
            </w:r>
            <w:r>
              <w:rPr>
                <w:rFonts w:ascii="Calibri" w:hAnsi="Calibri" w:eastAsia="宋体" w:cs="Times New Roman"/>
                <w:color w:val="auto"/>
                <w:sz w:val="24"/>
                <w:highlight w:val="none"/>
              </w:rPr>
              <w:t xml:space="preserve">  环境监测一览表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331"/>
              <w:gridCol w:w="1100"/>
              <w:gridCol w:w="1040"/>
              <w:gridCol w:w="1214"/>
              <w:gridCol w:w="2717"/>
              <w:gridCol w:w="957"/>
            </w:tblGrid>
            <w:tr w14:paraId="7BB30E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65" w:hRule="atLeast"/>
                <w:jc w:val="center"/>
              </w:trPr>
              <w:tc>
                <w:tcPr>
                  <w:tcW w:w="1454" w:type="pct"/>
                  <w:gridSpan w:val="2"/>
                  <w:noWrap w:val="0"/>
                  <w:vAlign w:val="center"/>
                </w:tcPr>
                <w:p w14:paraId="77A511D4">
                  <w:pPr>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监测点</w:t>
                  </w:r>
                </w:p>
              </w:tc>
              <w:tc>
                <w:tcPr>
                  <w:tcW w:w="622" w:type="pct"/>
                  <w:vMerge w:val="restart"/>
                  <w:noWrap w:val="0"/>
                  <w:vAlign w:val="center"/>
                </w:tcPr>
                <w:p w14:paraId="0F2B8416">
                  <w:pPr>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监测项目</w:t>
                  </w:r>
                </w:p>
              </w:tc>
              <w:tc>
                <w:tcPr>
                  <w:tcW w:w="726" w:type="pct"/>
                  <w:vMerge w:val="restart"/>
                  <w:noWrap w:val="0"/>
                  <w:vAlign w:val="center"/>
                </w:tcPr>
                <w:p w14:paraId="56824ECD">
                  <w:pPr>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监测方法</w:t>
                  </w:r>
                </w:p>
              </w:tc>
              <w:tc>
                <w:tcPr>
                  <w:tcW w:w="1625" w:type="pct"/>
                  <w:vMerge w:val="restart"/>
                  <w:noWrap w:val="0"/>
                  <w:vAlign w:val="center"/>
                </w:tcPr>
                <w:p w14:paraId="543BF956">
                  <w:pPr>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执行标准</w:t>
                  </w:r>
                </w:p>
              </w:tc>
              <w:tc>
                <w:tcPr>
                  <w:tcW w:w="572" w:type="pct"/>
                  <w:vMerge w:val="restart"/>
                  <w:noWrap w:val="0"/>
                  <w:vAlign w:val="center"/>
                </w:tcPr>
                <w:p w14:paraId="1D95C22C">
                  <w:pPr>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监测频率</w:t>
                  </w:r>
                </w:p>
              </w:tc>
            </w:tr>
            <w:tr w14:paraId="5659D2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65" w:hRule="atLeast"/>
                <w:jc w:val="center"/>
              </w:trPr>
              <w:tc>
                <w:tcPr>
                  <w:tcW w:w="796" w:type="pct"/>
                  <w:noWrap w:val="0"/>
                  <w:vAlign w:val="center"/>
                </w:tcPr>
                <w:p w14:paraId="547DB0BA">
                  <w:pPr>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位置</w:t>
                  </w:r>
                </w:p>
              </w:tc>
              <w:tc>
                <w:tcPr>
                  <w:tcW w:w="657" w:type="pct"/>
                  <w:noWrap w:val="0"/>
                  <w:vAlign w:val="center"/>
                </w:tcPr>
                <w:p w14:paraId="06E47134">
                  <w:pPr>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个数</w:t>
                  </w:r>
                </w:p>
              </w:tc>
              <w:tc>
                <w:tcPr>
                  <w:tcW w:w="622" w:type="pct"/>
                  <w:vMerge w:val="continue"/>
                  <w:noWrap w:val="0"/>
                  <w:vAlign w:val="center"/>
                </w:tcPr>
                <w:p w14:paraId="50E8D8D6">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highlight w:val="none"/>
                    </w:rPr>
                  </w:pPr>
                </w:p>
              </w:tc>
              <w:tc>
                <w:tcPr>
                  <w:tcW w:w="726" w:type="pct"/>
                  <w:vMerge w:val="continue"/>
                  <w:noWrap w:val="0"/>
                  <w:vAlign w:val="center"/>
                </w:tcPr>
                <w:p w14:paraId="5B152FA2">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highlight w:val="none"/>
                    </w:rPr>
                  </w:pPr>
                </w:p>
              </w:tc>
              <w:tc>
                <w:tcPr>
                  <w:tcW w:w="1625" w:type="pct"/>
                  <w:vMerge w:val="continue"/>
                  <w:noWrap w:val="0"/>
                  <w:vAlign w:val="center"/>
                </w:tcPr>
                <w:p w14:paraId="17DFCCB3">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highlight w:val="none"/>
                    </w:rPr>
                  </w:pPr>
                </w:p>
              </w:tc>
              <w:tc>
                <w:tcPr>
                  <w:tcW w:w="572" w:type="pct"/>
                  <w:vMerge w:val="continue"/>
                  <w:noWrap w:val="0"/>
                  <w:vAlign w:val="center"/>
                </w:tcPr>
                <w:p w14:paraId="41888628">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highlight w:val="none"/>
                    </w:rPr>
                  </w:pPr>
                </w:p>
              </w:tc>
            </w:tr>
            <w:tr w14:paraId="474E4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929" w:hRule="atLeast"/>
                <w:jc w:val="center"/>
              </w:trPr>
              <w:tc>
                <w:tcPr>
                  <w:tcW w:w="796" w:type="pct"/>
                  <w:noWrap w:val="0"/>
                  <w:vAlign w:val="center"/>
                </w:tcPr>
                <w:p w14:paraId="2E999BD1">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color w:val="auto"/>
                      <w:kern w:val="0"/>
                      <w:sz w:val="21"/>
                      <w:szCs w:val="21"/>
                      <w:highlight w:val="none"/>
                      <w:lang w:val="en-US" w:eastAsia="zh-CN" w:bidi="ar-SA"/>
                    </w:rPr>
                  </w:pPr>
                  <w:r>
                    <w:rPr>
                      <w:rFonts w:hint="eastAsia" w:cs="Times New Roman"/>
                      <w:i w:val="0"/>
                      <w:color w:val="auto"/>
                      <w:kern w:val="0"/>
                      <w:sz w:val="21"/>
                      <w:szCs w:val="21"/>
                      <w:highlight w:val="none"/>
                      <w:u w:val="none"/>
                      <w:shd w:val="clear" w:color="auto" w:fill="auto"/>
                      <w:lang w:val="en-US" w:eastAsia="zh-CN" w:bidi="ar"/>
                    </w:rPr>
                    <w:t>1#原料库房、</w:t>
                  </w:r>
                  <w:r>
                    <w:rPr>
                      <w:rFonts w:hint="eastAsia" w:cs="Times New Roman"/>
                      <w:color w:val="auto"/>
                      <w:sz w:val="21"/>
                      <w:szCs w:val="21"/>
                      <w:highlight w:val="none"/>
                      <w:shd w:val="clear" w:color="auto" w:fill="auto"/>
                      <w:lang w:val="en-US" w:eastAsia="zh-CN"/>
                    </w:rPr>
                    <w:t>1#、2#</w:t>
                  </w:r>
                  <w:r>
                    <w:rPr>
                      <w:rFonts w:hint="default" w:ascii="Times New Roman" w:hAnsi="Times New Roman" w:eastAsia="宋体" w:cs="Times New Roman"/>
                      <w:color w:val="auto"/>
                      <w:sz w:val="21"/>
                      <w:szCs w:val="21"/>
                      <w:highlight w:val="none"/>
                      <w:shd w:val="clear" w:color="auto" w:fill="auto"/>
                      <w:lang w:eastAsia="zh-CN"/>
                    </w:rPr>
                    <w:t>生产</w:t>
                  </w:r>
                  <w:r>
                    <w:rPr>
                      <w:rFonts w:hint="eastAsia" w:cs="Times New Roman"/>
                      <w:color w:val="auto"/>
                      <w:sz w:val="21"/>
                      <w:szCs w:val="21"/>
                      <w:highlight w:val="none"/>
                      <w:shd w:val="clear" w:color="auto" w:fill="auto"/>
                      <w:lang w:eastAsia="zh-CN"/>
                    </w:rPr>
                    <w:t>线</w:t>
                  </w:r>
                  <w:r>
                    <w:rPr>
                      <w:rFonts w:hint="default" w:ascii="Times New Roman" w:hAnsi="Times New Roman" w:eastAsia="宋体" w:cs="Times New Roman"/>
                      <w:color w:val="auto"/>
                      <w:sz w:val="21"/>
                      <w:szCs w:val="21"/>
                      <w:highlight w:val="none"/>
                      <w:shd w:val="clear" w:color="auto" w:fill="auto"/>
                      <w:lang w:eastAsia="zh-CN"/>
                    </w:rPr>
                    <w:t>排气筒</w:t>
                  </w:r>
                  <w:r>
                    <w:rPr>
                      <w:rFonts w:hint="eastAsia" w:cs="Times New Roman"/>
                      <w:color w:val="auto"/>
                      <w:sz w:val="21"/>
                      <w:szCs w:val="21"/>
                      <w:highlight w:val="none"/>
                      <w:shd w:val="clear" w:color="auto" w:fill="auto"/>
                      <w:lang w:val="en-US" w:eastAsia="zh-CN"/>
                    </w:rPr>
                    <w:t>DA001</w:t>
                  </w:r>
                </w:p>
              </w:tc>
              <w:tc>
                <w:tcPr>
                  <w:tcW w:w="657" w:type="pct"/>
                  <w:noWrap w:val="0"/>
                  <w:vAlign w:val="center"/>
                </w:tcPr>
                <w:p w14:paraId="6DEEE296">
                  <w:pPr>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w:t>
                  </w:r>
                </w:p>
              </w:tc>
              <w:tc>
                <w:tcPr>
                  <w:tcW w:w="622" w:type="pct"/>
                  <w:noWrap w:val="0"/>
                  <w:vAlign w:val="center"/>
                </w:tcPr>
                <w:p w14:paraId="5C22BAB8">
                  <w:pPr>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eastAsia="zh-CN"/>
                    </w:rPr>
                    <w:t>颗粒物</w:t>
                  </w:r>
                </w:p>
              </w:tc>
              <w:tc>
                <w:tcPr>
                  <w:tcW w:w="726" w:type="pct"/>
                  <w:noWrap w:val="0"/>
                  <w:vAlign w:val="center"/>
                </w:tcPr>
                <w:p w14:paraId="6F81FA8D">
                  <w:pPr>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手工监测</w:t>
                  </w:r>
                </w:p>
              </w:tc>
              <w:tc>
                <w:tcPr>
                  <w:tcW w:w="1625" w:type="pct"/>
                  <w:noWrap w:val="0"/>
                  <w:vAlign w:val="center"/>
                </w:tcPr>
                <w:p w14:paraId="2BFD16F4">
                  <w:pPr>
                    <w:pStyle w:val="16"/>
                    <w:keepNext w:val="0"/>
                    <w:keepLines w:val="0"/>
                    <w:numPr>
                      <w:ilvl w:val="0"/>
                      <w:numId w:val="0"/>
                    </w:numPr>
                    <w:suppressLineNumbers w:val="0"/>
                    <w:spacing w:before="0" w:beforeAutospacing="0" w:after="0" w:afterAutospacing="0" w:line="240" w:lineRule="auto"/>
                    <w:ind w:left="0" w:leftChars="0" w:right="0" w:firstLine="0" w:firstLineChars="0"/>
                    <w:jc w:val="center"/>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vertAlign w:val="baseline"/>
                      <w:lang w:val="en-US" w:eastAsia="zh-CN"/>
                    </w:rPr>
                    <w:t>《镁质耐火材料工业大气污染物排放标准》（DB21/3011-2018）中表2的颗粒物排放限值：30mg/m</w:t>
                  </w:r>
                  <w:r>
                    <w:rPr>
                      <w:rFonts w:hint="default" w:ascii="Times New Roman" w:hAnsi="Times New Roman" w:cs="Times New Roman" w:eastAsiaTheme="minorEastAsia"/>
                      <w:color w:val="auto"/>
                      <w:sz w:val="21"/>
                      <w:szCs w:val="21"/>
                      <w:highlight w:val="none"/>
                      <w:vertAlign w:val="superscript"/>
                      <w:lang w:val="en-US" w:eastAsia="zh-CN"/>
                    </w:rPr>
                    <w:t>3</w:t>
                  </w:r>
                </w:p>
              </w:tc>
              <w:tc>
                <w:tcPr>
                  <w:tcW w:w="572" w:type="pct"/>
                  <w:noWrap w:val="0"/>
                  <w:vAlign w:val="center"/>
                </w:tcPr>
                <w:p w14:paraId="4657381C">
                  <w:pPr>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1次/年</w:t>
                  </w:r>
                </w:p>
              </w:tc>
            </w:tr>
            <w:tr w14:paraId="7DDF7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929" w:hRule="atLeast"/>
                <w:jc w:val="center"/>
              </w:trPr>
              <w:tc>
                <w:tcPr>
                  <w:tcW w:w="796" w:type="pct"/>
                  <w:noWrap w:val="0"/>
                  <w:vAlign w:val="center"/>
                </w:tcPr>
                <w:p w14:paraId="21779B70">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color w:val="auto"/>
                      <w:kern w:val="0"/>
                      <w:sz w:val="21"/>
                      <w:szCs w:val="21"/>
                      <w:highlight w:val="none"/>
                      <w:lang w:val="en-US" w:eastAsia="zh-CN" w:bidi="ar-SA"/>
                    </w:rPr>
                  </w:pPr>
                  <w:r>
                    <w:rPr>
                      <w:rFonts w:hint="eastAsia" w:cs="Times New Roman"/>
                      <w:color w:val="auto"/>
                      <w:sz w:val="21"/>
                      <w:szCs w:val="21"/>
                      <w:highlight w:val="none"/>
                      <w:shd w:val="clear" w:color="auto" w:fill="auto"/>
                      <w:lang w:val="en-US" w:eastAsia="zh-CN"/>
                    </w:rPr>
                    <w:t>3#</w:t>
                  </w:r>
                  <w:r>
                    <w:rPr>
                      <w:rFonts w:hint="default" w:ascii="Times New Roman" w:hAnsi="Times New Roman" w:eastAsia="宋体" w:cs="Times New Roman"/>
                      <w:color w:val="auto"/>
                      <w:sz w:val="21"/>
                      <w:szCs w:val="21"/>
                      <w:highlight w:val="none"/>
                      <w:shd w:val="clear" w:color="auto" w:fill="auto"/>
                      <w:lang w:eastAsia="zh-CN"/>
                    </w:rPr>
                    <w:t>生产</w:t>
                  </w:r>
                  <w:r>
                    <w:rPr>
                      <w:rFonts w:hint="eastAsia" w:cs="Times New Roman"/>
                      <w:color w:val="auto"/>
                      <w:sz w:val="21"/>
                      <w:szCs w:val="21"/>
                      <w:highlight w:val="none"/>
                      <w:shd w:val="clear" w:color="auto" w:fill="auto"/>
                      <w:lang w:eastAsia="zh-CN"/>
                    </w:rPr>
                    <w:t>线</w:t>
                  </w:r>
                  <w:r>
                    <w:rPr>
                      <w:rFonts w:hint="default" w:ascii="Times New Roman" w:hAnsi="Times New Roman" w:eastAsia="宋体" w:cs="Times New Roman"/>
                      <w:color w:val="auto"/>
                      <w:sz w:val="21"/>
                      <w:szCs w:val="21"/>
                      <w:highlight w:val="none"/>
                      <w:shd w:val="clear" w:color="auto" w:fill="auto"/>
                      <w:lang w:eastAsia="zh-CN"/>
                    </w:rPr>
                    <w:t>排气筒</w:t>
                  </w:r>
                  <w:r>
                    <w:rPr>
                      <w:rFonts w:hint="eastAsia" w:cs="Times New Roman"/>
                      <w:color w:val="auto"/>
                      <w:sz w:val="21"/>
                      <w:szCs w:val="21"/>
                      <w:highlight w:val="none"/>
                      <w:shd w:val="clear" w:color="auto" w:fill="auto"/>
                      <w:lang w:val="en-US" w:eastAsia="zh-CN"/>
                    </w:rPr>
                    <w:t>DA002</w:t>
                  </w:r>
                </w:p>
              </w:tc>
              <w:tc>
                <w:tcPr>
                  <w:tcW w:w="657" w:type="pct"/>
                  <w:noWrap w:val="0"/>
                  <w:vAlign w:val="center"/>
                </w:tcPr>
                <w:p w14:paraId="694BFDD7">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w:t>
                  </w:r>
                </w:p>
              </w:tc>
              <w:tc>
                <w:tcPr>
                  <w:tcW w:w="622" w:type="pct"/>
                  <w:noWrap w:val="0"/>
                  <w:vAlign w:val="center"/>
                </w:tcPr>
                <w:p w14:paraId="06393174">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颗粒物</w:t>
                  </w:r>
                </w:p>
              </w:tc>
              <w:tc>
                <w:tcPr>
                  <w:tcW w:w="726" w:type="pct"/>
                  <w:noWrap w:val="0"/>
                  <w:vAlign w:val="center"/>
                </w:tcPr>
                <w:p w14:paraId="6E32A3DC">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手工监测</w:t>
                  </w:r>
                </w:p>
              </w:tc>
              <w:tc>
                <w:tcPr>
                  <w:tcW w:w="1625" w:type="pct"/>
                  <w:noWrap w:val="0"/>
                  <w:vAlign w:val="center"/>
                </w:tcPr>
                <w:p w14:paraId="3143626F">
                  <w:pPr>
                    <w:pStyle w:val="16"/>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sz w:val="21"/>
                      <w:szCs w:val="21"/>
                      <w:highlight w:val="none"/>
                      <w:vertAlign w:val="baseline"/>
                      <w:lang w:val="en-US" w:eastAsia="zh-CN"/>
                    </w:rPr>
                    <w:t>《镁质耐火材料工业大气污染物排放标准》（DB21/3011-2018）中表2的颗粒物排放限值：30mg/m</w:t>
                  </w:r>
                  <w:r>
                    <w:rPr>
                      <w:rFonts w:hint="default" w:ascii="Times New Roman" w:hAnsi="Times New Roman" w:cs="Times New Roman" w:eastAsiaTheme="minorEastAsia"/>
                      <w:color w:val="auto"/>
                      <w:sz w:val="21"/>
                      <w:szCs w:val="21"/>
                      <w:highlight w:val="none"/>
                      <w:vertAlign w:val="superscript"/>
                      <w:lang w:val="en-US" w:eastAsia="zh-CN"/>
                    </w:rPr>
                    <w:t>3</w:t>
                  </w:r>
                </w:p>
              </w:tc>
              <w:tc>
                <w:tcPr>
                  <w:tcW w:w="572" w:type="pct"/>
                  <w:noWrap w:val="0"/>
                  <w:vAlign w:val="center"/>
                </w:tcPr>
                <w:p w14:paraId="593CA79A">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1次/年</w:t>
                  </w:r>
                </w:p>
              </w:tc>
            </w:tr>
            <w:tr w14:paraId="3D676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929" w:hRule="atLeast"/>
                <w:jc w:val="center"/>
              </w:trPr>
              <w:tc>
                <w:tcPr>
                  <w:tcW w:w="796" w:type="pct"/>
                  <w:noWrap w:val="0"/>
                  <w:vAlign w:val="center"/>
                </w:tcPr>
                <w:p w14:paraId="07C44219">
                  <w:pPr>
                    <w:keepNext w:val="0"/>
                    <w:keepLines w:val="0"/>
                    <w:suppressLineNumbers w:val="0"/>
                    <w:spacing w:before="0" w:beforeAutospacing="0" w:after="0" w:afterAutospacing="0"/>
                    <w:ind w:left="0" w:leftChars="0" w:right="0" w:rightChars="0"/>
                    <w:jc w:val="center"/>
                    <w:rPr>
                      <w:rFonts w:hint="default" w:ascii="Calibri" w:hAnsi="Calibri" w:cs="宋体"/>
                      <w:color w:val="auto"/>
                      <w:sz w:val="21"/>
                      <w:szCs w:val="21"/>
                      <w:highlight w:val="none"/>
                      <w:lang w:val="en-US" w:eastAsia="zh-CN"/>
                    </w:rPr>
                  </w:pPr>
                  <w:r>
                    <w:rPr>
                      <w:rFonts w:hint="eastAsia" w:cs="Times New Roman"/>
                      <w:color w:val="auto"/>
                      <w:sz w:val="21"/>
                      <w:szCs w:val="21"/>
                      <w:highlight w:val="none"/>
                      <w:shd w:val="clear" w:color="auto" w:fill="auto"/>
                      <w:lang w:val="en-US" w:eastAsia="zh-CN"/>
                    </w:rPr>
                    <w:t>4#</w:t>
                  </w:r>
                  <w:r>
                    <w:rPr>
                      <w:rFonts w:hint="default" w:ascii="Times New Roman" w:hAnsi="Times New Roman" w:eastAsia="宋体" w:cs="Times New Roman"/>
                      <w:color w:val="auto"/>
                      <w:sz w:val="21"/>
                      <w:szCs w:val="21"/>
                      <w:highlight w:val="none"/>
                      <w:shd w:val="clear" w:color="auto" w:fill="auto"/>
                      <w:lang w:eastAsia="zh-CN"/>
                    </w:rPr>
                    <w:t>生产</w:t>
                  </w:r>
                  <w:r>
                    <w:rPr>
                      <w:rFonts w:hint="eastAsia" w:cs="Times New Roman"/>
                      <w:color w:val="auto"/>
                      <w:sz w:val="21"/>
                      <w:szCs w:val="21"/>
                      <w:highlight w:val="none"/>
                      <w:shd w:val="clear" w:color="auto" w:fill="auto"/>
                      <w:lang w:eastAsia="zh-CN"/>
                    </w:rPr>
                    <w:t>线</w:t>
                  </w:r>
                  <w:r>
                    <w:rPr>
                      <w:rFonts w:hint="default" w:ascii="Times New Roman" w:hAnsi="Times New Roman" w:eastAsia="宋体" w:cs="Times New Roman"/>
                      <w:color w:val="auto"/>
                      <w:sz w:val="21"/>
                      <w:szCs w:val="21"/>
                      <w:highlight w:val="none"/>
                      <w:shd w:val="clear" w:color="auto" w:fill="auto"/>
                      <w:lang w:eastAsia="zh-CN"/>
                    </w:rPr>
                    <w:t>排气筒</w:t>
                  </w:r>
                  <w:r>
                    <w:rPr>
                      <w:rFonts w:hint="eastAsia" w:cs="Times New Roman"/>
                      <w:color w:val="auto"/>
                      <w:sz w:val="21"/>
                      <w:szCs w:val="21"/>
                      <w:highlight w:val="none"/>
                      <w:shd w:val="clear" w:color="auto" w:fill="auto"/>
                      <w:lang w:val="en-US" w:eastAsia="zh-CN"/>
                    </w:rPr>
                    <w:t>DA003</w:t>
                  </w:r>
                </w:p>
              </w:tc>
              <w:tc>
                <w:tcPr>
                  <w:tcW w:w="657" w:type="pct"/>
                  <w:noWrap w:val="0"/>
                  <w:vAlign w:val="center"/>
                </w:tcPr>
                <w:p w14:paraId="1AABFD47">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w:t>
                  </w:r>
                </w:p>
              </w:tc>
              <w:tc>
                <w:tcPr>
                  <w:tcW w:w="622" w:type="pct"/>
                  <w:noWrap w:val="0"/>
                  <w:vAlign w:val="center"/>
                </w:tcPr>
                <w:p w14:paraId="44B46FDB">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颗粒物</w:t>
                  </w:r>
                </w:p>
              </w:tc>
              <w:tc>
                <w:tcPr>
                  <w:tcW w:w="726" w:type="pct"/>
                  <w:noWrap w:val="0"/>
                  <w:vAlign w:val="center"/>
                </w:tcPr>
                <w:p w14:paraId="7C283F02">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手工监测</w:t>
                  </w:r>
                </w:p>
              </w:tc>
              <w:tc>
                <w:tcPr>
                  <w:tcW w:w="1625" w:type="pct"/>
                  <w:noWrap w:val="0"/>
                  <w:vAlign w:val="center"/>
                </w:tcPr>
                <w:p w14:paraId="0AC853AC">
                  <w:pPr>
                    <w:pStyle w:val="16"/>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sz w:val="21"/>
                      <w:szCs w:val="21"/>
                      <w:highlight w:val="none"/>
                      <w:vertAlign w:val="baseline"/>
                      <w:lang w:val="en-US" w:eastAsia="zh-CN"/>
                    </w:rPr>
                    <w:t>《镁质耐火材料工业大气污染物排放标准》（DB21/3011-2018）中表2的颗粒物排放限值：30mg/m</w:t>
                  </w:r>
                  <w:r>
                    <w:rPr>
                      <w:rFonts w:hint="default" w:ascii="Times New Roman" w:hAnsi="Times New Roman" w:cs="Times New Roman" w:eastAsiaTheme="minorEastAsia"/>
                      <w:color w:val="auto"/>
                      <w:sz w:val="21"/>
                      <w:szCs w:val="21"/>
                      <w:highlight w:val="none"/>
                      <w:vertAlign w:val="superscript"/>
                      <w:lang w:val="en-US" w:eastAsia="zh-CN"/>
                    </w:rPr>
                    <w:t>3</w:t>
                  </w:r>
                </w:p>
              </w:tc>
              <w:tc>
                <w:tcPr>
                  <w:tcW w:w="572" w:type="pct"/>
                  <w:noWrap w:val="0"/>
                  <w:vAlign w:val="center"/>
                </w:tcPr>
                <w:p w14:paraId="700C097C">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1次/年</w:t>
                  </w:r>
                </w:p>
              </w:tc>
            </w:tr>
            <w:tr w14:paraId="60C6D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929" w:hRule="atLeast"/>
                <w:jc w:val="center"/>
              </w:trPr>
              <w:tc>
                <w:tcPr>
                  <w:tcW w:w="796" w:type="pct"/>
                  <w:noWrap w:val="0"/>
                  <w:vAlign w:val="center"/>
                </w:tcPr>
                <w:p w14:paraId="22F2F1D4">
                  <w:pPr>
                    <w:keepNext w:val="0"/>
                    <w:keepLines w:val="0"/>
                    <w:suppressLineNumbers w:val="0"/>
                    <w:spacing w:before="0" w:beforeAutospacing="0" w:after="0" w:afterAutospacing="0"/>
                    <w:ind w:left="0" w:leftChars="0" w:right="0" w:rightChars="0"/>
                    <w:jc w:val="center"/>
                    <w:rPr>
                      <w:rFonts w:hint="default" w:ascii="Calibri" w:hAnsi="Calibri" w:cs="宋体"/>
                      <w:color w:val="auto"/>
                      <w:sz w:val="21"/>
                      <w:szCs w:val="21"/>
                      <w:highlight w:val="none"/>
                      <w:lang w:val="en-US" w:eastAsia="zh-CN"/>
                    </w:rPr>
                  </w:pPr>
                  <w:r>
                    <w:rPr>
                      <w:rFonts w:hint="eastAsia" w:cs="Times New Roman"/>
                      <w:i w:val="0"/>
                      <w:color w:val="auto"/>
                      <w:kern w:val="0"/>
                      <w:sz w:val="21"/>
                      <w:szCs w:val="21"/>
                      <w:highlight w:val="none"/>
                      <w:u w:val="none"/>
                      <w:shd w:val="clear" w:color="auto" w:fill="auto"/>
                      <w:lang w:val="en-US" w:eastAsia="zh-CN" w:bidi="ar"/>
                    </w:rPr>
                    <w:t>2#原料库房、</w:t>
                  </w:r>
                  <w:r>
                    <w:rPr>
                      <w:rFonts w:hint="eastAsia" w:cs="Times New Roman"/>
                      <w:color w:val="auto"/>
                      <w:sz w:val="21"/>
                      <w:szCs w:val="21"/>
                      <w:highlight w:val="none"/>
                      <w:shd w:val="clear" w:color="auto" w:fill="auto"/>
                      <w:lang w:val="en-US" w:eastAsia="zh-CN"/>
                    </w:rPr>
                    <w:t>5#</w:t>
                  </w:r>
                  <w:r>
                    <w:rPr>
                      <w:rFonts w:hint="default" w:ascii="Times New Roman" w:hAnsi="Times New Roman" w:eastAsia="宋体" w:cs="Times New Roman"/>
                      <w:color w:val="auto"/>
                      <w:sz w:val="21"/>
                      <w:szCs w:val="21"/>
                      <w:highlight w:val="none"/>
                      <w:shd w:val="clear" w:color="auto" w:fill="auto"/>
                      <w:lang w:eastAsia="zh-CN"/>
                    </w:rPr>
                    <w:t>生产</w:t>
                  </w:r>
                  <w:r>
                    <w:rPr>
                      <w:rFonts w:hint="eastAsia" w:cs="Times New Roman"/>
                      <w:color w:val="auto"/>
                      <w:sz w:val="21"/>
                      <w:szCs w:val="21"/>
                      <w:highlight w:val="none"/>
                      <w:shd w:val="clear" w:color="auto" w:fill="auto"/>
                      <w:lang w:eastAsia="zh-CN"/>
                    </w:rPr>
                    <w:t>线</w:t>
                  </w:r>
                  <w:r>
                    <w:rPr>
                      <w:rFonts w:hint="default" w:ascii="Times New Roman" w:hAnsi="Times New Roman" w:eastAsia="宋体" w:cs="Times New Roman"/>
                      <w:color w:val="auto"/>
                      <w:sz w:val="21"/>
                      <w:szCs w:val="21"/>
                      <w:highlight w:val="none"/>
                      <w:shd w:val="clear" w:color="auto" w:fill="auto"/>
                      <w:lang w:eastAsia="zh-CN"/>
                    </w:rPr>
                    <w:t>排气筒</w:t>
                  </w:r>
                  <w:r>
                    <w:rPr>
                      <w:rFonts w:hint="eastAsia" w:cs="Times New Roman"/>
                      <w:color w:val="auto"/>
                      <w:sz w:val="21"/>
                      <w:szCs w:val="21"/>
                      <w:highlight w:val="none"/>
                      <w:shd w:val="clear" w:color="auto" w:fill="auto"/>
                      <w:lang w:val="en-US" w:eastAsia="zh-CN"/>
                    </w:rPr>
                    <w:t>DA004</w:t>
                  </w:r>
                </w:p>
              </w:tc>
              <w:tc>
                <w:tcPr>
                  <w:tcW w:w="657" w:type="pct"/>
                  <w:noWrap w:val="0"/>
                  <w:vAlign w:val="center"/>
                </w:tcPr>
                <w:p w14:paraId="75EF10B2">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w:t>
                  </w:r>
                </w:p>
              </w:tc>
              <w:tc>
                <w:tcPr>
                  <w:tcW w:w="622" w:type="pct"/>
                  <w:noWrap w:val="0"/>
                  <w:vAlign w:val="center"/>
                </w:tcPr>
                <w:p w14:paraId="11734793">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颗粒物</w:t>
                  </w:r>
                </w:p>
              </w:tc>
              <w:tc>
                <w:tcPr>
                  <w:tcW w:w="726" w:type="pct"/>
                  <w:noWrap w:val="0"/>
                  <w:vAlign w:val="center"/>
                </w:tcPr>
                <w:p w14:paraId="07A9C837">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手工监测</w:t>
                  </w:r>
                </w:p>
              </w:tc>
              <w:tc>
                <w:tcPr>
                  <w:tcW w:w="1625" w:type="pct"/>
                  <w:noWrap w:val="0"/>
                  <w:vAlign w:val="center"/>
                </w:tcPr>
                <w:p w14:paraId="249536A9">
                  <w:pPr>
                    <w:pStyle w:val="16"/>
                    <w:keepNext w:val="0"/>
                    <w:keepLines w:val="0"/>
                    <w:numPr>
                      <w:ilvl w:val="0"/>
                      <w:numId w:val="0"/>
                    </w:numPr>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sz w:val="21"/>
                      <w:szCs w:val="21"/>
                      <w:highlight w:val="none"/>
                      <w:vertAlign w:val="baseline"/>
                      <w:lang w:val="en-US" w:eastAsia="zh-CN"/>
                    </w:rPr>
                    <w:t>《镁质耐火材料工业大气污染物排放标准》（DB21/3011-2018）中表2的颗粒物排放限值：30mg/m</w:t>
                  </w:r>
                  <w:r>
                    <w:rPr>
                      <w:rFonts w:hint="default" w:ascii="Times New Roman" w:hAnsi="Times New Roman" w:cs="Times New Roman" w:eastAsiaTheme="minorEastAsia"/>
                      <w:color w:val="auto"/>
                      <w:sz w:val="21"/>
                      <w:szCs w:val="21"/>
                      <w:highlight w:val="none"/>
                      <w:vertAlign w:val="superscript"/>
                      <w:lang w:val="en-US" w:eastAsia="zh-CN"/>
                    </w:rPr>
                    <w:t>3</w:t>
                  </w:r>
                </w:p>
              </w:tc>
              <w:tc>
                <w:tcPr>
                  <w:tcW w:w="572" w:type="pct"/>
                  <w:noWrap w:val="0"/>
                  <w:vAlign w:val="center"/>
                </w:tcPr>
                <w:p w14:paraId="390249BA">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1次/年</w:t>
                  </w:r>
                </w:p>
              </w:tc>
            </w:tr>
            <w:tr w14:paraId="2CDF6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65" w:hRule="atLeast"/>
                <w:jc w:val="center"/>
              </w:trPr>
              <w:tc>
                <w:tcPr>
                  <w:tcW w:w="796" w:type="pct"/>
                  <w:noWrap w:val="0"/>
                  <w:vAlign w:val="center"/>
                </w:tcPr>
                <w:p w14:paraId="5FD025BE">
                  <w:pPr>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eastAsiaTheme="minorEastAsia"/>
                      <w:color w:val="auto"/>
                      <w:kern w:val="0"/>
                      <w:sz w:val="21"/>
                      <w:szCs w:val="21"/>
                      <w:highlight w:val="none"/>
                      <w:lang w:eastAsia="zh-CN"/>
                    </w:rPr>
                  </w:pPr>
                  <w:r>
                    <w:rPr>
                      <w:rFonts w:hint="default" w:ascii="Times New Roman" w:hAnsi="Times New Roman" w:cs="Times New Roman" w:eastAsiaTheme="minorEastAsia"/>
                      <w:color w:val="auto"/>
                      <w:kern w:val="0"/>
                      <w:sz w:val="21"/>
                      <w:szCs w:val="21"/>
                      <w:highlight w:val="none"/>
                      <w:lang w:eastAsia="zh-CN"/>
                    </w:rPr>
                    <w:t>厂界</w:t>
                  </w:r>
                </w:p>
              </w:tc>
              <w:tc>
                <w:tcPr>
                  <w:tcW w:w="657" w:type="pct"/>
                  <w:noWrap w:val="0"/>
                  <w:vAlign w:val="center"/>
                </w:tcPr>
                <w:p w14:paraId="7BAB2C7C">
                  <w:pPr>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上风向1个，下风向3个</w:t>
                  </w:r>
                </w:p>
              </w:tc>
              <w:tc>
                <w:tcPr>
                  <w:tcW w:w="622" w:type="pct"/>
                  <w:noWrap w:val="0"/>
                  <w:vAlign w:val="center"/>
                </w:tcPr>
                <w:p w14:paraId="438D839B">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eastAsiaTheme="minorEastAsia"/>
                      <w:color w:val="auto"/>
                      <w:kern w:val="2"/>
                      <w:sz w:val="21"/>
                      <w:szCs w:val="21"/>
                      <w:highlight w:val="none"/>
                      <w:lang w:val="en-IE" w:eastAsia="zh-CN" w:bidi="ar-SA"/>
                    </w:rPr>
                  </w:pPr>
                  <w:r>
                    <w:rPr>
                      <w:rFonts w:hint="default" w:ascii="Times New Roman" w:hAnsi="Times New Roman" w:cs="Times New Roman" w:eastAsiaTheme="minorEastAsia"/>
                      <w:color w:val="auto"/>
                      <w:sz w:val="21"/>
                      <w:szCs w:val="21"/>
                      <w:highlight w:val="none"/>
                      <w:lang w:eastAsia="zh-CN"/>
                    </w:rPr>
                    <w:t>颗粒物</w:t>
                  </w:r>
                </w:p>
              </w:tc>
              <w:tc>
                <w:tcPr>
                  <w:tcW w:w="726" w:type="pct"/>
                  <w:noWrap w:val="0"/>
                  <w:vAlign w:val="center"/>
                </w:tcPr>
                <w:p w14:paraId="19E7A2C0">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eastAsia="zh-CN"/>
                    </w:rPr>
                    <w:t>手工监测</w:t>
                  </w:r>
                </w:p>
              </w:tc>
              <w:tc>
                <w:tcPr>
                  <w:tcW w:w="1625" w:type="pct"/>
                  <w:noWrap w:val="0"/>
                  <w:vAlign w:val="center"/>
                </w:tcPr>
                <w:p w14:paraId="74FA5489">
                  <w:pPr>
                    <w:keepNext w:val="0"/>
                    <w:keepLines w:val="0"/>
                    <w:numPr>
                      <w:ilvl w:val="0"/>
                      <w:numId w:val="0"/>
                    </w:numPr>
                    <w:suppressLineNumbers w:val="0"/>
                    <w:spacing w:before="0" w:beforeAutospacing="0" w:after="0" w:afterAutospacing="0" w:line="240" w:lineRule="auto"/>
                    <w:ind w:left="0" w:leftChars="0" w:right="0" w:firstLine="0" w:firstLineChars="0"/>
                    <w:jc w:val="center"/>
                    <w:rPr>
                      <w:rFonts w:hint="default" w:ascii="Times New Roman" w:hAnsi="Times New Roman" w:cs="Times New Roman" w:eastAsiaTheme="minorEastAsia"/>
                      <w:color w:val="auto"/>
                      <w:sz w:val="21"/>
                      <w:szCs w:val="21"/>
                      <w:highlight w:val="none"/>
                      <w:vertAlign w:val="baseline"/>
                      <w:lang w:val="en-US" w:eastAsia="zh-CN"/>
                    </w:rPr>
                  </w:pPr>
                  <w:r>
                    <w:rPr>
                      <w:rFonts w:hint="default" w:ascii="Times New Roman" w:hAnsi="Times New Roman" w:cs="Times New Roman" w:eastAsiaTheme="minorEastAsia"/>
                      <w:color w:val="auto"/>
                      <w:sz w:val="21"/>
                      <w:szCs w:val="21"/>
                      <w:highlight w:val="none"/>
                      <w:vertAlign w:val="baseline"/>
                      <w:lang w:val="en-US" w:eastAsia="zh-CN"/>
                    </w:rPr>
                    <w:t>《镁质耐火材料工业大气污染物排放标准》（DB21/3011-2018）中表3无组织排放浓度限值：0.8mg/m</w:t>
                  </w:r>
                  <w:r>
                    <w:rPr>
                      <w:rFonts w:hint="default" w:ascii="Times New Roman" w:hAnsi="Times New Roman" w:cs="Times New Roman" w:eastAsiaTheme="minorEastAsia"/>
                      <w:color w:val="auto"/>
                      <w:sz w:val="21"/>
                      <w:szCs w:val="21"/>
                      <w:highlight w:val="none"/>
                      <w:vertAlign w:val="superscript"/>
                      <w:lang w:val="en-US" w:eastAsia="zh-CN"/>
                    </w:rPr>
                    <w:t>3</w:t>
                  </w:r>
                </w:p>
              </w:tc>
              <w:tc>
                <w:tcPr>
                  <w:tcW w:w="572" w:type="pct"/>
                  <w:noWrap w:val="0"/>
                  <w:vAlign w:val="center"/>
                </w:tcPr>
                <w:p w14:paraId="4C37D4B6">
                  <w:pPr>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1次/年</w:t>
                  </w:r>
                </w:p>
              </w:tc>
            </w:tr>
          </w:tbl>
          <w:p w14:paraId="63334702">
            <w:pPr>
              <w:pStyle w:val="48"/>
              <w:keepNext w:val="0"/>
              <w:keepLines w:val="0"/>
              <w:numPr>
                <w:ilvl w:val="0"/>
                <w:numId w:val="0"/>
              </w:numPr>
              <w:suppressLineNumbers w:val="0"/>
              <w:adjustRightInd w:val="0"/>
              <w:snapToGrid w:val="0"/>
              <w:spacing w:before="0" w:beforeAutospacing="0" w:after="0" w:afterAutospacing="0" w:line="360" w:lineRule="auto"/>
              <w:ind w:left="599" w:leftChars="0" w:right="0"/>
              <w:jc w:val="left"/>
              <w:rPr>
                <w:rFonts w:hint="eastAsia" w:ascii="宋体" w:hAnsi="宋体" w:eastAsia="宋体" w:cs="宋体"/>
                <w:b/>
                <w:color w:val="auto"/>
                <w:sz w:val="24"/>
                <w:highlight w:val="none"/>
                <w:shd w:val="clear" w:color="auto" w:fill="auto"/>
              </w:rPr>
            </w:pPr>
            <w:r>
              <w:rPr>
                <w:rFonts w:hint="eastAsia" w:ascii="宋体" w:hAnsi="宋体" w:eastAsia="宋体" w:cs="宋体"/>
                <w:b/>
                <w:color w:val="auto"/>
                <w:sz w:val="24"/>
                <w:highlight w:val="none"/>
                <w:shd w:val="clear" w:color="auto" w:fill="auto"/>
                <w:lang w:val="en-US" w:eastAsia="zh-CN"/>
              </w:rPr>
              <w:t>二、</w:t>
            </w:r>
            <w:r>
              <w:rPr>
                <w:rFonts w:hint="eastAsia" w:ascii="宋体" w:hAnsi="宋体" w:eastAsia="宋体" w:cs="宋体"/>
                <w:b/>
                <w:color w:val="auto"/>
                <w:sz w:val="24"/>
                <w:highlight w:val="none"/>
                <w:shd w:val="clear" w:color="auto" w:fill="auto"/>
              </w:rPr>
              <w:t>水环境影响分析</w:t>
            </w:r>
          </w:p>
          <w:p w14:paraId="04FAF2B9">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w:t>
            </w:r>
            <w:r>
              <w:rPr>
                <w:rFonts w:hint="eastAsia" w:ascii="Times New Roman" w:hAnsi="Times New Roman" w:eastAsia="宋体" w:cs="Times New Roman"/>
                <w:color w:val="auto"/>
                <w:sz w:val="24"/>
                <w:highlight w:val="none"/>
                <w:lang w:eastAsia="zh-CN"/>
              </w:rPr>
              <w:t>项目用水主要为</w:t>
            </w:r>
            <w:r>
              <w:rPr>
                <w:rFonts w:hint="eastAsia" w:cs="Times New Roman"/>
                <w:color w:val="auto"/>
                <w:sz w:val="24"/>
                <w:highlight w:val="none"/>
                <w:lang w:eastAsia="zh-CN"/>
              </w:rPr>
              <w:t>水洗白云石生产线用水、</w:t>
            </w:r>
            <w:r>
              <w:rPr>
                <w:rFonts w:hint="eastAsia" w:ascii="Times New Roman" w:hAnsi="Times New Roman" w:eastAsia="宋体" w:cs="Times New Roman"/>
                <w:color w:val="auto"/>
                <w:sz w:val="24"/>
                <w:highlight w:val="none"/>
                <w:lang w:eastAsia="zh-CN"/>
              </w:rPr>
              <w:t>厂区洒水抑尘用水、</w:t>
            </w:r>
            <w:r>
              <w:rPr>
                <w:rFonts w:hint="eastAsia" w:cs="Times New Roman"/>
                <w:color w:val="auto"/>
                <w:sz w:val="24"/>
                <w:highlight w:val="none"/>
                <w:lang w:eastAsia="zh-CN"/>
              </w:rPr>
              <w:t>员工生活污水及轮胎清洗水。水洗白云石用水循环使用，定期补充蒸发损耗；洒水抑尘水全部蒸发不外排；轮胎清洗水</w:t>
            </w:r>
            <w:r>
              <w:rPr>
                <w:rFonts w:hint="eastAsia" w:cs="Times New Roman"/>
                <w:color w:val="auto"/>
                <w:sz w:val="24"/>
                <w:highlight w:val="none"/>
                <w:lang w:val="en-US" w:eastAsia="zh-CN"/>
              </w:rPr>
              <w:t>循环使用，定期补充蒸发损耗</w:t>
            </w:r>
            <w:r>
              <w:rPr>
                <w:rFonts w:hint="eastAsia"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生活污水排入</w:t>
            </w:r>
            <w:r>
              <w:rPr>
                <w:rFonts w:hint="eastAsia" w:cs="Times New Roman"/>
                <w:color w:val="auto"/>
                <w:sz w:val="24"/>
                <w:highlight w:val="none"/>
                <w:lang w:val="en-US" w:eastAsia="zh-CN"/>
              </w:rPr>
              <w:t>化粪池</w:t>
            </w:r>
            <w:r>
              <w:rPr>
                <w:rFonts w:hint="eastAsia" w:ascii="Times New Roman" w:hAnsi="Times New Roman" w:eastAsia="宋体" w:cs="Times New Roman"/>
                <w:color w:val="auto"/>
                <w:sz w:val="24"/>
                <w:highlight w:val="none"/>
                <w:lang w:val="en-US" w:eastAsia="zh-CN"/>
              </w:rPr>
              <w:t>，定期清掏用于农田施肥不外排，</w:t>
            </w:r>
            <w:r>
              <w:rPr>
                <w:rFonts w:hint="default" w:ascii="Times New Roman" w:hAnsi="Times New Roman" w:eastAsia="宋体" w:cs="Times New Roman"/>
                <w:color w:val="auto"/>
                <w:sz w:val="24"/>
                <w:highlight w:val="none"/>
              </w:rPr>
              <w:t>对水环境影响不大。</w:t>
            </w:r>
          </w:p>
          <w:p w14:paraId="498D8084">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lang w:val="en-US" w:eastAsia="zh-CN"/>
              </w:rPr>
            </w:pPr>
            <w:r>
              <w:rPr>
                <w:rFonts w:hint="eastAsia" w:ascii="宋体" w:hAnsi="宋体" w:eastAsia="宋体" w:cs="宋体"/>
                <w:b w:val="0"/>
                <w:bCs/>
                <w:color w:val="auto"/>
                <w:kern w:val="2"/>
                <w:sz w:val="24"/>
                <w:szCs w:val="24"/>
                <w:highlight w:val="none"/>
                <w:shd w:val="clear" w:color="auto" w:fill="auto"/>
                <w:lang w:val="en-US" w:eastAsia="zh-CN" w:bidi="ar-SA"/>
              </w:rPr>
              <w:t>①</w:t>
            </w:r>
            <w:r>
              <w:rPr>
                <w:rFonts w:hint="eastAsia" w:ascii="宋体" w:hAnsi="宋体" w:cs="宋体"/>
                <w:b w:val="0"/>
                <w:bCs/>
                <w:color w:val="auto"/>
                <w:kern w:val="2"/>
                <w:sz w:val="24"/>
                <w:szCs w:val="24"/>
                <w:highlight w:val="none"/>
                <w:shd w:val="clear" w:color="auto" w:fill="auto"/>
                <w:lang w:val="en-US" w:eastAsia="zh-CN" w:bidi="ar-SA"/>
              </w:rPr>
              <w:t>生活污水：本</w:t>
            </w:r>
            <w:r>
              <w:rPr>
                <w:rFonts w:hint="eastAsia" w:ascii="Times New Roman" w:hAnsi="Times New Roman" w:eastAsia="宋体" w:cs="Times New Roman"/>
                <w:color w:val="auto"/>
                <w:sz w:val="24"/>
                <w:szCs w:val="24"/>
                <w:highlight w:val="none"/>
                <w:lang w:val="en-US" w:eastAsia="zh-CN"/>
              </w:rPr>
              <w:t>项目员工</w:t>
            </w:r>
            <w:r>
              <w:rPr>
                <w:rFonts w:hint="eastAsia" w:cs="Times New Roman"/>
                <w:color w:val="auto"/>
                <w:sz w:val="24"/>
                <w:szCs w:val="24"/>
                <w:highlight w:val="none"/>
                <w:lang w:val="en-US" w:eastAsia="zh-CN"/>
              </w:rPr>
              <w:t>50</w:t>
            </w:r>
            <w:r>
              <w:rPr>
                <w:rFonts w:hint="eastAsia" w:ascii="Times New Roman" w:hAnsi="Times New Roman" w:eastAsia="宋体" w:cs="Times New Roman"/>
                <w:color w:val="auto"/>
                <w:sz w:val="24"/>
                <w:szCs w:val="24"/>
                <w:highlight w:val="none"/>
                <w:lang w:val="en-US" w:eastAsia="zh-CN"/>
              </w:rPr>
              <w:t>人，根据</w:t>
            </w:r>
            <w:r>
              <w:rPr>
                <w:rFonts w:hint="eastAsia" w:ascii="Times New Roman" w:hAnsi="Times New Roman" w:eastAsia="宋体" w:cs="Times New Roman"/>
                <w:color w:val="auto"/>
                <w:sz w:val="24"/>
                <w:szCs w:val="24"/>
                <w:highlight w:val="none"/>
                <w:lang w:eastAsia="zh-CN"/>
              </w:rPr>
              <w:t>《辽宁省行业用水定额》</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DB21/T</w:t>
            </w:r>
            <w:r>
              <w:rPr>
                <w:rFonts w:hint="eastAsia" w:ascii="Times New Roman" w:hAnsi="Times New Roman" w:eastAsia="宋体" w:cs="Times New Roman"/>
                <w:color w:val="auto"/>
                <w:sz w:val="24"/>
                <w:szCs w:val="24"/>
                <w:highlight w:val="none"/>
                <w:lang w:val="en-US" w:eastAsia="zh-CN"/>
              </w:rPr>
              <w:t>1237—2020</w:t>
            </w:r>
            <w:r>
              <w:rPr>
                <w:rFonts w:hint="eastAsia" w:ascii="Times New Roman" w:hAnsi="Times New Roman" w:eastAsia="宋体" w:cs="Times New Roman"/>
                <w:color w:val="auto"/>
                <w:sz w:val="24"/>
                <w:szCs w:val="24"/>
                <w:highlight w:val="none"/>
                <w:lang w:eastAsia="zh-CN"/>
              </w:rPr>
              <w:t>），参考 U992 农村居民生活用水定额（水龙头入户，有洗涤池，其他卫生设施较少），本项目</w:t>
            </w:r>
            <w:r>
              <w:rPr>
                <w:rFonts w:hint="eastAsia" w:ascii="Times New Roman" w:hAnsi="Times New Roman" w:eastAsia="宋体" w:cs="Times New Roman"/>
                <w:color w:val="auto"/>
                <w:sz w:val="24"/>
                <w:szCs w:val="24"/>
                <w:highlight w:val="none"/>
              </w:rPr>
              <w:t>职工</w:t>
            </w:r>
            <w:r>
              <w:rPr>
                <w:rFonts w:ascii="Times New Roman" w:hAnsi="Times New Roman" w:eastAsia="宋体" w:cs="Times New Roman"/>
                <w:color w:val="auto"/>
                <w:sz w:val="24"/>
                <w:szCs w:val="24"/>
                <w:highlight w:val="none"/>
              </w:rPr>
              <w:t>用水量为</w:t>
            </w:r>
            <w:r>
              <w:rPr>
                <w:rFonts w:hint="eastAsia" w:ascii="Times New Roman" w:hAnsi="Times New Roman" w:eastAsia="宋体" w:cs="Times New Roman"/>
                <w:color w:val="auto"/>
                <w:sz w:val="24"/>
                <w:szCs w:val="24"/>
                <w:highlight w:val="none"/>
                <w:lang w:val="en-US" w:eastAsia="zh-CN"/>
              </w:rPr>
              <w:t>60</w:t>
            </w:r>
            <w:r>
              <w:rPr>
                <w:rFonts w:ascii="Times New Roman" w:hAnsi="Times New Roman" w:eastAsia="宋体" w:cs="Times New Roman"/>
                <w:color w:val="auto"/>
                <w:sz w:val="24"/>
                <w:szCs w:val="24"/>
                <w:highlight w:val="none"/>
              </w:rPr>
              <w:t>L/d·人</w:t>
            </w:r>
            <w:r>
              <w:rPr>
                <w:rFonts w:hint="eastAsia" w:ascii="Times New Roman" w:hAnsi="Times New Roman" w:eastAsia="宋体" w:cs="Times New Roman"/>
                <w:color w:val="auto"/>
                <w:sz w:val="24"/>
                <w:szCs w:val="24"/>
                <w:highlight w:val="none"/>
                <w:lang w:val="en-US" w:eastAsia="zh-CN"/>
              </w:rPr>
              <w:t>，年工作天数</w:t>
            </w:r>
            <w:r>
              <w:rPr>
                <w:rFonts w:hint="default" w:ascii="Times New Roman" w:hAnsi="Times New Roman" w:eastAsia="宋体" w:cs="Times New Roman"/>
                <w:color w:val="auto"/>
                <w:sz w:val="24"/>
                <w:szCs w:val="24"/>
                <w:highlight w:val="none"/>
                <w:lang w:val="en-US" w:eastAsia="zh-CN"/>
              </w:rPr>
              <w:t>3</w:t>
            </w: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0</w:t>
            </w:r>
            <w:r>
              <w:rPr>
                <w:rFonts w:hint="eastAsia" w:ascii="Times New Roman" w:hAnsi="Times New Roman" w:eastAsia="宋体" w:cs="Times New Roman"/>
                <w:color w:val="auto"/>
                <w:sz w:val="24"/>
                <w:szCs w:val="24"/>
                <w:highlight w:val="none"/>
                <w:lang w:val="en-US" w:eastAsia="zh-CN"/>
              </w:rPr>
              <w:t>天，则员工生活用水量约</w:t>
            </w:r>
            <w:r>
              <w:rPr>
                <w:rFonts w:hint="eastAsia" w:cs="Times New Roman"/>
                <w:color w:val="auto"/>
                <w:sz w:val="24"/>
                <w:szCs w:val="24"/>
                <w:highlight w:val="none"/>
                <w:lang w:val="en-US" w:eastAsia="zh-CN"/>
              </w:rPr>
              <w:t>3</w:t>
            </w:r>
            <w:r>
              <w:rPr>
                <w:rFonts w:hint="eastAsia" w:ascii="Times New Roman" w:hAnsi="Times New Roman" w:eastAsia="宋体"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/d</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990</w:t>
            </w:r>
            <w:r>
              <w:rPr>
                <w:rFonts w:hint="eastAsia" w:ascii="Times New Roman" w:hAnsi="Times New Roman" w:eastAsia="宋体"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/a</w:t>
            </w:r>
            <w:r>
              <w:rPr>
                <w:rFonts w:hint="eastAsia" w:ascii="Times New Roman" w:hAnsi="Times New Roman" w:eastAsia="宋体" w:cs="Times New Roman"/>
                <w:color w:val="auto"/>
                <w:sz w:val="24"/>
                <w:szCs w:val="24"/>
                <w:highlight w:val="none"/>
                <w:lang w:val="en-US" w:eastAsia="zh-CN"/>
              </w:rPr>
              <w:t>）生活污水排污系数按80</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计，则生活污水排放量为</w:t>
            </w:r>
            <w:r>
              <w:rPr>
                <w:rFonts w:hint="eastAsia" w:cs="Times New Roman"/>
                <w:color w:val="auto"/>
                <w:sz w:val="24"/>
                <w:szCs w:val="24"/>
                <w:highlight w:val="none"/>
                <w:lang w:val="en-US" w:eastAsia="zh-CN"/>
              </w:rPr>
              <w:t>2.4</w:t>
            </w:r>
            <w:r>
              <w:rPr>
                <w:rFonts w:hint="eastAsia" w:ascii="Times New Roman" w:hAnsi="Times New Roman" w:eastAsia="宋体"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/d</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792</w:t>
            </w:r>
            <w:r>
              <w:rPr>
                <w:rFonts w:hint="eastAsia" w:ascii="Times New Roman" w:hAnsi="Times New Roman" w:eastAsia="宋体"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/a</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；排入化粪池，定期清掏，用于农田施肥，不外排</w:t>
            </w:r>
            <w:r>
              <w:rPr>
                <w:rFonts w:hint="eastAsia" w:ascii="Times New Roman" w:hAnsi="Times New Roman" w:eastAsia="宋体" w:cs="Times New Roman"/>
                <w:color w:val="auto"/>
                <w:sz w:val="24"/>
                <w:highlight w:val="none"/>
                <w:lang w:val="en-US" w:eastAsia="zh-CN"/>
              </w:rPr>
              <w:t>。</w:t>
            </w:r>
          </w:p>
          <w:p w14:paraId="546EB036">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②</w:t>
            </w:r>
            <w:r>
              <w:rPr>
                <w:rFonts w:hint="eastAsia" w:cs="Times New Roman"/>
                <w:color w:val="auto"/>
                <w:sz w:val="24"/>
                <w:highlight w:val="none"/>
                <w:lang w:eastAsia="zh-CN"/>
              </w:rPr>
              <w:t>洒水抑尘：</w:t>
            </w:r>
            <w:r>
              <w:rPr>
                <w:rFonts w:hint="eastAsia" w:eastAsia="宋体" w:cs="Times New Roman"/>
                <w:color w:val="auto"/>
                <w:kern w:val="0"/>
                <w:sz w:val="24"/>
                <w:szCs w:val="24"/>
                <w:highlight w:val="none"/>
                <w:lang w:val="en-US" w:eastAsia="zh-CN" w:bidi="ar-SA"/>
              </w:rPr>
              <w:t>本项目</w:t>
            </w:r>
            <w:r>
              <w:rPr>
                <w:rFonts w:hint="eastAsia" w:cs="Times New Roman"/>
                <w:color w:val="auto"/>
                <w:kern w:val="0"/>
                <w:sz w:val="24"/>
                <w:szCs w:val="24"/>
                <w:highlight w:val="none"/>
                <w:lang w:val="en-US" w:eastAsia="zh-CN" w:bidi="ar-SA"/>
              </w:rPr>
              <w:t>新增</w:t>
            </w:r>
            <w:r>
              <w:rPr>
                <w:rFonts w:hint="default" w:ascii="Times New Roman" w:hAnsi="Times New Roman" w:eastAsia="宋体" w:cs="Times New Roman"/>
                <w:color w:val="auto"/>
                <w:kern w:val="0"/>
                <w:sz w:val="24"/>
                <w:szCs w:val="24"/>
                <w:highlight w:val="none"/>
                <w:lang w:val="en-US" w:eastAsia="zh-CN" w:bidi="ar-SA"/>
              </w:rPr>
              <w:t>洒水车</w:t>
            </w:r>
            <w:r>
              <w:rPr>
                <w:rFonts w:hint="eastAsia" w:cs="Times New Roman"/>
                <w:color w:val="auto"/>
                <w:kern w:val="0"/>
                <w:sz w:val="24"/>
                <w:szCs w:val="24"/>
                <w:highlight w:val="none"/>
                <w:lang w:val="en-US" w:eastAsia="zh-CN" w:bidi="ar-SA"/>
              </w:rPr>
              <w:t>洒水抑尘</w:t>
            </w:r>
            <w:r>
              <w:rPr>
                <w:rFonts w:hint="default" w:ascii="Times New Roman" w:hAnsi="Times New Roman" w:eastAsia="宋体" w:cs="Times New Roman"/>
                <w:color w:val="auto"/>
                <w:kern w:val="0"/>
                <w:sz w:val="24"/>
                <w:szCs w:val="24"/>
                <w:highlight w:val="none"/>
                <w:lang w:val="en-US" w:eastAsia="zh-CN" w:bidi="ar-SA"/>
              </w:rPr>
              <w:t>，确保在车辆行驶过程中或在有风天气情况下均无道路二次扬尘产生。该部分用水按</w:t>
            </w:r>
            <w:r>
              <w:rPr>
                <w:rFonts w:hint="eastAsia" w:cs="Times New Roman"/>
                <w:color w:val="auto"/>
                <w:kern w:val="0"/>
                <w:sz w:val="24"/>
                <w:szCs w:val="24"/>
                <w:highlight w:val="none"/>
                <w:lang w:val="en-US" w:eastAsia="zh-CN" w:bidi="ar-SA"/>
              </w:rPr>
              <w:t>2</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kern w:val="0"/>
                <w:sz w:val="24"/>
                <w:szCs w:val="24"/>
                <w:highlight w:val="none"/>
                <w:lang w:val="en-US" w:eastAsia="zh-CN" w:bidi="ar-SA"/>
              </w:rPr>
              <w:t>/d，</w:t>
            </w:r>
            <w:r>
              <w:rPr>
                <w:rFonts w:hint="default" w:ascii="Times New Roman" w:hAnsi="Times New Roman" w:eastAsia="宋体" w:cs="Times New Roman"/>
                <w:color w:val="auto"/>
                <w:sz w:val="24"/>
                <w:highlight w:val="none"/>
                <w:lang w:val="en-US" w:eastAsia="zh-CN"/>
              </w:rPr>
              <w:t>年洒水抑尘</w:t>
            </w:r>
            <w:r>
              <w:rPr>
                <w:rFonts w:hint="eastAsia" w:cs="Times New Roman"/>
                <w:color w:val="auto"/>
                <w:sz w:val="24"/>
                <w:highlight w:val="none"/>
                <w:lang w:val="en-US" w:eastAsia="zh-CN"/>
              </w:rPr>
              <w:t>27</w:t>
            </w:r>
            <w:r>
              <w:rPr>
                <w:rFonts w:hint="default" w:ascii="Times New Roman" w:hAnsi="Times New Roman" w:eastAsia="宋体" w:cs="Times New Roman"/>
                <w:color w:val="auto"/>
                <w:sz w:val="24"/>
                <w:highlight w:val="none"/>
                <w:lang w:val="en-US" w:eastAsia="zh-CN"/>
              </w:rPr>
              <w:t>0天（3月-11月），年用水量为</w:t>
            </w:r>
            <w:r>
              <w:rPr>
                <w:rFonts w:hint="eastAsia" w:cs="Times New Roman"/>
                <w:color w:val="auto"/>
                <w:sz w:val="24"/>
                <w:highlight w:val="none"/>
                <w:lang w:val="en-US" w:eastAsia="zh-CN"/>
              </w:rPr>
              <w:t>540</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，全部蒸发损失，不向环境中排放。</w:t>
            </w:r>
          </w:p>
          <w:p w14:paraId="61174CFC">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lang w:val="en-US" w:eastAsia="zh-CN"/>
              </w:rPr>
            </w:pPr>
            <w:r>
              <w:rPr>
                <w:rFonts w:hint="eastAsia" w:ascii="宋体" w:hAnsi="宋体" w:eastAsia="宋体" w:cs="宋体"/>
                <w:color w:val="auto"/>
                <w:sz w:val="24"/>
                <w:szCs w:val="24"/>
                <w:highlight w:val="none"/>
                <w:lang w:val="en-US" w:eastAsia="zh-CN"/>
              </w:rPr>
              <w:t>③</w:t>
            </w:r>
            <w:r>
              <w:rPr>
                <w:rFonts w:hint="eastAsia" w:ascii="Times New Roman" w:hAnsi="Times New Roman" w:eastAsia="宋体" w:cs="Times New Roman"/>
                <w:color w:val="auto"/>
                <w:sz w:val="24"/>
                <w:szCs w:val="24"/>
                <w:highlight w:val="none"/>
                <w:lang w:val="en-US" w:eastAsia="zh-CN"/>
              </w:rPr>
              <w:t>轮胎清洗水：本项目</w:t>
            </w:r>
            <w:r>
              <w:rPr>
                <w:rFonts w:hint="eastAsia" w:cs="Times New Roman"/>
                <w:color w:val="auto"/>
                <w:sz w:val="24"/>
                <w:szCs w:val="24"/>
                <w:highlight w:val="none"/>
                <w:lang w:val="en-US" w:eastAsia="zh-CN"/>
              </w:rPr>
              <w:t>设有洗车平台一座，根据</w:t>
            </w:r>
            <w:r>
              <w:rPr>
                <w:rFonts w:hint="eastAsia" w:ascii="Times New Roman" w:hAnsi="Times New Roman" w:eastAsia="宋体" w:cs="Times New Roman"/>
                <w:color w:val="auto"/>
                <w:sz w:val="24"/>
                <w:szCs w:val="24"/>
                <w:highlight w:val="none"/>
                <w:lang w:eastAsia="zh-CN"/>
              </w:rPr>
              <w:t>《辽宁省行业用水定额》</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DB21/T</w:t>
            </w:r>
            <w:r>
              <w:rPr>
                <w:rFonts w:hint="eastAsia" w:ascii="Times New Roman" w:hAnsi="Times New Roman" w:eastAsia="宋体" w:cs="Times New Roman"/>
                <w:color w:val="auto"/>
                <w:sz w:val="24"/>
                <w:szCs w:val="24"/>
                <w:highlight w:val="none"/>
                <w:lang w:val="en-US" w:eastAsia="zh-CN"/>
              </w:rPr>
              <w:t>1237—2020</w:t>
            </w:r>
            <w:r>
              <w:rPr>
                <w:rFonts w:hint="eastAsia" w:ascii="Times New Roman" w:hAnsi="Times New Roman" w:eastAsia="宋体" w:cs="Times New Roman"/>
                <w:color w:val="auto"/>
                <w:sz w:val="24"/>
                <w:szCs w:val="24"/>
                <w:highlight w:val="none"/>
                <w:lang w:eastAsia="zh-CN"/>
              </w:rPr>
              <w:t>）</w:t>
            </w:r>
            <w:r>
              <w:rPr>
                <w:rFonts w:hint="eastAsia" w:cs="Times New Roman"/>
                <w:color w:val="auto"/>
                <w:sz w:val="24"/>
                <w:szCs w:val="24"/>
                <w:highlight w:val="none"/>
                <w:lang w:eastAsia="zh-CN"/>
              </w:rPr>
              <w:t>，参考</w:t>
            </w:r>
            <w:r>
              <w:rPr>
                <w:rFonts w:hint="eastAsia" w:cs="Times New Roman"/>
                <w:color w:val="auto"/>
                <w:sz w:val="24"/>
                <w:szCs w:val="24"/>
                <w:highlight w:val="none"/>
                <w:lang w:val="en-US" w:eastAsia="zh-CN"/>
              </w:rPr>
              <w:t>O081机动车、电子产品和日用产品修理业大型车洗车通用值0.04m³/（车·次）；</w:t>
            </w:r>
            <w:r>
              <w:rPr>
                <w:rFonts w:hint="eastAsia" w:ascii="Times New Roman" w:hAnsi="Times New Roman" w:eastAsia="宋体" w:cs="Times New Roman"/>
                <w:color w:val="auto"/>
                <w:sz w:val="24"/>
                <w:szCs w:val="24"/>
                <w:highlight w:val="none"/>
                <w:lang w:val="en-US" w:eastAsia="zh-CN"/>
              </w:rPr>
              <w:t>年运转车辆约为</w:t>
            </w:r>
            <w:r>
              <w:rPr>
                <w:rFonts w:hint="eastAsia" w:cs="Times New Roman"/>
                <w:color w:val="auto"/>
                <w:sz w:val="24"/>
                <w:szCs w:val="24"/>
                <w:highlight w:val="none"/>
                <w:lang w:val="en-US" w:eastAsia="zh-CN"/>
              </w:rPr>
              <w:t>20063</w:t>
            </w:r>
            <w:r>
              <w:rPr>
                <w:rFonts w:hint="eastAsia" w:ascii="Times New Roman" w:hAnsi="Times New Roman" w:eastAsia="宋体" w:cs="Times New Roman"/>
                <w:color w:val="auto"/>
                <w:sz w:val="24"/>
                <w:szCs w:val="24"/>
                <w:highlight w:val="none"/>
                <w:lang w:val="en-US" w:eastAsia="zh-CN"/>
              </w:rPr>
              <w:t>台，</w:t>
            </w:r>
            <w:r>
              <w:rPr>
                <w:rFonts w:hint="eastAsia" w:cs="Times New Roman"/>
                <w:color w:val="auto"/>
                <w:sz w:val="24"/>
                <w:szCs w:val="24"/>
                <w:highlight w:val="none"/>
                <w:lang w:val="en-US" w:eastAsia="zh-CN"/>
              </w:rPr>
              <w:t>车辆出厂通过平台时冲洗，</w:t>
            </w:r>
            <w:r>
              <w:rPr>
                <w:rFonts w:hint="eastAsia" w:ascii="Times New Roman" w:hAnsi="Times New Roman" w:eastAsia="宋体" w:cs="Times New Roman"/>
                <w:color w:val="auto"/>
                <w:sz w:val="24"/>
                <w:szCs w:val="24"/>
                <w:highlight w:val="none"/>
                <w:lang w:val="en-US" w:eastAsia="zh-CN"/>
              </w:rPr>
              <w:t>总用水量</w:t>
            </w:r>
            <w:r>
              <w:rPr>
                <w:rFonts w:hint="eastAsia" w:cs="Times New Roman"/>
                <w:color w:val="auto"/>
                <w:sz w:val="24"/>
                <w:szCs w:val="24"/>
                <w:highlight w:val="none"/>
                <w:lang w:val="en-US" w:eastAsia="zh-CN"/>
              </w:rPr>
              <w:t>802.52</w:t>
            </w:r>
            <w:r>
              <w:rPr>
                <w:rFonts w:hint="eastAsia" w:ascii="Times New Roman" w:hAnsi="Times New Roman" w:eastAsia="宋体"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/a</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产生的废水排入防渗沉淀池，沉淀后循环使用不外排，因蒸发会导致水量损耗，损耗取总水量的20%，则损耗量为160.504</w:t>
            </w:r>
            <w:r>
              <w:rPr>
                <w:rFonts w:hint="eastAsia" w:ascii="Times New Roman" w:hAnsi="Times New Roman" w:eastAsia="宋体"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/a</w:t>
            </w:r>
            <w:r>
              <w:rPr>
                <w:rFonts w:hint="eastAsia" w:ascii="Times New Roman" w:hAnsi="Times New Roman" w:eastAsia="宋体" w:cs="Times New Roman"/>
                <w:color w:val="auto"/>
                <w:sz w:val="24"/>
                <w:szCs w:val="24"/>
                <w:highlight w:val="none"/>
                <w:lang w:val="en-US" w:eastAsia="zh-CN"/>
              </w:rPr>
              <w:t>。</w:t>
            </w:r>
          </w:p>
          <w:p w14:paraId="1B602BB6">
            <w:pPr>
              <w:pStyle w:val="17"/>
              <w:keepNext w:val="0"/>
              <w:keepLines w:val="0"/>
              <w:suppressLineNumbers w:val="0"/>
              <w:spacing w:before="0" w:beforeAutospacing="0" w:after="0" w:afterAutospacing="0" w:line="360" w:lineRule="auto"/>
              <w:ind w:left="0" w:leftChars="0" w:right="0" w:firstLine="420" w:firstLineChars="175"/>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④</w:t>
            </w:r>
            <w:r>
              <w:rPr>
                <w:rFonts w:hint="default" w:ascii="Times New Roman" w:hAnsi="Times New Roman" w:cs="Times New Roman"/>
                <w:color w:val="auto"/>
                <w:kern w:val="2"/>
                <w:sz w:val="24"/>
                <w:szCs w:val="24"/>
                <w:highlight w:val="none"/>
                <w:lang w:val="en-US" w:eastAsia="zh-CN" w:bidi="ar-SA"/>
              </w:rPr>
              <w:t>水洗白云石生产线</w:t>
            </w:r>
          </w:p>
          <w:p w14:paraId="7FE1B568">
            <w:pPr>
              <w:pStyle w:val="18"/>
              <w:keepNext w:val="0"/>
              <w:keepLines w:val="0"/>
              <w:suppressLineNumbers w:val="0"/>
              <w:spacing w:before="0" w:beforeAutospacing="0" w:after="0" w:afterAutospacing="0" w:line="360" w:lineRule="auto"/>
              <w:ind w:left="0" w:leftChars="0" w:right="0" w:firstLine="420" w:firstLineChars="175"/>
              <w:rPr>
                <w:rFonts w:hint="default"/>
                <w:color w:val="auto"/>
                <w:highlight w:val="none"/>
                <w:lang w:val="en-US" w:eastAsia="zh-CN"/>
              </w:rPr>
            </w:pPr>
            <w:r>
              <w:rPr>
                <w:rFonts w:hint="default" w:ascii="Times New Roman" w:hAnsi="Times New Roman" w:cs="Times New Roman"/>
                <w:color w:val="auto"/>
                <w:kern w:val="2"/>
                <w:sz w:val="24"/>
                <w:szCs w:val="24"/>
                <w:highlight w:val="none"/>
                <w:lang w:val="en-US" w:eastAsia="zh-CN" w:bidi="ar-SA"/>
              </w:rPr>
              <w:t>本项目水洗白云石生产线用水，</w:t>
            </w:r>
            <w:r>
              <w:rPr>
                <w:rFonts w:hint="eastAsia" w:cs="Times New Roman"/>
                <w:color w:val="auto"/>
                <w:sz w:val="24"/>
                <w:szCs w:val="24"/>
                <w:highlight w:val="none"/>
                <w:lang w:val="en-US" w:eastAsia="zh-CN"/>
              </w:rPr>
              <w:t>根据</w:t>
            </w:r>
            <w:r>
              <w:rPr>
                <w:rFonts w:hint="eastAsia" w:ascii="Times New Roman" w:hAnsi="Times New Roman" w:eastAsia="宋体" w:cs="Times New Roman"/>
                <w:color w:val="auto"/>
                <w:sz w:val="24"/>
                <w:szCs w:val="24"/>
                <w:highlight w:val="none"/>
                <w:lang w:eastAsia="zh-CN"/>
              </w:rPr>
              <w:t>《辽宁省行业用水定额》</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DB21/T</w:t>
            </w:r>
            <w:r>
              <w:rPr>
                <w:rFonts w:hint="eastAsia" w:ascii="Times New Roman" w:hAnsi="Times New Roman" w:eastAsia="宋体" w:cs="Times New Roman"/>
                <w:color w:val="auto"/>
                <w:sz w:val="24"/>
                <w:szCs w:val="24"/>
                <w:highlight w:val="none"/>
                <w:lang w:val="en-US" w:eastAsia="zh-CN"/>
              </w:rPr>
              <w:t>1237—2020</w:t>
            </w:r>
            <w:r>
              <w:rPr>
                <w:rFonts w:hint="eastAsia" w:ascii="Times New Roman" w:hAnsi="Times New Roman" w:eastAsia="宋体" w:cs="Times New Roman"/>
                <w:color w:val="auto"/>
                <w:sz w:val="24"/>
                <w:szCs w:val="24"/>
                <w:highlight w:val="none"/>
                <w:lang w:eastAsia="zh-CN"/>
              </w:rPr>
              <w:t>）</w:t>
            </w:r>
            <w:r>
              <w:rPr>
                <w:rFonts w:hint="eastAsia" w:cs="Times New Roman"/>
                <w:color w:val="auto"/>
                <w:sz w:val="24"/>
                <w:szCs w:val="24"/>
                <w:highlight w:val="none"/>
                <w:lang w:eastAsia="zh-CN"/>
              </w:rPr>
              <w:t>，参考</w:t>
            </w:r>
            <w:r>
              <w:rPr>
                <w:rFonts w:hint="eastAsia" w:cs="Times New Roman"/>
                <w:color w:val="auto"/>
                <w:sz w:val="24"/>
                <w:szCs w:val="24"/>
                <w:highlight w:val="none"/>
                <w:lang w:val="en-US" w:eastAsia="zh-CN"/>
              </w:rPr>
              <w:t>B06煤炭开采和洗选业，洗煤通用值</w:t>
            </w:r>
            <w:r>
              <w:rPr>
                <w:rFonts w:hint="eastAsia" w:cs="Times New Roman"/>
                <w:color w:val="auto"/>
                <w:kern w:val="2"/>
                <w:sz w:val="24"/>
                <w:szCs w:val="24"/>
                <w:highlight w:val="none"/>
                <w:lang w:val="en-US" w:eastAsia="zh-CN" w:bidi="ar-SA"/>
              </w:rPr>
              <w:t>，0.09m³/t，</w:t>
            </w:r>
            <w:r>
              <w:rPr>
                <w:rFonts w:hint="eastAsia" w:ascii="Times New Roman" w:hAnsi="Times New Roman" w:cs="Times New Roman"/>
                <w:color w:val="auto"/>
                <w:kern w:val="2"/>
                <w:sz w:val="24"/>
                <w:szCs w:val="24"/>
                <w:highlight w:val="none"/>
                <w:lang w:val="en-US" w:eastAsia="zh-CN" w:bidi="ar-SA"/>
              </w:rPr>
              <w:t>项目选石200000吨，用水</w:t>
            </w:r>
            <w:r>
              <w:rPr>
                <w:rFonts w:hint="eastAsia" w:cs="Times New Roman"/>
                <w:color w:val="auto"/>
                <w:kern w:val="2"/>
                <w:sz w:val="24"/>
                <w:szCs w:val="24"/>
                <w:highlight w:val="none"/>
                <w:lang w:val="en-US" w:eastAsia="zh-CN" w:bidi="ar-SA"/>
              </w:rPr>
              <w:t>18</w:t>
            </w:r>
            <w:r>
              <w:rPr>
                <w:rFonts w:hint="eastAsia" w:ascii="Times New Roman" w:hAnsi="Times New Roman" w:cs="Times New Roman"/>
                <w:color w:val="auto"/>
                <w:kern w:val="2"/>
                <w:sz w:val="24"/>
                <w:szCs w:val="24"/>
                <w:highlight w:val="none"/>
                <w:lang w:val="en-US" w:eastAsia="zh-CN" w:bidi="ar-SA"/>
              </w:rPr>
              <w:t>000</w:t>
            </w:r>
            <w:r>
              <w:rPr>
                <w:rFonts w:hint="eastAsia" w:ascii="Times New Roman" w:hAnsi="Times New Roman" w:eastAsia="宋体"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/a</w:t>
            </w:r>
            <w:r>
              <w:rPr>
                <w:rFonts w:hint="eastAsia" w:ascii="Times New Roman" w:hAnsi="Times New Roman"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生产线产生的</w:t>
            </w:r>
            <w:r>
              <w:rPr>
                <w:rFonts w:hint="eastAsia" w:cs="Times New Roman"/>
                <w:color w:val="auto"/>
                <w:sz w:val="24"/>
                <w:szCs w:val="24"/>
                <w:highlight w:val="none"/>
                <w:lang w:val="en-US" w:eastAsia="zh-CN"/>
              </w:rPr>
              <w:t>废水排入防渗沉淀池，沉淀后循环使用不外排，因蒸发会导致水量损耗，损耗取总水量的20%，则损耗量为3600</w:t>
            </w:r>
            <w:r>
              <w:rPr>
                <w:rFonts w:hint="eastAsia" w:ascii="Times New Roman" w:hAnsi="Times New Roman" w:eastAsia="宋体"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/a</w:t>
            </w:r>
            <w:r>
              <w:rPr>
                <w:rFonts w:hint="eastAsia" w:cs="Times New Roman"/>
                <w:color w:val="auto"/>
                <w:sz w:val="24"/>
                <w:szCs w:val="24"/>
                <w:highlight w:val="none"/>
                <w:lang w:val="en-US" w:eastAsia="zh-CN"/>
              </w:rPr>
              <w:t>；循环水量为14400</w:t>
            </w:r>
            <w:r>
              <w:rPr>
                <w:rFonts w:hint="eastAsia" w:ascii="Times New Roman" w:hAnsi="Times New Roman" w:eastAsia="宋体"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/a</w:t>
            </w:r>
            <w:r>
              <w:rPr>
                <w:rFonts w:hint="eastAsia" w:cs="Times New Roman"/>
                <w:color w:val="auto"/>
                <w:sz w:val="24"/>
                <w:szCs w:val="24"/>
                <w:highlight w:val="none"/>
                <w:lang w:val="en-US" w:eastAsia="zh-CN"/>
              </w:rPr>
              <w:t>。佳合鹏程设有沉淀池一座，原为水喷淋除尘器沉淀池，因工艺变化，不再使用，目前闲置，沉淀池设有多级沉淀，总容积1500m³（50m*10m*3m），本项目循环水量14400</w:t>
            </w:r>
            <w:r>
              <w:rPr>
                <w:rFonts w:hint="eastAsia" w:ascii="Times New Roman" w:hAnsi="Times New Roman" w:eastAsia="宋体"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/a</w:t>
            </w:r>
            <w:r>
              <w:rPr>
                <w:rFonts w:hint="eastAsia"/>
                <w:color w:val="auto"/>
                <w:highlight w:val="none"/>
                <w:lang w:eastAsia="zh-CN"/>
              </w:rPr>
              <w:t>，</w:t>
            </w:r>
            <w:r>
              <w:rPr>
                <w:rFonts w:hint="eastAsia" w:cs="Times New Roman"/>
                <w:color w:val="auto"/>
                <w:sz w:val="24"/>
                <w:szCs w:val="24"/>
                <w:highlight w:val="none"/>
                <w:lang w:val="en-US" w:eastAsia="zh-CN"/>
              </w:rPr>
              <w:t>每天循环量为43.64m³/d，最大用水量60m³/d，能够满足产品生产需要，依托沉淀池能够满足水力停留时间大于24h，满足项目需求。沉淀池采用防渗水泥建筑，满足一般防渗要求，本项目进行重点防渗后可满足项目所需。</w:t>
            </w:r>
          </w:p>
          <w:p w14:paraId="57ADA9B0">
            <w:pPr>
              <w:keepNext w:val="0"/>
              <w:keepLines w:val="0"/>
              <w:suppressLineNumbers w:val="0"/>
              <w:spacing w:before="0" w:beforeAutospacing="0" w:after="0" w:afterAutospacing="0" w:line="360" w:lineRule="auto"/>
              <w:ind w:left="0" w:right="0" w:firstLine="482" w:firstLineChars="200"/>
              <w:rPr>
                <w:rFonts w:hint="eastAsia" w:ascii="Times New Roman" w:hAnsi="Times New Roman" w:eastAsia="宋体" w:cs="Times New Roman"/>
                <w:color w:val="auto"/>
                <w:sz w:val="24"/>
                <w:highlight w:val="none"/>
              </w:rPr>
            </w:pPr>
            <w:r>
              <w:rPr>
                <w:rFonts w:hint="eastAsia" w:ascii="宋体" w:hAnsi="宋体" w:eastAsia="宋体" w:cs="宋体"/>
                <w:b/>
                <w:color w:val="auto"/>
                <w:kern w:val="2"/>
                <w:sz w:val="24"/>
                <w:szCs w:val="22"/>
                <w:highlight w:val="none"/>
                <w:shd w:val="clear" w:color="auto" w:fill="auto"/>
                <w:lang w:val="en-US" w:eastAsia="zh-CN" w:bidi="ar-SA"/>
              </w:rPr>
              <w:t>三、声环境影响分析</w:t>
            </w:r>
          </w:p>
          <w:p w14:paraId="7B564B4C">
            <w:pPr>
              <w:pStyle w:val="16"/>
              <w:keepNext w:val="0"/>
              <w:keepLines w:val="0"/>
              <w:suppressLineNumbers w:val="0"/>
              <w:spacing w:before="0" w:beforeAutospacing="0" w:after="0" w:afterAutospacing="0" w:line="480" w:lineRule="exact"/>
              <w:ind w:left="0" w:right="0" w:firstLine="480"/>
              <w:rPr>
                <w:rFonts w:hint="eastAsia" w:ascii="Calibri" w:hAnsi="Calibri" w:eastAsia="宋体" w:cs="Times New Roman"/>
                <w:bCs/>
                <w:color w:val="auto"/>
                <w:highlight w:val="none"/>
                <w:shd w:val="clear" w:color="auto" w:fill="auto"/>
                <w:lang w:eastAsia="zh-CN"/>
              </w:rPr>
            </w:pPr>
            <w:r>
              <w:rPr>
                <w:rFonts w:ascii="Calibri" w:hAnsi="Calibri" w:eastAsia="宋体" w:cs="Times New Roman"/>
                <w:bCs/>
                <w:color w:val="auto"/>
                <w:highlight w:val="none"/>
                <w:shd w:val="clear" w:color="auto" w:fill="auto"/>
              </w:rPr>
              <w:t>本项目营运期噪声主要</w:t>
            </w:r>
            <w:r>
              <w:rPr>
                <w:rFonts w:ascii="Calibri" w:hAnsi="Calibri" w:eastAsia="宋体" w:cs="Times New Roman"/>
                <w:bCs/>
                <w:color w:val="auto"/>
                <w:sz w:val="24"/>
                <w:highlight w:val="none"/>
                <w:shd w:val="clear" w:color="auto" w:fill="auto"/>
              </w:rPr>
              <w:t>来源于</w:t>
            </w:r>
            <w:r>
              <w:rPr>
                <w:rFonts w:ascii="Calibri" w:hAnsi="Calibri" w:eastAsia="宋体" w:cs="Times New Roman"/>
                <w:color w:val="auto"/>
                <w:sz w:val="24"/>
                <w:highlight w:val="none"/>
                <w:shd w:val="clear" w:color="auto" w:fill="auto"/>
              </w:rPr>
              <w:t>生产车间内的</w:t>
            </w:r>
            <w:r>
              <w:rPr>
                <w:rFonts w:hint="eastAsia" w:ascii="Calibri" w:hAnsi="Calibri" w:eastAsia="宋体" w:cs="Times New Roman"/>
                <w:color w:val="auto"/>
                <w:sz w:val="24"/>
                <w:highlight w:val="none"/>
                <w:shd w:val="clear" w:color="auto" w:fill="auto"/>
                <w:lang w:eastAsia="zh-CN"/>
              </w:rPr>
              <w:t>颚式破碎机、</w:t>
            </w:r>
            <w:r>
              <w:rPr>
                <w:rFonts w:hint="eastAsia" w:ascii="Calibri" w:hAnsi="Calibri" w:cs="Times New Roman"/>
                <w:color w:val="auto"/>
                <w:sz w:val="24"/>
                <w:highlight w:val="none"/>
                <w:shd w:val="clear" w:color="auto" w:fill="auto"/>
                <w:lang w:eastAsia="zh-CN"/>
              </w:rPr>
              <w:t>锤式破碎机</w:t>
            </w:r>
            <w:r>
              <w:rPr>
                <w:rFonts w:hint="eastAsia" w:ascii="Calibri" w:hAnsi="Calibri" w:eastAsia="宋体" w:cs="Times New Roman"/>
                <w:color w:val="auto"/>
                <w:sz w:val="24"/>
                <w:highlight w:val="none"/>
                <w:shd w:val="clear" w:color="auto" w:fill="auto"/>
                <w:lang w:eastAsia="zh-CN"/>
              </w:rPr>
              <w:t>、</w:t>
            </w:r>
            <w:r>
              <w:rPr>
                <w:rFonts w:hint="eastAsia" w:ascii="Calibri" w:hAnsi="Calibri" w:cs="Times New Roman"/>
                <w:color w:val="auto"/>
                <w:sz w:val="24"/>
                <w:highlight w:val="none"/>
                <w:shd w:val="clear" w:color="auto" w:fill="auto"/>
                <w:lang w:eastAsia="zh-CN"/>
              </w:rPr>
              <w:t>筛分机</w:t>
            </w:r>
            <w:r>
              <w:rPr>
                <w:rFonts w:hint="eastAsia" w:ascii="Calibri" w:hAnsi="Calibri" w:eastAsia="宋体" w:cs="Times New Roman"/>
                <w:color w:val="auto"/>
                <w:sz w:val="24"/>
                <w:highlight w:val="none"/>
                <w:shd w:val="clear" w:color="auto" w:fill="auto"/>
                <w:lang w:eastAsia="zh-CN"/>
              </w:rPr>
              <w:t>、</w:t>
            </w:r>
            <w:r>
              <w:rPr>
                <w:rFonts w:hint="eastAsia" w:ascii="Calibri" w:hAnsi="Calibri" w:cs="Times New Roman"/>
                <w:color w:val="auto"/>
                <w:sz w:val="24"/>
                <w:highlight w:val="none"/>
                <w:shd w:val="clear" w:color="auto" w:fill="auto"/>
                <w:lang w:eastAsia="zh-CN"/>
              </w:rPr>
              <w:t>环辊磨</w:t>
            </w:r>
            <w:r>
              <w:rPr>
                <w:rFonts w:hint="eastAsia" w:ascii="Calibri" w:hAnsi="Calibri" w:eastAsia="宋体" w:cs="Times New Roman"/>
                <w:color w:val="auto"/>
                <w:sz w:val="24"/>
                <w:highlight w:val="none"/>
                <w:shd w:val="clear" w:color="auto" w:fill="auto"/>
                <w:lang w:eastAsia="zh-CN"/>
              </w:rPr>
              <w:t>、</w:t>
            </w:r>
            <w:r>
              <w:rPr>
                <w:rFonts w:hint="eastAsia" w:ascii="Calibri" w:hAnsi="Calibri" w:cs="Times New Roman"/>
                <w:color w:val="auto"/>
                <w:sz w:val="24"/>
                <w:highlight w:val="none"/>
                <w:shd w:val="clear" w:color="auto" w:fill="auto"/>
                <w:lang w:eastAsia="zh-CN"/>
              </w:rPr>
              <w:t>雷蒙</w:t>
            </w:r>
            <w:r>
              <w:rPr>
                <w:rFonts w:hint="eastAsia" w:ascii="Calibri" w:hAnsi="Calibri" w:eastAsia="宋体" w:cs="Times New Roman"/>
                <w:color w:val="auto"/>
                <w:sz w:val="24"/>
                <w:highlight w:val="none"/>
                <w:shd w:val="clear" w:color="auto" w:fill="auto"/>
                <w:lang w:eastAsia="zh-CN"/>
              </w:rPr>
              <w:t>、</w:t>
            </w:r>
            <w:r>
              <w:rPr>
                <w:rFonts w:hint="eastAsia" w:ascii="Calibri" w:hAnsi="Calibri" w:cs="Times New Roman"/>
                <w:color w:val="auto"/>
                <w:sz w:val="24"/>
                <w:highlight w:val="none"/>
                <w:shd w:val="clear" w:color="auto" w:fill="auto"/>
                <w:lang w:eastAsia="zh-CN"/>
              </w:rPr>
              <w:t>立磨</w:t>
            </w:r>
            <w:r>
              <w:rPr>
                <w:rFonts w:hint="eastAsia" w:ascii="Calibri" w:hAnsi="Calibri" w:eastAsia="宋体" w:cs="Times New Roman"/>
                <w:color w:val="auto"/>
                <w:sz w:val="24"/>
                <w:highlight w:val="none"/>
                <w:shd w:val="clear" w:color="auto" w:fill="auto"/>
                <w:lang w:eastAsia="zh-CN"/>
              </w:rPr>
              <w:t>、除尘器风机等设备</w:t>
            </w:r>
            <w:r>
              <w:rPr>
                <w:rFonts w:ascii="Calibri" w:hAnsi="Calibri" w:eastAsia="宋体" w:cs="Times New Roman"/>
                <w:color w:val="auto"/>
                <w:sz w:val="24"/>
                <w:highlight w:val="none"/>
                <w:shd w:val="clear" w:color="auto" w:fill="auto"/>
              </w:rPr>
              <w:t>产生的噪声</w:t>
            </w:r>
            <w:r>
              <w:rPr>
                <w:rFonts w:hint="eastAsia" w:ascii="Calibri" w:hAnsi="Calibri" w:cs="Times New Roman"/>
                <w:color w:val="auto"/>
                <w:sz w:val="24"/>
                <w:highlight w:val="none"/>
                <w:shd w:val="clear" w:color="auto" w:fill="auto"/>
                <w:lang w:eastAsia="zh-CN"/>
              </w:rPr>
              <w:t>；运输车辆产生的移动源噪声。</w:t>
            </w:r>
          </w:p>
          <w:p w14:paraId="245CDB6D">
            <w:pPr>
              <w:pStyle w:val="16"/>
              <w:keepNext w:val="0"/>
              <w:keepLines w:val="0"/>
              <w:suppressLineNumbers w:val="0"/>
              <w:spacing w:before="0" w:beforeAutospacing="0" w:after="0" w:afterAutospacing="0" w:line="480" w:lineRule="exact"/>
              <w:ind w:left="0" w:right="0" w:firstLine="480"/>
              <w:rPr>
                <w:color w:val="auto"/>
                <w:sz w:val="24"/>
                <w:highlight w:val="none"/>
                <w:shd w:val="clear" w:color="auto" w:fill="auto"/>
              </w:rPr>
            </w:pPr>
            <w:r>
              <w:rPr>
                <w:rFonts w:hint="eastAsia" w:ascii="Calibri" w:hAnsi="Calibri" w:eastAsia="宋体" w:cs="Times New Roman"/>
                <w:bCs/>
                <w:color w:val="auto"/>
                <w:highlight w:val="none"/>
                <w:shd w:val="clear" w:color="auto" w:fill="auto"/>
                <w:lang w:eastAsia="zh-CN"/>
              </w:rPr>
              <w:t>本</w:t>
            </w:r>
            <w:r>
              <w:rPr>
                <w:color w:val="auto"/>
                <w:sz w:val="24"/>
                <w:highlight w:val="none"/>
                <w:shd w:val="clear" w:color="auto" w:fill="auto"/>
              </w:rPr>
              <w:t>项目</w:t>
            </w:r>
            <w:r>
              <w:rPr>
                <w:rFonts w:hint="eastAsia"/>
                <w:color w:val="auto"/>
                <w:sz w:val="24"/>
                <w:highlight w:val="none"/>
                <w:shd w:val="clear" w:color="auto" w:fill="auto"/>
                <w:lang w:eastAsia="zh-CN"/>
              </w:rPr>
              <w:t>所有产噪设备均位于厂房内，厂房采用钢结构，</w:t>
            </w:r>
            <w:r>
              <w:rPr>
                <w:color w:val="auto"/>
                <w:sz w:val="24"/>
                <w:highlight w:val="none"/>
                <w:shd w:val="clear" w:color="auto" w:fill="auto"/>
              </w:rPr>
              <w:t>各噪声源采取减振、隔声措施</w:t>
            </w:r>
            <w:r>
              <w:rPr>
                <w:rFonts w:hint="eastAsia"/>
                <w:color w:val="auto"/>
                <w:sz w:val="24"/>
                <w:highlight w:val="none"/>
                <w:shd w:val="clear" w:color="auto" w:fill="auto"/>
                <w:lang w:eastAsia="zh-CN"/>
              </w:rPr>
              <w:t>，围护结构隔声量达到</w:t>
            </w:r>
            <w:r>
              <w:rPr>
                <w:rFonts w:hint="eastAsia"/>
                <w:color w:val="auto"/>
                <w:sz w:val="24"/>
                <w:highlight w:val="none"/>
                <w:shd w:val="clear" w:color="auto" w:fill="auto"/>
                <w:lang w:val="en-US" w:eastAsia="zh-CN"/>
              </w:rPr>
              <w:t>20dB，根据《环境影响评价技术导则声环境》（HJ2.4-2021）附录B</w:t>
            </w:r>
            <w:r>
              <w:rPr>
                <w:color w:val="auto"/>
                <w:sz w:val="24"/>
                <w:highlight w:val="none"/>
                <w:shd w:val="clear" w:color="auto" w:fill="auto"/>
              </w:rPr>
              <w:t>。</w:t>
            </w:r>
          </w:p>
          <w:p w14:paraId="572C5E63">
            <w:pPr>
              <w:pStyle w:val="16"/>
              <w:keepNext w:val="0"/>
              <w:keepLines w:val="0"/>
              <w:suppressLineNumbers w:val="0"/>
              <w:spacing w:before="0" w:beforeAutospacing="0" w:after="0" w:afterAutospacing="0"/>
              <w:ind w:left="0" w:leftChars="0" w:right="0" w:firstLine="480" w:firstLineChars="200"/>
              <w:rPr>
                <w:rFonts w:hint="eastAsia"/>
                <w:color w:val="auto"/>
                <w:highlight w:val="none"/>
                <w:lang w:val="en-US" w:eastAsia="zh-CN"/>
              </w:rPr>
            </w:pPr>
            <w:r>
              <w:rPr>
                <w:rFonts w:hint="eastAsia"/>
                <w:color w:val="auto"/>
                <w:highlight w:val="none"/>
                <w:lang w:val="en-US" w:eastAsia="zh-CN"/>
              </w:rPr>
              <w:t>设靠近开口处（或窗户）室内、室外某倍频带的声压级或 A 声级分别为 L</w:t>
            </w:r>
            <w:r>
              <w:rPr>
                <w:rFonts w:hint="eastAsia"/>
                <w:color w:val="auto"/>
                <w:highlight w:val="none"/>
                <w:vertAlign w:val="subscript"/>
                <w:lang w:val="en-US" w:eastAsia="zh-CN"/>
              </w:rPr>
              <w:t>p1</w:t>
            </w:r>
            <w:r>
              <w:rPr>
                <w:rFonts w:hint="eastAsia"/>
                <w:color w:val="auto"/>
                <w:highlight w:val="none"/>
                <w:lang w:val="en-US" w:eastAsia="zh-CN"/>
              </w:rPr>
              <w:t xml:space="preserve"> 和 L</w:t>
            </w:r>
            <w:r>
              <w:rPr>
                <w:rFonts w:hint="eastAsia"/>
                <w:color w:val="auto"/>
                <w:highlight w:val="none"/>
                <w:vertAlign w:val="subscript"/>
                <w:lang w:val="en-US" w:eastAsia="zh-CN"/>
              </w:rPr>
              <w:t>p2</w:t>
            </w:r>
            <w:r>
              <w:rPr>
                <w:rFonts w:hint="eastAsia"/>
                <w:color w:val="auto"/>
                <w:highlight w:val="none"/>
                <w:lang w:val="en-US" w:eastAsia="zh-CN"/>
              </w:rPr>
              <w:t>。若声源所在室内声场为近似扩散声场，则室外的倍频带声压级可按式（B.1）近似求出：</w:t>
            </w:r>
          </w:p>
          <w:p w14:paraId="2E63D1FE">
            <w:pPr>
              <w:pStyle w:val="16"/>
              <w:keepNext w:val="0"/>
              <w:keepLines w:val="0"/>
              <w:suppressLineNumbers w:val="0"/>
              <w:spacing w:before="0" w:beforeAutospacing="0" w:after="0" w:afterAutospacing="0"/>
              <w:ind w:left="0" w:leftChars="0" w:right="0" w:firstLine="0" w:firstLineChars="0"/>
              <w:jc w:val="center"/>
              <w:rPr>
                <w:rFonts w:hint="eastAsia"/>
                <w:color w:val="auto"/>
                <w:highlight w:val="none"/>
                <w:lang w:val="en-US" w:eastAsia="zh-CN"/>
              </w:rPr>
            </w:pPr>
            <w:r>
              <w:rPr>
                <w:rFonts w:hint="eastAsia"/>
                <w:color w:val="auto"/>
                <w:highlight w:val="none"/>
                <w:lang w:val="en-US" w:eastAsia="zh-CN"/>
              </w:rPr>
              <w:t>L</w:t>
            </w:r>
            <w:r>
              <w:rPr>
                <w:rFonts w:hint="eastAsia"/>
                <w:color w:val="auto"/>
                <w:highlight w:val="none"/>
                <w:vertAlign w:val="subscript"/>
                <w:lang w:val="en-US" w:eastAsia="zh-CN"/>
              </w:rPr>
              <w:t>p2</w:t>
            </w:r>
            <w:r>
              <w:rPr>
                <w:rFonts w:hint="eastAsia"/>
                <w:color w:val="auto"/>
                <w:highlight w:val="none"/>
                <w:lang w:val="en-US" w:eastAsia="zh-CN"/>
              </w:rPr>
              <w:t>=L</w:t>
            </w:r>
            <w:r>
              <w:rPr>
                <w:rFonts w:hint="eastAsia"/>
                <w:color w:val="auto"/>
                <w:highlight w:val="none"/>
                <w:vertAlign w:val="subscript"/>
                <w:lang w:val="en-US" w:eastAsia="zh-CN"/>
              </w:rPr>
              <w:t>p1</w:t>
            </w:r>
            <w:r>
              <w:rPr>
                <w:rFonts w:hint="eastAsia"/>
                <w:color w:val="auto"/>
                <w:highlight w:val="none"/>
                <w:lang w:val="en-US" w:eastAsia="zh-CN"/>
              </w:rPr>
              <w:t>-（TL+6）      （B.1）</w:t>
            </w:r>
          </w:p>
          <w:p w14:paraId="56ED2B55">
            <w:pPr>
              <w:pStyle w:val="16"/>
              <w:keepNext w:val="0"/>
              <w:keepLines w:val="0"/>
              <w:suppressLineNumbers w:val="0"/>
              <w:spacing w:before="0" w:beforeAutospacing="0" w:after="0" w:afterAutospacing="0"/>
              <w:ind w:left="0" w:leftChars="0" w:right="0" w:firstLine="0" w:firstLineChars="0"/>
              <w:rPr>
                <w:rFonts w:hint="eastAsia"/>
                <w:color w:val="auto"/>
                <w:highlight w:val="none"/>
                <w:lang w:val="en-US" w:eastAsia="zh-CN"/>
              </w:rPr>
            </w:pPr>
            <w:r>
              <w:rPr>
                <w:rFonts w:hint="eastAsia"/>
                <w:color w:val="auto"/>
                <w:highlight w:val="none"/>
                <w:lang w:val="en-US" w:eastAsia="zh-CN"/>
              </w:rPr>
              <w:t>式中：L</w:t>
            </w:r>
            <w:r>
              <w:rPr>
                <w:rFonts w:hint="eastAsia"/>
                <w:color w:val="auto"/>
                <w:highlight w:val="none"/>
                <w:vertAlign w:val="subscript"/>
                <w:lang w:val="en-US" w:eastAsia="zh-CN"/>
              </w:rPr>
              <w:t>p1</w:t>
            </w:r>
            <w:r>
              <w:rPr>
                <w:rFonts w:hint="eastAsia"/>
                <w:color w:val="auto"/>
                <w:highlight w:val="none"/>
                <w:lang w:val="en-US" w:eastAsia="zh-CN"/>
              </w:rPr>
              <w:t>——靠近开口处（或窗户）室内某倍频带的声压级或A声级，dB；</w:t>
            </w:r>
          </w:p>
          <w:p w14:paraId="0D1C3887">
            <w:pPr>
              <w:pStyle w:val="16"/>
              <w:keepNext w:val="0"/>
              <w:keepLines w:val="0"/>
              <w:suppressLineNumbers w:val="0"/>
              <w:spacing w:before="0" w:beforeAutospacing="0" w:after="0" w:afterAutospacing="0"/>
              <w:ind w:left="0" w:leftChars="0" w:right="0" w:firstLine="720" w:firstLineChars="300"/>
              <w:rPr>
                <w:rFonts w:hint="eastAsia"/>
                <w:color w:val="auto"/>
                <w:highlight w:val="none"/>
                <w:lang w:val="en-US" w:eastAsia="zh-CN"/>
              </w:rPr>
            </w:pPr>
            <w:r>
              <w:rPr>
                <w:rFonts w:hint="eastAsia"/>
                <w:color w:val="auto"/>
                <w:highlight w:val="none"/>
                <w:lang w:val="en-US" w:eastAsia="zh-CN"/>
              </w:rPr>
              <w:t>L</w:t>
            </w:r>
            <w:r>
              <w:rPr>
                <w:rFonts w:hint="eastAsia"/>
                <w:color w:val="auto"/>
                <w:highlight w:val="none"/>
                <w:vertAlign w:val="subscript"/>
                <w:lang w:val="en-US" w:eastAsia="zh-CN"/>
              </w:rPr>
              <w:t>p2</w:t>
            </w:r>
            <w:r>
              <w:rPr>
                <w:rFonts w:hint="eastAsia"/>
                <w:color w:val="auto"/>
                <w:highlight w:val="none"/>
                <w:lang w:val="en-US" w:eastAsia="zh-CN"/>
              </w:rPr>
              <w:t>——靠近开口处（或窗户）室外某倍频带的声压级或A声级，dB；</w:t>
            </w:r>
          </w:p>
          <w:p w14:paraId="68C7AB65">
            <w:pPr>
              <w:pStyle w:val="16"/>
              <w:keepNext w:val="0"/>
              <w:keepLines w:val="0"/>
              <w:suppressLineNumbers w:val="0"/>
              <w:spacing w:before="0" w:beforeAutospacing="0" w:after="0" w:afterAutospacing="0"/>
              <w:ind w:left="0" w:leftChars="0" w:right="0" w:firstLine="720" w:firstLineChars="300"/>
              <w:rPr>
                <w:rFonts w:hint="eastAsia"/>
                <w:color w:val="auto"/>
                <w:highlight w:val="none"/>
                <w:lang w:val="en-US" w:eastAsia="zh-CN"/>
              </w:rPr>
            </w:pPr>
            <w:r>
              <w:rPr>
                <w:rFonts w:hint="eastAsia"/>
                <w:color w:val="auto"/>
                <w:highlight w:val="none"/>
                <w:lang w:val="en-US" w:eastAsia="zh-CN"/>
              </w:rPr>
              <w:t>TL——隔墙（或窗户）倍频带或 A 声级的隔声量，dB。</w:t>
            </w:r>
          </w:p>
          <w:p w14:paraId="61F1A498">
            <w:pPr>
              <w:pStyle w:val="16"/>
              <w:keepNext w:val="0"/>
              <w:keepLines w:val="0"/>
              <w:suppressLineNumbers w:val="0"/>
              <w:spacing w:before="0" w:beforeAutospacing="0" w:after="0" w:afterAutospacing="0" w:line="480" w:lineRule="exact"/>
              <w:ind w:left="0" w:right="0" w:firstLine="480"/>
              <w:rPr>
                <w:rFonts w:hint="eastAsia"/>
                <w:color w:val="auto"/>
                <w:sz w:val="24"/>
                <w:szCs w:val="24"/>
                <w:highlight w:val="none"/>
                <w:lang w:val="en-US" w:eastAsia="zh-CN"/>
              </w:rPr>
            </w:pPr>
            <w:r>
              <w:rPr>
                <w:rFonts w:hint="eastAsia"/>
                <w:color w:val="auto"/>
                <w:sz w:val="24"/>
                <w:szCs w:val="24"/>
                <w:highlight w:val="none"/>
                <w:lang w:val="en-US" w:eastAsia="zh-CN"/>
              </w:rPr>
              <w:t>因此本项目</w:t>
            </w:r>
            <w:r>
              <w:rPr>
                <w:rFonts w:hint="eastAsia" w:ascii="宋体" w:hAnsi="宋体" w:eastAsia="宋体" w:cs="宋体"/>
                <w:i w:val="0"/>
                <w:iCs w:val="0"/>
                <w:color w:val="auto"/>
                <w:kern w:val="0"/>
                <w:sz w:val="24"/>
                <w:szCs w:val="24"/>
                <w:highlight w:val="none"/>
                <w:u w:val="none"/>
                <w:lang w:val="en-US" w:eastAsia="zh-CN" w:bidi="ar"/>
              </w:rPr>
              <w:t>建筑物插入损失</w:t>
            </w:r>
            <w:r>
              <w:rPr>
                <w:rFonts w:hint="eastAsia"/>
                <w:color w:val="auto"/>
                <w:highlight w:val="none"/>
                <w:lang w:eastAsia="zh-CN"/>
              </w:rPr>
              <w:t>（</w:t>
            </w:r>
            <w:r>
              <w:rPr>
                <w:rFonts w:hint="eastAsia"/>
                <w:color w:val="auto"/>
                <w:highlight w:val="none"/>
                <w:lang w:val="en-US" w:eastAsia="zh-CN"/>
              </w:rPr>
              <w:t>L</w:t>
            </w:r>
            <w:r>
              <w:rPr>
                <w:rFonts w:hint="eastAsia"/>
                <w:color w:val="auto"/>
                <w:highlight w:val="none"/>
                <w:vertAlign w:val="subscript"/>
                <w:lang w:val="en-US" w:eastAsia="zh-CN"/>
              </w:rPr>
              <w:t>P1</w:t>
            </w:r>
            <w:r>
              <w:rPr>
                <w:rFonts w:hint="eastAsia"/>
                <w:color w:val="auto"/>
                <w:highlight w:val="none"/>
                <w:lang w:val="en-US" w:eastAsia="zh-CN"/>
              </w:rPr>
              <w:t>-L</w:t>
            </w:r>
            <w:r>
              <w:rPr>
                <w:rFonts w:hint="eastAsia"/>
                <w:color w:val="auto"/>
                <w:highlight w:val="none"/>
                <w:vertAlign w:val="subscript"/>
                <w:lang w:val="en-US" w:eastAsia="zh-CN"/>
              </w:rPr>
              <w:t>P2</w:t>
            </w:r>
            <w:r>
              <w:rPr>
                <w:rFonts w:hint="eastAsia"/>
                <w:color w:val="auto"/>
                <w:highlight w:val="none"/>
                <w:lang w:eastAsia="zh-CN"/>
              </w:rPr>
              <w:t>）</w:t>
            </w:r>
            <w:r>
              <w:rPr>
                <w:rFonts w:hint="eastAsia" w:ascii="宋体" w:hAnsi="宋体" w:eastAsia="宋体" w:cs="宋体"/>
                <w:i w:val="0"/>
                <w:iCs w:val="0"/>
                <w:color w:val="auto"/>
                <w:kern w:val="0"/>
                <w:sz w:val="24"/>
                <w:szCs w:val="24"/>
                <w:highlight w:val="none"/>
                <w:u w:val="none"/>
                <w:lang w:val="en-US" w:eastAsia="zh-CN" w:bidi="ar"/>
              </w:rPr>
              <w:t>取值</w:t>
            </w:r>
            <w:r>
              <w:rPr>
                <w:rFonts w:hint="default" w:ascii="Times New Roman" w:hAnsi="Times New Roman" w:eastAsia="宋体" w:cs="Times New Roman"/>
                <w:i w:val="0"/>
                <w:iCs w:val="0"/>
                <w:color w:val="auto"/>
                <w:kern w:val="0"/>
                <w:sz w:val="24"/>
                <w:szCs w:val="24"/>
                <w:highlight w:val="none"/>
                <w:u w:val="none"/>
                <w:lang w:val="en-US" w:eastAsia="zh-CN" w:bidi="ar"/>
              </w:rPr>
              <w:t>26</w:t>
            </w:r>
            <w:r>
              <w:rPr>
                <w:rFonts w:hint="eastAsia"/>
                <w:color w:val="auto"/>
                <w:sz w:val="24"/>
                <w:szCs w:val="24"/>
                <w:highlight w:val="none"/>
                <w:lang w:val="en-US" w:eastAsia="zh-CN"/>
              </w:rPr>
              <w:t>dB</w:t>
            </w:r>
          </w:p>
          <w:p w14:paraId="024E2CCE">
            <w:pPr>
              <w:pStyle w:val="16"/>
              <w:keepNext w:val="0"/>
              <w:keepLines w:val="0"/>
              <w:suppressLineNumbers w:val="0"/>
              <w:spacing w:before="0" w:beforeAutospacing="0" w:after="0" w:afterAutospacing="0" w:line="480" w:lineRule="exact"/>
              <w:ind w:left="0" w:right="0" w:firstLine="480"/>
              <w:rPr>
                <w:rFonts w:ascii="Calibri" w:hAnsi="Calibri" w:eastAsia="宋体" w:cs="Times New Roman"/>
                <w:color w:val="auto"/>
                <w:highlight w:val="none"/>
                <w:lang w:val="en-US" w:eastAsia="zh-CN"/>
              </w:rPr>
            </w:pPr>
            <w:r>
              <w:rPr>
                <w:rFonts w:hint="eastAsia" w:ascii="Calibri" w:hAnsi="Calibri" w:eastAsia="宋体" w:cs="Times New Roman"/>
                <w:color w:val="auto"/>
                <w:highlight w:val="none"/>
                <w:shd w:val="clear" w:color="auto" w:fill="auto"/>
                <w:lang w:val="en-US" w:eastAsia="zh-CN"/>
              </w:rPr>
              <w:t>参照《</w:t>
            </w:r>
            <w:r>
              <w:rPr>
                <w:rFonts w:hint="eastAsia" w:ascii="Times New Roman" w:hAnsi="Times New Roman" w:eastAsia="宋体" w:cs="Times New Roman"/>
                <w:color w:val="auto"/>
                <w:sz w:val="24"/>
                <w:highlight w:val="none"/>
                <w:shd w:val="clear" w:color="auto" w:fill="auto"/>
                <w:lang w:eastAsia="zh-CN"/>
              </w:rPr>
              <w:fldChar w:fldCharType="begin"/>
            </w:r>
            <w:r>
              <w:rPr>
                <w:rFonts w:hint="eastAsia" w:ascii="Times New Roman" w:hAnsi="Times New Roman" w:eastAsia="宋体" w:cs="Times New Roman"/>
                <w:color w:val="auto"/>
                <w:sz w:val="24"/>
                <w:highlight w:val="none"/>
                <w:shd w:val="clear" w:color="auto" w:fill="auto"/>
                <w:lang w:eastAsia="zh-CN"/>
              </w:rPr>
              <w:instrText xml:space="preserve"> HYPERLINK "https://www.mee.gov.cn/ywgz/fgbz/bz/bzwb/wrfzjszc/202002/W020200213577582814426.pdf" </w:instrText>
            </w:r>
            <w:r>
              <w:rPr>
                <w:rFonts w:hint="eastAsia" w:ascii="Times New Roman" w:hAnsi="Times New Roman" w:eastAsia="宋体" w:cs="Times New Roman"/>
                <w:color w:val="auto"/>
                <w:sz w:val="24"/>
                <w:highlight w:val="none"/>
                <w:shd w:val="clear" w:color="auto" w:fill="auto"/>
                <w:lang w:eastAsia="zh-CN"/>
              </w:rPr>
              <w:fldChar w:fldCharType="separate"/>
            </w:r>
            <w:r>
              <w:rPr>
                <w:rFonts w:hint="eastAsia" w:ascii="Times New Roman" w:hAnsi="Times New Roman" w:eastAsia="宋体" w:cs="Times New Roman"/>
                <w:color w:val="auto"/>
                <w:sz w:val="24"/>
                <w:highlight w:val="none"/>
                <w:shd w:val="clear" w:color="auto" w:fill="auto"/>
                <w:lang w:eastAsia="zh-CN"/>
              </w:rPr>
              <w:t>污染源源强核算技术指南 陶瓷制品制造</w:t>
            </w:r>
            <w:r>
              <w:rPr>
                <w:rFonts w:hint="eastAsia" w:ascii="Calibri" w:hAnsi="Calibri" w:eastAsia="宋体" w:cs="Times New Roman"/>
                <w:color w:val="auto"/>
                <w:highlight w:val="none"/>
                <w:shd w:val="clear" w:color="auto" w:fill="auto"/>
                <w:lang w:val="en-US" w:eastAsia="zh-CN"/>
              </w:rPr>
              <w:t>》</w:t>
            </w:r>
            <w:r>
              <w:rPr>
                <w:rFonts w:hint="eastAsia" w:ascii="Times New Roman" w:hAnsi="Times New Roman" w:eastAsia="宋体" w:cs="Times New Roman"/>
                <w:color w:val="auto"/>
                <w:sz w:val="24"/>
                <w:highlight w:val="none"/>
                <w:shd w:val="clear" w:color="auto" w:fill="auto"/>
                <w:lang w:eastAsia="zh-CN"/>
              </w:rPr>
              <w:t>（HJ 1096</w:t>
            </w:r>
            <w:r>
              <w:rPr>
                <w:rFonts w:hint="eastAsia" w:ascii="Times New Roman" w:hAnsi="Times New Roman" w:eastAsia="宋体" w:cs="Times New Roman"/>
                <w:color w:val="auto"/>
                <w:sz w:val="24"/>
                <w:highlight w:val="none"/>
                <w:shd w:val="clear" w:color="auto" w:fill="auto"/>
                <w:lang w:val="en-US" w:eastAsia="zh-CN"/>
              </w:rPr>
              <w:t>-</w:t>
            </w:r>
            <w:r>
              <w:rPr>
                <w:rFonts w:hint="eastAsia" w:ascii="Times New Roman" w:hAnsi="Times New Roman" w:eastAsia="宋体" w:cs="Times New Roman"/>
                <w:color w:val="auto"/>
                <w:sz w:val="24"/>
                <w:highlight w:val="none"/>
                <w:shd w:val="clear" w:color="auto" w:fill="auto"/>
                <w:lang w:eastAsia="zh-CN"/>
              </w:rPr>
              <w:t>2020）</w:t>
            </w:r>
            <w:r>
              <w:rPr>
                <w:rFonts w:hint="eastAsia" w:ascii="Times New Roman" w:hAnsi="Times New Roman" w:eastAsia="宋体" w:cs="Times New Roman"/>
                <w:color w:val="auto"/>
                <w:sz w:val="24"/>
                <w:highlight w:val="none"/>
                <w:shd w:val="clear" w:color="auto" w:fill="auto"/>
                <w:lang w:eastAsia="zh-CN"/>
              </w:rPr>
              <w:fldChar w:fldCharType="end"/>
            </w:r>
            <w:r>
              <w:rPr>
                <w:rFonts w:ascii="Calibri" w:hAnsi="Calibri" w:eastAsia="宋体" w:cs="Times New Roman"/>
                <w:color w:val="auto"/>
                <w:highlight w:val="none"/>
                <w:shd w:val="clear" w:color="auto" w:fill="auto"/>
                <w:lang w:val="en-US" w:eastAsia="zh-CN"/>
              </w:rPr>
              <w:t>噪声源具体情况见表</w:t>
            </w:r>
            <w:r>
              <w:rPr>
                <w:rFonts w:hint="eastAsia" w:ascii="Calibri" w:hAnsi="Calibri" w:cs="Times New Roman"/>
                <w:color w:val="auto"/>
                <w:sz w:val="24"/>
                <w:highlight w:val="none"/>
                <w:shd w:val="clear" w:color="auto" w:fill="auto"/>
                <w:lang w:val="en-US" w:eastAsia="zh-CN"/>
              </w:rPr>
              <w:t>4-12</w:t>
            </w:r>
            <w:r>
              <w:rPr>
                <w:rFonts w:ascii="Calibri" w:hAnsi="Calibri" w:eastAsia="宋体" w:cs="Times New Roman"/>
                <w:color w:val="auto"/>
                <w:highlight w:val="none"/>
                <w:shd w:val="clear" w:color="auto" w:fill="auto"/>
                <w:lang w:val="en-US" w:eastAsia="zh-CN"/>
              </w:rPr>
              <w:t>。</w:t>
            </w:r>
          </w:p>
          <w:p w14:paraId="6D638568">
            <w:pPr>
              <w:keepNext w:val="0"/>
              <w:keepLines w:val="0"/>
              <w:suppressLineNumbers w:val="0"/>
              <w:spacing w:before="0" w:beforeAutospacing="0" w:after="0" w:afterAutospacing="0" w:line="440" w:lineRule="exact"/>
              <w:ind w:left="0" w:right="0"/>
              <w:jc w:val="center"/>
              <w:rPr>
                <w:rFonts w:hint="eastAsia" w:ascii="Calibri" w:hAnsi="Calibri" w:eastAsia="宋体" w:cs="Times New Roman"/>
                <w:color w:val="auto"/>
                <w:sz w:val="24"/>
                <w:highlight w:val="none"/>
                <w:shd w:val="clear" w:color="auto" w:fill="auto"/>
              </w:rPr>
            </w:pPr>
            <w:r>
              <w:rPr>
                <w:rFonts w:ascii="Calibri" w:hAnsi="Calibri" w:eastAsia="宋体" w:cs="Times New Roman"/>
                <w:color w:val="auto"/>
                <w:sz w:val="24"/>
                <w:highlight w:val="none"/>
                <w:shd w:val="clear" w:color="auto" w:fill="auto"/>
              </w:rPr>
              <w:t>表</w:t>
            </w:r>
            <w:r>
              <w:rPr>
                <w:rFonts w:hint="eastAsia" w:ascii="Calibri" w:hAnsi="Calibri" w:eastAsia="宋体" w:cs="Times New Roman"/>
                <w:color w:val="auto"/>
                <w:sz w:val="24"/>
                <w:highlight w:val="none"/>
                <w:shd w:val="clear" w:color="auto" w:fill="auto"/>
                <w:lang w:val="en-US" w:eastAsia="zh-CN"/>
              </w:rPr>
              <w:t>4-12</w:t>
            </w:r>
            <w:r>
              <w:rPr>
                <w:rFonts w:ascii="Calibri" w:hAnsi="Calibri" w:eastAsia="宋体" w:cs="Times New Roman"/>
                <w:color w:val="auto"/>
                <w:sz w:val="24"/>
                <w:highlight w:val="none"/>
                <w:shd w:val="clear" w:color="auto" w:fill="auto"/>
              </w:rPr>
              <w:t xml:space="preserve">      本项目噪声源具体情况</w:t>
            </w:r>
            <w:r>
              <w:rPr>
                <w:rFonts w:hint="eastAsia" w:ascii="Calibri" w:hAnsi="Calibri" w:eastAsia="宋体" w:cs="Times New Roman"/>
                <w:color w:val="auto"/>
                <w:sz w:val="24"/>
                <w:highlight w:val="none"/>
                <w:shd w:val="clear" w:color="auto" w:fill="auto"/>
              </w:rPr>
              <w:t xml:space="preserve">      单位（dB）</w:t>
            </w:r>
          </w:p>
          <w:tbl>
            <w:tblPr>
              <w:tblStyle w:val="25"/>
              <w:tblW w:w="83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374"/>
              <w:gridCol w:w="374"/>
              <w:gridCol w:w="595"/>
              <w:gridCol w:w="790"/>
              <w:gridCol w:w="374"/>
              <w:gridCol w:w="469"/>
              <w:gridCol w:w="713"/>
              <w:gridCol w:w="454"/>
              <w:gridCol w:w="428"/>
              <w:gridCol w:w="374"/>
              <w:gridCol w:w="725"/>
              <w:gridCol w:w="648"/>
              <w:gridCol w:w="374"/>
              <w:gridCol w:w="648"/>
              <w:gridCol w:w="648"/>
              <w:gridCol w:w="384"/>
            </w:tblGrid>
            <w:tr w14:paraId="5C0E0F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jc w:val="center"/>
              </w:trPr>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F14FC3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序号</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DECE1D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建筑物名称</w:t>
                  </w:r>
                </w:p>
              </w:tc>
              <w:tc>
                <w:tcPr>
                  <w:tcW w:w="5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F2970C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声源名称</w:t>
                  </w: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808B87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型号</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837D72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数量</w:t>
                  </w:r>
                </w:p>
              </w:tc>
              <w:tc>
                <w:tcPr>
                  <w:tcW w:w="4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68225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声源源强</w:t>
                  </w:r>
                </w:p>
              </w:tc>
              <w:tc>
                <w:tcPr>
                  <w:tcW w:w="7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E2CAE3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声源控制措施</w:t>
                  </w:r>
                </w:p>
              </w:tc>
              <w:tc>
                <w:tcPr>
                  <w:tcW w:w="1256"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6074C4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空间相对位置</w:t>
                  </w:r>
                  <w:r>
                    <w:rPr>
                      <w:rFonts w:hint="default" w:ascii="Times New Roman" w:hAnsi="Times New Roman" w:eastAsia="宋体" w:cs="Times New Roman"/>
                      <w:i w:val="0"/>
                      <w:iCs w:val="0"/>
                      <w:color w:val="auto"/>
                      <w:kern w:val="0"/>
                      <w:sz w:val="18"/>
                      <w:szCs w:val="18"/>
                      <w:highlight w:val="none"/>
                      <w:u w:val="none"/>
                      <w:lang w:val="en-US" w:eastAsia="zh-CN" w:bidi="ar"/>
                    </w:rPr>
                    <w:t>/m</w:t>
                  </w:r>
                </w:p>
              </w:tc>
              <w:tc>
                <w:tcPr>
                  <w:tcW w:w="72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59E885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距室内边界距离</w:t>
                  </w:r>
                  <w:r>
                    <w:rPr>
                      <w:rFonts w:hint="default" w:ascii="Times New Roman" w:hAnsi="Times New Roman" w:eastAsia="宋体" w:cs="Times New Roman"/>
                      <w:i w:val="0"/>
                      <w:iCs w:val="0"/>
                      <w:color w:val="auto"/>
                      <w:kern w:val="0"/>
                      <w:sz w:val="18"/>
                      <w:szCs w:val="18"/>
                      <w:highlight w:val="none"/>
                      <w:u w:val="none"/>
                      <w:lang w:val="en-US" w:eastAsia="zh-CN" w:bidi="ar"/>
                    </w:rPr>
                    <w:t>/m</w:t>
                  </w:r>
                </w:p>
              </w:tc>
              <w:tc>
                <w:tcPr>
                  <w:tcW w:w="64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F721D5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室内边界声级</w:t>
                  </w:r>
                  <w:r>
                    <w:rPr>
                      <w:rFonts w:hint="default" w:ascii="Times New Roman" w:hAnsi="Times New Roman" w:eastAsia="宋体" w:cs="Times New Roman"/>
                      <w:i w:val="0"/>
                      <w:iCs w:val="0"/>
                      <w:color w:val="auto"/>
                      <w:kern w:val="0"/>
                      <w:sz w:val="18"/>
                      <w:szCs w:val="18"/>
                      <w:highlight w:val="none"/>
                      <w:u w:val="none"/>
                      <w:lang w:val="en-US" w:eastAsia="zh-CN" w:bidi="ar"/>
                    </w:rPr>
                    <w:t>/dB</w:t>
                  </w:r>
                  <w:r>
                    <w:rPr>
                      <w:rFonts w:hint="eastAsia" w:ascii="宋体" w:hAnsi="宋体" w:eastAsia="宋体" w:cs="宋体"/>
                      <w:i w:val="0"/>
                      <w:iCs w:val="0"/>
                      <w:color w:val="auto"/>
                      <w:kern w:val="0"/>
                      <w:sz w:val="18"/>
                      <w:szCs w:val="18"/>
                      <w:highlight w:val="none"/>
                      <w:u w:val="none"/>
                      <w:lang w:val="en-US" w:eastAsia="zh-CN" w:bidi="ar"/>
                    </w:rPr>
                    <w:t>（</w:t>
                  </w:r>
                  <w:r>
                    <w:rPr>
                      <w:rFonts w:hint="default" w:ascii="Times New Roman" w:hAnsi="Times New Roman" w:eastAsia="宋体" w:cs="Times New Roman"/>
                      <w:i w:val="0"/>
                      <w:iCs w:val="0"/>
                      <w:color w:val="auto"/>
                      <w:kern w:val="0"/>
                      <w:sz w:val="18"/>
                      <w:szCs w:val="18"/>
                      <w:highlight w:val="none"/>
                      <w:u w:val="none"/>
                      <w:lang w:val="en-US" w:eastAsia="zh-CN" w:bidi="ar"/>
                    </w:rPr>
                    <w:t>A</w:t>
                  </w:r>
                  <w:r>
                    <w:rPr>
                      <w:rFonts w:hint="eastAsia" w:ascii="宋体" w:hAnsi="宋体" w:eastAsia="宋体" w:cs="宋体"/>
                      <w:i w:val="0"/>
                      <w:iCs w:val="0"/>
                      <w:color w:val="auto"/>
                      <w:kern w:val="0"/>
                      <w:sz w:val="18"/>
                      <w:szCs w:val="18"/>
                      <w:highlight w:val="none"/>
                      <w:u w:val="none"/>
                      <w:lang w:val="en-US" w:eastAsia="zh-CN" w:bidi="ar"/>
                    </w:rPr>
                    <w:t>）</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51BF0C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运行时段</w:t>
                  </w:r>
                </w:p>
              </w:tc>
              <w:tc>
                <w:tcPr>
                  <w:tcW w:w="64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B3D52E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建筑物插入损失</w:t>
                  </w:r>
                  <w:r>
                    <w:rPr>
                      <w:rFonts w:hint="default" w:ascii="Times New Roman" w:hAnsi="Times New Roman" w:eastAsia="宋体" w:cs="Times New Roman"/>
                      <w:i w:val="0"/>
                      <w:iCs w:val="0"/>
                      <w:color w:val="auto"/>
                      <w:kern w:val="0"/>
                      <w:sz w:val="18"/>
                      <w:szCs w:val="18"/>
                      <w:highlight w:val="none"/>
                      <w:u w:val="none"/>
                      <w:lang w:val="en-US" w:eastAsia="zh-CN" w:bidi="ar"/>
                    </w:rPr>
                    <w:t>/dB</w:t>
                  </w:r>
                  <w:r>
                    <w:rPr>
                      <w:rFonts w:hint="eastAsia" w:ascii="宋体" w:hAnsi="宋体" w:eastAsia="宋体" w:cs="宋体"/>
                      <w:i w:val="0"/>
                      <w:iCs w:val="0"/>
                      <w:color w:val="auto"/>
                      <w:kern w:val="0"/>
                      <w:sz w:val="18"/>
                      <w:szCs w:val="18"/>
                      <w:highlight w:val="none"/>
                      <w:u w:val="none"/>
                      <w:lang w:val="en-US" w:eastAsia="zh-CN" w:bidi="ar"/>
                    </w:rPr>
                    <w:t>（</w:t>
                  </w:r>
                  <w:r>
                    <w:rPr>
                      <w:rFonts w:hint="default" w:ascii="Times New Roman" w:hAnsi="Times New Roman" w:eastAsia="宋体" w:cs="Times New Roman"/>
                      <w:i w:val="0"/>
                      <w:iCs w:val="0"/>
                      <w:color w:val="auto"/>
                      <w:kern w:val="0"/>
                      <w:sz w:val="18"/>
                      <w:szCs w:val="18"/>
                      <w:highlight w:val="none"/>
                      <w:u w:val="none"/>
                      <w:lang w:val="en-US" w:eastAsia="zh-CN" w:bidi="ar"/>
                    </w:rPr>
                    <w:t>A</w:t>
                  </w:r>
                  <w:r>
                    <w:rPr>
                      <w:rFonts w:hint="eastAsia" w:ascii="宋体" w:hAnsi="宋体" w:eastAsia="宋体" w:cs="宋体"/>
                      <w:i w:val="0"/>
                      <w:iCs w:val="0"/>
                      <w:color w:val="auto"/>
                      <w:kern w:val="0"/>
                      <w:sz w:val="18"/>
                      <w:szCs w:val="18"/>
                      <w:highlight w:val="none"/>
                      <w:u w:val="none"/>
                      <w:lang w:val="en-US" w:eastAsia="zh-CN" w:bidi="ar"/>
                    </w:rPr>
                    <w:t>）</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F83A8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建筑物外噪声</w:t>
                  </w:r>
                </w:p>
              </w:tc>
              <w:tc>
                <w:tcPr>
                  <w:tcW w:w="3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E21597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建筑物外距离</w:t>
                  </w:r>
                  <w:r>
                    <w:rPr>
                      <w:rFonts w:hint="default" w:ascii="Times New Roman" w:hAnsi="Times New Roman" w:eastAsia="宋体" w:cs="Times New Roman"/>
                      <w:i w:val="0"/>
                      <w:iCs w:val="0"/>
                      <w:color w:val="auto"/>
                      <w:kern w:val="0"/>
                      <w:sz w:val="18"/>
                      <w:szCs w:val="18"/>
                      <w:highlight w:val="none"/>
                      <w:u w:val="none"/>
                      <w:lang w:val="en-US" w:eastAsia="zh-CN" w:bidi="ar"/>
                    </w:rPr>
                    <w:t>/m</w:t>
                  </w:r>
                </w:p>
              </w:tc>
            </w:tr>
            <w:tr w14:paraId="459D0C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8EE3D9">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525DF8">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7A3B33">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096AC7">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E7425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73B31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声功率级</w:t>
                  </w:r>
                  <w:r>
                    <w:rPr>
                      <w:rFonts w:hint="default" w:ascii="Times New Roman" w:hAnsi="Times New Roman" w:eastAsia="宋体" w:cs="Times New Roman"/>
                      <w:i w:val="0"/>
                      <w:iCs w:val="0"/>
                      <w:color w:val="auto"/>
                      <w:kern w:val="0"/>
                      <w:sz w:val="18"/>
                      <w:szCs w:val="18"/>
                      <w:highlight w:val="none"/>
                      <w:u w:val="none"/>
                      <w:lang w:val="en-US" w:eastAsia="zh-CN" w:bidi="ar"/>
                    </w:rPr>
                    <w:t>/dB</w:t>
                  </w:r>
                  <w:r>
                    <w:rPr>
                      <w:rFonts w:hint="eastAsia" w:ascii="宋体" w:hAnsi="宋体" w:eastAsia="宋体" w:cs="宋体"/>
                      <w:i w:val="0"/>
                      <w:iCs w:val="0"/>
                      <w:color w:val="auto"/>
                      <w:kern w:val="0"/>
                      <w:sz w:val="18"/>
                      <w:szCs w:val="18"/>
                      <w:highlight w:val="none"/>
                      <w:u w:val="none"/>
                      <w:lang w:val="en-US" w:eastAsia="zh-CN" w:bidi="ar"/>
                    </w:rPr>
                    <w:t>（</w:t>
                  </w:r>
                  <w:r>
                    <w:rPr>
                      <w:rFonts w:hint="default" w:ascii="Times New Roman" w:hAnsi="Times New Roman" w:eastAsia="宋体" w:cs="Times New Roman"/>
                      <w:i w:val="0"/>
                      <w:iCs w:val="0"/>
                      <w:color w:val="auto"/>
                      <w:kern w:val="0"/>
                      <w:sz w:val="18"/>
                      <w:szCs w:val="18"/>
                      <w:highlight w:val="none"/>
                      <w:u w:val="none"/>
                      <w:lang w:val="en-US" w:eastAsia="zh-CN" w:bidi="ar"/>
                    </w:rPr>
                    <w:t>A</w:t>
                  </w:r>
                  <w:r>
                    <w:rPr>
                      <w:rFonts w:hint="eastAsia" w:ascii="宋体" w:hAnsi="宋体" w:eastAsia="宋体" w:cs="宋体"/>
                      <w:i w:val="0"/>
                      <w:iCs w:val="0"/>
                      <w:color w:val="auto"/>
                      <w:kern w:val="0"/>
                      <w:sz w:val="18"/>
                      <w:szCs w:val="18"/>
                      <w:highlight w:val="none"/>
                      <w:u w:val="none"/>
                      <w:lang w:val="en-US" w:eastAsia="zh-CN" w:bidi="ar"/>
                    </w:rPr>
                    <w:t>）</w:t>
                  </w: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00C7F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D4E16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X</w:t>
                  </w:r>
                </w:p>
              </w:tc>
              <w:tc>
                <w:tcPr>
                  <w:tcW w:w="4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97A0A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Y</w:t>
                  </w:r>
                </w:p>
              </w:tc>
              <w:tc>
                <w:tcPr>
                  <w:tcW w:w="3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73AEC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Z</w:t>
                  </w:r>
                </w:p>
              </w:tc>
              <w:tc>
                <w:tcPr>
                  <w:tcW w:w="7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4D7206">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E13745">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E5991D">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C70C54">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53CA4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声压级</w:t>
                  </w:r>
                  <w:r>
                    <w:rPr>
                      <w:rFonts w:hint="default" w:ascii="Times New Roman" w:hAnsi="Times New Roman" w:eastAsia="宋体" w:cs="Times New Roman"/>
                      <w:i w:val="0"/>
                      <w:iCs w:val="0"/>
                      <w:color w:val="auto"/>
                      <w:kern w:val="0"/>
                      <w:sz w:val="18"/>
                      <w:szCs w:val="18"/>
                      <w:highlight w:val="none"/>
                      <w:u w:val="none"/>
                      <w:lang w:val="en-US" w:eastAsia="zh-CN" w:bidi="ar"/>
                    </w:rPr>
                    <w:t>/dB</w:t>
                  </w:r>
                  <w:r>
                    <w:rPr>
                      <w:rFonts w:hint="eastAsia" w:ascii="宋体" w:hAnsi="宋体" w:eastAsia="宋体" w:cs="宋体"/>
                      <w:i w:val="0"/>
                      <w:iCs w:val="0"/>
                      <w:color w:val="auto"/>
                      <w:kern w:val="0"/>
                      <w:sz w:val="18"/>
                      <w:szCs w:val="18"/>
                      <w:highlight w:val="none"/>
                      <w:u w:val="none"/>
                      <w:lang w:val="en-US" w:eastAsia="zh-CN" w:bidi="ar"/>
                    </w:rPr>
                    <w:t>（</w:t>
                  </w:r>
                  <w:r>
                    <w:rPr>
                      <w:rFonts w:hint="default" w:ascii="Times New Roman" w:hAnsi="Times New Roman" w:eastAsia="宋体" w:cs="Times New Roman"/>
                      <w:i w:val="0"/>
                      <w:iCs w:val="0"/>
                      <w:color w:val="auto"/>
                      <w:kern w:val="0"/>
                      <w:sz w:val="18"/>
                      <w:szCs w:val="18"/>
                      <w:highlight w:val="none"/>
                      <w:u w:val="none"/>
                      <w:lang w:val="en-US" w:eastAsia="zh-CN" w:bidi="ar"/>
                    </w:rPr>
                    <w:t>A</w:t>
                  </w:r>
                  <w:r>
                    <w:rPr>
                      <w:rFonts w:hint="eastAsia" w:ascii="宋体" w:hAnsi="宋体" w:eastAsia="宋体" w:cs="宋体"/>
                      <w:i w:val="0"/>
                      <w:iCs w:val="0"/>
                      <w:color w:val="auto"/>
                      <w:kern w:val="0"/>
                      <w:sz w:val="18"/>
                      <w:szCs w:val="18"/>
                      <w:highlight w:val="none"/>
                      <w:u w:val="none"/>
                      <w:lang w:val="en-US" w:eastAsia="zh-CN" w:bidi="ar"/>
                    </w:rPr>
                    <w:t>）</w:t>
                  </w: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12E81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284DD9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5440AA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751184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r>
                    <w:rPr>
                      <w:rFonts w:hint="eastAsia" w:ascii="宋体" w:hAnsi="宋体" w:eastAsia="宋体" w:cs="宋体"/>
                      <w:i w:val="0"/>
                      <w:iCs w:val="0"/>
                      <w:color w:val="auto"/>
                      <w:kern w:val="0"/>
                      <w:sz w:val="18"/>
                      <w:szCs w:val="18"/>
                      <w:highlight w:val="none"/>
                      <w:u w:val="none"/>
                      <w:lang w:val="en-US" w:eastAsia="zh-CN" w:bidi="ar"/>
                    </w:rPr>
                    <w:t>生产车间</w:t>
                  </w:r>
                </w:p>
              </w:tc>
              <w:tc>
                <w:tcPr>
                  <w:tcW w:w="5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B5B69E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颚破</w:t>
                  </w: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66F128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40cm×60cm</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8D8A40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46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A413BF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90</w:t>
                  </w:r>
                </w:p>
              </w:tc>
              <w:tc>
                <w:tcPr>
                  <w:tcW w:w="7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AE4E06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减震基础，加隔声罩</w:t>
                  </w:r>
                </w:p>
              </w:tc>
              <w:tc>
                <w:tcPr>
                  <w:tcW w:w="4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A3DCF6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49</w:t>
                  </w:r>
                </w:p>
              </w:tc>
              <w:tc>
                <w:tcPr>
                  <w:tcW w:w="4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9D11EA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24</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7D07CD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4B2384">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东</w:t>
                  </w:r>
                  <w:r>
                    <w:rPr>
                      <w:rFonts w:hint="default" w:ascii="Times New Roman" w:hAnsi="Times New Roman" w:eastAsia="宋体" w:cs="Times New Roman"/>
                      <w:i w:val="0"/>
                      <w:iCs w:val="0"/>
                      <w:color w:val="auto"/>
                      <w:kern w:val="0"/>
                      <w:sz w:val="18"/>
                      <w:szCs w:val="18"/>
                      <w:highlight w:val="none"/>
                      <w:u w:val="none"/>
                      <w:lang w:val="en-US" w:eastAsia="zh-CN" w:bidi="ar"/>
                    </w:rPr>
                    <w:t>27</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EC0D6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67.4</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6C77A4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昼夜</w:t>
                  </w:r>
                </w:p>
              </w:tc>
              <w:tc>
                <w:tcPr>
                  <w:tcW w:w="64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ED2A33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26</w:t>
                  </w:r>
                </w:p>
              </w:tc>
              <w:tc>
                <w:tcPr>
                  <w:tcW w:w="64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78ED82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48.4</w:t>
                  </w:r>
                </w:p>
              </w:tc>
              <w:tc>
                <w:tcPr>
                  <w:tcW w:w="3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A86040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东</w:t>
                  </w:r>
                  <w:r>
                    <w:rPr>
                      <w:rFonts w:hint="default" w:ascii="Times New Roman" w:hAnsi="Times New Roman" w:eastAsia="宋体" w:cs="Times New Roman"/>
                      <w:i w:val="0"/>
                      <w:iCs w:val="0"/>
                      <w:color w:val="auto"/>
                      <w:kern w:val="0"/>
                      <w:sz w:val="18"/>
                      <w:szCs w:val="18"/>
                      <w:highlight w:val="none"/>
                      <w:u w:val="none"/>
                      <w:lang w:val="en-US" w:eastAsia="zh-CN" w:bidi="ar"/>
                    </w:rPr>
                    <w:t>1</w:t>
                  </w:r>
                </w:p>
              </w:tc>
            </w:tr>
            <w:tr w14:paraId="792B1F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E325D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3344C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1B6A5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824D5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626DF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7CE2D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6BAD8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5FDFB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807C4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5ABF5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152350">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南</w:t>
                  </w:r>
                  <w:r>
                    <w:rPr>
                      <w:rFonts w:hint="default" w:ascii="Times New Roman" w:hAnsi="Times New Roman" w:eastAsia="宋体" w:cs="Times New Roman"/>
                      <w:i w:val="0"/>
                      <w:iCs w:val="0"/>
                      <w:color w:val="auto"/>
                      <w:kern w:val="0"/>
                      <w:sz w:val="18"/>
                      <w:szCs w:val="18"/>
                      <w:highlight w:val="none"/>
                      <w:u w:val="none"/>
                      <w:lang w:val="en-US" w:eastAsia="zh-CN" w:bidi="ar"/>
                    </w:rPr>
                    <w:t>52</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BD386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67.4</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34BF4A">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90D27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0A3AB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41DCA7">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2139DD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2D877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17EB1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9AFE63">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7893B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E05AD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5D5F8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55F2AA">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2F34A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F3DD5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8C271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FD59F9">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西</w:t>
                  </w:r>
                  <w:r>
                    <w:rPr>
                      <w:rFonts w:hint="default" w:ascii="Times New Roman" w:hAnsi="Times New Roman" w:eastAsia="宋体" w:cs="Times New Roman"/>
                      <w:i w:val="0"/>
                      <w:iCs w:val="0"/>
                      <w:color w:val="auto"/>
                      <w:kern w:val="0"/>
                      <w:sz w:val="18"/>
                      <w:szCs w:val="18"/>
                      <w:highlight w:val="none"/>
                      <w:u w:val="none"/>
                      <w:lang w:val="en-US" w:eastAsia="zh-CN" w:bidi="ar"/>
                    </w:rPr>
                    <w:t>2</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AE33A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74.1</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817B72">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C1A42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CF3D6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2DF672">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2897A3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2572B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0D970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C8391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B7DED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C6073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BFB52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48AF5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5BA6D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F08BA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5898C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4A8B4B">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北</w:t>
                  </w:r>
                  <w:r>
                    <w:rPr>
                      <w:rFonts w:hint="default" w:ascii="Times New Roman" w:hAnsi="Times New Roman" w:eastAsia="宋体" w:cs="Times New Roman"/>
                      <w:i w:val="0"/>
                      <w:iCs w:val="0"/>
                      <w:color w:val="auto"/>
                      <w:kern w:val="0"/>
                      <w:sz w:val="18"/>
                      <w:szCs w:val="18"/>
                      <w:highlight w:val="none"/>
                      <w:u w:val="none"/>
                      <w:lang w:val="en-US" w:eastAsia="zh-CN" w:bidi="ar"/>
                    </w:rPr>
                    <w:t>19</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6C11B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65.4</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0451C2">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67B8E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76E20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FC0710">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6D763E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0DC4A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409CF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6380F8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提升机</w:t>
                  </w: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562F3C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TD350</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61F1A8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46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5061E1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75</w:t>
                  </w:r>
                </w:p>
              </w:tc>
              <w:tc>
                <w:tcPr>
                  <w:tcW w:w="7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785159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减震基础，加隔声罩</w:t>
                  </w:r>
                </w:p>
              </w:tc>
              <w:tc>
                <w:tcPr>
                  <w:tcW w:w="4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0408B0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51</w:t>
                  </w:r>
                </w:p>
              </w:tc>
              <w:tc>
                <w:tcPr>
                  <w:tcW w:w="4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5A098A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24</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D58062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18803">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东</w:t>
                  </w:r>
                  <w:r>
                    <w:rPr>
                      <w:rFonts w:hint="default" w:ascii="Times New Roman" w:hAnsi="Times New Roman" w:eastAsia="宋体" w:cs="Times New Roman"/>
                      <w:i w:val="0"/>
                      <w:iCs w:val="0"/>
                      <w:color w:val="auto"/>
                      <w:kern w:val="0"/>
                      <w:sz w:val="18"/>
                      <w:szCs w:val="18"/>
                      <w:highlight w:val="none"/>
                      <w:u w:val="none"/>
                      <w:lang w:val="en-US" w:eastAsia="zh-CN" w:bidi="ar"/>
                    </w:rPr>
                    <w:t>24</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E7C5F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52.4</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FD3562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昼夜</w:t>
                  </w: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2580B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2E8E6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C449EC">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72E129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99D04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59613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5E7B4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D1FE9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EB3BA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F8EB2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5216E8">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884EC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7051D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F9819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B9A87">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南</w:t>
                  </w:r>
                  <w:r>
                    <w:rPr>
                      <w:rFonts w:hint="default" w:ascii="Times New Roman" w:hAnsi="Times New Roman" w:eastAsia="宋体" w:cs="Times New Roman"/>
                      <w:i w:val="0"/>
                      <w:iCs w:val="0"/>
                      <w:color w:val="auto"/>
                      <w:kern w:val="0"/>
                      <w:sz w:val="18"/>
                      <w:szCs w:val="18"/>
                      <w:highlight w:val="none"/>
                      <w:u w:val="none"/>
                      <w:lang w:val="en-US" w:eastAsia="zh-CN" w:bidi="ar"/>
                    </w:rPr>
                    <w:t>52</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92E05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52.4</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FC24D3">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B8962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F82B4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D7833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20741F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E6D31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14CF5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548E97">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CB95F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51979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77EA0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A6FE4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EE3C7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09B1C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8F121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D1AF17">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西</w:t>
                  </w:r>
                  <w:r>
                    <w:rPr>
                      <w:rFonts w:hint="default" w:ascii="Times New Roman" w:hAnsi="Times New Roman" w:eastAsia="宋体" w:cs="Times New Roman"/>
                      <w:i w:val="0"/>
                      <w:iCs w:val="0"/>
                      <w:color w:val="auto"/>
                      <w:kern w:val="0"/>
                      <w:sz w:val="18"/>
                      <w:szCs w:val="18"/>
                      <w:highlight w:val="none"/>
                      <w:u w:val="none"/>
                      <w:lang w:val="en-US" w:eastAsia="zh-CN" w:bidi="ar"/>
                    </w:rPr>
                    <w:t>4</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45DC2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55.2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14E16D">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8C765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AFEF88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48.4</w:t>
                  </w:r>
                </w:p>
              </w:tc>
              <w:tc>
                <w:tcPr>
                  <w:tcW w:w="3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DDC626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南</w:t>
                  </w:r>
                  <w:r>
                    <w:rPr>
                      <w:rFonts w:hint="default" w:ascii="Times New Roman" w:hAnsi="Times New Roman" w:eastAsia="宋体" w:cs="Times New Roman"/>
                      <w:i w:val="0"/>
                      <w:iCs w:val="0"/>
                      <w:color w:val="auto"/>
                      <w:kern w:val="0"/>
                      <w:sz w:val="18"/>
                      <w:szCs w:val="18"/>
                      <w:highlight w:val="none"/>
                      <w:u w:val="none"/>
                      <w:lang w:val="en-US" w:eastAsia="zh-CN" w:bidi="ar"/>
                    </w:rPr>
                    <w:t>1</w:t>
                  </w:r>
                </w:p>
              </w:tc>
            </w:tr>
            <w:tr w14:paraId="10A64A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D4481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57E60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B02FEC">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A31B1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F2C51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AFE5A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ADAF53">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747E4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1B259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FCD9A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092E35">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北</w:t>
                  </w:r>
                  <w:r>
                    <w:rPr>
                      <w:rFonts w:hint="default" w:ascii="Times New Roman" w:hAnsi="Times New Roman" w:eastAsia="宋体" w:cs="Times New Roman"/>
                      <w:i w:val="0"/>
                      <w:iCs w:val="0"/>
                      <w:color w:val="auto"/>
                      <w:kern w:val="0"/>
                      <w:sz w:val="18"/>
                      <w:szCs w:val="18"/>
                      <w:highlight w:val="none"/>
                      <w:u w:val="none"/>
                      <w:lang w:val="en-US" w:eastAsia="zh-CN" w:bidi="ar"/>
                    </w:rPr>
                    <w:t>19</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1DB17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52.5</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F7C4E4">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706B6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401B1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3ED8C6">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2BE54C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5C8C0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FFB08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CB5C2F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锤破</w:t>
                  </w: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7F8640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D700</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D851F4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46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BFDE07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90</w:t>
                  </w:r>
                </w:p>
              </w:tc>
              <w:tc>
                <w:tcPr>
                  <w:tcW w:w="7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F0EAA1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减震基础，加隔声罩</w:t>
                  </w:r>
                </w:p>
              </w:tc>
              <w:tc>
                <w:tcPr>
                  <w:tcW w:w="4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2084E7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53</w:t>
                  </w:r>
                </w:p>
              </w:tc>
              <w:tc>
                <w:tcPr>
                  <w:tcW w:w="4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3BA8C9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22</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82FD1C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038A71">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东</w:t>
                  </w:r>
                  <w:r>
                    <w:rPr>
                      <w:rFonts w:hint="default" w:ascii="Times New Roman" w:hAnsi="Times New Roman" w:eastAsia="宋体" w:cs="Times New Roman"/>
                      <w:i w:val="0"/>
                      <w:iCs w:val="0"/>
                      <w:color w:val="auto"/>
                      <w:kern w:val="0"/>
                      <w:sz w:val="18"/>
                      <w:szCs w:val="18"/>
                      <w:highlight w:val="none"/>
                      <w:u w:val="none"/>
                      <w:lang w:val="en-US" w:eastAsia="zh-CN" w:bidi="ar"/>
                    </w:rPr>
                    <w:t>26</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D3CD3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67.4</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9C1E74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昼夜</w:t>
                  </w: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E7F54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BBF1D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D239B2">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511F51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23178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A7847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1B97E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DF782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B4F02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4701D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325008">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C0D71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C3FC3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0B240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81FB11">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南</w:t>
                  </w:r>
                  <w:r>
                    <w:rPr>
                      <w:rFonts w:hint="default" w:ascii="Times New Roman" w:hAnsi="Times New Roman" w:eastAsia="宋体" w:cs="Times New Roman"/>
                      <w:i w:val="0"/>
                      <w:iCs w:val="0"/>
                      <w:color w:val="auto"/>
                      <w:kern w:val="0"/>
                      <w:sz w:val="18"/>
                      <w:szCs w:val="18"/>
                      <w:highlight w:val="none"/>
                      <w:u w:val="none"/>
                      <w:lang w:val="en-US" w:eastAsia="zh-CN" w:bidi="ar"/>
                    </w:rPr>
                    <w:t>52</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C8DFB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67.4</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C4F4A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AC3BD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C63E6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BAAF7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523F23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B1343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17EC9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629AA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6AB88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C4016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1965B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99A1E6">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6D4CD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E71F5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51366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D2F68">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西</w:t>
                  </w:r>
                  <w:r>
                    <w:rPr>
                      <w:rFonts w:hint="default" w:ascii="Times New Roman" w:hAnsi="Times New Roman" w:eastAsia="宋体" w:cs="Times New Roman"/>
                      <w:i w:val="0"/>
                      <w:iCs w:val="0"/>
                      <w:color w:val="auto"/>
                      <w:kern w:val="0"/>
                      <w:sz w:val="18"/>
                      <w:szCs w:val="18"/>
                      <w:highlight w:val="none"/>
                      <w:u w:val="none"/>
                      <w:lang w:val="en-US" w:eastAsia="zh-CN" w:bidi="ar"/>
                    </w:rPr>
                    <w:t>3</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C4B90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71.6</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06A597">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0A8E1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AF314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E002E6">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3D7E85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278F8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73633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D6D68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B7D18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83F35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E3615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1D826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8D082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FD89F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D289E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B11C5">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北</w:t>
                  </w:r>
                  <w:r>
                    <w:rPr>
                      <w:rFonts w:hint="default" w:ascii="Times New Roman" w:hAnsi="Times New Roman" w:eastAsia="宋体" w:cs="Times New Roman"/>
                      <w:i w:val="0"/>
                      <w:iCs w:val="0"/>
                      <w:color w:val="auto"/>
                      <w:kern w:val="0"/>
                      <w:sz w:val="18"/>
                      <w:szCs w:val="18"/>
                      <w:highlight w:val="none"/>
                      <w:u w:val="none"/>
                      <w:lang w:val="en-US" w:eastAsia="zh-CN" w:bidi="ar"/>
                    </w:rPr>
                    <w:t>19</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FDC92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67.5</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6A8F3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5F749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F00A5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8885B5">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16EAE0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D1661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AE59A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6C2152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筛分机</w:t>
                  </w: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443F30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1040*5000</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F894DB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46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3A60C1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90</w:t>
                  </w:r>
                </w:p>
              </w:tc>
              <w:tc>
                <w:tcPr>
                  <w:tcW w:w="7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EA4B4B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减震基础，加隔声罩</w:t>
                  </w:r>
                </w:p>
              </w:tc>
              <w:tc>
                <w:tcPr>
                  <w:tcW w:w="4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4EA578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56</w:t>
                  </w:r>
                </w:p>
              </w:tc>
              <w:tc>
                <w:tcPr>
                  <w:tcW w:w="4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68A136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20</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6BC1DE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14BF90">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东</w:t>
                  </w:r>
                  <w:r>
                    <w:rPr>
                      <w:rFonts w:hint="default" w:ascii="Times New Roman" w:hAnsi="Times New Roman" w:eastAsia="宋体" w:cs="Times New Roman"/>
                      <w:i w:val="0"/>
                      <w:iCs w:val="0"/>
                      <w:color w:val="auto"/>
                      <w:kern w:val="0"/>
                      <w:sz w:val="18"/>
                      <w:szCs w:val="18"/>
                      <w:highlight w:val="none"/>
                      <w:u w:val="none"/>
                      <w:lang w:val="en-US" w:eastAsia="zh-CN" w:bidi="ar"/>
                    </w:rPr>
                    <w:t>24</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DA727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67.4</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143663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昼夜</w:t>
                  </w: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BCFB8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095584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53.2</w:t>
                  </w:r>
                </w:p>
              </w:tc>
              <w:tc>
                <w:tcPr>
                  <w:tcW w:w="3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6EEA99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西</w:t>
                  </w:r>
                  <w:r>
                    <w:rPr>
                      <w:rFonts w:hint="default" w:ascii="Times New Roman" w:hAnsi="Times New Roman" w:eastAsia="宋体" w:cs="Times New Roman"/>
                      <w:i w:val="0"/>
                      <w:iCs w:val="0"/>
                      <w:color w:val="auto"/>
                      <w:kern w:val="0"/>
                      <w:sz w:val="18"/>
                      <w:szCs w:val="18"/>
                      <w:highlight w:val="none"/>
                      <w:u w:val="none"/>
                      <w:lang w:val="en-US" w:eastAsia="zh-CN" w:bidi="ar"/>
                    </w:rPr>
                    <w:t>1</w:t>
                  </w:r>
                </w:p>
              </w:tc>
            </w:tr>
            <w:tr w14:paraId="3CC4CC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5CE4E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34380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1EA4BA">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C7119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7D26B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66A6A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305075">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3378B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B8D9D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C8831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EC1DA0">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南</w:t>
                  </w:r>
                  <w:r>
                    <w:rPr>
                      <w:rFonts w:hint="default" w:ascii="Times New Roman" w:hAnsi="Times New Roman" w:eastAsia="宋体" w:cs="Times New Roman"/>
                      <w:i w:val="0"/>
                      <w:iCs w:val="0"/>
                      <w:color w:val="auto"/>
                      <w:kern w:val="0"/>
                      <w:sz w:val="18"/>
                      <w:szCs w:val="18"/>
                      <w:highlight w:val="none"/>
                      <w:u w:val="none"/>
                      <w:lang w:val="en-US" w:eastAsia="zh-CN" w:bidi="ar"/>
                    </w:rPr>
                    <w:t>52</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1782B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67.4</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D4838A">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F161B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093F8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A937F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6C6E76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3E3FF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567AA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5E98B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74ECD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4321C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7F8A2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04B732">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EF48C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008F6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62D37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81620B">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西</w:t>
                  </w:r>
                  <w:r>
                    <w:rPr>
                      <w:rFonts w:hint="default" w:ascii="Times New Roman" w:hAnsi="Times New Roman" w:eastAsia="宋体" w:cs="Times New Roman"/>
                      <w:i w:val="0"/>
                      <w:iCs w:val="0"/>
                      <w:color w:val="auto"/>
                      <w:kern w:val="0"/>
                      <w:sz w:val="18"/>
                      <w:szCs w:val="18"/>
                      <w:highlight w:val="none"/>
                      <w:u w:val="none"/>
                      <w:lang w:val="en-US" w:eastAsia="zh-CN" w:bidi="ar"/>
                    </w:rPr>
                    <w:t>4</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0394D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70.2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0824E6">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3E790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24D0C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B4FFCD">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43E766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4F0F6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B6278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B197A7">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BD4C2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4022F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2078F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A7BD6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3AD59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4C799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01336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69C16">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北</w:t>
                  </w:r>
                  <w:r>
                    <w:rPr>
                      <w:rFonts w:hint="default" w:ascii="Times New Roman" w:hAnsi="Times New Roman" w:eastAsia="宋体" w:cs="Times New Roman"/>
                      <w:i w:val="0"/>
                      <w:iCs w:val="0"/>
                      <w:color w:val="auto"/>
                      <w:kern w:val="0"/>
                      <w:sz w:val="18"/>
                      <w:szCs w:val="18"/>
                      <w:highlight w:val="none"/>
                      <w:u w:val="none"/>
                      <w:lang w:val="en-US" w:eastAsia="zh-CN" w:bidi="ar"/>
                    </w:rPr>
                    <w:t>19</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07F04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67.5</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B44674">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9A820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3070D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AE951D">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6265D4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8AD61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01959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F74FE7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雷蒙</w:t>
                  </w: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4FA59D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13t/h</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8223EA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46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CC2C77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90</w:t>
                  </w:r>
                </w:p>
              </w:tc>
              <w:tc>
                <w:tcPr>
                  <w:tcW w:w="7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68BAA9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减震基础，加隔声罩</w:t>
                  </w:r>
                </w:p>
              </w:tc>
              <w:tc>
                <w:tcPr>
                  <w:tcW w:w="4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80694A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58</w:t>
                  </w:r>
                </w:p>
              </w:tc>
              <w:tc>
                <w:tcPr>
                  <w:tcW w:w="4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0D2CB4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20</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576010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0D813F">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东</w:t>
                  </w:r>
                  <w:r>
                    <w:rPr>
                      <w:rFonts w:hint="default" w:ascii="Times New Roman" w:hAnsi="Times New Roman" w:eastAsia="宋体" w:cs="Times New Roman"/>
                      <w:i w:val="0"/>
                      <w:iCs w:val="0"/>
                      <w:color w:val="auto"/>
                      <w:kern w:val="0"/>
                      <w:sz w:val="18"/>
                      <w:szCs w:val="18"/>
                      <w:highlight w:val="none"/>
                      <w:u w:val="none"/>
                      <w:lang w:val="en-US" w:eastAsia="zh-CN" w:bidi="ar"/>
                    </w:rPr>
                    <w:t>22</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D082C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67.4</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1B2469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昼夜</w:t>
                  </w: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9EBC4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CA1E6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E603F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19534D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D7E00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CD355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A71760">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C7EBA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2A40A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2328A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BFB4C0">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58679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63526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6BDFA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8E8D75">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南</w:t>
                  </w:r>
                  <w:r>
                    <w:rPr>
                      <w:rFonts w:hint="default" w:ascii="Times New Roman" w:hAnsi="Times New Roman" w:eastAsia="宋体" w:cs="Times New Roman"/>
                      <w:i w:val="0"/>
                      <w:iCs w:val="0"/>
                      <w:color w:val="auto"/>
                      <w:kern w:val="0"/>
                      <w:sz w:val="18"/>
                      <w:szCs w:val="18"/>
                      <w:highlight w:val="none"/>
                      <w:u w:val="none"/>
                      <w:lang w:val="en-US" w:eastAsia="zh-CN" w:bidi="ar"/>
                    </w:rPr>
                    <w:t>52</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5191B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67.4</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36110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089F6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21FC4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5347DC">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681CAA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82A1E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AC8F4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599F07">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56BB1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CF3BE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027B6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0266B8">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D4265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64736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6E09F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68B876">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西</w:t>
                  </w:r>
                  <w:r>
                    <w:rPr>
                      <w:rFonts w:hint="default" w:ascii="Times New Roman" w:hAnsi="Times New Roman" w:eastAsia="宋体" w:cs="Times New Roman"/>
                      <w:i w:val="0"/>
                      <w:iCs w:val="0"/>
                      <w:color w:val="auto"/>
                      <w:kern w:val="0"/>
                      <w:sz w:val="18"/>
                      <w:szCs w:val="18"/>
                      <w:highlight w:val="none"/>
                      <w:u w:val="none"/>
                      <w:lang w:val="en-US" w:eastAsia="zh-CN" w:bidi="ar"/>
                    </w:rPr>
                    <w:t>7</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8657D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68.5</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571F47">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8873F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3430B3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48.5</w:t>
                  </w:r>
                </w:p>
              </w:tc>
              <w:tc>
                <w:tcPr>
                  <w:tcW w:w="3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B09CBE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北</w:t>
                  </w:r>
                  <w:r>
                    <w:rPr>
                      <w:rFonts w:hint="default" w:ascii="Times New Roman" w:hAnsi="Times New Roman" w:eastAsia="宋体" w:cs="Times New Roman"/>
                      <w:i w:val="0"/>
                      <w:iCs w:val="0"/>
                      <w:color w:val="auto"/>
                      <w:kern w:val="0"/>
                      <w:sz w:val="18"/>
                      <w:szCs w:val="18"/>
                      <w:highlight w:val="none"/>
                      <w:u w:val="none"/>
                      <w:lang w:val="en-US" w:eastAsia="zh-CN" w:bidi="ar"/>
                    </w:rPr>
                    <w:t>1</w:t>
                  </w:r>
                </w:p>
              </w:tc>
            </w:tr>
            <w:tr w14:paraId="634E81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E4388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17C2A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B07863">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4591B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BF6EC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F3113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8F973C">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E8920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523A3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66F18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1B7CA6">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北</w:t>
                  </w:r>
                  <w:r>
                    <w:rPr>
                      <w:rFonts w:hint="default" w:ascii="Times New Roman" w:hAnsi="Times New Roman" w:eastAsia="宋体" w:cs="Times New Roman"/>
                      <w:i w:val="0"/>
                      <w:iCs w:val="0"/>
                      <w:color w:val="auto"/>
                      <w:kern w:val="0"/>
                      <w:sz w:val="18"/>
                      <w:szCs w:val="18"/>
                      <w:highlight w:val="none"/>
                      <w:u w:val="none"/>
                      <w:lang w:val="en-US" w:eastAsia="zh-CN" w:bidi="ar"/>
                    </w:rPr>
                    <w:t>19</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C3960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67.5</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16FE9C">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DD54F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7753D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033E9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08D310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E8202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7824C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0996C4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布袋除尘器风机</w:t>
                  </w: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62F3D6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除尘效率＞</w:t>
                  </w:r>
                  <w:r>
                    <w:rPr>
                      <w:rFonts w:hint="default" w:ascii="Times New Roman" w:hAnsi="Times New Roman" w:eastAsia="宋体" w:cs="Times New Roman"/>
                      <w:i w:val="0"/>
                      <w:iCs w:val="0"/>
                      <w:color w:val="auto"/>
                      <w:kern w:val="0"/>
                      <w:sz w:val="18"/>
                      <w:szCs w:val="18"/>
                      <w:highlight w:val="none"/>
                      <w:u w:val="none"/>
                      <w:lang w:val="en-US" w:eastAsia="zh-CN" w:bidi="ar"/>
                    </w:rPr>
                    <w:t>99.5%</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B704AD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46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F5EC80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90</w:t>
                  </w:r>
                </w:p>
              </w:tc>
              <w:tc>
                <w:tcPr>
                  <w:tcW w:w="7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9DF755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减震基础，加隔声罩</w:t>
                  </w:r>
                </w:p>
              </w:tc>
              <w:tc>
                <w:tcPr>
                  <w:tcW w:w="4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5902F1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44</w:t>
                  </w:r>
                </w:p>
              </w:tc>
              <w:tc>
                <w:tcPr>
                  <w:tcW w:w="4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DA537F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22</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FA2DE4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4BF42F">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东</w:t>
                  </w:r>
                  <w:r>
                    <w:rPr>
                      <w:rFonts w:hint="default" w:ascii="Times New Roman" w:hAnsi="Times New Roman" w:eastAsia="宋体" w:cs="Times New Roman"/>
                      <w:i w:val="0"/>
                      <w:iCs w:val="0"/>
                      <w:color w:val="auto"/>
                      <w:kern w:val="0"/>
                      <w:sz w:val="18"/>
                      <w:szCs w:val="18"/>
                      <w:highlight w:val="none"/>
                      <w:u w:val="none"/>
                      <w:lang w:val="en-US" w:eastAsia="zh-CN" w:bidi="ar"/>
                    </w:rPr>
                    <w:t>27</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9E0C0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67.4</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DEB891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昼夜</w:t>
                  </w: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BF364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96AED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5238B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28CE89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04DE3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44A50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96453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3C0F33">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279B4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A544C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9FD006">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9B6B5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275E7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961A2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177ED8">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南</w:t>
                  </w:r>
                  <w:r>
                    <w:rPr>
                      <w:rFonts w:hint="default" w:ascii="Times New Roman" w:hAnsi="Times New Roman" w:eastAsia="宋体" w:cs="Times New Roman"/>
                      <w:i w:val="0"/>
                      <w:iCs w:val="0"/>
                      <w:color w:val="auto"/>
                      <w:kern w:val="0"/>
                      <w:sz w:val="18"/>
                      <w:szCs w:val="18"/>
                      <w:highlight w:val="none"/>
                      <w:u w:val="none"/>
                      <w:lang w:val="en-US" w:eastAsia="zh-CN" w:bidi="ar"/>
                    </w:rPr>
                    <w:t>40</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08C95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67.4</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B123D9">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667EE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30B6D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B93439">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597A29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945BA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AD698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20D703">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5AF376">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04C54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E74E8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CB8B22">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341E3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666A5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40316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97D7D">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西</w:t>
                  </w:r>
                  <w:r>
                    <w:rPr>
                      <w:rFonts w:hint="default" w:ascii="Times New Roman" w:hAnsi="Times New Roman" w:eastAsia="宋体" w:cs="Times New Roman"/>
                      <w:i w:val="0"/>
                      <w:iCs w:val="0"/>
                      <w:color w:val="auto"/>
                      <w:kern w:val="0"/>
                      <w:sz w:val="18"/>
                      <w:szCs w:val="18"/>
                      <w:highlight w:val="none"/>
                      <w:u w:val="none"/>
                      <w:lang w:val="en-US" w:eastAsia="zh-CN" w:bidi="ar"/>
                    </w:rPr>
                    <w:t>2</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32C48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74.1</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65AEA4">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648A2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89858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96D7C5">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105E00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5DE41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2BE63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97A1A5">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D64D65">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1F13F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3A709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78A764">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6E937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23FDE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698E3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DAE6A4">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北</w:t>
                  </w:r>
                  <w:r>
                    <w:rPr>
                      <w:rFonts w:hint="default" w:ascii="Times New Roman" w:hAnsi="Times New Roman" w:eastAsia="宋体" w:cs="Times New Roman"/>
                      <w:i w:val="0"/>
                      <w:iCs w:val="0"/>
                      <w:color w:val="auto"/>
                      <w:kern w:val="0"/>
                      <w:sz w:val="18"/>
                      <w:szCs w:val="18"/>
                      <w:highlight w:val="none"/>
                      <w:u w:val="none"/>
                      <w:lang w:val="en-US" w:eastAsia="zh-CN" w:bidi="ar"/>
                    </w:rPr>
                    <w:t>31</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4B96E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67.4</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68037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1E733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1B6B3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1F25D2">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59DC2E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0797B3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89A519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w:t>
                  </w:r>
                  <w:r>
                    <w:rPr>
                      <w:rFonts w:hint="eastAsia" w:ascii="宋体" w:hAnsi="宋体" w:eastAsia="宋体" w:cs="宋体"/>
                      <w:i w:val="0"/>
                      <w:iCs w:val="0"/>
                      <w:color w:val="auto"/>
                      <w:kern w:val="0"/>
                      <w:sz w:val="18"/>
                      <w:szCs w:val="18"/>
                      <w:highlight w:val="none"/>
                      <w:u w:val="none"/>
                      <w:lang w:val="en-US" w:eastAsia="zh-CN" w:bidi="ar"/>
                    </w:rPr>
                    <w:t>生产车间</w:t>
                  </w:r>
                </w:p>
              </w:tc>
              <w:tc>
                <w:tcPr>
                  <w:tcW w:w="5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B84E4F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颚破</w:t>
                  </w: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F9D834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40cm×60cm</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4FAA38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46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CB189A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90</w:t>
                  </w:r>
                </w:p>
              </w:tc>
              <w:tc>
                <w:tcPr>
                  <w:tcW w:w="7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552765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减震基础，加隔声罩</w:t>
                  </w:r>
                </w:p>
              </w:tc>
              <w:tc>
                <w:tcPr>
                  <w:tcW w:w="4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4DC7B1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271</w:t>
                  </w:r>
                </w:p>
              </w:tc>
              <w:tc>
                <w:tcPr>
                  <w:tcW w:w="4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BDBA7D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4</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CAC8B7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68C860">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东7</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281F5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66.9</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3FCB41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昼夜</w:t>
                  </w: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09661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18424C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51.5</w:t>
                  </w:r>
                </w:p>
              </w:tc>
              <w:tc>
                <w:tcPr>
                  <w:tcW w:w="3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E9F601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东</w:t>
                  </w:r>
                  <w:r>
                    <w:rPr>
                      <w:rFonts w:hint="default" w:ascii="Times New Roman" w:hAnsi="Times New Roman" w:eastAsia="宋体" w:cs="Times New Roman"/>
                      <w:i w:val="0"/>
                      <w:iCs w:val="0"/>
                      <w:color w:val="auto"/>
                      <w:kern w:val="0"/>
                      <w:sz w:val="18"/>
                      <w:szCs w:val="18"/>
                      <w:highlight w:val="none"/>
                      <w:u w:val="none"/>
                      <w:lang w:val="en-US" w:eastAsia="zh-CN" w:bidi="ar"/>
                    </w:rPr>
                    <w:t>1</w:t>
                  </w:r>
                </w:p>
              </w:tc>
            </w:tr>
            <w:tr w14:paraId="39F612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8AFFC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2782A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65493D">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ADD6A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1E6F7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8E9AF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22F4F6">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E4FC6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E0A5B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2AB3B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1DD52">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南18</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058F3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65.5</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74CF1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F150C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3FE0D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83917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496FD4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4AFB8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29BCB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51614D">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06A11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44182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A50DE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0840F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360D5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D1F69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90628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FC05D3">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西60</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2F925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96A55C">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B9371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F6258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03F3A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66FACE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2ADA0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27F49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5D226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CBF58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4098C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036E8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EEC46A">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22F42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90B44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947B2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AB1389">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北49</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A23E1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C89B74">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7E2FA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8D196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0996CD">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7EC7D1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91761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FA160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FC5698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提升机</w:t>
                  </w: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6D4E02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TD350</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05DD3D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c>
                <w:tcPr>
                  <w:tcW w:w="46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306C8C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75</w:t>
                  </w:r>
                </w:p>
              </w:tc>
              <w:tc>
                <w:tcPr>
                  <w:tcW w:w="7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193491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减震基础，加隔声罩</w:t>
                  </w:r>
                </w:p>
              </w:tc>
              <w:tc>
                <w:tcPr>
                  <w:tcW w:w="4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372DBA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269</w:t>
                  </w:r>
                </w:p>
              </w:tc>
              <w:tc>
                <w:tcPr>
                  <w:tcW w:w="4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0F36C2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D53534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99A8C">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东9</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83298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54.1</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D966C4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昼夜</w:t>
                  </w: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4FD6F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10A56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F83A8C">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1D61E1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B898B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01694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20EB7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99460D">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BA8820">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BBF15C">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BED6AD">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84487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63AF1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E36DC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6D3A84">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南18</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D141C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52.5</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9DD7CC">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15A11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BA900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7A1890">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3F0299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57FD2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54DC9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6FEEF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5ADBE8">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CBC45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070719">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2EDBBA">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E26E3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9C675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37171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4A9DF0">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西58</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8BE79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52.3</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A72AA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EA8FE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3E727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CAD886">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4C9B13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A5B1C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A7BA3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7D33DA">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7330F9">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74BBDD">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544E8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EC2D3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02F44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B43A6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5A314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76583F">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北49</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D9DCB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52.4</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C54442">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E8A88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666A0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22F1D3">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19FEB0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2C7F3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56A78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21E720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锤破</w:t>
                  </w: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BC55BE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D700</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C77431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46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57F36E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90</w:t>
                  </w:r>
                </w:p>
              </w:tc>
              <w:tc>
                <w:tcPr>
                  <w:tcW w:w="7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36556D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减震基础，加隔声罩</w:t>
                  </w:r>
                </w:p>
              </w:tc>
              <w:tc>
                <w:tcPr>
                  <w:tcW w:w="4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4CD8F7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264</w:t>
                  </w:r>
                </w:p>
              </w:tc>
              <w:tc>
                <w:tcPr>
                  <w:tcW w:w="4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F4BABF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810FF6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269B95">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东13</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7A616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65.7</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05EFC9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昼夜</w:t>
                  </w: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B5468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ED20C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EAC8A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1C85BC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912AC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58DFE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6BEE5D">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401C3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DB409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A3E8C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592194">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9ECB2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DA812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1E0E9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C60470">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南18</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5E9EE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65.5</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B29BE5">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E34E9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50795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33F5A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0D21BC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4E682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2775E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AA0D7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D9E9C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21B6E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94A73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9451A5">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8086E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80AF8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663E6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10752">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西53</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5A613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65.1</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28CB1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FB76C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6F466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0DA223">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5C131D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3EA65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70F64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6103F5">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836DF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C2CCC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0B8AF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4D2D39">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0A205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BF867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7C70B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683093">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北49</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B910E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56F06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77F7E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5F4E8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E2EB97">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4C5944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EE56E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5463F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A7012E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筛分机</w:t>
                  </w: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60082D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1040*5000</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70CF57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46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64F14F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90</w:t>
                  </w:r>
                </w:p>
              </w:tc>
              <w:tc>
                <w:tcPr>
                  <w:tcW w:w="7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A87C8A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减震基础，加隔声罩</w:t>
                  </w:r>
                </w:p>
              </w:tc>
              <w:tc>
                <w:tcPr>
                  <w:tcW w:w="4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CBF6A1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260</w:t>
                  </w:r>
                </w:p>
              </w:tc>
              <w:tc>
                <w:tcPr>
                  <w:tcW w:w="4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31781E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11</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444DA3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A25776">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东16</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BE112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65.5</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465823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昼夜</w:t>
                  </w: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28317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8957A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264E5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07D4C3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C6D7A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252C2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626762">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2B89A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37A65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CF6E9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7F7989">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0150B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8BE34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07944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ED27AB">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南18</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98835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65.5</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2AB989">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7004C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3EB2F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3A81A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05FFC8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ADB78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21492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F6D203">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92B13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B56A3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9A34C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F9789A">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A016F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E30F6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1D29B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10F823">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西51</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02E9C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65.1</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43BB14">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B4CBB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68F5D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51D0E3">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625A5B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4A6EC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2B5C5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221686">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B3CEC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90041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07B6B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52BCD0">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69754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1A7D1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B1833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AD7183">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北49</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6F221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29F41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FEBCD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7FE2F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C496C8">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450D6D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18D48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876B0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E7E066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雷蒙</w:t>
                  </w: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93B4C3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13t/h</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79A787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46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977C76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90</w:t>
                  </w:r>
                </w:p>
              </w:tc>
              <w:tc>
                <w:tcPr>
                  <w:tcW w:w="7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F355C5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减震基础，加隔声罩</w:t>
                  </w:r>
                </w:p>
              </w:tc>
              <w:tc>
                <w:tcPr>
                  <w:tcW w:w="4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297D29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256</w:t>
                  </w:r>
                </w:p>
              </w:tc>
              <w:tc>
                <w:tcPr>
                  <w:tcW w:w="4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77EF57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13</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14E69E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3FA8EA">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东18</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AD7A3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65.5</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A18EAE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昼夜</w:t>
                  </w: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A51DC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92449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6841CA">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6CDE56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830E9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F7592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E21E86">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0BB8B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1038F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8E784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D8FD63">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B0DDA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4B2F5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04796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9CFEE2">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南18</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86460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65.5</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AB58D9">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F34EB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B60730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51.4</w:t>
                  </w:r>
                </w:p>
              </w:tc>
              <w:tc>
                <w:tcPr>
                  <w:tcW w:w="3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C08272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南</w:t>
                  </w:r>
                  <w:r>
                    <w:rPr>
                      <w:rFonts w:hint="default" w:ascii="Times New Roman" w:hAnsi="Times New Roman" w:eastAsia="宋体" w:cs="Times New Roman"/>
                      <w:i w:val="0"/>
                      <w:iCs w:val="0"/>
                      <w:color w:val="auto"/>
                      <w:kern w:val="0"/>
                      <w:sz w:val="18"/>
                      <w:szCs w:val="18"/>
                      <w:highlight w:val="none"/>
                      <w:u w:val="none"/>
                      <w:lang w:val="en-US" w:eastAsia="zh-CN" w:bidi="ar"/>
                    </w:rPr>
                    <w:t>1</w:t>
                  </w:r>
                </w:p>
              </w:tc>
            </w:tr>
            <w:tr w14:paraId="211A88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A4FAF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A1967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481B7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FD7A0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305B2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183D3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9BACB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CD044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407DC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F0F1D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41BAC1">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西49</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EB447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4DF695">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71200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F40F5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E696C4">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038B2D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9D882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CE96D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269C76">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4451F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35966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1BBF5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352E74">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0D007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EE312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31116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75415">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北49</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ACB4B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13C54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00237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F4FAB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991796">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1BAF60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82B13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883F5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6FAABD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布袋除尘器风机2</w:t>
                  </w:r>
                  <w:r>
                    <w:rPr>
                      <w:rFonts w:hint="default" w:ascii="Times New Roman" w:hAnsi="Times New Roman" w:eastAsia="宋体" w:cs="Times New Roman"/>
                      <w:i w:val="0"/>
                      <w:iCs w:val="0"/>
                      <w:color w:val="auto"/>
                      <w:kern w:val="0"/>
                      <w:sz w:val="18"/>
                      <w:szCs w:val="18"/>
                      <w:highlight w:val="none"/>
                      <w:u w:val="none"/>
                      <w:lang w:val="en-US" w:eastAsia="zh-CN" w:bidi="ar"/>
                    </w:rPr>
                    <w:t>#</w:t>
                  </w: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3AC9DA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除尘效率＞</w:t>
                  </w:r>
                  <w:r>
                    <w:rPr>
                      <w:rFonts w:hint="default" w:ascii="Times New Roman" w:hAnsi="Times New Roman" w:eastAsia="宋体" w:cs="Times New Roman"/>
                      <w:i w:val="0"/>
                      <w:iCs w:val="0"/>
                      <w:color w:val="auto"/>
                      <w:kern w:val="0"/>
                      <w:sz w:val="18"/>
                      <w:szCs w:val="18"/>
                      <w:highlight w:val="none"/>
                      <w:u w:val="none"/>
                      <w:lang w:val="en-US" w:eastAsia="zh-CN" w:bidi="ar"/>
                    </w:rPr>
                    <w:t>99.5%</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D1F70B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46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CADED7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90</w:t>
                  </w:r>
                </w:p>
              </w:tc>
              <w:tc>
                <w:tcPr>
                  <w:tcW w:w="7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C1CFF0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减震基础，加隔声罩</w:t>
                  </w:r>
                </w:p>
              </w:tc>
              <w:tc>
                <w:tcPr>
                  <w:tcW w:w="4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31A919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256</w:t>
                  </w:r>
                </w:p>
              </w:tc>
              <w:tc>
                <w:tcPr>
                  <w:tcW w:w="4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C36646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14</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7D9E84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ED601A">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东19</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04FF2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65.4</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833930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昼夜</w:t>
                  </w: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9E912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0DD6A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D0F2B2">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7EFBAF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65CC2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900E8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2DD995">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149B8A">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9B8C6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21107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7026D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7284E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10492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B783A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EBF702">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南18</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A44DE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65.5</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E62D3C">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E8170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A97C7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7B7299">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68E2E1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FA4D2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00AA7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9E0F2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4E3500">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99EE5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60582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41FEB3">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9FA92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DC443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C0D3D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F90CA2">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西48</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A0589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8E50F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921F4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6A3A1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38ABF2">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58E013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041C5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00160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81C4FD">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BA7E1D">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E07F9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1B428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24E0E9">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AA30D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94544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DED8D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440873">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北49</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A5E11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908FFD">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EE474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3B777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029AF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5A9F14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F66C2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473F6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D23117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颚破</w:t>
                  </w: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D67B61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40cm×60cm</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72C386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46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62D054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90</w:t>
                  </w:r>
                </w:p>
              </w:tc>
              <w:tc>
                <w:tcPr>
                  <w:tcW w:w="7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BF47C1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减震基础，加隔声罩</w:t>
                  </w:r>
                </w:p>
              </w:tc>
              <w:tc>
                <w:tcPr>
                  <w:tcW w:w="4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64AD3B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276</w:t>
                  </w:r>
                </w:p>
              </w:tc>
              <w:tc>
                <w:tcPr>
                  <w:tcW w:w="4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CE0B9D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18</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F54CCD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33794B">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东20</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2E392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65.4</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3A32B6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昼夜</w:t>
                  </w: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297A6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D49E5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45F717">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5F1878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45886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AE90B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D3A1D6">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51C32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DE2D6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3553D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AEFD3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50115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B2490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8C720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8C91E9">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南31</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B10B0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312137">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31A44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94862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B7DCF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486198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84B4F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77A76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110105">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5BFB9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BE2A2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13AAD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E20D47">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7C1BF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CBF57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8E27B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81AEE">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西47</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6A96D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425008">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A8281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69D24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502BE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2D39B6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A45B6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40031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3A2E23">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2E376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AC438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A6334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AFC239">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1462A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38450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78C00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02A82">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北36</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EE222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6EA7D8">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2C188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B3F37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BF56A4">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62D589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B4D33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619B0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71BE98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提升机</w:t>
                  </w: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EDF1E1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TD350</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C6B237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c>
                <w:tcPr>
                  <w:tcW w:w="46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FFA64C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75</w:t>
                  </w:r>
                </w:p>
              </w:tc>
              <w:tc>
                <w:tcPr>
                  <w:tcW w:w="7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A3AE36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减震基础，加隔声罩</w:t>
                  </w:r>
                </w:p>
              </w:tc>
              <w:tc>
                <w:tcPr>
                  <w:tcW w:w="4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3DFDAC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273</w:t>
                  </w:r>
                </w:p>
              </w:tc>
              <w:tc>
                <w:tcPr>
                  <w:tcW w:w="4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43535D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19</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4F5F3F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FCF34">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东21</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FB5B4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52.5</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10CCD4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昼夜</w:t>
                  </w: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9164E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DB5A6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62A988">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470252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78B12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EFD92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9F9C52">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21A286">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231EA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931F72">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D643C8">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3FDE2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4B715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78DAA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7FAAC7">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南31</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B4CBC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52.5</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376134">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55B19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0BA50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19D5D6">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1C19F4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4AD7F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4C73E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BD42F6">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5ABD4D">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94958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C751A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BB2323">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AC6B9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1EE30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EC9EB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116460">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西46</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1EABA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52.4</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5F5FB0">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CF527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BFA6B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D51620">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1F84B3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3AD5F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60355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2CB945">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D8118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26E845">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4458E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329843">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4C137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65DD5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395E7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EA673A">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北36</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141B3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52.4</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D818A4">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87AA6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4DB30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0914D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7571A3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311C5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0BDFE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B2C2A0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锤破</w:t>
                  </w: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C97174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D700</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41464C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46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EC4AD1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90</w:t>
                  </w:r>
                </w:p>
              </w:tc>
              <w:tc>
                <w:tcPr>
                  <w:tcW w:w="7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68F04B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减震基础，加隔声罩</w:t>
                  </w:r>
                </w:p>
              </w:tc>
              <w:tc>
                <w:tcPr>
                  <w:tcW w:w="4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BFB55A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269</w:t>
                  </w:r>
                </w:p>
              </w:tc>
              <w:tc>
                <w:tcPr>
                  <w:tcW w:w="4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C3B862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19</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3BC997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44CF21">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东21</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7C1D4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65.4</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1ED928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昼夜</w:t>
                  </w: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FFEAC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BE03C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C3741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28BE10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BF138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47686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17F76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82718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28984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1125C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225A54">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7E280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9FB82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3185A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12689">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南31</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65D94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EE9039">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8E8A0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79ECD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40D2AC">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4CAFB0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77F9F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051F0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94C30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66DB8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C10B2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66CA0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CCAF2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D5589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B8794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C12D6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9A209C">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西46</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36A75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287096">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FBE42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72ACB6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51.3</w:t>
                  </w:r>
                </w:p>
              </w:tc>
              <w:tc>
                <w:tcPr>
                  <w:tcW w:w="3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D3B291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西</w:t>
                  </w:r>
                  <w:r>
                    <w:rPr>
                      <w:rFonts w:hint="default" w:ascii="Times New Roman" w:hAnsi="Times New Roman" w:eastAsia="宋体" w:cs="Times New Roman"/>
                      <w:i w:val="0"/>
                      <w:iCs w:val="0"/>
                      <w:color w:val="auto"/>
                      <w:kern w:val="0"/>
                      <w:sz w:val="18"/>
                      <w:szCs w:val="18"/>
                      <w:highlight w:val="none"/>
                      <w:u w:val="none"/>
                      <w:lang w:val="en-US" w:eastAsia="zh-CN" w:bidi="ar"/>
                    </w:rPr>
                    <w:t>1</w:t>
                  </w:r>
                </w:p>
              </w:tc>
            </w:tr>
            <w:tr w14:paraId="06457E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3C38C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87961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BCD988">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FEA45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846AE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262F9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4263AA">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A37BD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969A3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920D4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B1011E">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北36</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21887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B187DD">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9970D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44EBD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93D188">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514338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C2D70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FD036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403AAF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筛分机</w:t>
                  </w: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0D90A9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1040*5000</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502F83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46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6F61A5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90</w:t>
                  </w:r>
                </w:p>
              </w:tc>
              <w:tc>
                <w:tcPr>
                  <w:tcW w:w="7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10FE52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减震基础，加隔声罩</w:t>
                  </w:r>
                </w:p>
              </w:tc>
              <w:tc>
                <w:tcPr>
                  <w:tcW w:w="4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90BEC9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264</w:t>
                  </w:r>
                </w:p>
              </w:tc>
              <w:tc>
                <w:tcPr>
                  <w:tcW w:w="4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01ACB7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20</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379EE9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9FCB73">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东22</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B8505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65.3</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5BF1F6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昼夜</w:t>
                  </w: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CFB21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E4E2D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E4B453">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14D330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7FEE7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DCE96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947A6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47694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24DD3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07260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04D188">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A374F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20137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77C23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7DBFBB">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南31</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D63E6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B06447">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80FE6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7B97B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BB454C">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28B802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2B33C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039A9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985D97">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E4C2D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1E800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CD4FF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10897C">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C0973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8E1A4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1FA1C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11D971">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西44</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5BE60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3988D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AC058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20DB7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370E5A">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53E2E4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E6585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AEA2E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78F96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22E00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B6810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46498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5AA133">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C3169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030EC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1F853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95FC79">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北36</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DCDB5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3BC6D9">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EA43E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12E10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CFAF40">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7F2B0D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3F28A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9D441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86408E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环辊磨</w:t>
                  </w: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5A0DAE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6.5t/h</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A5813F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46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99C932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90</w:t>
                  </w:r>
                </w:p>
              </w:tc>
              <w:tc>
                <w:tcPr>
                  <w:tcW w:w="7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239ACD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减震基础，加隔声罩</w:t>
                  </w:r>
                </w:p>
              </w:tc>
              <w:tc>
                <w:tcPr>
                  <w:tcW w:w="4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AE20AF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263</w:t>
                  </w:r>
                </w:p>
              </w:tc>
              <w:tc>
                <w:tcPr>
                  <w:tcW w:w="4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C8C126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20</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034563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CC44FD">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东22</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249E7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65.3</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2837EF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昼夜</w:t>
                  </w: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8C77E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0C437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A9B9E0">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6E0005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10366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A02DC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CF6DE2">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C1FBD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668EF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6A6F5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B92419">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02B51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3C1E2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96CB5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5430A8">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南31</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D405F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BE12F9">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61B15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C92D5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2902BD">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5EA7F8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77928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E81B7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0EC443">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2B975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C8998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264A2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695F47">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6680E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B32E5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021A0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722E02">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西44</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BC2C9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7C1AC0">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02A0A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3AB66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929B13">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23C9AF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4BDA3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03345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A7B1AA">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B6F49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8EC65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CB5C7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73C017">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B33A4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AAC37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0471B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7F5459">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北36</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FD9A2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02E2F5">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6AE90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B0039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D8125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722853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AFE06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1FF9D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9C846D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环辊磨2</w:t>
                  </w:r>
                  <w:r>
                    <w:rPr>
                      <w:rFonts w:hint="default" w:ascii="Times New Roman" w:hAnsi="Times New Roman" w:eastAsia="宋体" w:cs="Times New Roman"/>
                      <w:i w:val="0"/>
                      <w:iCs w:val="0"/>
                      <w:color w:val="auto"/>
                      <w:kern w:val="0"/>
                      <w:sz w:val="18"/>
                      <w:szCs w:val="18"/>
                      <w:highlight w:val="none"/>
                      <w:u w:val="none"/>
                      <w:lang w:val="en-US" w:eastAsia="zh-CN" w:bidi="ar"/>
                    </w:rPr>
                    <w:t>#</w:t>
                  </w: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C3B2B6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6.5t/h</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5C77DA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46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D2A55B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90</w:t>
                  </w:r>
                </w:p>
              </w:tc>
              <w:tc>
                <w:tcPr>
                  <w:tcW w:w="7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D01D5A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减震基础，加隔声罩</w:t>
                  </w:r>
                </w:p>
              </w:tc>
              <w:tc>
                <w:tcPr>
                  <w:tcW w:w="4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2D3A1E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262</w:t>
                  </w:r>
                </w:p>
              </w:tc>
              <w:tc>
                <w:tcPr>
                  <w:tcW w:w="4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8C693D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21</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315488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477226">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东23</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52BF8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65.3</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A21CFD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昼夜</w:t>
                  </w: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337EA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A0AA4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B26D06">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025DA0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4BAED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7802B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88B808">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727F3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6084B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17BE3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CB9104">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6819E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510FF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42802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A0640">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南31</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F6231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A7515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6699C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EBC8C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9F0A3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2D43BD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FEC6D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AAC07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CC06F3">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F3DAE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A3951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2A0E3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F1970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E7563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9FB7B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E2C05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9A1198">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西43</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80EC9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A65665">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11205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5F81D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E40E74">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78C04A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0F9BC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40805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10613D">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969B8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C6C86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7063D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166F82">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42302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5E092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A619A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55C21">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北36</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415AF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761984">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B9EC9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CFBB5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A4D8E3">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0C1CBE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F3353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7B2A1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FDC2B1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布袋除尘器风机3</w:t>
                  </w:r>
                  <w:r>
                    <w:rPr>
                      <w:rFonts w:hint="default" w:ascii="Times New Roman" w:hAnsi="Times New Roman" w:eastAsia="宋体" w:cs="Times New Roman"/>
                      <w:i w:val="0"/>
                      <w:iCs w:val="0"/>
                      <w:color w:val="auto"/>
                      <w:kern w:val="0"/>
                      <w:sz w:val="18"/>
                      <w:szCs w:val="18"/>
                      <w:highlight w:val="none"/>
                      <w:u w:val="none"/>
                      <w:lang w:val="en-US" w:eastAsia="zh-CN" w:bidi="ar"/>
                    </w:rPr>
                    <w:t>#</w:t>
                  </w: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920BAC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除尘效率＞</w:t>
                  </w:r>
                  <w:r>
                    <w:rPr>
                      <w:rFonts w:hint="default" w:ascii="Times New Roman" w:hAnsi="Times New Roman" w:eastAsia="宋体" w:cs="Times New Roman"/>
                      <w:i w:val="0"/>
                      <w:iCs w:val="0"/>
                      <w:color w:val="auto"/>
                      <w:kern w:val="0"/>
                      <w:sz w:val="18"/>
                      <w:szCs w:val="18"/>
                      <w:highlight w:val="none"/>
                      <w:u w:val="none"/>
                      <w:lang w:val="en-US" w:eastAsia="zh-CN" w:bidi="ar"/>
                    </w:rPr>
                    <w:t>99.5%</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67E527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46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13B78F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90</w:t>
                  </w:r>
                </w:p>
              </w:tc>
              <w:tc>
                <w:tcPr>
                  <w:tcW w:w="7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9B8A1C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减震基础，加隔声罩</w:t>
                  </w:r>
                </w:p>
              </w:tc>
              <w:tc>
                <w:tcPr>
                  <w:tcW w:w="4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6CE49A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261</w:t>
                  </w:r>
                </w:p>
              </w:tc>
              <w:tc>
                <w:tcPr>
                  <w:tcW w:w="4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FA0E02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22</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D1CF7B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17AE57">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东24</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1CEAB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65.3</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8684D6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昼夜</w:t>
                  </w: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8FF06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E9777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81C7A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5EAA7A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796FF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E7292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252CEA">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21847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D4973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8A3B1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36702C">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ACCCA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8470A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5D4D0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9B597B">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南31</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6DADF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48B5C4">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CF294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AD4EB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C8C8F9">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6DBAAF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64B0B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B495D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37DFF7">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38FE99">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D9438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F786D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600EB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0F5E3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C8C2F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211A4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0BC5A">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西42</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B25BE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6F527C">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0453F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3C5AB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465F54">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0C4FD4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A1E8A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390FA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FA5037">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B1D04D">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0E7BB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A431F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0F0BDD">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6151B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29C8F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53CF7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A2FE2D">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北36</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868E9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BD74CA">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84641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F1600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4C3A36">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293894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E4491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EE375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40AC90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颚破</w:t>
                  </w: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ACC1D9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40cm×60cm</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D18EDF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46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8FD1E2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90</w:t>
                  </w:r>
                </w:p>
              </w:tc>
              <w:tc>
                <w:tcPr>
                  <w:tcW w:w="7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F487B1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减震基础，加隔声罩</w:t>
                  </w:r>
                </w:p>
              </w:tc>
              <w:tc>
                <w:tcPr>
                  <w:tcW w:w="4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FEF9F0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280</w:t>
                  </w:r>
                </w:p>
              </w:tc>
              <w:tc>
                <w:tcPr>
                  <w:tcW w:w="4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F7E494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31</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2FECB2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BD7D8C">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东33</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1467E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3F9B73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昼夜</w:t>
                  </w: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07A8E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DAEA6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76E93D">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6A57CE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6F224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D4AF8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6177DC">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8C418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E4D1C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7D614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EFF46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21438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27034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E4B54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240765">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南36</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80A0F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17719C">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9DBD5A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D440A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A608D9">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5B847A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C9FFB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9B5CB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DCBD9A">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4061F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62BA1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B7A16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6E5469">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94FB4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FB50C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DF66A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5DBD99">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西33</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BBEA1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BDE3B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3D195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25790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953719">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3F8027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77B6D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A5968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C1B89C">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AD3F3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6832E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286E0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45B51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E08C1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A0547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0D60A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6D5B5B">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北31</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C46B1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402F1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44C9D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24A377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51.3</w:t>
                  </w:r>
                </w:p>
              </w:tc>
              <w:tc>
                <w:tcPr>
                  <w:tcW w:w="3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8520EB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北</w:t>
                  </w:r>
                  <w:r>
                    <w:rPr>
                      <w:rFonts w:hint="default" w:ascii="Times New Roman" w:hAnsi="Times New Roman" w:eastAsia="宋体" w:cs="Times New Roman"/>
                      <w:i w:val="0"/>
                      <w:iCs w:val="0"/>
                      <w:color w:val="auto"/>
                      <w:kern w:val="0"/>
                      <w:sz w:val="18"/>
                      <w:szCs w:val="18"/>
                      <w:highlight w:val="none"/>
                      <w:u w:val="none"/>
                      <w:lang w:val="en-US" w:eastAsia="zh-CN" w:bidi="ar"/>
                    </w:rPr>
                    <w:t>1</w:t>
                  </w:r>
                </w:p>
              </w:tc>
            </w:tr>
            <w:tr w14:paraId="79397A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582A4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7022A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5CCBE7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提升机</w:t>
                  </w: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DB8C71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TD350</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101DE7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c>
                <w:tcPr>
                  <w:tcW w:w="46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7B8310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75</w:t>
                  </w:r>
                </w:p>
              </w:tc>
              <w:tc>
                <w:tcPr>
                  <w:tcW w:w="7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B822BC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减震基础，加隔声罩</w:t>
                  </w:r>
                </w:p>
              </w:tc>
              <w:tc>
                <w:tcPr>
                  <w:tcW w:w="4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EEDFDC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278</w:t>
                  </w:r>
                </w:p>
              </w:tc>
              <w:tc>
                <w:tcPr>
                  <w:tcW w:w="4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3A3E3F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32</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965255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B71477">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东34</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BC4BA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52.4</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1D6B5C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昼夜</w:t>
                  </w: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1DE59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F8A2C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1CEAB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0F0E9D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81369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46D97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65396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07FD14">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DFAE1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086319">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7E96BA">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08EFD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08863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54BBC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32046">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南36</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110B6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52.4</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D4A367">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37206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8BF44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1BBFD3">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1C2E1A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AF295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5FBEF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777393">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37AAF5">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419F5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D6E27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272E39">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DEE7B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01258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34504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8B6254">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西32</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AF88D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52.4</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3FDCB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AEB85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BBC12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3A0B8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3E8B6D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0631A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017B7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1FCAF6">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0230C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06A1C0">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1C8657">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B5A226">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EC8175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E8393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DC220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5B027">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北31</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1841E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52.4</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CB0B5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DBA65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F197B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53DB83">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715D86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B5663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BEDFA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D6F61D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锤破</w:t>
                  </w: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66C6FA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D700</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D69552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46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1EC50A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90</w:t>
                  </w:r>
                </w:p>
              </w:tc>
              <w:tc>
                <w:tcPr>
                  <w:tcW w:w="7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DBA135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减震基础，加隔声罩</w:t>
                  </w:r>
                </w:p>
              </w:tc>
              <w:tc>
                <w:tcPr>
                  <w:tcW w:w="4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29CA69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273</w:t>
                  </w:r>
                </w:p>
              </w:tc>
              <w:tc>
                <w:tcPr>
                  <w:tcW w:w="4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690AA6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32</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A550CF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B92BE2">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东34</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88E49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FDBFE1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昼夜</w:t>
                  </w: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9A4CB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624F2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74D509">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37A6EE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238F7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78F1C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7AF04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4E9EA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0CD9A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2AAFC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3A8EB7">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DCB56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E8510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C1734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F9D85D">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南36</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3F32C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B99CD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ACCF8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9D7F2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A5D28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2E929E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EC308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BB6EE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0060BA">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73079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29E27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8AE23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00CA90">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21CDA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75419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AF0EB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615D8">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西32</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2884E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AC55CC">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30B54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90193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12B60C">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457183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3EC61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8AC07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75477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E0648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8E75F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05B4C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5239C0">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CFCA3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B2CE4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98FD4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9DDAF9">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北31</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29BEA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2645D0">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CC0F3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B6F40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6353F0">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49E5C1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8425F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E3C2D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416D53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筛分机</w:t>
                  </w: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B3BE12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1040*5000</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F3EE1C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46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BE9C28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90</w:t>
                  </w:r>
                </w:p>
              </w:tc>
              <w:tc>
                <w:tcPr>
                  <w:tcW w:w="7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EDA26B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减震基础，加隔声罩</w:t>
                  </w:r>
                </w:p>
              </w:tc>
              <w:tc>
                <w:tcPr>
                  <w:tcW w:w="4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536B49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269</w:t>
                  </w:r>
                </w:p>
              </w:tc>
              <w:tc>
                <w:tcPr>
                  <w:tcW w:w="4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DC7AB9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33</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333383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B74245">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东36</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B9AB7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D2590A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昼夜</w:t>
                  </w: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B2B33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C20E8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8EDD30">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75C52A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4A998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BE170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0A1FE16">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8E25B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FEFDB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DF7BD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FC5A06">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63A6F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705AA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785AD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7B31F1">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南36</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B8391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FE042C">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2E178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BD74C6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3DC3F0">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7DEEC9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47722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AFC1D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02C8D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FF35F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6C5D0C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A13D9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3479E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41685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293A3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EFD97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197312">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西31</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27036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E52156">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512CA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AC165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7A233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6B1018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0BC9D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89383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950538">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9A054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ACA15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2E084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99B8D3">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E764F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D1B94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B8116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02437">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北31</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24535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ACDEE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64512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C9A4F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D879D7">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6A8C4D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BFBD9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B03EA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0365FD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色选机</w:t>
                  </w: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5E9159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2.5t/h</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86539E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46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CECA69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90</w:t>
                  </w:r>
                </w:p>
              </w:tc>
              <w:tc>
                <w:tcPr>
                  <w:tcW w:w="7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D48B26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减震基础，加隔声罩</w:t>
                  </w:r>
                </w:p>
              </w:tc>
              <w:tc>
                <w:tcPr>
                  <w:tcW w:w="4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70ED1E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268</w:t>
                  </w:r>
                </w:p>
              </w:tc>
              <w:tc>
                <w:tcPr>
                  <w:tcW w:w="4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7D5928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33</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BE3438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B6BB96">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东37</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4947F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8A1318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昼夜</w:t>
                  </w: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F896F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92255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7AF45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576E01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872BF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B46CA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969D45">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2B079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1A7B7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03E3F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917399">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571EC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D5E58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1F3C8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EB110">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南36</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034C1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34757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EE9B0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3B3C6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BC5605">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236A53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A4ACD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B0B24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9E995D">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4A0D0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575C2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9DB1D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70B7B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1495C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97B8D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D9005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77D455">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西30</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BC8F7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65.3</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D9DCD6">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C47DC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A27EB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9642E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52D976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5C4CA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94D56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ABFD97">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09EE5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6784E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1ECAA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4350E9">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95868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CD09F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50239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14A13D">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北31</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A0A83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6ABDCDA">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4F42F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BBF5D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D1D3ADA">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5A5FB0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F9C73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1171D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B53BC3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布袋除尘器风机4</w:t>
                  </w:r>
                  <w:r>
                    <w:rPr>
                      <w:rFonts w:hint="default" w:ascii="Times New Roman" w:hAnsi="Times New Roman" w:eastAsia="宋体" w:cs="Times New Roman"/>
                      <w:i w:val="0"/>
                      <w:iCs w:val="0"/>
                      <w:color w:val="auto"/>
                      <w:kern w:val="0"/>
                      <w:sz w:val="18"/>
                      <w:szCs w:val="18"/>
                      <w:highlight w:val="none"/>
                      <w:u w:val="none"/>
                      <w:lang w:val="en-US" w:eastAsia="zh-CN" w:bidi="ar"/>
                    </w:rPr>
                    <w:t>#</w:t>
                  </w: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87C4CD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除尘效率＞</w:t>
                  </w:r>
                  <w:r>
                    <w:rPr>
                      <w:rFonts w:hint="default" w:ascii="Times New Roman" w:hAnsi="Times New Roman" w:eastAsia="宋体" w:cs="Times New Roman"/>
                      <w:i w:val="0"/>
                      <w:iCs w:val="0"/>
                      <w:color w:val="auto"/>
                      <w:kern w:val="0"/>
                      <w:sz w:val="18"/>
                      <w:szCs w:val="18"/>
                      <w:highlight w:val="none"/>
                      <w:u w:val="none"/>
                      <w:lang w:val="en-US" w:eastAsia="zh-CN" w:bidi="ar"/>
                    </w:rPr>
                    <w:t>99.5%</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3DA27C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46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5F3D7B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90</w:t>
                  </w:r>
                </w:p>
              </w:tc>
              <w:tc>
                <w:tcPr>
                  <w:tcW w:w="7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7CC6F7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减震基础，加隔声罩</w:t>
                  </w:r>
                </w:p>
              </w:tc>
              <w:tc>
                <w:tcPr>
                  <w:tcW w:w="4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91F5CA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267</w:t>
                  </w:r>
                </w:p>
              </w:tc>
              <w:tc>
                <w:tcPr>
                  <w:tcW w:w="4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1856EB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34</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912724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201B2D">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东37</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A3340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804881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昼夜</w:t>
                  </w: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6C1B2B">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660B6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97891C">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417182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3355F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B0138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269B9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DBB489">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482975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D93F1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DFFED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B72C3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D5505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1100FE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739764">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南36</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1E59C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35F7F8">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8FFFF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B28FD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021DD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009910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F146D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E5746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FE3306C">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D4F349">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6DEBB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92BDA0">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354452">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7C215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8C245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9A463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2A4D1">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西30</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24F02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65.3</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135040">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EC2DD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A92F8E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96478A">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3B24F2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88379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F2EEC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A9B36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BB1AC5">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20183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22A1E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4C3A3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2EC9C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FB5E3F">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725723">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BB682D">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北31</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568FF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65.2</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943FC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CA7BE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8E0B5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E5375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5340BC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202B3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3</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2AF04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沉淀池</w:t>
                  </w:r>
                </w:p>
              </w:tc>
              <w:tc>
                <w:tcPr>
                  <w:tcW w:w="5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31EDD0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沉淀池循环泵1#</w:t>
                  </w: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8E3AEF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15KW</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763083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c>
                <w:tcPr>
                  <w:tcW w:w="46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32CBB0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90</w:t>
                  </w:r>
                </w:p>
              </w:tc>
              <w:tc>
                <w:tcPr>
                  <w:tcW w:w="7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D9C42E8">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9DAB85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120</w:t>
                  </w:r>
                </w:p>
              </w:tc>
              <w:tc>
                <w:tcPr>
                  <w:tcW w:w="4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C08505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-96</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3593CF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-3</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6D8D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东</w:t>
                  </w: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ECBCB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81.3</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CE9C65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昼夜</w:t>
                  </w: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D7557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284D6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58.3</w:t>
                  </w:r>
                </w:p>
              </w:tc>
              <w:tc>
                <w:tcPr>
                  <w:tcW w:w="384"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BE6BD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东1</w:t>
                  </w:r>
                </w:p>
              </w:tc>
            </w:tr>
            <w:tr w14:paraId="4341E1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767B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A94EE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690C9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826ECA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91BE8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401895">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C79E4B">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F663962">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686C26">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74B834">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39C67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南</w:t>
                  </w:r>
                  <w:r>
                    <w:rPr>
                      <w:rFonts w:hint="default" w:ascii="Times New Roman" w:hAnsi="Times New Roman" w:eastAsia="宋体" w:cs="Times New Roman"/>
                      <w:i w:val="0"/>
                      <w:iCs w:val="0"/>
                      <w:color w:val="auto"/>
                      <w:kern w:val="0"/>
                      <w:sz w:val="18"/>
                      <w:szCs w:val="18"/>
                      <w:highlight w:val="none"/>
                      <w:u w:val="none"/>
                      <w:lang w:val="en-US" w:eastAsia="zh-CN" w:bidi="ar"/>
                    </w:rPr>
                    <w:t>5</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72C1B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77.7</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EFC03C">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E3F24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98D7F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EBAB4">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723FEA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EB99F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5FBC20">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828D810">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124EA8">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4004D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33112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F1CB8C">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A4526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EE91C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6CB7D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B664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西</w:t>
                  </w:r>
                  <w:r>
                    <w:rPr>
                      <w:rFonts w:hint="default" w:ascii="Times New Roman" w:hAnsi="Times New Roman" w:eastAsia="宋体" w:cs="Times New Roman"/>
                      <w:i w:val="0"/>
                      <w:iCs w:val="0"/>
                      <w:color w:val="auto"/>
                      <w:kern w:val="0"/>
                      <w:sz w:val="18"/>
                      <w:szCs w:val="18"/>
                      <w:highlight w:val="none"/>
                      <w:u w:val="none"/>
                      <w:lang w:val="en-US" w:eastAsia="zh-CN" w:bidi="ar"/>
                    </w:rPr>
                    <w:t>49</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0AA12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77.5</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5305E9">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3DC1C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1893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54.7</w:t>
                  </w:r>
                </w:p>
              </w:tc>
              <w:tc>
                <w:tcPr>
                  <w:tcW w:w="384"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8FC94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南1</w:t>
                  </w:r>
                </w:p>
              </w:tc>
            </w:tr>
            <w:tr w14:paraId="1B0DC9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D2D395">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1AC0E3">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6CB70B2">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F90D8A">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410CE8">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45255C">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C9F770">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708627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D2AF65">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E1C8B4">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617D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北</w:t>
                  </w:r>
                  <w:r>
                    <w:rPr>
                      <w:rFonts w:hint="default" w:ascii="Times New Roman" w:hAnsi="Times New Roman" w:eastAsia="宋体" w:cs="Times New Roman"/>
                      <w:i w:val="0"/>
                      <w:iCs w:val="0"/>
                      <w:color w:val="auto"/>
                      <w:kern w:val="0"/>
                      <w:sz w:val="18"/>
                      <w:szCs w:val="18"/>
                      <w:highlight w:val="none"/>
                      <w:u w:val="none"/>
                      <w:lang w:val="en-US" w:eastAsia="zh-CN" w:bidi="ar"/>
                    </w:rPr>
                    <w:t>6</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58F8E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77.7</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FD7468">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5A52A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652594">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E3F2C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7A0E7F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831944">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551EA">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59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9FF8D5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沉淀池循环泵2#</w:t>
                  </w:r>
                </w:p>
              </w:tc>
              <w:tc>
                <w:tcPr>
                  <w:tcW w:w="79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37D85F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15KW</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B06559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1</w:t>
                  </w:r>
                </w:p>
              </w:tc>
              <w:tc>
                <w:tcPr>
                  <w:tcW w:w="46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0C21BD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90</w:t>
                  </w:r>
                </w:p>
              </w:tc>
              <w:tc>
                <w:tcPr>
                  <w:tcW w:w="7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E742E2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29A20A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122</w:t>
                  </w:r>
                </w:p>
              </w:tc>
              <w:tc>
                <w:tcPr>
                  <w:tcW w:w="42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71F6A9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-93</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FAC7AF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-3</w:t>
                  </w: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92780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东</w:t>
                  </w: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8812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81.3</w:t>
                  </w:r>
                </w:p>
              </w:tc>
              <w:tc>
                <w:tcPr>
                  <w:tcW w:w="37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6D6C88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昼夜</w:t>
                  </w: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775E53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08B6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54.5</w:t>
                  </w:r>
                </w:p>
              </w:tc>
              <w:tc>
                <w:tcPr>
                  <w:tcW w:w="384"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882A2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西1</w:t>
                  </w:r>
                </w:p>
              </w:tc>
            </w:tr>
            <w:tr w14:paraId="35455A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A4D29">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B253C">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317A12">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5364FA">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D33728">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6B166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73C8437">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D4AEDC">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8E8959">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8662F26">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A5D1F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南</w:t>
                  </w:r>
                  <w:r>
                    <w:rPr>
                      <w:rFonts w:hint="default" w:ascii="Times New Roman" w:hAnsi="Times New Roman" w:eastAsia="宋体" w:cs="Times New Roman"/>
                      <w:i w:val="0"/>
                      <w:iCs w:val="0"/>
                      <w:color w:val="auto"/>
                      <w:kern w:val="0"/>
                      <w:sz w:val="18"/>
                      <w:szCs w:val="18"/>
                      <w:highlight w:val="none"/>
                      <w:u w:val="none"/>
                      <w:lang w:val="en-US" w:eastAsia="zh-CN" w:bidi="ar"/>
                    </w:rPr>
                    <w:t>6</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D7D02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77.7</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2197388">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B17F71">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8B3BE8">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C30F5D">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3A6390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7B2D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F6FF6D">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53454A">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23F07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743043">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3664A5">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446466">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88BF44">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EE9CBFA">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3AE8F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36914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西</w:t>
                  </w:r>
                  <w:r>
                    <w:rPr>
                      <w:rFonts w:hint="default" w:ascii="Times New Roman" w:hAnsi="Times New Roman" w:eastAsia="宋体" w:cs="Times New Roman"/>
                      <w:i w:val="0"/>
                      <w:iCs w:val="0"/>
                      <w:color w:val="auto"/>
                      <w:kern w:val="0"/>
                      <w:sz w:val="18"/>
                      <w:szCs w:val="18"/>
                      <w:highlight w:val="none"/>
                      <w:u w:val="none"/>
                      <w:lang w:val="en-US" w:eastAsia="zh-CN" w:bidi="ar"/>
                    </w:rPr>
                    <w:t>49</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585E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77.5</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EB2F12">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109E8D">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952BE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54.7</w:t>
                  </w:r>
                </w:p>
              </w:tc>
              <w:tc>
                <w:tcPr>
                  <w:tcW w:w="384"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A025D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北1</w:t>
                  </w:r>
                </w:p>
              </w:tc>
            </w:tr>
            <w:tr w14:paraId="4ACC0E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E94B2A">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9016B5">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59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F7C936">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9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D9648A">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5912F7">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6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4B62FE">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380975">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8D48E5E">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42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377928">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DBB0D1">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19DB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北</w:t>
                  </w:r>
                  <w:r>
                    <w:rPr>
                      <w:rFonts w:hint="default" w:ascii="Times New Roman" w:hAnsi="Times New Roman" w:eastAsia="宋体" w:cs="Times New Roman"/>
                      <w:i w:val="0"/>
                      <w:iCs w:val="0"/>
                      <w:color w:val="auto"/>
                      <w:kern w:val="0"/>
                      <w:sz w:val="18"/>
                      <w:szCs w:val="18"/>
                      <w:highlight w:val="none"/>
                      <w:u w:val="none"/>
                      <w:lang w:val="en-US" w:eastAsia="zh-CN" w:bidi="ar"/>
                    </w:rPr>
                    <w:t>5</w:t>
                  </w: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C757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77.7</w:t>
                  </w:r>
                </w:p>
              </w:tc>
              <w:tc>
                <w:tcPr>
                  <w:tcW w:w="37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B295A0">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E4B5D7">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18"/>
                      <w:szCs w:val="18"/>
                      <w:highlight w:val="none"/>
                      <w:u w:val="none"/>
                    </w:rPr>
                  </w:pPr>
                </w:p>
              </w:tc>
              <w:tc>
                <w:tcPr>
                  <w:tcW w:w="64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971CA5">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c>
                <w:tcPr>
                  <w:tcW w:w="384"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ADC19F">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18"/>
                      <w:szCs w:val="18"/>
                      <w:highlight w:val="none"/>
                      <w:u w:val="none"/>
                    </w:rPr>
                  </w:pPr>
                </w:p>
              </w:tc>
            </w:tr>
            <w:tr w14:paraId="04F68E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8372" w:type="dxa"/>
                  <w:gridSpan w:val="16"/>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B33FE">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设1#原料库房西南角为（0,0,0）点</w:t>
                  </w:r>
                </w:p>
              </w:tc>
            </w:tr>
          </w:tbl>
          <w:p w14:paraId="72DA73EF">
            <w:pPr>
              <w:pStyle w:val="16"/>
              <w:keepNext w:val="0"/>
              <w:keepLines w:val="0"/>
              <w:suppressLineNumbers w:val="0"/>
              <w:spacing w:before="0" w:beforeAutospacing="0" w:after="0" w:afterAutospacing="0"/>
              <w:ind w:left="0" w:leftChars="0" w:right="0" w:firstLine="0" w:firstLineChars="0"/>
              <w:rPr>
                <w:rFonts w:hint="eastAsia"/>
                <w:color w:val="auto"/>
                <w:highlight w:val="none"/>
                <w:lang w:eastAsia="zh-CN"/>
              </w:rPr>
            </w:pPr>
          </w:p>
          <w:p w14:paraId="3207B808">
            <w:pPr>
              <w:keepNext w:val="0"/>
              <w:keepLines w:val="0"/>
              <w:suppressLineNumbers w:val="0"/>
              <w:spacing w:before="0" w:beforeAutospacing="0" w:after="0" w:afterAutospacing="0" w:line="360" w:lineRule="auto"/>
              <w:ind w:left="0" w:right="0" w:firstLine="480" w:firstLineChars="200"/>
              <w:rPr>
                <w:rFonts w:hint="eastAsia" w:ascii="Calibri" w:hAnsi="Calibri" w:eastAsia="宋体" w:cs="Times New Roman"/>
                <w:color w:val="auto"/>
                <w:sz w:val="24"/>
                <w:highlight w:val="none"/>
                <w:shd w:val="clear" w:color="auto" w:fill="auto"/>
              </w:rPr>
            </w:pPr>
            <w:r>
              <w:rPr>
                <w:rFonts w:hint="eastAsia" w:ascii="Calibri" w:hAnsi="Calibri" w:eastAsia="宋体" w:cs="Times New Roman"/>
                <w:color w:val="auto"/>
                <w:sz w:val="24"/>
                <w:highlight w:val="none"/>
                <w:shd w:val="clear" w:color="auto" w:fill="auto"/>
                <w:lang w:eastAsia="zh-CN"/>
              </w:rPr>
              <w:t>本项目所有噪声设备均置于室内，厂房围护结构采用钢结构，墙体为内衬隔声保温岩棉的双层彩钢板，窗体采用塑钢窗，此结构厂房的墙体平均隔声量均在</w:t>
            </w:r>
            <w:r>
              <w:rPr>
                <w:rFonts w:hint="eastAsia" w:ascii="Calibri" w:hAnsi="Calibri" w:eastAsia="宋体" w:cs="Times New Roman"/>
                <w:color w:val="auto"/>
                <w:sz w:val="24"/>
                <w:highlight w:val="none"/>
                <w:shd w:val="clear" w:color="auto" w:fill="auto"/>
                <w:lang w:val="en-US" w:eastAsia="zh-CN"/>
              </w:rPr>
              <w:t>2</w:t>
            </w:r>
            <w:r>
              <w:rPr>
                <w:rFonts w:hint="eastAsia" w:ascii="Calibri" w:hAnsi="Calibri" w:cs="Times New Roman"/>
                <w:color w:val="auto"/>
                <w:sz w:val="24"/>
                <w:highlight w:val="none"/>
                <w:shd w:val="clear" w:color="auto" w:fill="auto"/>
                <w:lang w:val="en-US" w:eastAsia="zh-CN"/>
              </w:rPr>
              <w:t>0</w:t>
            </w:r>
            <w:r>
              <w:rPr>
                <w:rFonts w:hint="eastAsia" w:ascii="Calibri" w:hAnsi="Calibri" w:eastAsia="宋体" w:cs="Times New Roman"/>
                <w:color w:val="auto"/>
                <w:sz w:val="24"/>
                <w:highlight w:val="none"/>
                <w:shd w:val="clear" w:color="auto" w:fill="auto"/>
                <w:lang w:eastAsia="zh-CN"/>
              </w:rPr>
              <w:t>dB以上，此外，本项目选择低噪声设备，</w:t>
            </w:r>
            <w:r>
              <w:rPr>
                <w:rFonts w:hint="eastAsia" w:ascii="Calibri" w:hAnsi="Calibri" w:cs="Times New Roman"/>
                <w:color w:val="auto"/>
                <w:sz w:val="24"/>
                <w:highlight w:val="none"/>
                <w:shd w:val="clear" w:color="auto" w:fill="auto"/>
                <w:lang w:eastAsia="zh-CN"/>
              </w:rPr>
              <w:t>设基础减振，</w:t>
            </w:r>
            <w:r>
              <w:rPr>
                <w:rFonts w:hint="eastAsia" w:ascii="Calibri" w:hAnsi="Calibri" w:eastAsia="宋体" w:cs="Times New Roman"/>
                <w:color w:val="auto"/>
                <w:sz w:val="24"/>
                <w:highlight w:val="none"/>
                <w:shd w:val="clear" w:color="auto" w:fill="auto"/>
                <w:lang w:eastAsia="zh-CN"/>
              </w:rPr>
              <w:t>最大限度降低室外噪声源对声环境影响。</w:t>
            </w:r>
            <w:r>
              <w:rPr>
                <w:rFonts w:ascii="Calibri" w:hAnsi="Calibri" w:eastAsia="宋体" w:cs="Times New Roman"/>
                <w:color w:val="auto"/>
                <w:sz w:val="24"/>
                <w:highlight w:val="none"/>
                <w:shd w:val="clear" w:color="auto" w:fill="auto"/>
              </w:rPr>
              <w:t>项目主要噪声源所在的生产车间（室外设备）与厂区厂界的水平距离见表</w:t>
            </w:r>
            <w:r>
              <w:rPr>
                <w:rFonts w:hint="eastAsia" w:ascii="Calibri" w:hAnsi="Calibri" w:cs="Times New Roman"/>
                <w:color w:val="auto"/>
                <w:sz w:val="24"/>
                <w:highlight w:val="none"/>
                <w:shd w:val="clear" w:color="auto" w:fill="auto"/>
                <w:lang w:val="en-US" w:eastAsia="zh-CN"/>
              </w:rPr>
              <w:t>4-13</w:t>
            </w:r>
            <w:r>
              <w:rPr>
                <w:rFonts w:ascii="Calibri" w:hAnsi="Calibri" w:eastAsia="宋体" w:cs="Times New Roman"/>
                <w:color w:val="auto"/>
                <w:sz w:val="24"/>
                <w:highlight w:val="none"/>
                <w:shd w:val="clear" w:color="auto" w:fill="auto"/>
              </w:rPr>
              <w:t>。</w:t>
            </w:r>
          </w:p>
          <w:p w14:paraId="3F3B548A">
            <w:pPr>
              <w:keepNext w:val="0"/>
              <w:keepLines w:val="0"/>
              <w:suppressLineNumbers w:val="0"/>
              <w:spacing w:before="0" w:beforeAutospacing="0" w:after="0" w:afterAutospacing="0" w:line="360" w:lineRule="auto"/>
              <w:ind w:left="0" w:right="0" w:firstLine="480" w:firstLineChars="200"/>
              <w:jc w:val="center"/>
              <w:rPr>
                <w:rFonts w:ascii="Calibri" w:hAnsi="Calibri" w:eastAsia="宋体" w:cs="Times New Roman"/>
                <w:color w:val="auto"/>
                <w:sz w:val="24"/>
                <w:highlight w:val="none"/>
                <w:shd w:val="clear" w:color="auto" w:fill="auto"/>
              </w:rPr>
            </w:pPr>
            <w:r>
              <w:rPr>
                <w:rFonts w:ascii="Calibri" w:hAnsi="Calibri" w:eastAsia="宋体" w:cs="Times New Roman"/>
                <w:color w:val="auto"/>
                <w:sz w:val="24"/>
                <w:highlight w:val="none"/>
                <w:shd w:val="clear" w:color="auto" w:fill="auto"/>
              </w:rPr>
              <w:t>表</w:t>
            </w:r>
            <w:r>
              <w:rPr>
                <w:rFonts w:hint="eastAsia" w:ascii="Calibri" w:hAnsi="Calibri" w:cs="Times New Roman"/>
                <w:color w:val="auto"/>
                <w:sz w:val="24"/>
                <w:highlight w:val="none"/>
                <w:shd w:val="clear" w:color="auto" w:fill="auto"/>
                <w:lang w:val="en-US" w:eastAsia="zh-CN"/>
              </w:rPr>
              <w:t>4-13</w:t>
            </w:r>
            <w:r>
              <w:rPr>
                <w:rFonts w:ascii="Calibri" w:hAnsi="Calibri" w:eastAsia="宋体" w:cs="Times New Roman"/>
                <w:color w:val="auto"/>
                <w:sz w:val="24"/>
                <w:highlight w:val="none"/>
                <w:shd w:val="clear" w:color="auto" w:fill="auto"/>
              </w:rPr>
              <w:t xml:space="preserve">    厂房（设备）与厂界的距离</w:t>
            </w:r>
          </w:p>
          <w:tbl>
            <w:tblPr>
              <w:tblStyle w:val="25"/>
              <w:tblW w:w="84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07"/>
              <w:gridCol w:w="2545"/>
              <w:gridCol w:w="3546"/>
            </w:tblGrid>
            <w:tr w14:paraId="69988A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2407" w:type="dxa"/>
                  <w:noWrap w:val="0"/>
                  <w:vAlign w:val="center"/>
                </w:tcPr>
                <w:p w14:paraId="3DF67570">
                  <w:pPr>
                    <w:keepNext w:val="0"/>
                    <w:keepLines w:val="0"/>
                    <w:suppressLineNumbers w:val="0"/>
                    <w:spacing w:before="0" w:beforeAutospacing="0" w:after="0" w:afterAutospacing="0"/>
                    <w:ind w:left="0" w:right="0"/>
                    <w:jc w:val="center"/>
                    <w:rPr>
                      <w:rFonts w:ascii="Calibri" w:hAnsi="Calibri" w:eastAsia="宋体" w:cs="Times New Roman"/>
                      <w:color w:val="auto"/>
                      <w:sz w:val="21"/>
                      <w:szCs w:val="21"/>
                      <w:highlight w:val="none"/>
                      <w:shd w:val="clear" w:color="auto" w:fill="auto"/>
                    </w:rPr>
                  </w:pPr>
                  <w:r>
                    <w:rPr>
                      <w:rFonts w:ascii="Calibri" w:hAnsi="Calibri" w:eastAsia="宋体" w:cs="Times New Roman"/>
                      <w:color w:val="auto"/>
                      <w:sz w:val="21"/>
                      <w:szCs w:val="21"/>
                      <w:highlight w:val="none"/>
                      <w:shd w:val="clear" w:color="auto" w:fill="auto"/>
                    </w:rPr>
                    <w:t>厂房或设备</w:t>
                  </w:r>
                </w:p>
              </w:tc>
              <w:tc>
                <w:tcPr>
                  <w:tcW w:w="2545" w:type="dxa"/>
                  <w:noWrap w:val="0"/>
                  <w:vAlign w:val="center"/>
                </w:tcPr>
                <w:p w14:paraId="6FF336BB">
                  <w:pPr>
                    <w:keepNext w:val="0"/>
                    <w:keepLines w:val="0"/>
                    <w:suppressLineNumbers w:val="0"/>
                    <w:spacing w:before="0" w:beforeAutospacing="0" w:after="0" w:afterAutospacing="0"/>
                    <w:ind w:left="0" w:right="0"/>
                    <w:jc w:val="center"/>
                    <w:rPr>
                      <w:rFonts w:ascii="Calibri" w:hAnsi="Calibri" w:eastAsia="宋体" w:cs="Times New Roman"/>
                      <w:color w:val="auto"/>
                      <w:sz w:val="21"/>
                      <w:szCs w:val="21"/>
                      <w:highlight w:val="none"/>
                      <w:shd w:val="clear" w:color="auto" w:fill="auto"/>
                    </w:rPr>
                  </w:pPr>
                  <w:r>
                    <w:rPr>
                      <w:rFonts w:ascii="Calibri" w:hAnsi="Calibri" w:eastAsia="宋体" w:cs="Times New Roman"/>
                      <w:color w:val="auto"/>
                      <w:sz w:val="21"/>
                      <w:szCs w:val="21"/>
                      <w:highlight w:val="none"/>
                      <w:shd w:val="clear" w:color="auto" w:fill="auto"/>
                    </w:rPr>
                    <w:t>厂界名称</w:t>
                  </w:r>
                </w:p>
              </w:tc>
              <w:tc>
                <w:tcPr>
                  <w:tcW w:w="3546" w:type="dxa"/>
                  <w:noWrap w:val="0"/>
                  <w:vAlign w:val="center"/>
                </w:tcPr>
                <w:p w14:paraId="513130F4">
                  <w:pPr>
                    <w:keepNext w:val="0"/>
                    <w:keepLines w:val="0"/>
                    <w:suppressLineNumbers w:val="0"/>
                    <w:spacing w:before="0" w:beforeAutospacing="0" w:after="0" w:afterAutospacing="0"/>
                    <w:ind w:left="0" w:right="0"/>
                    <w:jc w:val="center"/>
                    <w:rPr>
                      <w:rFonts w:ascii="Calibri" w:hAnsi="Calibri" w:eastAsia="宋体" w:cs="Times New Roman"/>
                      <w:color w:val="auto"/>
                      <w:sz w:val="21"/>
                      <w:szCs w:val="21"/>
                      <w:highlight w:val="none"/>
                      <w:shd w:val="clear" w:color="auto" w:fill="auto"/>
                    </w:rPr>
                  </w:pPr>
                  <w:r>
                    <w:rPr>
                      <w:rFonts w:ascii="Calibri" w:hAnsi="Calibri" w:eastAsia="宋体" w:cs="Times New Roman"/>
                      <w:color w:val="auto"/>
                      <w:sz w:val="21"/>
                      <w:szCs w:val="21"/>
                      <w:highlight w:val="none"/>
                      <w:shd w:val="clear" w:color="auto" w:fill="auto"/>
                    </w:rPr>
                    <w:t>厂房与厂界距离（m）</w:t>
                  </w:r>
                </w:p>
              </w:tc>
            </w:tr>
            <w:tr w14:paraId="04CF0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2407" w:type="dxa"/>
                  <w:vMerge w:val="restart"/>
                  <w:noWrap w:val="0"/>
                  <w:vAlign w:val="center"/>
                </w:tcPr>
                <w:p w14:paraId="6C50903F">
                  <w:pPr>
                    <w:keepNext w:val="0"/>
                    <w:keepLines w:val="0"/>
                    <w:suppressLineNumbers w:val="0"/>
                    <w:spacing w:before="0" w:beforeAutospacing="0" w:after="0" w:afterAutospacing="0"/>
                    <w:ind w:left="0" w:right="0"/>
                    <w:jc w:val="center"/>
                    <w:rPr>
                      <w:rFonts w:hint="eastAsia" w:ascii="Calibri" w:hAnsi="Calibri" w:eastAsia="宋体" w:cs="Times New Roman"/>
                      <w:color w:val="auto"/>
                      <w:kern w:val="2"/>
                      <w:sz w:val="21"/>
                      <w:szCs w:val="21"/>
                      <w:highlight w:val="none"/>
                      <w:shd w:val="clear" w:color="auto" w:fill="auto"/>
                      <w:lang w:val="en-US" w:eastAsia="zh-CN" w:bidi="ar-SA"/>
                    </w:rPr>
                  </w:pPr>
                  <w:r>
                    <w:rPr>
                      <w:rFonts w:hint="eastAsia" w:ascii="Calibri" w:hAnsi="Calibri" w:cs="Times New Roman"/>
                      <w:color w:val="auto"/>
                      <w:kern w:val="2"/>
                      <w:sz w:val="21"/>
                      <w:szCs w:val="21"/>
                      <w:highlight w:val="none"/>
                      <w:shd w:val="clear" w:color="auto" w:fill="auto"/>
                      <w:lang w:val="en-US" w:eastAsia="zh-CN" w:bidi="ar-SA"/>
                    </w:rPr>
                    <w:t>1#</w:t>
                  </w:r>
                  <w:r>
                    <w:rPr>
                      <w:rFonts w:hint="eastAsia" w:ascii="Calibri" w:hAnsi="Calibri" w:eastAsia="宋体" w:cs="Times New Roman"/>
                      <w:color w:val="auto"/>
                      <w:kern w:val="2"/>
                      <w:sz w:val="21"/>
                      <w:szCs w:val="21"/>
                      <w:highlight w:val="none"/>
                      <w:shd w:val="clear" w:color="auto" w:fill="auto"/>
                      <w:lang w:val="en-US" w:eastAsia="zh-CN" w:bidi="ar-SA"/>
                    </w:rPr>
                    <w:t>生产车间</w:t>
                  </w:r>
                </w:p>
              </w:tc>
              <w:tc>
                <w:tcPr>
                  <w:tcW w:w="2545" w:type="dxa"/>
                  <w:noWrap w:val="0"/>
                  <w:vAlign w:val="center"/>
                </w:tcPr>
                <w:p w14:paraId="3BC8DCA7">
                  <w:pPr>
                    <w:keepNext w:val="0"/>
                    <w:keepLines w:val="0"/>
                    <w:suppressLineNumbers w:val="0"/>
                    <w:spacing w:before="0" w:beforeAutospacing="0" w:after="0" w:afterAutospacing="0"/>
                    <w:ind w:left="0" w:right="0"/>
                    <w:jc w:val="center"/>
                    <w:rPr>
                      <w:rFonts w:ascii="Calibri" w:hAnsi="Calibri" w:eastAsia="宋体" w:cs="Times New Roman"/>
                      <w:color w:val="auto"/>
                      <w:sz w:val="21"/>
                      <w:szCs w:val="21"/>
                      <w:highlight w:val="none"/>
                      <w:shd w:val="clear" w:color="auto" w:fill="auto"/>
                    </w:rPr>
                  </w:pPr>
                  <w:r>
                    <w:rPr>
                      <w:rFonts w:ascii="Calibri" w:hAnsi="Calibri" w:eastAsia="宋体" w:cs="Times New Roman"/>
                      <w:color w:val="auto"/>
                      <w:sz w:val="21"/>
                      <w:szCs w:val="21"/>
                      <w:highlight w:val="none"/>
                      <w:shd w:val="clear" w:color="auto" w:fill="auto"/>
                    </w:rPr>
                    <w:t>东厂界</w:t>
                  </w:r>
                </w:p>
              </w:tc>
              <w:tc>
                <w:tcPr>
                  <w:tcW w:w="3546" w:type="dxa"/>
                  <w:noWrap w:val="0"/>
                  <w:vAlign w:val="center"/>
                </w:tcPr>
                <w:p w14:paraId="6A578D5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cs="Times New Roman"/>
                      <w:i w:val="0"/>
                      <w:iCs w:val="0"/>
                      <w:color w:val="auto"/>
                      <w:kern w:val="0"/>
                      <w:sz w:val="21"/>
                      <w:szCs w:val="21"/>
                      <w:highlight w:val="none"/>
                      <w:u w:val="none"/>
                      <w:lang w:val="en-US" w:eastAsia="zh-CN" w:bidi="ar"/>
                    </w:rPr>
                    <w:t>210</w:t>
                  </w:r>
                </w:p>
              </w:tc>
            </w:tr>
            <w:tr w14:paraId="08E2C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2407" w:type="dxa"/>
                  <w:vMerge w:val="continue"/>
                  <w:noWrap w:val="0"/>
                  <w:vAlign w:val="center"/>
                </w:tcPr>
                <w:p w14:paraId="744B03B5">
                  <w:pPr>
                    <w:keepNext w:val="0"/>
                    <w:keepLines w:val="0"/>
                    <w:suppressLineNumbers w:val="0"/>
                    <w:spacing w:before="0" w:beforeAutospacing="0" w:after="0" w:afterAutospacing="0"/>
                    <w:ind w:left="0" w:right="0"/>
                    <w:jc w:val="center"/>
                    <w:rPr>
                      <w:rFonts w:hint="eastAsia" w:ascii="Calibri" w:hAnsi="Calibri" w:eastAsia="宋体" w:cs="Times New Roman"/>
                      <w:color w:val="auto"/>
                      <w:kern w:val="2"/>
                      <w:sz w:val="21"/>
                      <w:szCs w:val="21"/>
                      <w:highlight w:val="none"/>
                      <w:shd w:val="clear" w:color="auto" w:fill="auto"/>
                      <w:lang w:val="en-US" w:eastAsia="zh-CN" w:bidi="ar-SA"/>
                    </w:rPr>
                  </w:pPr>
                </w:p>
              </w:tc>
              <w:tc>
                <w:tcPr>
                  <w:tcW w:w="2545" w:type="dxa"/>
                  <w:noWrap w:val="0"/>
                  <w:vAlign w:val="center"/>
                </w:tcPr>
                <w:p w14:paraId="3DE2F116">
                  <w:pPr>
                    <w:keepNext w:val="0"/>
                    <w:keepLines w:val="0"/>
                    <w:suppressLineNumbers w:val="0"/>
                    <w:spacing w:before="0" w:beforeAutospacing="0" w:after="0" w:afterAutospacing="0"/>
                    <w:ind w:left="0" w:right="0"/>
                    <w:jc w:val="center"/>
                    <w:rPr>
                      <w:rFonts w:ascii="Calibri" w:hAnsi="Calibri" w:eastAsia="宋体" w:cs="Times New Roman"/>
                      <w:color w:val="auto"/>
                      <w:sz w:val="21"/>
                      <w:szCs w:val="21"/>
                      <w:highlight w:val="none"/>
                      <w:shd w:val="clear" w:color="auto" w:fill="auto"/>
                    </w:rPr>
                  </w:pPr>
                  <w:r>
                    <w:rPr>
                      <w:rFonts w:ascii="Calibri" w:hAnsi="Calibri" w:eastAsia="宋体" w:cs="Times New Roman"/>
                      <w:color w:val="auto"/>
                      <w:sz w:val="21"/>
                      <w:szCs w:val="21"/>
                      <w:highlight w:val="none"/>
                      <w:shd w:val="clear" w:color="auto" w:fill="auto"/>
                    </w:rPr>
                    <w:t>南厂界</w:t>
                  </w:r>
                </w:p>
              </w:tc>
              <w:tc>
                <w:tcPr>
                  <w:tcW w:w="3546" w:type="dxa"/>
                  <w:noWrap w:val="0"/>
                  <w:vAlign w:val="center"/>
                </w:tcPr>
                <w:p w14:paraId="52C789C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cs="Times New Roman"/>
                      <w:i w:val="0"/>
                      <w:iCs w:val="0"/>
                      <w:color w:val="auto"/>
                      <w:kern w:val="0"/>
                      <w:sz w:val="21"/>
                      <w:szCs w:val="21"/>
                      <w:highlight w:val="none"/>
                      <w:u w:val="none"/>
                      <w:lang w:val="en-US" w:eastAsia="zh-CN" w:bidi="ar"/>
                    </w:rPr>
                    <w:t>100</w:t>
                  </w:r>
                </w:p>
              </w:tc>
            </w:tr>
            <w:tr w14:paraId="5103B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2407" w:type="dxa"/>
                  <w:vMerge w:val="continue"/>
                  <w:noWrap w:val="0"/>
                  <w:vAlign w:val="center"/>
                </w:tcPr>
                <w:p w14:paraId="57A28D57">
                  <w:pPr>
                    <w:keepNext w:val="0"/>
                    <w:keepLines w:val="0"/>
                    <w:suppressLineNumbers w:val="0"/>
                    <w:spacing w:before="0" w:beforeAutospacing="0" w:after="0" w:afterAutospacing="0"/>
                    <w:ind w:left="0" w:right="0"/>
                    <w:jc w:val="center"/>
                    <w:rPr>
                      <w:rFonts w:hint="eastAsia" w:ascii="Calibri" w:hAnsi="Calibri" w:eastAsia="宋体" w:cs="Times New Roman"/>
                      <w:color w:val="auto"/>
                      <w:kern w:val="2"/>
                      <w:sz w:val="21"/>
                      <w:szCs w:val="21"/>
                      <w:highlight w:val="none"/>
                      <w:shd w:val="clear" w:color="auto" w:fill="auto"/>
                      <w:lang w:val="en-US" w:eastAsia="zh-CN" w:bidi="ar-SA"/>
                    </w:rPr>
                  </w:pPr>
                </w:p>
              </w:tc>
              <w:tc>
                <w:tcPr>
                  <w:tcW w:w="2545" w:type="dxa"/>
                  <w:noWrap w:val="0"/>
                  <w:vAlign w:val="center"/>
                </w:tcPr>
                <w:p w14:paraId="44E9F68F">
                  <w:pPr>
                    <w:keepNext w:val="0"/>
                    <w:keepLines w:val="0"/>
                    <w:suppressLineNumbers w:val="0"/>
                    <w:spacing w:before="0" w:beforeAutospacing="0" w:after="0" w:afterAutospacing="0"/>
                    <w:ind w:left="0" w:right="0"/>
                    <w:jc w:val="center"/>
                    <w:rPr>
                      <w:rFonts w:ascii="Calibri" w:hAnsi="Calibri" w:eastAsia="宋体" w:cs="Times New Roman"/>
                      <w:color w:val="auto"/>
                      <w:sz w:val="21"/>
                      <w:szCs w:val="21"/>
                      <w:highlight w:val="none"/>
                      <w:shd w:val="clear" w:color="auto" w:fill="auto"/>
                    </w:rPr>
                  </w:pPr>
                  <w:r>
                    <w:rPr>
                      <w:rFonts w:ascii="Calibri" w:hAnsi="Calibri" w:eastAsia="宋体" w:cs="Times New Roman"/>
                      <w:color w:val="auto"/>
                      <w:sz w:val="21"/>
                      <w:szCs w:val="21"/>
                      <w:highlight w:val="none"/>
                      <w:shd w:val="clear" w:color="auto" w:fill="auto"/>
                    </w:rPr>
                    <w:t>西厂界</w:t>
                  </w:r>
                </w:p>
              </w:tc>
              <w:tc>
                <w:tcPr>
                  <w:tcW w:w="3546" w:type="dxa"/>
                  <w:noWrap w:val="0"/>
                  <w:vAlign w:val="center"/>
                </w:tcPr>
                <w:p w14:paraId="12E252B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cs="Times New Roman"/>
                      <w:i w:val="0"/>
                      <w:iCs w:val="0"/>
                      <w:color w:val="auto"/>
                      <w:kern w:val="0"/>
                      <w:sz w:val="21"/>
                      <w:szCs w:val="21"/>
                      <w:highlight w:val="none"/>
                      <w:u w:val="none"/>
                      <w:lang w:val="en-US" w:eastAsia="zh-CN" w:bidi="ar"/>
                    </w:rPr>
                    <w:t>30</w:t>
                  </w:r>
                </w:p>
              </w:tc>
            </w:tr>
            <w:tr w14:paraId="2A42C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2407" w:type="dxa"/>
                  <w:vMerge w:val="continue"/>
                  <w:noWrap w:val="0"/>
                  <w:vAlign w:val="center"/>
                </w:tcPr>
                <w:p w14:paraId="65064251">
                  <w:pPr>
                    <w:keepNext w:val="0"/>
                    <w:keepLines w:val="0"/>
                    <w:suppressLineNumbers w:val="0"/>
                    <w:spacing w:before="0" w:beforeAutospacing="0" w:after="0" w:afterAutospacing="0"/>
                    <w:ind w:left="0" w:right="0"/>
                    <w:jc w:val="center"/>
                    <w:rPr>
                      <w:rFonts w:hint="eastAsia" w:ascii="Calibri" w:hAnsi="Calibri" w:eastAsia="宋体" w:cs="Times New Roman"/>
                      <w:color w:val="auto"/>
                      <w:kern w:val="2"/>
                      <w:sz w:val="21"/>
                      <w:szCs w:val="21"/>
                      <w:highlight w:val="none"/>
                      <w:shd w:val="clear" w:color="auto" w:fill="auto"/>
                      <w:lang w:val="en-US" w:eastAsia="zh-CN" w:bidi="ar-SA"/>
                    </w:rPr>
                  </w:pPr>
                </w:p>
              </w:tc>
              <w:tc>
                <w:tcPr>
                  <w:tcW w:w="2545" w:type="dxa"/>
                  <w:noWrap w:val="0"/>
                  <w:vAlign w:val="center"/>
                </w:tcPr>
                <w:p w14:paraId="4544E8A5">
                  <w:pPr>
                    <w:keepNext w:val="0"/>
                    <w:keepLines w:val="0"/>
                    <w:suppressLineNumbers w:val="0"/>
                    <w:spacing w:before="0" w:beforeAutospacing="0" w:after="0" w:afterAutospacing="0"/>
                    <w:ind w:left="0" w:right="0"/>
                    <w:jc w:val="center"/>
                    <w:rPr>
                      <w:rFonts w:ascii="Calibri" w:hAnsi="Calibri" w:eastAsia="宋体" w:cs="Times New Roman"/>
                      <w:color w:val="auto"/>
                      <w:sz w:val="21"/>
                      <w:szCs w:val="21"/>
                      <w:highlight w:val="none"/>
                      <w:shd w:val="clear" w:color="auto" w:fill="auto"/>
                    </w:rPr>
                  </w:pPr>
                  <w:r>
                    <w:rPr>
                      <w:rFonts w:ascii="Calibri" w:hAnsi="Calibri" w:eastAsia="宋体" w:cs="Times New Roman"/>
                      <w:color w:val="auto"/>
                      <w:sz w:val="21"/>
                      <w:szCs w:val="21"/>
                      <w:highlight w:val="none"/>
                      <w:shd w:val="clear" w:color="auto" w:fill="auto"/>
                    </w:rPr>
                    <w:t>北厂界</w:t>
                  </w:r>
                </w:p>
              </w:tc>
              <w:tc>
                <w:tcPr>
                  <w:tcW w:w="3546" w:type="dxa"/>
                  <w:noWrap w:val="0"/>
                  <w:vAlign w:val="center"/>
                </w:tcPr>
                <w:p w14:paraId="124B523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cs="Times New Roman"/>
                      <w:i w:val="0"/>
                      <w:iCs w:val="0"/>
                      <w:color w:val="auto"/>
                      <w:kern w:val="0"/>
                      <w:sz w:val="21"/>
                      <w:szCs w:val="21"/>
                      <w:highlight w:val="none"/>
                      <w:u w:val="none"/>
                      <w:lang w:val="en-US" w:eastAsia="zh-CN" w:bidi="ar"/>
                    </w:rPr>
                    <w:t>105</w:t>
                  </w:r>
                </w:p>
              </w:tc>
            </w:tr>
            <w:tr w14:paraId="0AE67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2407" w:type="dxa"/>
                  <w:vMerge w:val="restart"/>
                  <w:noWrap w:val="0"/>
                  <w:vAlign w:val="center"/>
                </w:tcPr>
                <w:p w14:paraId="41085EA7">
                  <w:pPr>
                    <w:keepNext w:val="0"/>
                    <w:keepLines w:val="0"/>
                    <w:suppressLineNumbers w:val="0"/>
                    <w:spacing w:before="0" w:beforeAutospacing="0" w:after="0" w:afterAutospacing="0"/>
                    <w:ind w:left="0" w:right="0"/>
                    <w:jc w:val="center"/>
                    <w:rPr>
                      <w:rFonts w:hint="eastAsia" w:ascii="Calibri" w:hAnsi="Calibri" w:eastAsia="宋体" w:cs="Times New Roman"/>
                      <w:color w:val="auto"/>
                      <w:kern w:val="2"/>
                      <w:sz w:val="21"/>
                      <w:szCs w:val="21"/>
                      <w:highlight w:val="none"/>
                      <w:shd w:val="clear" w:color="auto" w:fill="auto"/>
                      <w:lang w:val="en-US" w:eastAsia="zh-CN" w:bidi="ar-SA"/>
                    </w:rPr>
                  </w:pPr>
                  <w:r>
                    <w:rPr>
                      <w:rFonts w:hint="eastAsia" w:ascii="Calibri" w:hAnsi="Calibri" w:cs="Times New Roman"/>
                      <w:color w:val="auto"/>
                      <w:kern w:val="2"/>
                      <w:sz w:val="21"/>
                      <w:szCs w:val="21"/>
                      <w:highlight w:val="none"/>
                      <w:shd w:val="clear" w:color="auto" w:fill="auto"/>
                      <w:lang w:val="en-US" w:eastAsia="zh-CN" w:bidi="ar-SA"/>
                    </w:rPr>
                    <w:t>2#生产车间</w:t>
                  </w:r>
                </w:p>
              </w:tc>
              <w:tc>
                <w:tcPr>
                  <w:tcW w:w="2545" w:type="dxa"/>
                  <w:noWrap w:val="0"/>
                  <w:vAlign w:val="center"/>
                </w:tcPr>
                <w:p w14:paraId="72840DD8">
                  <w:pPr>
                    <w:keepNext w:val="0"/>
                    <w:keepLines w:val="0"/>
                    <w:suppressLineNumbers w:val="0"/>
                    <w:spacing w:before="0" w:beforeAutospacing="0" w:after="0" w:afterAutospacing="0"/>
                    <w:ind w:left="0" w:leftChars="0" w:right="0" w:rightChars="0"/>
                    <w:jc w:val="center"/>
                    <w:rPr>
                      <w:rFonts w:ascii="Calibri" w:hAnsi="Calibri" w:eastAsia="宋体" w:cs="Times New Roman"/>
                      <w:color w:val="auto"/>
                      <w:sz w:val="21"/>
                      <w:szCs w:val="21"/>
                      <w:highlight w:val="none"/>
                      <w:shd w:val="clear" w:color="auto" w:fill="auto"/>
                    </w:rPr>
                  </w:pPr>
                  <w:r>
                    <w:rPr>
                      <w:rFonts w:ascii="Calibri" w:hAnsi="Calibri" w:eastAsia="宋体" w:cs="Times New Roman"/>
                      <w:color w:val="auto"/>
                      <w:sz w:val="21"/>
                      <w:szCs w:val="21"/>
                      <w:highlight w:val="none"/>
                      <w:shd w:val="clear" w:color="auto" w:fill="auto"/>
                    </w:rPr>
                    <w:t>东厂界</w:t>
                  </w:r>
                </w:p>
              </w:tc>
              <w:tc>
                <w:tcPr>
                  <w:tcW w:w="3546" w:type="dxa"/>
                  <w:noWrap w:val="0"/>
                  <w:vAlign w:val="center"/>
                </w:tcPr>
                <w:p w14:paraId="6644459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60</w:t>
                  </w:r>
                </w:p>
              </w:tc>
            </w:tr>
            <w:tr w14:paraId="794CF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2407" w:type="dxa"/>
                  <w:vMerge w:val="continue"/>
                  <w:noWrap w:val="0"/>
                  <w:vAlign w:val="center"/>
                </w:tcPr>
                <w:p w14:paraId="074B0351">
                  <w:pPr>
                    <w:keepNext w:val="0"/>
                    <w:keepLines w:val="0"/>
                    <w:suppressLineNumbers w:val="0"/>
                    <w:spacing w:before="0" w:beforeAutospacing="0" w:after="0" w:afterAutospacing="0"/>
                    <w:ind w:left="0" w:right="0"/>
                    <w:jc w:val="center"/>
                    <w:rPr>
                      <w:rFonts w:hint="eastAsia" w:ascii="Calibri" w:hAnsi="Calibri" w:eastAsia="宋体" w:cs="Times New Roman"/>
                      <w:color w:val="auto"/>
                      <w:kern w:val="2"/>
                      <w:sz w:val="21"/>
                      <w:szCs w:val="21"/>
                      <w:highlight w:val="none"/>
                      <w:shd w:val="clear" w:color="auto" w:fill="auto"/>
                      <w:lang w:val="en-US" w:eastAsia="zh-CN" w:bidi="ar-SA"/>
                    </w:rPr>
                  </w:pPr>
                </w:p>
              </w:tc>
              <w:tc>
                <w:tcPr>
                  <w:tcW w:w="2545" w:type="dxa"/>
                  <w:noWrap w:val="0"/>
                  <w:vAlign w:val="center"/>
                </w:tcPr>
                <w:p w14:paraId="067A3638">
                  <w:pPr>
                    <w:keepNext w:val="0"/>
                    <w:keepLines w:val="0"/>
                    <w:suppressLineNumbers w:val="0"/>
                    <w:spacing w:before="0" w:beforeAutospacing="0" w:after="0" w:afterAutospacing="0"/>
                    <w:ind w:left="0" w:leftChars="0" w:right="0" w:rightChars="0"/>
                    <w:jc w:val="center"/>
                    <w:rPr>
                      <w:rFonts w:ascii="Calibri" w:hAnsi="Calibri" w:eastAsia="宋体" w:cs="Times New Roman"/>
                      <w:color w:val="auto"/>
                      <w:sz w:val="21"/>
                      <w:szCs w:val="21"/>
                      <w:highlight w:val="none"/>
                      <w:shd w:val="clear" w:color="auto" w:fill="auto"/>
                    </w:rPr>
                  </w:pPr>
                  <w:r>
                    <w:rPr>
                      <w:rFonts w:ascii="Calibri" w:hAnsi="Calibri" w:eastAsia="宋体" w:cs="Times New Roman"/>
                      <w:color w:val="auto"/>
                      <w:sz w:val="21"/>
                      <w:szCs w:val="21"/>
                      <w:highlight w:val="none"/>
                      <w:shd w:val="clear" w:color="auto" w:fill="auto"/>
                    </w:rPr>
                    <w:t>南厂界</w:t>
                  </w:r>
                </w:p>
              </w:tc>
              <w:tc>
                <w:tcPr>
                  <w:tcW w:w="3546" w:type="dxa"/>
                  <w:noWrap w:val="0"/>
                  <w:vAlign w:val="center"/>
                </w:tcPr>
                <w:p w14:paraId="2295C81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120</w:t>
                  </w:r>
                </w:p>
              </w:tc>
            </w:tr>
            <w:tr w14:paraId="49521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2407" w:type="dxa"/>
                  <w:vMerge w:val="continue"/>
                  <w:noWrap w:val="0"/>
                  <w:vAlign w:val="center"/>
                </w:tcPr>
                <w:p w14:paraId="43D3AD34">
                  <w:pPr>
                    <w:keepNext w:val="0"/>
                    <w:keepLines w:val="0"/>
                    <w:suppressLineNumbers w:val="0"/>
                    <w:spacing w:before="0" w:beforeAutospacing="0" w:after="0" w:afterAutospacing="0"/>
                    <w:ind w:left="0" w:right="0"/>
                    <w:jc w:val="center"/>
                    <w:rPr>
                      <w:rFonts w:hint="eastAsia" w:ascii="Calibri" w:hAnsi="Calibri" w:eastAsia="宋体" w:cs="Times New Roman"/>
                      <w:color w:val="auto"/>
                      <w:kern w:val="2"/>
                      <w:sz w:val="21"/>
                      <w:szCs w:val="21"/>
                      <w:highlight w:val="none"/>
                      <w:shd w:val="clear" w:color="auto" w:fill="auto"/>
                      <w:lang w:val="en-US" w:eastAsia="zh-CN" w:bidi="ar-SA"/>
                    </w:rPr>
                  </w:pPr>
                </w:p>
              </w:tc>
              <w:tc>
                <w:tcPr>
                  <w:tcW w:w="2545" w:type="dxa"/>
                  <w:noWrap w:val="0"/>
                  <w:vAlign w:val="center"/>
                </w:tcPr>
                <w:p w14:paraId="17BBC9C6">
                  <w:pPr>
                    <w:keepNext w:val="0"/>
                    <w:keepLines w:val="0"/>
                    <w:suppressLineNumbers w:val="0"/>
                    <w:spacing w:before="0" w:beforeAutospacing="0" w:after="0" w:afterAutospacing="0"/>
                    <w:ind w:left="0" w:leftChars="0" w:right="0" w:rightChars="0"/>
                    <w:jc w:val="center"/>
                    <w:rPr>
                      <w:rFonts w:ascii="Calibri" w:hAnsi="Calibri" w:eastAsia="宋体" w:cs="Times New Roman"/>
                      <w:color w:val="auto"/>
                      <w:sz w:val="21"/>
                      <w:szCs w:val="21"/>
                      <w:highlight w:val="none"/>
                      <w:shd w:val="clear" w:color="auto" w:fill="auto"/>
                    </w:rPr>
                  </w:pPr>
                  <w:r>
                    <w:rPr>
                      <w:rFonts w:ascii="Calibri" w:hAnsi="Calibri" w:eastAsia="宋体" w:cs="Times New Roman"/>
                      <w:color w:val="auto"/>
                      <w:sz w:val="21"/>
                      <w:szCs w:val="21"/>
                      <w:highlight w:val="none"/>
                      <w:shd w:val="clear" w:color="auto" w:fill="auto"/>
                    </w:rPr>
                    <w:t>西厂界</w:t>
                  </w:r>
                </w:p>
              </w:tc>
              <w:tc>
                <w:tcPr>
                  <w:tcW w:w="3546" w:type="dxa"/>
                  <w:noWrap w:val="0"/>
                  <w:vAlign w:val="center"/>
                </w:tcPr>
                <w:p w14:paraId="1948B68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200</w:t>
                  </w:r>
                </w:p>
              </w:tc>
            </w:tr>
            <w:tr w14:paraId="4F924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2407" w:type="dxa"/>
                  <w:vMerge w:val="continue"/>
                  <w:noWrap w:val="0"/>
                  <w:vAlign w:val="center"/>
                </w:tcPr>
                <w:p w14:paraId="58711750">
                  <w:pPr>
                    <w:keepNext w:val="0"/>
                    <w:keepLines w:val="0"/>
                    <w:suppressLineNumbers w:val="0"/>
                    <w:spacing w:before="0" w:beforeAutospacing="0" w:after="0" w:afterAutospacing="0"/>
                    <w:ind w:left="0" w:right="0"/>
                    <w:jc w:val="center"/>
                    <w:rPr>
                      <w:rFonts w:hint="eastAsia" w:ascii="Calibri" w:hAnsi="Calibri" w:eastAsia="宋体" w:cs="Times New Roman"/>
                      <w:color w:val="auto"/>
                      <w:kern w:val="2"/>
                      <w:sz w:val="21"/>
                      <w:szCs w:val="21"/>
                      <w:highlight w:val="none"/>
                      <w:shd w:val="clear" w:color="auto" w:fill="auto"/>
                      <w:lang w:val="en-US" w:eastAsia="zh-CN" w:bidi="ar-SA"/>
                    </w:rPr>
                  </w:pPr>
                </w:p>
              </w:tc>
              <w:tc>
                <w:tcPr>
                  <w:tcW w:w="2545" w:type="dxa"/>
                  <w:noWrap w:val="0"/>
                  <w:vAlign w:val="center"/>
                </w:tcPr>
                <w:p w14:paraId="3976D2E7">
                  <w:pPr>
                    <w:keepNext w:val="0"/>
                    <w:keepLines w:val="0"/>
                    <w:suppressLineNumbers w:val="0"/>
                    <w:spacing w:before="0" w:beforeAutospacing="0" w:after="0" w:afterAutospacing="0"/>
                    <w:ind w:left="0" w:leftChars="0" w:right="0" w:rightChars="0"/>
                    <w:jc w:val="center"/>
                    <w:rPr>
                      <w:rFonts w:ascii="Calibri" w:hAnsi="Calibri" w:eastAsia="宋体" w:cs="Times New Roman"/>
                      <w:color w:val="auto"/>
                      <w:sz w:val="21"/>
                      <w:szCs w:val="21"/>
                      <w:highlight w:val="none"/>
                      <w:shd w:val="clear" w:color="auto" w:fill="auto"/>
                    </w:rPr>
                  </w:pPr>
                  <w:r>
                    <w:rPr>
                      <w:rFonts w:ascii="Calibri" w:hAnsi="Calibri" w:eastAsia="宋体" w:cs="Times New Roman"/>
                      <w:color w:val="auto"/>
                      <w:sz w:val="21"/>
                      <w:szCs w:val="21"/>
                      <w:highlight w:val="none"/>
                      <w:shd w:val="clear" w:color="auto" w:fill="auto"/>
                    </w:rPr>
                    <w:t>北厂界</w:t>
                  </w:r>
                </w:p>
              </w:tc>
              <w:tc>
                <w:tcPr>
                  <w:tcW w:w="3546" w:type="dxa"/>
                  <w:noWrap w:val="0"/>
                  <w:vAlign w:val="center"/>
                </w:tcPr>
                <w:p w14:paraId="126EC07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27</w:t>
                  </w:r>
                </w:p>
              </w:tc>
            </w:tr>
            <w:tr w14:paraId="207BC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2407" w:type="dxa"/>
                  <w:vMerge w:val="restart"/>
                  <w:noWrap w:val="0"/>
                  <w:vAlign w:val="center"/>
                </w:tcPr>
                <w:p w14:paraId="7042BCB9">
                  <w:pPr>
                    <w:keepNext w:val="0"/>
                    <w:keepLines w:val="0"/>
                    <w:suppressLineNumbers w:val="0"/>
                    <w:spacing w:before="0" w:beforeAutospacing="0" w:after="0" w:afterAutospacing="0"/>
                    <w:ind w:left="0" w:right="0"/>
                    <w:jc w:val="center"/>
                    <w:rPr>
                      <w:rFonts w:hint="eastAsia" w:ascii="Calibri" w:hAnsi="Calibri" w:eastAsia="宋体" w:cs="Times New Roman"/>
                      <w:color w:val="auto"/>
                      <w:kern w:val="2"/>
                      <w:sz w:val="21"/>
                      <w:szCs w:val="21"/>
                      <w:highlight w:val="none"/>
                      <w:shd w:val="clear" w:color="auto" w:fill="auto"/>
                      <w:lang w:val="en-US" w:eastAsia="zh-CN" w:bidi="ar-SA"/>
                    </w:rPr>
                  </w:pPr>
                  <w:r>
                    <w:rPr>
                      <w:rFonts w:hint="eastAsia" w:ascii="Calibri" w:hAnsi="Calibri" w:cs="Times New Roman"/>
                      <w:color w:val="auto"/>
                      <w:kern w:val="2"/>
                      <w:sz w:val="21"/>
                      <w:szCs w:val="21"/>
                      <w:highlight w:val="none"/>
                      <w:shd w:val="clear" w:color="auto" w:fill="auto"/>
                      <w:lang w:val="en-US" w:eastAsia="zh-CN" w:bidi="ar-SA"/>
                    </w:rPr>
                    <w:t>水洗白云石生产线循环水泵</w:t>
                  </w:r>
                </w:p>
              </w:tc>
              <w:tc>
                <w:tcPr>
                  <w:tcW w:w="2545" w:type="dxa"/>
                  <w:noWrap w:val="0"/>
                  <w:vAlign w:val="center"/>
                </w:tcPr>
                <w:p w14:paraId="61DDD785">
                  <w:pPr>
                    <w:keepNext w:val="0"/>
                    <w:keepLines w:val="0"/>
                    <w:suppressLineNumbers w:val="0"/>
                    <w:spacing w:before="0" w:beforeAutospacing="0" w:after="0" w:afterAutospacing="0"/>
                    <w:ind w:left="0" w:leftChars="0" w:right="0" w:rightChars="0"/>
                    <w:jc w:val="center"/>
                    <w:rPr>
                      <w:rFonts w:ascii="Calibri" w:hAnsi="Calibri" w:eastAsia="宋体" w:cs="Times New Roman"/>
                      <w:color w:val="auto"/>
                      <w:sz w:val="21"/>
                      <w:szCs w:val="21"/>
                      <w:highlight w:val="none"/>
                      <w:shd w:val="clear" w:color="auto" w:fill="auto"/>
                    </w:rPr>
                  </w:pPr>
                  <w:r>
                    <w:rPr>
                      <w:rFonts w:ascii="Calibri" w:hAnsi="Calibri" w:eastAsia="宋体" w:cs="Times New Roman"/>
                      <w:color w:val="auto"/>
                      <w:sz w:val="21"/>
                      <w:szCs w:val="21"/>
                      <w:highlight w:val="none"/>
                      <w:shd w:val="clear" w:color="auto" w:fill="auto"/>
                    </w:rPr>
                    <w:t>东厂界</w:t>
                  </w:r>
                </w:p>
              </w:tc>
              <w:tc>
                <w:tcPr>
                  <w:tcW w:w="3546" w:type="dxa"/>
                  <w:noWrap w:val="0"/>
                  <w:vAlign w:val="center"/>
                </w:tcPr>
                <w:p w14:paraId="03838BE3">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66</w:t>
                  </w:r>
                </w:p>
              </w:tc>
            </w:tr>
            <w:tr w14:paraId="26ED0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2407" w:type="dxa"/>
                  <w:vMerge w:val="continue"/>
                  <w:noWrap w:val="0"/>
                  <w:vAlign w:val="center"/>
                </w:tcPr>
                <w:p w14:paraId="63CA2466">
                  <w:pPr>
                    <w:keepNext w:val="0"/>
                    <w:keepLines w:val="0"/>
                    <w:suppressLineNumbers w:val="0"/>
                    <w:spacing w:before="0" w:beforeAutospacing="0" w:after="0" w:afterAutospacing="0"/>
                    <w:ind w:left="0" w:right="0"/>
                    <w:jc w:val="center"/>
                    <w:rPr>
                      <w:rFonts w:hint="eastAsia" w:ascii="Calibri" w:hAnsi="Calibri" w:eastAsia="宋体" w:cs="Times New Roman"/>
                      <w:color w:val="auto"/>
                      <w:kern w:val="2"/>
                      <w:sz w:val="21"/>
                      <w:szCs w:val="21"/>
                      <w:highlight w:val="none"/>
                      <w:shd w:val="clear" w:color="auto" w:fill="auto"/>
                      <w:lang w:val="en-US" w:eastAsia="zh-CN" w:bidi="ar-SA"/>
                    </w:rPr>
                  </w:pPr>
                </w:p>
              </w:tc>
              <w:tc>
                <w:tcPr>
                  <w:tcW w:w="2545" w:type="dxa"/>
                  <w:noWrap w:val="0"/>
                  <w:vAlign w:val="center"/>
                </w:tcPr>
                <w:p w14:paraId="15C0CC0E">
                  <w:pPr>
                    <w:keepNext w:val="0"/>
                    <w:keepLines w:val="0"/>
                    <w:suppressLineNumbers w:val="0"/>
                    <w:spacing w:before="0" w:beforeAutospacing="0" w:after="0" w:afterAutospacing="0"/>
                    <w:ind w:left="0" w:leftChars="0" w:right="0" w:rightChars="0"/>
                    <w:jc w:val="center"/>
                    <w:rPr>
                      <w:rFonts w:ascii="Calibri" w:hAnsi="Calibri" w:eastAsia="宋体" w:cs="Times New Roman"/>
                      <w:color w:val="auto"/>
                      <w:sz w:val="21"/>
                      <w:szCs w:val="21"/>
                      <w:highlight w:val="none"/>
                      <w:shd w:val="clear" w:color="auto" w:fill="auto"/>
                    </w:rPr>
                  </w:pPr>
                  <w:r>
                    <w:rPr>
                      <w:rFonts w:ascii="Calibri" w:hAnsi="Calibri" w:eastAsia="宋体" w:cs="Times New Roman"/>
                      <w:color w:val="auto"/>
                      <w:sz w:val="21"/>
                      <w:szCs w:val="21"/>
                      <w:highlight w:val="none"/>
                      <w:shd w:val="clear" w:color="auto" w:fill="auto"/>
                    </w:rPr>
                    <w:t>南厂界</w:t>
                  </w:r>
                </w:p>
              </w:tc>
              <w:tc>
                <w:tcPr>
                  <w:tcW w:w="3546" w:type="dxa"/>
                  <w:noWrap w:val="0"/>
                  <w:vAlign w:val="center"/>
                </w:tcPr>
                <w:p w14:paraId="6D272E13">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45</w:t>
                  </w:r>
                </w:p>
              </w:tc>
            </w:tr>
            <w:tr w14:paraId="3C7073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2407" w:type="dxa"/>
                  <w:vMerge w:val="continue"/>
                  <w:noWrap w:val="0"/>
                  <w:vAlign w:val="center"/>
                </w:tcPr>
                <w:p w14:paraId="4B471E5B">
                  <w:pPr>
                    <w:keepNext w:val="0"/>
                    <w:keepLines w:val="0"/>
                    <w:suppressLineNumbers w:val="0"/>
                    <w:spacing w:before="0" w:beforeAutospacing="0" w:after="0" w:afterAutospacing="0"/>
                    <w:ind w:left="0" w:right="0"/>
                    <w:jc w:val="center"/>
                    <w:rPr>
                      <w:rFonts w:hint="eastAsia" w:ascii="Calibri" w:hAnsi="Calibri" w:eastAsia="宋体" w:cs="Times New Roman"/>
                      <w:color w:val="auto"/>
                      <w:kern w:val="2"/>
                      <w:sz w:val="21"/>
                      <w:szCs w:val="21"/>
                      <w:highlight w:val="none"/>
                      <w:shd w:val="clear" w:color="auto" w:fill="auto"/>
                      <w:lang w:val="en-US" w:eastAsia="zh-CN" w:bidi="ar-SA"/>
                    </w:rPr>
                  </w:pPr>
                </w:p>
              </w:tc>
              <w:tc>
                <w:tcPr>
                  <w:tcW w:w="2545" w:type="dxa"/>
                  <w:noWrap w:val="0"/>
                  <w:vAlign w:val="center"/>
                </w:tcPr>
                <w:p w14:paraId="05B4A877">
                  <w:pPr>
                    <w:keepNext w:val="0"/>
                    <w:keepLines w:val="0"/>
                    <w:suppressLineNumbers w:val="0"/>
                    <w:spacing w:before="0" w:beforeAutospacing="0" w:after="0" w:afterAutospacing="0"/>
                    <w:ind w:left="0" w:leftChars="0" w:right="0" w:rightChars="0"/>
                    <w:jc w:val="center"/>
                    <w:rPr>
                      <w:rFonts w:ascii="Calibri" w:hAnsi="Calibri" w:eastAsia="宋体" w:cs="Times New Roman"/>
                      <w:color w:val="auto"/>
                      <w:sz w:val="21"/>
                      <w:szCs w:val="21"/>
                      <w:highlight w:val="none"/>
                      <w:shd w:val="clear" w:color="auto" w:fill="auto"/>
                    </w:rPr>
                  </w:pPr>
                  <w:r>
                    <w:rPr>
                      <w:rFonts w:ascii="Calibri" w:hAnsi="Calibri" w:eastAsia="宋体" w:cs="Times New Roman"/>
                      <w:color w:val="auto"/>
                      <w:sz w:val="21"/>
                      <w:szCs w:val="21"/>
                      <w:highlight w:val="none"/>
                      <w:shd w:val="clear" w:color="auto" w:fill="auto"/>
                    </w:rPr>
                    <w:t>西厂界</w:t>
                  </w:r>
                </w:p>
              </w:tc>
              <w:tc>
                <w:tcPr>
                  <w:tcW w:w="3546" w:type="dxa"/>
                  <w:noWrap w:val="0"/>
                  <w:vAlign w:val="center"/>
                </w:tcPr>
                <w:p w14:paraId="055B3D75">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128</w:t>
                  </w:r>
                </w:p>
              </w:tc>
            </w:tr>
            <w:tr w14:paraId="00E05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2407" w:type="dxa"/>
                  <w:vMerge w:val="continue"/>
                  <w:noWrap w:val="0"/>
                  <w:vAlign w:val="center"/>
                </w:tcPr>
                <w:p w14:paraId="5F4EE182">
                  <w:pPr>
                    <w:keepNext w:val="0"/>
                    <w:keepLines w:val="0"/>
                    <w:suppressLineNumbers w:val="0"/>
                    <w:spacing w:before="0" w:beforeAutospacing="0" w:after="0" w:afterAutospacing="0"/>
                    <w:ind w:left="0" w:right="0"/>
                    <w:jc w:val="center"/>
                    <w:rPr>
                      <w:rFonts w:hint="eastAsia" w:ascii="Calibri" w:hAnsi="Calibri" w:eastAsia="宋体" w:cs="Times New Roman"/>
                      <w:color w:val="auto"/>
                      <w:kern w:val="2"/>
                      <w:sz w:val="21"/>
                      <w:szCs w:val="21"/>
                      <w:highlight w:val="none"/>
                      <w:shd w:val="clear" w:color="auto" w:fill="auto"/>
                      <w:lang w:val="en-US" w:eastAsia="zh-CN" w:bidi="ar-SA"/>
                    </w:rPr>
                  </w:pPr>
                </w:p>
              </w:tc>
              <w:tc>
                <w:tcPr>
                  <w:tcW w:w="2545" w:type="dxa"/>
                  <w:noWrap w:val="0"/>
                  <w:vAlign w:val="center"/>
                </w:tcPr>
                <w:p w14:paraId="356A4F26">
                  <w:pPr>
                    <w:keepNext w:val="0"/>
                    <w:keepLines w:val="0"/>
                    <w:suppressLineNumbers w:val="0"/>
                    <w:spacing w:before="0" w:beforeAutospacing="0" w:after="0" w:afterAutospacing="0"/>
                    <w:ind w:left="0" w:leftChars="0" w:right="0" w:rightChars="0"/>
                    <w:jc w:val="center"/>
                    <w:rPr>
                      <w:rFonts w:ascii="Calibri" w:hAnsi="Calibri" w:eastAsia="宋体" w:cs="Times New Roman"/>
                      <w:color w:val="auto"/>
                      <w:sz w:val="21"/>
                      <w:szCs w:val="21"/>
                      <w:highlight w:val="none"/>
                      <w:shd w:val="clear" w:color="auto" w:fill="auto"/>
                    </w:rPr>
                  </w:pPr>
                  <w:r>
                    <w:rPr>
                      <w:rFonts w:ascii="Calibri" w:hAnsi="Calibri" w:eastAsia="宋体" w:cs="Times New Roman"/>
                      <w:color w:val="auto"/>
                      <w:sz w:val="21"/>
                      <w:szCs w:val="21"/>
                      <w:highlight w:val="none"/>
                      <w:shd w:val="clear" w:color="auto" w:fill="auto"/>
                    </w:rPr>
                    <w:t>北厂界</w:t>
                  </w:r>
                </w:p>
              </w:tc>
              <w:tc>
                <w:tcPr>
                  <w:tcW w:w="3546" w:type="dxa"/>
                  <w:noWrap w:val="0"/>
                  <w:vAlign w:val="center"/>
                </w:tcPr>
                <w:p w14:paraId="3853D6A2">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213</w:t>
                  </w:r>
                </w:p>
              </w:tc>
            </w:tr>
          </w:tbl>
          <w:p w14:paraId="5704FDA1">
            <w:pPr>
              <w:keepNext w:val="0"/>
              <w:keepLines w:val="0"/>
              <w:suppressLineNumbers w:val="0"/>
              <w:spacing w:before="0" w:beforeAutospacing="0" w:after="0" w:afterAutospacing="0" w:line="360" w:lineRule="auto"/>
              <w:ind w:left="0" w:right="0" w:firstLine="480" w:firstLineChars="200"/>
              <w:rPr>
                <w:rFonts w:hint="eastAsia" w:ascii="Calibri" w:hAnsi="Calibri" w:eastAsia="宋体" w:cs="Times New Roman"/>
                <w:color w:val="auto"/>
                <w:sz w:val="24"/>
                <w:highlight w:val="none"/>
                <w:shd w:val="clear" w:color="auto" w:fill="auto"/>
              </w:rPr>
            </w:pPr>
            <w:r>
              <w:rPr>
                <w:rFonts w:ascii="Calibri" w:hAnsi="Calibri" w:eastAsia="宋体" w:cs="Times New Roman"/>
                <w:color w:val="auto"/>
                <w:sz w:val="24"/>
                <w:highlight w:val="none"/>
                <w:shd w:val="clear" w:color="auto" w:fill="auto"/>
              </w:rPr>
              <w:t>对项目厂界四周噪声进行预测，将噪声预测点分别设在东、西、南、北厂界外1米</w:t>
            </w:r>
            <w:r>
              <w:rPr>
                <w:rFonts w:hint="eastAsia" w:ascii="Calibri" w:hAnsi="Calibri" w:eastAsia="宋体" w:cs="Times New Roman"/>
                <w:color w:val="auto"/>
                <w:sz w:val="24"/>
                <w:highlight w:val="none"/>
                <w:shd w:val="clear" w:color="auto" w:fill="auto"/>
              </w:rPr>
              <w:t>处</w:t>
            </w:r>
            <w:r>
              <w:rPr>
                <w:rFonts w:ascii="Calibri" w:hAnsi="Calibri" w:eastAsia="宋体" w:cs="Times New Roman"/>
                <w:color w:val="auto"/>
                <w:sz w:val="24"/>
                <w:highlight w:val="none"/>
                <w:shd w:val="clear" w:color="auto" w:fill="auto"/>
              </w:rPr>
              <w:t>。</w:t>
            </w:r>
          </w:p>
          <w:p w14:paraId="7B4BA252">
            <w:pPr>
              <w:keepNext w:val="0"/>
              <w:keepLines w:val="0"/>
              <w:suppressLineNumbers w:val="0"/>
              <w:spacing w:before="0" w:beforeAutospacing="0" w:after="0" w:afterAutospacing="0" w:line="360" w:lineRule="auto"/>
              <w:ind w:left="0" w:right="0" w:firstLine="540" w:firstLineChars="225"/>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参考冶金工业出版社出版的《工业企业环境保护》α取0.08；厂房透声系数取10</w:t>
            </w:r>
            <w:r>
              <w:rPr>
                <w:rFonts w:ascii="Times New Roman" w:hAnsi="Times New Roman" w:eastAsia="宋体" w:cs="Times New Roman"/>
                <w:color w:val="auto"/>
                <w:sz w:val="24"/>
                <w:highlight w:val="none"/>
                <w:vertAlign w:val="superscript"/>
              </w:rPr>
              <w:t>-2</w:t>
            </w:r>
            <w:r>
              <w:rPr>
                <w:rFonts w:ascii="Times New Roman" w:hAnsi="Times New Roman" w:eastAsia="宋体" w:cs="Times New Roman"/>
                <w:color w:val="auto"/>
                <w:sz w:val="24"/>
                <w:highlight w:val="none"/>
              </w:rPr>
              <w:t>，门的透声系数为10</w:t>
            </w:r>
            <w:r>
              <w:rPr>
                <w:rFonts w:ascii="Times New Roman" w:hAnsi="Times New Roman" w:eastAsia="宋体" w:cs="Times New Roman"/>
                <w:color w:val="auto"/>
                <w:sz w:val="24"/>
                <w:highlight w:val="none"/>
                <w:vertAlign w:val="superscript"/>
              </w:rPr>
              <w:t>-2.5</w:t>
            </w:r>
            <w:r>
              <w:rPr>
                <w:rFonts w:ascii="Times New Roman" w:hAnsi="Times New Roman" w:eastAsia="宋体" w:cs="Times New Roman"/>
                <w:color w:val="auto"/>
                <w:sz w:val="24"/>
                <w:highlight w:val="none"/>
              </w:rPr>
              <w:t>；Q值取2。</w:t>
            </w:r>
          </w:p>
          <w:p w14:paraId="3A6C4F66">
            <w:pPr>
              <w:keepNext w:val="0"/>
              <w:keepLines w:val="0"/>
              <w:suppressLineNumbers w:val="0"/>
              <w:spacing w:before="0" w:beforeAutospacing="0" w:after="0" w:afterAutospacing="0" w:line="360" w:lineRule="auto"/>
              <w:ind w:left="0" w:right="0"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按照《环境影响评价技术导则 声环境》（HJ2.4-20</w:t>
            </w:r>
            <w:r>
              <w:rPr>
                <w:rFonts w:hint="eastAsia" w:ascii="Times New Roman" w:hAnsi="Times New Roman" w:eastAsia="宋体" w:cs="Times New Roman"/>
                <w:color w:val="auto"/>
                <w:sz w:val="24"/>
                <w:highlight w:val="none"/>
                <w:lang w:val="en-US" w:eastAsia="zh-CN"/>
              </w:rPr>
              <w:t>21</w:t>
            </w:r>
            <w:r>
              <w:rPr>
                <w:rFonts w:ascii="Times New Roman" w:hAnsi="Times New Roman" w:eastAsia="宋体" w:cs="Times New Roman"/>
                <w:color w:val="auto"/>
                <w:sz w:val="24"/>
                <w:highlight w:val="none"/>
              </w:rPr>
              <w:t>）中规定的点源模式进行预测，预测按所有设备均运行。为了简化计算，本报告不按照倍频带声压级分别进行详细的计算，只是简化为按照A声级进行预测。预测方法如下：</w:t>
            </w:r>
          </w:p>
          <w:p w14:paraId="035CA452">
            <w:pPr>
              <w:keepNext w:val="0"/>
              <w:keepLines w:val="0"/>
              <w:suppressLineNumbers w:val="0"/>
              <w:spacing w:before="0" w:beforeAutospacing="0" w:after="0" w:afterAutospacing="0" w:line="360" w:lineRule="auto"/>
              <w:ind w:left="0" w:right="0"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（1）室内声源等效室外声源的计算方法：</w:t>
            </w:r>
          </w:p>
          <w:p w14:paraId="3BCA8B70">
            <w:pPr>
              <w:keepNext w:val="0"/>
              <w:keepLines w:val="0"/>
              <w:suppressLineNumbers w:val="0"/>
              <w:spacing w:before="0" w:beforeAutospacing="0" w:after="0" w:afterAutospacing="0"/>
              <w:ind w:left="0" w:right="0" w:firstLine="1399" w:firstLineChars="583"/>
              <w:rPr>
                <w:rFonts w:ascii="Times New Roman" w:hAnsi="Times New Roman" w:eastAsia="宋体" w:cs="Times New Roman"/>
                <w:color w:val="auto"/>
                <w:sz w:val="24"/>
                <w:highlight w:val="none"/>
              </w:rPr>
            </w:pPr>
            <w:r>
              <w:rPr>
                <w:rFonts w:ascii="Times New Roman" w:hAnsi="Times New Roman" w:eastAsia="宋体" w:cs="Times New Roman"/>
                <w:color w:val="auto"/>
                <w:position w:val="-24"/>
                <w:sz w:val="24"/>
                <w:highlight w:val="none"/>
              </w:rPr>
              <w:object>
                <v:shape id="_x0000_i1025" o:spt="75" type="#_x0000_t75" style="height:31pt;width:204pt;" o:ole="t" filled="f" o:preferrelative="t" stroked="f" coordsize="21600,21600">
                  <v:path/>
                  <v:fill on="f" focussize="0,0"/>
                  <v:stroke on="f"/>
                  <v:imagedata r:id="rId13" o:title=""/>
                  <o:lock v:ext="edit" aspectratio="t"/>
                  <w10:wrap type="none"/>
                  <w10:anchorlock/>
                </v:shape>
                <o:OLEObject Type="Embed" ProgID="Equation.3" ShapeID="_x0000_i1025" DrawAspect="Content" ObjectID="_1468075725" r:id="rId12">
                  <o:LockedField>false</o:LockedField>
                </o:OLEObject>
              </w:object>
            </w:r>
          </w:p>
          <w:p w14:paraId="356DABAF">
            <w:pPr>
              <w:keepNext w:val="0"/>
              <w:keepLines w:val="0"/>
              <w:suppressLineNumbers w:val="0"/>
              <w:spacing w:before="0" w:beforeAutospacing="0" w:after="0" w:afterAutospacing="0" w:line="360" w:lineRule="auto"/>
              <w:ind w:left="0" w:right="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式中：L</w:t>
            </w:r>
            <w:r>
              <w:rPr>
                <w:rFonts w:ascii="Times New Roman" w:hAnsi="Times New Roman" w:eastAsia="宋体" w:cs="Times New Roman"/>
                <w:color w:val="auto"/>
                <w:sz w:val="24"/>
                <w:highlight w:val="none"/>
                <w:vertAlign w:val="subscript"/>
              </w:rPr>
              <w:t>pi</w:t>
            </w:r>
            <w:r>
              <w:rPr>
                <w:rFonts w:ascii="Times New Roman" w:hAnsi="Times New Roman" w:eastAsia="宋体" w:cs="Times New Roman"/>
                <w:color w:val="auto"/>
                <w:sz w:val="24"/>
                <w:highlight w:val="none"/>
              </w:rPr>
              <w:t xml:space="preserve"> — 某个室内声源在靠近围护结构处的声压级，dB；</w:t>
            </w:r>
          </w:p>
          <w:p w14:paraId="46F89A2B">
            <w:pPr>
              <w:keepNext w:val="0"/>
              <w:keepLines w:val="0"/>
              <w:suppressLineNumbers w:val="0"/>
              <w:spacing w:before="0" w:beforeAutospacing="0" w:after="0" w:afterAutospacing="0" w:line="360" w:lineRule="auto"/>
              <w:ind w:left="0" w:right="0" w:firstLine="720" w:firstLineChars="3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L</w:t>
            </w:r>
            <w:r>
              <w:rPr>
                <w:rFonts w:ascii="Times New Roman" w:hAnsi="Times New Roman" w:eastAsia="宋体" w:cs="Times New Roman"/>
                <w:color w:val="auto"/>
                <w:sz w:val="24"/>
                <w:highlight w:val="none"/>
                <w:vertAlign w:val="subscript"/>
              </w:rPr>
              <w:t>w</w:t>
            </w:r>
            <w:r>
              <w:rPr>
                <w:rFonts w:ascii="Times New Roman" w:hAnsi="Times New Roman" w:eastAsia="宋体" w:cs="Times New Roman"/>
                <w:color w:val="auto"/>
                <w:sz w:val="24"/>
                <w:highlight w:val="none"/>
              </w:rPr>
              <w:t xml:space="preserve"> — 某个声源的声功率级，dB；</w:t>
            </w:r>
          </w:p>
          <w:p w14:paraId="2E910C85">
            <w:pPr>
              <w:keepNext w:val="0"/>
              <w:keepLines w:val="0"/>
              <w:suppressLineNumbers w:val="0"/>
              <w:spacing w:before="0" w:beforeAutospacing="0" w:after="0" w:afterAutospacing="0" w:line="360" w:lineRule="auto"/>
              <w:ind w:left="0" w:right="0" w:firstLine="720" w:firstLineChars="3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r  — 室内某个声源与靠近围护结构处的距离，m；本项目部分噪声源为室外噪声源，本环评要求修建全封闭的噪声设备间，各噪声源距设备间围护结构的距离按1m考虑。</w:t>
            </w:r>
          </w:p>
          <w:p w14:paraId="65D3B45C">
            <w:pPr>
              <w:keepNext w:val="0"/>
              <w:keepLines w:val="0"/>
              <w:suppressLineNumbers w:val="0"/>
              <w:spacing w:before="0" w:beforeAutospacing="0" w:after="0" w:afterAutospacing="0" w:line="360" w:lineRule="auto"/>
              <w:ind w:left="0" w:right="0" w:firstLine="720" w:firstLineChars="3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Q — 方向性因子；通常对无指向性声源，当声源放在房间中心时，Q=1；当放在一面墙的中心时，Q=2；当放在两面墙夹角处时，Q=4；当放在三面墙夹角处时，Q=8；</w:t>
            </w:r>
          </w:p>
          <w:p w14:paraId="5499C8C9">
            <w:pPr>
              <w:keepNext w:val="0"/>
              <w:keepLines w:val="0"/>
              <w:suppressLineNumbers w:val="0"/>
              <w:spacing w:before="0" w:beforeAutospacing="0" w:after="0" w:afterAutospacing="0" w:line="360" w:lineRule="auto"/>
              <w:ind w:left="0" w:right="0" w:firstLine="720" w:firstLineChars="3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R  — 房间常数，按下式计算：</w:t>
            </w:r>
          </w:p>
          <w:p w14:paraId="59F5B65E">
            <w:pPr>
              <w:keepNext w:val="0"/>
              <w:keepLines w:val="0"/>
              <w:suppressLineNumbers w:val="0"/>
              <w:spacing w:before="0" w:beforeAutospacing="0" w:after="0" w:afterAutospacing="0" w:line="360" w:lineRule="auto"/>
              <w:ind w:left="0" w:right="0" w:firstLine="1399" w:firstLineChars="583"/>
              <w:rPr>
                <w:rFonts w:ascii="Times New Roman" w:hAnsi="Times New Roman" w:eastAsia="宋体" w:cs="Times New Roman"/>
                <w:color w:val="auto"/>
                <w:sz w:val="24"/>
                <w:highlight w:val="none"/>
              </w:rPr>
            </w:pPr>
            <w:r>
              <w:rPr>
                <w:rFonts w:ascii="Times New Roman" w:hAnsi="Times New Roman" w:eastAsia="宋体" w:cs="Times New Roman"/>
                <w:color w:val="auto"/>
                <w:position w:val="-26"/>
                <w:sz w:val="24"/>
                <w:highlight w:val="none"/>
              </w:rPr>
              <w:object>
                <v:shape id="_x0000_i1026" o:spt="75" type="#_x0000_t75" style="height:35pt;width:54pt;" o:ole="t" filled="f" o:preferrelative="t" stroked="f" coordsize="21600,21600">
                  <v:path/>
                  <v:fill on="f" focussize="0,0"/>
                  <v:stroke on="f"/>
                  <v:imagedata r:id="rId15" o:title=""/>
                  <o:lock v:ext="edit" aspectratio="t"/>
                  <w10:wrap type="none"/>
                  <w10:anchorlock/>
                </v:shape>
                <o:OLEObject Type="Embed" ProgID="Equation.3" ShapeID="_x0000_i1026" DrawAspect="Content" ObjectID="_1468075726" r:id="rId14">
                  <o:LockedField>false</o:LockedField>
                </o:OLEObject>
              </w:object>
            </w:r>
            <w:r>
              <w:rPr>
                <w:rFonts w:ascii="Times New Roman" w:hAnsi="Times New Roman" w:eastAsia="宋体" w:cs="Times New Roman"/>
                <w:color w:val="auto"/>
                <w:sz w:val="24"/>
                <w:highlight w:val="none"/>
              </w:rPr>
              <w:t xml:space="preserve">        </w:t>
            </w:r>
          </w:p>
          <w:p w14:paraId="189EA704">
            <w:pPr>
              <w:keepNext w:val="0"/>
              <w:keepLines w:val="0"/>
              <w:suppressLineNumbers w:val="0"/>
              <w:spacing w:before="0" w:beforeAutospacing="0" w:after="0" w:afterAutospacing="0"/>
              <w:ind w:left="0" w:right="0" w:firstLine="1399" w:firstLineChars="583"/>
              <w:rPr>
                <w:rFonts w:ascii="Times New Roman" w:hAnsi="Times New Roman" w:eastAsia="宋体" w:cs="Times New Roman"/>
                <w:color w:val="auto"/>
                <w:sz w:val="24"/>
                <w:highlight w:val="none"/>
              </w:rPr>
            </w:pPr>
            <w:r>
              <w:rPr>
                <w:rFonts w:ascii="Times New Roman" w:hAnsi="Times New Roman" w:eastAsia="宋体" w:cs="Times New Roman"/>
                <w:color w:val="auto"/>
                <w:position w:val="-14"/>
                <w:sz w:val="24"/>
                <w:highlight w:val="none"/>
              </w:rPr>
              <w:object>
                <v:shape id="_x0000_i1027" o:spt="75" type="#_x0000_t75" style="height:25pt;width:62.4pt;" o:ole="t" filled="f" o:preferrelative="t" stroked="f" coordsize="21600,21600">
                  <v:path/>
                  <v:fill on="f" focussize="0,0"/>
                  <v:stroke on="f"/>
                  <v:imagedata r:id="rId17" o:title=""/>
                  <o:lock v:ext="edit" aspectratio="t"/>
                  <w10:wrap type="none"/>
                  <w10:anchorlock/>
                </v:shape>
                <o:OLEObject Type="Embed" ProgID="Equation.3" ShapeID="_x0000_i1027" DrawAspect="Content" ObjectID="_1468075727" r:id="rId16">
                  <o:LockedField>false</o:LockedField>
                </o:OLEObject>
              </w:object>
            </w:r>
            <w:r>
              <w:rPr>
                <w:rFonts w:ascii="Times New Roman" w:hAnsi="Times New Roman" w:eastAsia="宋体" w:cs="Times New Roman"/>
                <w:color w:val="auto"/>
                <w:position w:val="-10"/>
                <w:sz w:val="24"/>
                <w:highlight w:val="none"/>
              </w:rPr>
              <w:object>
                <v:shape id="_x0000_i1028" o:spt="75" type="#_x0000_t75" style="height:17pt;width:9pt;" o:ole="t" filled="f" o:preferrelative="t" stroked="f" coordsize="21600,21600">
                  <v:path/>
                  <v:fill on="f" focussize="0,0"/>
                  <v:stroke on="f"/>
                  <v:imagedata r:id="rId19" o:title=""/>
                  <o:lock v:ext="edit" aspectratio="t"/>
                  <w10:wrap type="none"/>
                  <w10:anchorlock/>
                </v:shape>
                <o:OLEObject Type="Embed" ProgID="Equation.3" ShapeID="_x0000_i1028" DrawAspect="Content" ObjectID="_1468075728" r:id="rId18">
                  <o:LockedField>false</o:LockedField>
                </o:OLEObject>
              </w:object>
            </w:r>
            <w:r>
              <w:rPr>
                <w:rFonts w:ascii="Times New Roman" w:hAnsi="Times New Roman" w:eastAsia="宋体" w:cs="Times New Roman"/>
                <w:color w:val="auto"/>
                <w:sz w:val="24"/>
                <w:highlight w:val="none"/>
              </w:rPr>
              <w:t xml:space="preserve">   </w:t>
            </w:r>
          </w:p>
          <w:p w14:paraId="47F6BCA3">
            <w:pPr>
              <w:keepNext w:val="0"/>
              <w:keepLines w:val="0"/>
              <w:suppressLineNumbers w:val="0"/>
              <w:spacing w:before="0" w:beforeAutospacing="0" w:after="0" w:afterAutospacing="0" w:line="360" w:lineRule="auto"/>
              <w:ind w:left="0" w:right="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式中：S — 房间的总表面积，m</w:t>
            </w:r>
            <w:r>
              <w:rPr>
                <w:rFonts w:ascii="Times New Roman" w:hAnsi="Times New Roman" w:eastAsia="宋体" w:cs="Times New Roman"/>
                <w:color w:val="auto"/>
                <w:sz w:val="24"/>
                <w:highlight w:val="none"/>
                <w:vertAlign w:val="superscript"/>
              </w:rPr>
              <w:t>2</w:t>
            </w:r>
            <w:r>
              <w:rPr>
                <w:rFonts w:ascii="Times New Roman" w:hAnsi="Times New Roman" w:eastAsia="宋体" w:cs="Times New Roman"/>
                <w:color w:val="auto"/>
                <w:sz w:val="24"/>
                <w:highlight w:val="none"/>
              </w:rPr>
              <w:t>。</w:t>
            </w:r>
          </w:p>
          <w:p w14:paraId="34831FDB">
            <w:pPr>
              <w:keepNext w:val="0"/>
              <w:keepLines w:val="0"/>
              <w:suppressLineNumbers w:val="0"/>
              <w:spacing w:before="0" w:beforeAutospacing="0" w:after="0" w:afterAutospacing="0" w:line="360" w:lineRule="auto"/>
              <w:ind w:left="0" w:right="0" w:firstLine="720" w:firstLineChars="3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α— 平均吸声系数，取0.08。</w:t>
            </w:r>
          </w:p>
          <w:p w14:paraId="4784DD11">
            <w:pPr>
              <w:keepNext w:val="0"/>
              <w:keepLines w:val="0"/>
              <w:widowControl/>
              <w:suppressLineNumbers w:val="0"/>
              <w:spacing w:before="0" w:beforeAutospacing="0" w:after="0" w:afterAutospacing="0" w:line="360" w:lineRule="auto"/>
              <w:ind w:left="0" w:right="0" w:firstLine="480" w:firstLineChars="200"/>
              <w:jc w:val="left"/>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（2）室内所有声源在靠近围护结构处的合成声压级（L</w:t>
            </w:r>
            <w:r>
              <w:rPr>
                <w:rFonts w:ascii="Times New Roman" w:hAnsi="Times New Roman" w:eastAsia="宋体" w:cs="Times New Roman"/>
                <w:color w:val="auto"/>
                <w:sz w:val="24"/>
                <w:highlight w:val="none"/>
                <w:vertAlign w:val="subscript"/>
              </w:rPr>
              <w:t>1</w:t>
            </w:r>
            <w:r>
              <w:rPr>
                <w:rFonts w:ascii="Times New Roman" w:hAnsi="Times New Roman" w:eastAsia="宋体" w:cs="Times New Roman"/>
                <w:color w:val="auto"/>
                <w:sz w:val="24"/>
                <w:highlight w:val="none"/>
              </w:rPr>
              <w:t>）</w:t>
            </w:r>
          </w:p>
          <w:p w14:paraId="5AF82AD1">
            <w:pPr>
              <w:keepNext w:val="0"/>
              <w:keepLines w:val="0"/>
              <w:suppressLineNumbers w:val="0"/>
              <w:spacing w:before="0" w:beforeAutospacing="0" w:after="0" w:afterAutospacing="0"/>
              <w:ind w:left="0" w:right="0" w:firstLine="1399" w:firstLineChars="583"/>
              <w:rPr>
                <w:rFonts w:ascii="Times New Roman" w:hAnsi="Times New Roman" w:eastAsia="宋体" w:cs="Times New Roman"/>
                <w:color w:val="auto"/>
                <w:sz w:val="24"/>
                <w:highlight w:val="none"/>
              </w:rPr>
            </w:pPr>
            <w:r>
              <w:rPr>
                <w:rFonts w:ascii="Times New Roman" w:hAnsi="Times New Roman" w:eastAsia="宋体" w:cs="Times New Roman"/>
                <w:color w:val="auto"/>
                <w:position w:val="-28"/>
                <w:sz w:val="24"/>
                <w:highlight w:val="none"/>
              </w:rPr>
              <w:object>
                <v:shape id="_x0000_i1029" o:spt="75" type="#_x0000_t75" style="height:38.95pt;width:143.05pt;" o:ole="t" filled="f" o:preferrelative="t" stroked="f" coordsize="21600,21600">
                  <v:path/>
                  <v:fill on="f" focussize="0,0"/>
                  <v:stroke on="f"/>
                  <v:imagedata r:id="rId21" o:title=""/>
                  <o:lock v:ext="edit" aspectratio="t"/>
                  <w10:wrap type="none"/>
                  <w10:anchorlock/>
                </v:shape>
                <o:OLEObject Type="Embed" ProgID="Equation.3" ShapeID="_x0000_i1029" DrawAspect="Content" ObjectID="_1468075729" r:id="rId20">
                  <o:LockedField>false</o:LockedField>
                </o:OLEObject>
              </w:object>
            </w:r>
          </w:p>
          <w:p w14:paraId="1F2AB456">
            <w:pPr>
              <w:keepNext w:val="0"/>
              <w:keepLines w:val="0"/>
              <w:widowControl/>
              <w:suppressLineNumbers w:val="0"/>
              <w:spacing w:before="0" w:beforeAutospacing="0" w:after="0" w:afterAutospacing="0" w:line="360" w:lineRule="auto"/>
              <w:ind w:left="0" w:right="0" w:firstLine="480" w:firstLineChars="200"/>
              <w:jc w:val="left"/>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（3）外靠近围护结构处的声压级（L</w:t>
            </w:r>
            <w:r>
              <w:rPr>
                <w:rFonts w:ascii="Times New Roman" w:hAnsi="Times New Roman" w:eastAsia="宋体" w:cs="Times New Roman"/>
                <w:color w:val="auto"/>
                <w:sz w:val="24"/>
                <w:highlight w:val="none"/>
                <w:vertAlign w:val="subscript"/>
              </w:rPr>
              <w:t>2</w:t>
            </w:r>
            <w:r>
              <w:rPr>
                <w:rFonts w:ascii="Times New Roman" w:hAnsi="Times New Roman" w:eastAsia="宋体" w:cs="Times New Roman"/>
                <w:color w:val="auto"/>
                <w:sz w:val="24"/>
                <w:highlight w:val="none"/>
              </w:rPr>
              <w:t>）</w:t>
            </w:r>
          </w:p>
          <w:p w14:paraId="0E8EF84A">
            <w:pPr>
              <w:keepNext w:val="0"/>
              <w:keepLines w:val="0"/>
              <w:suppressLineNumbers w:val="0"/>
              <w:spacing w:before="0" w:beforeAutospacing="0" w:after="0" w:afterAutospacing="0" w:line="360" w:lineRule="auto"/>
              <w:ind w:left="0" w:right="0" w:firstLine="1399" w:firstLineChars="583"/>
              <w:rPr>
                <w:rFonts w:ascii="Times New Roman" w:hAnsi="Times New Roman" w:eastAsia="宋体" w:cs="Times New Roman"/>
                <w:color w:val="auto"/>
                <w:sz w:val="24"/>
                <w:highlight w:val="none"/>
              </w:rPr>
            </w:pPr>
            <w:r>
              <w:rPr>
                <w:rFonts w:ascii="Times New Roman" w:hAnsi="Times New Roman" w:eastAsia="宋体" w:cs="Times New Roman"/>
                <w:i/>
                <w:iCs/>
                <w:color w:val="auto"/>
                <w:sz w:val="24"/>
                <w:highlight w:val="none"/>
              </w:rPr>
              <w:t>L</w:t>
            </w:r>
            <w:r>
              <w:rPr>
                <w:rFonts w:ascii="Times New Roman" w:hAnsi="Times New Roman" w:eastAsia="宋体" w:cs="Times New Roman"/>
                <w:i/>
                <w:iCs/>
                <w:color w:val="auto"/>
                <w:sz w:val="24"/>
                <w:highlight w:val="none"/>
                <w:vertAlign w:val="subscript"/>
              </w:rPr>
              <w:t>2</w:t>
            </w:r>
            <w:r>
              <w:rPr>
                <w:rFonts w:ascii="Times New Roman" w:hAnsi="Times New Roman" w:eastAsia="宋体" w:cs="Times New Roman"/>
                <w:i/>
                <w:iCs/>
                <w:color w:val="auto"/>
                <w:sz w:val="24"/>
                <w:highlight w:val="none"/>
              </w:rPr>
              <w:t xml:space="preserve"> = L</w:t>
            </w:r>
            <w:r>
              <w:rPr>
                <w:rFonts w:ascii="Times New Roman" w:hAnsi="Times New Roman" w:eastAsia="宋体" w:cs="Times New Roman"/>
                <w:i/>
                <w:iCs/>
                <w:color w:val="auto"/>
                <w:sz w:val="24"/>
                <w:highlight w:val="none"/>
                <w:vertAlign w:val="subscript"/>
              </w:rPr>
              <w:t>1</w:t>
            </w:r>
            <w:r>
              <w:rPr>
                <w:rFonts w:ascii="Times New Roman" w:hAnsi="Times New Roman" w:eastAsia="宋体" w:cs="Times New Roman"/>
                <w:i/>
                <w:iCs/>
                <w:color w:val="auto"/>
                <w:sz w:val="24"/>
                <w:highlight w:val="none"/>
              </w:rPr>
              <w:t xml:space="preserve"> -</w:t>
            </w:r>
            <w:r>
              <w:rPr>
                <w:rFonts w:ascii="Times New Roman" w:hAnsi="Times New Roman" w:eastAsia="宋体" w:cs="Times New Roman"/>
                <w:color w:val="auto"/>
                <w:sz w:val="24"/>
                <w:highlight w:val="none"/>
              </w:rPr>
              <w:t>（</w:t>
            </w:r>
            <w:r>
              <w:rPr>
                <w:rFonts w:ascii="Times New Roman" w:hAnsi="Times New Roman" w:eastAsia="宋体" w:cs="Times New Roman"/>
                <w:i/>
                <w:iCs/>
                <w:color w:val="auto"/>
                <w:sz w:val="24"/>
                <w:highlight w:val="none"/>
              </w:rPr>
              <w:t>TL+6</w:t>
            </w:r>
            <w:r>
              <w:rPr>
                <w:rFonts w:ascii="Times New Roman" w:hAnsi="Times New Roman" w:eastAsia="宋体" w:cs="Times New Roman"/>
                <w:color w:val="auto"/>
                <w:sz w:val="24"/>
                <w:highlight w:val="none"/>
              </w:rPr>
              <w:t>）</w:t>
            </w:r>
          </w:p>
          <w:p w14:paraId="142DA4E4">
            <w:pPr>
              <w:keepNext w:val="0"/>
              <w:keepLines w:val="0"/>
              <w:suppressLineNumbers w:val="0"/>
              <w:spacing w:before="0" w:beforeAutospacing="0" w:after="0" w:afterAutospacing="0" w:line="360" w:lineRule="auto"/>
              <w:ind w:left="0" w:right="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式中：TL — 隔墙的传输损失，按下式计算：</w:t>
            </w:r>
          </w:p>
          <w:p w14:paraId="59200B82">
            <w:pPr>
              <w:keepNext w:val="0"/>
              <w:keepLines w:val="0"/>
              <w:suppressLineNumbers w:val="0"/>
              <w:spacing w:before="0" w:beforeAutospacing="0" w:after="0" w:afterAutospacing="0" w:line="360" w:lineRule="auto"/>
              <w:ind w:left="0" w:right="0" w:firstLine="1399" w:firstLineChars="583"/>
              <w:rPr>
                <w:rFonts w:ascii="Times New Roman" w:hAnsi="Times New Roman" w:eastAsia="宋体" w:cs="Times New Roman"/>
                <w:color w:val="auto"/>
                <w:sz w:val="24"/>
                <w:highlight w:val="none"/>
              </w:rPr>
            </w:pPr>
            <w:r>
              <w:rPr>
                <w:rFonts w:ascii="Times New Roman" w:hAnsi="Times New Roman" w:eastAsia="宋体" w:cs="Times New Roman"/>
                <w:color w:val="auto"/>
                <w:position w:val="-32"/>
                <w:sz w:val="24"/>
                <w:highlight w:val="none"/>
              </w:rPr>
              <w:object>
                <v:shape id="_x0000_i1030" o:spt="75" type="#_x0000_t75" style="height:40.5pt;width:122.5pt;" o:ole="t" filled="f" o:preferrelative="t" stroked="f" coordsize="21600,21600">
                  <v:path/>
                  <v:fill on="f" focussize="0,0"/>
                  <v:stroke on="f"/>
                  <v:imagedata r:id="rId23" o:title=""/>
                  <o:lock v:ext="edit" aspectratio="t"/>
                  <w10:wrap type="none"/>
                  <w10:anchorlock/>
                </v:shape>
                <o:OLEObject Type="Embed" ProgID="Equation.3" ShapeID="_x0000_i1030" DrawAspect="Content" ObjectID="_1468075730" r:id="rId22">
                  <o:LockedField>false</o:LockedField>
                </o:OLEObject>
              </w:object>
            </w:r>
          </w:p>
          <w:p w14:paraId="5C026D35">
            <w:pPr>
              <w:keepNext w:val="0"/>
              <w:keepLines w:val="0"/>
              <w:suppressLineNumbers w:val="0"/>
              <w:spacing w:before="0" w:beforeAutospacing="0" w:after="0" w:afterAutospacing="0" w:line="360" w:lineRule="auto"/>
              <w:ind w:left="0" w:right="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式中：S</w:t>
            </w:r>
            <w:r>
              <w:rPr>
                <w:rFonts w:ascii="Times New Roman" w:hAnsi="Times New Roman" w:eastAsia="宋体" w:cs="Times New Roman"/>
                <w:color w:val="auto"/>
                <w:sz w:val="24"/>
                <w:highlight w:val="none"/>
                <w:vertAlign w:val="subscript"/>
              </w:rPr>
              <w:t>k</w:t>
            </w:r>
            <w:r>
              <w:rPr>
                <w:rFonts w:ascii="Times New Roman" w:hAnsi="Times New Roman" w:eastAsia="宋体" w:cs="Times New Roman"/>
                <w:color w:val="auto"/>
                <w:sz w:val="24"/>
                <w:highlight w:val="none"/>
              </w:rPr>
              <w:t xml:space="preserve"> — 传声的围护结构面积，m</w:t>
            </w:r>
            <w:r>
              <w:rPr>
                <w:rFonts w:ascii="Times New Roman" w:hAnsi="Times New Roman" w:eastAsia="宋体" w:cs="Times New Roman"/>
                <w:color w:val="auto"/>
                <w:sz w:val="24"/>
                <w:highlight w:val="none"/>
                <w:vertAlign w:val="superscript"/>
              </w:rPr>
              <w:t>2</w:t>
            </w:r>
            <w:r>
              <w:rPr>
                <w:rFonts w:ascii="Times New Roman" w:hAnsi="Times New Roman" w:eastAsia="宋体" w:cs="Times New Roman"/>
                <w:color w:val="auto"/>
                <w:sz w:val="24"/>
                <w:highlight w:val="none"/>
              </w:rPr>
              <w:t>；</w:t>
            </w:r>
          </w:p>
          <w:p w14:paraId="53E574D8">
            <w:pPr>
              <w:keepNext w:val="0"/>
              <w:keepLines w:val="0"/>
              <w:suppressLineNumbers w:val="0"/>
              <w:spacing w:before="0" w:beforeAutospacing="0" w:after="0" w:afterAutospacing="0" w:line="360" w:lineRule="auto"/>
              <w:ind w:left="0" w:right="0" w:firstLine="559" w:firstLineChars="233"/>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 xml:space="preserve"> τ</w:t>
            </w:r>
            <w:r>
              <w:rPr>
                <w:rFonts w:ascii="Times New Roman" w:hAnsi="Times New Roman" w:eastAsia="宋体" w:cs="Times New Roman"/>
                <w:color w:val="auto"/>
                <w:sz w:val="24"/>
                <w:highlight w:val="none"/>
                <w:vertAlign w:val="subscript"/>
              </w:rPr>
              <w:t xml:space="preserve">k </w:t>
            </w:r>
            <w:r>
              <w:rPr>
                <w:rFonts w:ascii="Times New Roman" w:hAnsi="Times New Roman" w:eastAsia="宋体" w:cs="Times New Roman"/>
                <w:color w:val="auto"/>
                <w:sz w:val="24"/>
                <w:highlight w:val="none"/>
              </w:rPr>
              <w:t>— 围护结构的透声系数</w:t>
            </w:r>
          </w:p>
          <w:p w14:paraId="6DBFC790">
            <w:pPr>
              <w:keepNext w:val="0"/>
              <w:keepLines w:val="0"/>
              <w:suppressLineNumbers w:val="0"/>
              <w:spacing w:before="0" w:beforeAutospacing="0" w:after="0" w:afterAutospacing="0" w:line="360" w:lineRule="auto"/>
              <w:ind w:left="0" w:right="0"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（4）将室外声级L</w:t>
            </w:r>
            <w:r>
              <w:rPr>
                <w:rFonts w:ascii="Times New Roman" w:hAnsi="Times New Roman" w:eastAsia="宋体" w:cs="Times New Roman"/>
                <w:color w:val="auto"/>
                <w:sz w:val="24"/>
                <w:highlight w:val="none"/>
                <w:vertAlign w:val="subscript"/>
              </w:rPr>
              <w:t>2</w:t>
            </w:r>
            <w:r>
              <w:rPr>
                <w:rFonts w:ascii="Times New Roman" w:hAnsi="Times New Roman" w:eastAsia="宋体" w:cs="Times New Roman"/>
                <w:color w:val="auto"/>
                <w:sz w:val="24"/>
                <w:highlight w:val="none"/>
              </w:rPr>
              <w:t>和透声面积换算成等效的室外声源，公式如下：</w:t>
            </w:r>
          </w:p>
          <w:p w14:paraId="38497383">
            <w:pPr>
              <w:keepNext w:val="0"/>
              <w:keepLines w:val="0"/>
              <w:suppressLineNumbers w:val="0"/>
              <w:spacing w:before="0" w:beforeAutospacing="0" w:after="0" w:afterAutospacing="0" w:line="360" w:lineRule="auto"/>
              <w:ind w:left="0" w:right="0" w:firstLine="1399" w:firstLineChars="583"/>
              <w:rPr>
                <w:rFonts w:ascii="Times New Roman" w:hAnsi="Times New Roman" w:eastAsia="宋体" w:cs="Times New Roman"/>
                <w:color w:val="auto"/>
                <w:sz w:val="24"/>
                <w:highlight w:val="none"/>
              </w:rPr>
            </w:pPr>
            <w:r>
              <w:rPr>
                <w:rFonts w:ascii="Times New Roman" w:hAnsi="Times New Roman" w:eastAsia="宋体" w:cs="Times New Roman"/>
                <w:i/>
                <w:iCs/>
                <w:color w:val="auto"/>
                <w:sz w:val="24"/>
                <w:highlight w:val="none"/>
              </w:rPr>
              <w:t>L</w:t>
            </w:r>
            <w:r>
              <w:rPr>
                <w:rFonts w:ascii="Times New Roman" w:hAnsi="Times New Roman" w:eastAsia="宋体" w:cs="Times New Roman"/>
                <w:i/>
                <w:iCs/>
                <w:color w:val="auto"/>
                <w:sz w:val="24"/>
                <w:highlight w:val="none"/>
                <w:vertAlign w:val="subscript"/>
              </w:rPr>
              <w:t xml:space="preserve">w2 </w:t>
            </w:r>
            <w:r>
              <w:rPr>
                <w:rFonts w:ascii="Times New Roman" w:hAnsi="Times New Roman" w:eastAsia="宋体" w:cs="Times New Roman"/>
                <w:color w:val="auto"/>
                <w:sz w:val="24"/>
                <w:highlight w:val="none"/>
              </w:rPr>
              <w:t>=</w:t>
            </w:r>
            <w:r>
              <w:rPr>
                <w:rFonts w:ascii="Times New Roman" w:hAnsi="Times New Roman" w:eastAsia="宋体" w:cs="Times New Roman"/>
                <w:i/>
                <w:iCs/>
                <w:color w:val="auto"/>
                <w:sz w:val="24"/>
                <w:highlight w:val="none"/>
              </w:rPr>
              <w:t xml:space="preserve"> L</w:t>
            </w:r>
            <w:r>
              <w:rPr>
                <w:rFonts w:ascii="Times New Roman" w:hAnsi="Times New Roman" w:eastAsia="宋体" w:cs="Times New Roman"/>
                <w:i/>
                <w:iCs/>
                <w:color w:val="auto"/>
                <w:sz w:val="24"/>
                <w:highlight w:val="none"/>
                <w:vertAlign w:val="subscript"/>
              </w:rPr>
              <w:t>2</w:t>
            </w:r>
            <w:r>
              <w:rPr>
                <w:rFonts w:ascii="Times New Roman" w:hAnsi="Times New Roman" w:eastAsia="宋体" w:cs="Times New Roman"/>
                <w:i/>
                <w:iCs/>
                <w:color w:val="auto"/>
                <w:sz w:val="24"/>
                <w:highlight w:val="none"/>
              </w:rPr>
              <w:t xml:space="preserve"> + </w:t>
            </w:r>
            <w:r>
              <w:rPr>
                <w:rFonts w:ascii="Times New Roman" w:hAnsi="Times New Roman" w:eastAsia="宋体" w:cs="Times New Roman"/>
                <w:color w:val="auto"/>
                <w:sz w:val="24"/>
                <w:highlight w:val="none"/>
              </w:rPr>
              <w:t>10</w:t>
            </w:r>
            <w:r>
              <w:rPr>
                <w:rFonts w:ascii="Times New Roman" w:hAnsi="Times New Roman" w:eastAsia="宋体" w:cs="Times New Roman"/>
                <w:i/>
                <w:iCs/>
                <w:color w:val="auto"/>
                <w:sz w:val="24"/>
                <w:highlight w:val="none"/>
              </w:rPr>
              <w:t xml:space="preserve">logS </w:t>
            </w:r>
          </w:p>
          <w:p w14:paraId="62E53F52">
            <w:pPr>
              <w:keepNext w:val="0"/>
              <w:keepLines w:val="0"/>
              <w:suppressLineNumbers w:val="0"/>
              <w:spacing w:before="0" w:beforeAutospacing="0" w:after="0" w:afterAutospacing="0" w:line="360" w:lineRule="auto"/>
              <w:ind w:left="0" w:right="0" w:firstLine="480" w:firstLineChars="200"/>
              <w:rPr>
                <w:rFonts w:ascii="Calibri" w:hAnsi="Calibri" w:eastAsia="宋体" w:cs="Times New Roman"/>
                <w:color w:val="auto"/>
                <w:sz w:val="24"/>
                <w:highlight w:val="none"/>
                <w:shd w:val="clear" w:color="auto" w:fill="auto"/>
              </w:rPr>
            </w:pPr>
            <w:r>
              <w:rPr>
                <w:rFonts w:ascii="Calibri" w:hAnsi="Calibri" w:eastAsia="宋体" w:cs="Times New Roman"/>
                <w:color w:val="auto"/>
                <w:sz w:val="24"/>
                <w:highlight w:val="none"/>
                <w:shd w:val="clear" w:color="auto" w:fill="auto"/>
              </w:rPr>
              <w:t>经预测计算,项目营运期设备噪声对各厂界的影响情况见表</w:t>
            </w:r>
            <w:r>
              <w:rPr>
                <w:rFonts w:hint="eastAsia" w:ascii="Calibri" w:hAnsi="Calibri" w:cs="Times New Roman"/>
                <w:color w:val="auto"/>
                <w:sz w:val="24"/>
                <w:highlight w:val="none"/>
                <w:shd w:val="clear" w:color="auto" w:fill="auto"/>
                <w:lang w:val="en-US" w:eastAsia="zh-CN"/>
              </w:rPr>
              <w:t>4-14</w:t>
            </w:r>
            <w:r>
              <w:rPr>
                <w:rFonts w:ascii="Calibri" w:hAnsi="Calibri" w:eastAsia="宋体" w:cs="Times New Roman"/>
                <w:color w:val="auto"/>
                <w:sz w:val="24"/>
                <w:highlight w:val="none"/>
                <w:shd w:val="clear" w:color="auto" w:fill="auto"/>
              </w:rPr>
              <w:t>。</w:t>
            </w:r>
          </w:p>
          <w:p w14:paraId="5D8C4AAB">
            <w:pPr>
              <w:keepNext w:val="0"/>
              <w:keepLines w:val="0"/>
              <w:suppressLineNumbers w:val="0"/>
              <w:spacing w:before="0" w:beforeAutospacing="0" w:after="0" w:afterAutospacing="0" w:line="360" w:lineRule="auto"/>
              <w:ind w:left="0" w:right="0"/>
              <w:jc w:val="center"/>
              <w:rPr>
                <w:rFonts w:ascii="Calibri" w:hAnsi="Calibri" w:eastAsia="宋体" w:cs="Times New Roman"/>
                <w:color w:val="auto"/>
                <w:sz w:val="24"/>
                <w:highlight w:val="none"/>
                <w:shd w:val="clear" w:color="auto" w:fill="auto"/>
              </w:rPr>
            </w:pPr>
            <w:r>
              <w:rPr>
                <w:rFonts w:ascii="Calibri" w:hAnsi="Calibri" w:eastAsia="宋体" w:cs="Times New Roman"/>
                <w:color w:val="auto"/>
                <w:sz w:val="24"/>
                <w:highlight w:val="none"/>
                <w:shd w:val="clear" w:color="auto" w:fill="auto"/>
              </w:rPr>
              <w:t>表</w:t>
            </w:r>
            <w:r>
              <w:rPr>
                <w:rFonts w:hint="eastAsia" w:ascii="Calibri" w:hAnsi="Calibri" w:cs="Times New Roman"/>
                <w:color w:val="auto"/>
                <w:sz w:val="24"/>
                <w:highlight w:val="none"/>
                <w:shd w:val="clear" w:color="auto" w:fill="auto"/>
                <w:lang w:val="en-US" w:eastAsia="zh-CN"/>
              </w:rPr>
              <w:t>4-14</w:t>
            </w:r>
            <w:r>
              <w:rPr>
                <w:rFonts w:ascii="Calibri" w:hAnsi="Calibri" w:eastAsia="宋体" w:cs="Times New Roman"/>
                <w:color w:val="auto"/>
                <w:sz w:val="24"/>
                <w:highlight w:val="none"/>
                <w:shd w:val="clear" w:color="auto" w:fill="auto"/>
              </w:rPr>
              <w:t xml:space="preserve"> </w:t>
            </w:r>
            <w:r>
              <w:rPr>
                <w:rFonts w:hint="eastAsia" w:ascii="Calibri" w:hAnsi="Calibri" w:eastAsia="宋体" w:cs="Times New Roman"/>
                <w:color w:val="auto"/>
                <w:sz w:val="24"/>
                <w:highlight w:val="none"/>
                <w:shd w:val="clear" w:color="auto" w:fill="auto"/>
                <w:lang w:val="en-US" w:eastAsia="zh-CN"/>
              </w:rPr>
              <w:t xml:space="preserve">  </w:t>
            </w:r>
            <w:r>
              <w:rPr>
                <w:rFonts w:ascii="Calibri" w:hAnsi="Calibri" w:eastAsia="宋体" w:cs="Times New Roman"/>
                <w:color w:val="auto"/>
                <w:sz w:val="24"/>
                <w:highlight w:val="none"/>
                <w:shd w:val="clear" w:color="auto" w:fill="auto"/>
              </w:rPr>
              <w:t xml:space="preserve"> 噪声预测结果            单位：dB(A)</w:t>
            </w:r>
          </w:p>
          <w:tbl>
            <w:tblPr>
              <w:tblStyle w:val="25"/>
              <w:tblW w:w="3674"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299"/>
              <w:gridCol w:w="1091"/>
              <w:gridCol w:w="1108"/>
              <w:gridCol w:w="1313"/>
              <w:gridCol w:w="1333"/>
            </w:tblGrid>
            <w:tr w14:paraId="00EBAC3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632" w:hRule="atLeast"/>
                <w:jc w:val="center"/>
              </w:trPr>
              <w:tc>
                <w:tcPr>
                  <w:tcW w:w="1057" w:type="pct"/>
                  <w:noWrap w:val="0"/>
                  <w:vAlign w:val="center"/>
                </w:tcPr>
                <w:p w14:paraId="42294B82">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监测点名称</w:t>
                  </w:r>
                </w:p>
              </w:tc>
              <w:tc>
                <w:tcPr>
                  <w:tcW w:w="887" w:type="pct"/>
                  <w:noWrap w:val="0"/>
                  <w:vAlign w:val="center"/>
                </w:tcPr>
                <w:p w14:paraId="35D90E69">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0"/>
                      <w:szCs w:val="21"/>
                      <w:highlight w:val="none"/>
                      <w:lang w:eastAsia="zh-CN"/>
                    </w:rPr>
                  </w:pPr>
                  <w:r>
                    <w:rPr>
                      <w:rFonts w:hint="eastAsia" w:ascii="宋体" w:hAnsi="宋体" w:cs="宋体"/>
                      <w:color w:val="auto"/>
                      <w:kern w:val="0"/>
                      <w:szCs w:val="21"/>
                      <w:highlight w:val="none"/>
                      <w:lang w:eastAsia="zh-CN"/>
                    </w:rPr>
                    <w:t>监测时段</w:t>
                  </w:r>
                </w:p>
              </w:tc>
              <w:tc>
                <w:tcPr>
                  <w:tcW w:w="901" w:type="pct"/>
                  <w:noWrap w:val="0"/>
                  <w:vAlign w:val="center"/>
                </w:tcPr>
                <w:p w14:paraId="11819D15">
                  <w:pPr>
                    <w:keepNext w:val="0"/>
                    <w:keepLines w:val="0"/>
                    <w:widowControl/>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lang w:eastAsia="zh-CN"/>
                    </w:rPr>
                    <w:t>贡献</w:t>
                  </w:r>
                  <w:r>
                    <w:rPr>
                      <w:rFonts w:hint="eastAsia" w:ascii="宋体" w:hAnsi="宋体" w:eastAsia="宋体" w:cs="宋体"/>
                      <w:color w:val="auto"/>
                      <w:kern w:val="0"/>
                      <w:szCs w:val="21"/>
                      <w:highlight w:val="none"/>
                    </w:rPr>
                    <w:t>值</w:t>
                  </w:r>
                </w:p>
              </w:tc>
              <w:tc>
                <w:tcPr>
                  <w:tcW w:w="1068" w:type="pct"/>
                  <w:noWrap w:val="0"/>
                  <w:vAlign w:val="center"/>
                </w:tcPr>
                <w:p w14:paraId="5002AB80">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标准值</w:t>
                  </w:r>
                </w:p>
              </w:tc>
              <w:tc>
                <w:tcPr>
                  <w:tcW w:w="1084" w:type="pct"/>
                  <w:noWrap w:val="0"/>
                  <w:vAlign w:val="center"/>
                </w:tcPr>
                <w:p w14:paraId="2EEAAB28">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达标分析</w:t>
                  </w:r>
                </w:p>
              </w:tc>
            </w:tr>
            <w:tr w14:paraId="7A94FCA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26" w:hRule="atLeast"/>
                <w:jc w:val="center"/>
              </w:trPr>
              <w:tc>
                <w:tcPr>
                  <w:tcW w:w="1057" w:type="pct"/>
                  <w:vMerge w:val="restart"/>
                  <w:noWrap w:val="0"/>
                  <w:vAlign w:val="center"/>
                </w:tcPr>
                <w:p w14:paraId="2BE38DB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东厂界</w:t>
                  </w:r>
                </w:p>
              </w:tc>
              <w:tc>
                <w:tcPr>
                  <w:tcW w:w="887" w:type="pct"/>
                  <w:noWrap w:val="0"/>
                  <w:vAlign w:val="center"/>
                </w:tcPr>
                <w:p w14:paraId="77AE2BA7">
                  <w:pPr>
                    <w:keepNext w:val="0"/>
                    <w:keepLines w:val="0"/>
                    <w:widowControl/>
                    <w:suppressLineNumbers w:val="0"/>
                    <w:spacing w:before="0" w:beforeAutospacing="0" w:after="0" w:afterAutospacing="0"/>
                    <w:ind w:left="0" w:right="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昼</w:t>
                  </w:r>
                </w:p>
              </w:tc>
              <w:tc>
                <w:tcPr>
                  <w:tcW w:w="901" w:type="pct"/>
                  <w:vMerge w:val="restart"/>
                  <w:noWrap w:val="0"/>
                  <w:vAlign w:val="center"/>
                </w:tcPr>
                <w:p w14:paraId="75FDE3F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bidi="ar"/>
                    </w:rPr>
                    <w:t>23</w:t>
                  </w:r>
                </w:p>
              </w:tc>
              <w:tc>
                <w:tcPr>
                  <w:tcW w:w="1313" w:type="dxa"/>
                  <w:noWrap w:val="0"/>
                  <w:vAlign w:val="center"/>
                </w:tcPr>
                <w:p w14:paraId="59A8A688">
                  <w:pPr>
                    <w:keepNext w:val="0"/>
                    <w:keepLines w:val="0"/>
                    <w:suppressLineNumbers w:val="0"/>
                    <w:autoSpaceDN w:val="0"/>
                    <w:spacing w:before="0" w:beforeAutospacing="0" w:after="0" w:afterAutospacing="0"/>
                    <w:ind w:left="0" w:leftChars="0" w:right="0" w:rightChars="0"/>
                    <w:jc w:val="center"/>
                    <w:textAlignment w:val="top"/>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60</w:t>
                  </w:r>
                </w:p>
              </w:tc>
              <w:tc>
                <w:tcPr>
                  <w:tcW w:w="1084" w:type="pct"/>
                  <w:noWrap w:val="0"/>
                  <w:vAlign w:val="center"/>
                </w:tcPr>
                <w:p w14:paraId="72F778F1">
                  <w:pPr>
                    <w:keepNext w:val="0"/>
                    <w:keepLines w:val="0"/>
                    <w:suppressLineNumbers w:val="0"/>
                    <w:autoSpaceDN w:val="0"/>
                    <w:spacing w:before="0" w:beforeAutospacing="0" w:after="0" w:afterAutospacing="0"/>
                    <w:ind w:left="0" w:right="0"/>
                    <w:jc w:val="center"/>
                    <w:textAlignment w:val="top"/>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14:paraId="1ED7AA6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26" w:hRule="atLeast"/>
                <w:jc w:val="center"/>
              </w:trPr>
              <w:tc>
                <w:tcPr>
                  <w:tcW w:w="1057" w:type="pct"/>
                  <w:vMerge w:val="continue"/>
                  <w:noWrap w:val="0"/>
                  <w:vAlign w:val="center"/>
                </w:tcPr>
                <w:p w14:paraId="606D479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p>
              </w:tc>
              <w:tc>
                <w:tcPr>
                  <w:tcW w:w="887" w:type="pct"/>
                  <w:noWrap w:val="0"/>
                  <w:vAlign w:val="center"/>
                </w:tcPr>
                <w:p w14:paraId="376723E8">
                  <w:pPr>
                    <w:keepNext w:val="0"/>
                    <w:keepLines w:val="0"/>
                    <w:suppressLineNumbers w:val="0"/>
                    <w:autoSpaceDN w:val="0"/>
                    <w:spacing w:before="0" w:beforeAutospacing="0" w:after="0" w:afterAutospacing="0"/>
                    <w:ind w:left="0" w:right="0"/>
                    <w:jc w:val="center"/>
                    <w:textAlignment w:val="top"/>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夜</w:t>
                  </w:r>
                </w:p>
              </w:tc>
              <w:tc>
                <w:tcPr>
                  <w:tcW w:w="901" w:type="pct"/>
                  <w:vMerge w:val="continue"/>
                  <w:noWrap w:val="0"/>
                  <w:vAlign w:val="center"/>
                </w:tcPr>
                <w:p w14:paraId="39B04902">
                  <w:pPr>
                    <w:keepNext w:val="0"/>
                    <w:keepLines w:val="0"/>
                    <w:suppressLineNumbers w:val="0"/>
                    <w:autoSpaceDN w:val="0"/>
                    <w:spacing w:before="0" w:beforeAutospacing="0" w:after="0" w:afterAutospacing="0"/>
                    <w:ind w:left="0" w:right="0"/>
                    <w:jc w:val="center"/>
                    <w:textAlignment w:val="top"/>
                    <w:rPr>
                      <w:rFonts w:hint="default" w:ascii="Times New Roman" w:hAnsi="Times New Roman" w:eastAsia="宋体" w:cs="Times New Roman"/>
                      <w:color w:val="auto"/>
                      <w:kern w:val="2"/>
                      <w:sz w:val="21"/>
                      <w:szCs w:val="21"/>
                      <w:highlight w:val="none"/>
                      <w:lang w:val="en-US" w:eastAsia="zh-CN" w:bidi="ar-SA"/>
                    </w:rPr>
                  </w:pPr>
                </w:p>
              </w:tc>
              <w:tc>
                <w:tcPr>
                  <w:tcW w:w="1313" w:type="dxa"/>
                  <w:noWrap w:val="0"/>
                  <w:vAlign w:val="center"/>
                </w:tcPr>
                <w:p w14:paraId="0C662B86">
                  <w:pPr>
                    <w:keepNext w:val="0"/>
                    <w:keepLines w:val="0"/>
                    <w:suppressLineNumbers w:val="0"/>
                    <w:autoSpaceDN w:val="0"/>
                    <w:spacing w:before="0" w:beforeAutospacing="0" w:after="0" w:afterAutospacing="0"/>
                    <w:ind w:left="0" w:leftChars="0" w:right="0" w:rightChars="0"/>
                    <w:jc w:val="center"/>
                    <w:textAlignment w:val="top"/>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50</w:t>
                  </w:r>
                </w:p>
              </w:tc>
              <w:tc>
                <w:tcPr>
                  <w:tcW w:w="1084" w:type="pct"/>
                  <w:noWrap w:val="0"/>
                  <w:vAlign w:val="center"/>
                </w:tcPr>
                <w:p w14:paraId="7AE70602">
                  <w:pPr>
                    <w:keepNext w:val="0"/>
                    <w:keepLines w:val="0"/>
                    <w:suppressLineNumbers w:val="0"/>
                    <w:autoSpaceDN w:val="0"/>
                    <w:spacing w:before="0" w:beforeAutospacing="0" w:after="0" w:afterAutospacing="0"/>
                    <w:ind w:left="0" w:right="0"/>
                    <w:jc w:val="center"/>
                    <w:textAlignment w:val="top"/>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14:paraId="0A32D76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26" w:hRule="atLeast"/>
                <w:jc w:val="center"/>
              </w:trPr>
              <w:tc>
                <w:tcPr>
                  <w:tcW w:w="1057" w:type="pct"/>
                  <w:vMerge w:val="restart"/>
                  <w:noWrap w:val="0"/>
                  <w:vAlign w:val="center"/>
                </w:tcPr>
                <w:p w14:paraId="76A977D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南厂界</w:t>
                  </w:r>
                </w:p>
              </w:tc>
              <w:tc>
                <w:tcPr>
                  <w:tcW w:w="887" w:type="pct"/>
                  <w:noWrap w:val="0"/>
                  <w:vAlign w:val="center"/>
                </w:tcPr>
                <w:p w14:paraId="6151FC82">
                  <w:pPr>
                    <w:keepNext w:val="0"/>
                    <w:keepLines w:val="0"/>
                    <w:widowControl/>
                    <w:suppressLineNumbers w:val="0"/>
                    <w:spacing w:before="0" w:beforeAutospacing="0" w:after="0" w:afterAutospacing="0"/>
                    <w:ind w:left="0" w:leftChars="0" w:right="0" w:rightChars="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昼</w:t>
                  </w:r>
                </w:p>
              </w:tc>
              <w:tc>
                <w:tcPr>
                  <w:tcW w:w="901" w:type="pct"/>
                  <w:vMerge w:val="restart"/>
                  <w:noWrap w:val="0"/>
                  <w:vAlign w:val="center"/>
                </w:tcPr>
                <w:p w14:paraId="7CAE8B2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23</w:t>
                  </w:r>
                </w:p>
              </w:tc>
              <w:tc>
                <w:tcPr>
                  <w:tcW w:w="1313" w:type="dxa"/>
                  <w:noWrap w:val="0"/>
                  <w:vAlign w:val="center"/>
                </w:tcPr>
                <w:p w14:paraId="55D16AAA">
                  <w:pPr>
                    <w:keepNext w:val="0"/>
                    <w:keepLines w:val="0"/>
                    <w:suppressLineNumbers w:val="0"/>
                    <w:autoSpaceDN w:val="0"/>
                    <w:spacing w:before="0" w:beforeAutospacing="0" w:after="0" w:afterAutospacing="0"/>
                    <w:ind w:left="0" w:leftChars="0" w:right="0" w:rightChars="0"/>
                    <w:jc w:val="center"/>
                    <w:textAlignment w:val="top"/>
                    <w:rPr>
                      <w:rFonts w:hint="default" w:ascii="Times New Roman" w:hAnsi="Times New Roman" w:eastAsia="宋体" w:cs="Times New Roman"/>
                      <w:color w:val="auto"/>
                      <w:szCs w:val="21"/>
                      <w:highlight w:val="none"/>
                      <w:lang w:val="en-US"/>
                    </w:rPr>
                  </w:pPr>
                  <w:r>
                    <w:rPr>
                      <w:rFonts w:hint="eastAsia" w:ascii="Times New Roman" w:hAnsi="Times New Roman" w:eastAsia="宋体" w:cs="Times New Roman"/>
                      <w:color w:val="auto"/>
                      <w:szCs w:val="21"/>
                      <w:highlight w:val="none"/>
                      <w:lang w:val="en-US" w:eastAsia="zh-CN"/>
                    </w:rPr>
                    <w:t>60</w:t>
                  </w:r>
                </w:p>
              </w:tc>
              <w:tc>
                <w:tcPr>
                  <w:tcW w:w="1084" w:type="pct"/>
                  <w:noWrap w:val="0"/>
                  <w:vAlign w:val="top"/>
                </w:tcPr>
                <w:p w14:paraId="56AA89A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达标</w:t>
                  </w:r>
                </w:p>
              </w:tc>
            </w:tr>
            <w:tr w14:paraId="1817A46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26" w:hRule="atLeast"/>
                <w:jc w:val="center"/>
              </w:trPr>
              <w:tc>
                <w:tcPr>
                  <w:tcW w:w="1057" w:type="pct"/>
                  <w:vMerge w:val="continue"/>
                  <w:noWrap w:val="0"/>
                  <w:vAlign w:val="center"/>
                </w:tcPr>
                <w:p w14:paraId="7286E0E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p>
              </w:tc>
              <w:tc>
                <w:tcPr>
                  <w:tcW w:w="887" w:type="pct"/>
                  <w:noWrap w:val="0"/>
                  <w:vAlign w:val="center"/>
                </w:tcPr>
                <w:p w14:paraId="46AA81D4">
                  <w:pPr>
                    <w:keepNext w:val="0"/>
                    <w:keepLines w:val="0"/>
                    <w:suppressLineNumbers w:val="0"/>
                    <w:autoSpaceDN w:val="0"/>
                    <w:spacing w:before="0" w:beforeAutospacing="0" w:after="0" w:afterAutospacing="0"/>
                    <w:ind w:left="0" w:leftChars="0" w:right="0" w:rightChars="0"/>
                    <w:jc w:val="center"/>
                    <w:textAlignment w:val="top"/>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夜</w:t>
                  </w:r>
                </w:p>
              </w:tc>
              <w:tc>
                <w:tcPr>
                  <w:tcW w:w="901" w:type="pct"/>
                  <w:vMerge w:val="continue"/>
                  <w:noWrap w:val="0"/>
                  <w:vAlign w:val="center"/>
                </w:tcPr>
                <w:p w14:paraId="2B260CD4">
                  <w:pPr>
                    <w:keepNext w:val="0"/>
                    <w:keepLines w:val="0"/>
                    <w:suppressLineNumbers w:val="0"/>
                    <w:autoSpaceDN w:val="0"/>
                    <w:spacing w:before="0" w:beforeAutospacing="0" w:after="0" w:afterAutospacing="0"/>
                    <w:ind w:left="0" w:right="0"/>
                    <w:jc w:val="center"/>
                    <w:textAlignment w:val="top"/>
                    <w:rPr>
                      <w:rFonts w:hint="default" w:ascii="Times New Roman" w:hAnsi="Times New Roman" w:eastAsia="宋体" w:cs="Times New Roman"/>
                      <w:color w:val="auto"/>
                      <w:kern w:val="2"/>
                      <w:sz w:val="21"/>
                      <w:szCs w:val="21"/>
                      <w:highlight w:val="none"/>
                      <w:lang w:val="en-US" w:eastAsia="zh-CN" w:bidi="ar-SA"/>
                    </w:rPr>
                  </w:pPr>
                </w:p>
              </w:tc>
              <w:tc>
                <w:tcPr>
                  <w:tcW w:w="1313" w:type="dxa"/>
                  <w:noWrap w:val="0"/>
                  <w:vAlign w:val="center"/>
                </w:tcPr>
                <w:p w14:paraId="1EC1AB35">
                  <w:pPr>
                    <w:keepNext w:val="0"/>
                    <w:keepLines w:val="0"/>
                    <w:suppressLineNumbers w:val="0"/>
                    <w:autoSpaceDN w:val="0"/>
                    <w:spacing w:before="0" w:beforeAutospacing="0" w:after="0" w:afterAutospacing="0"/>
                    <w:ind w:left="0" w:leftChars="0" w:right="0" w:rightChars="0"/>
                    <w:jc w:val="center"/>
                    <w:textAlignment w:val="top"/>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50</w:t>
                  </w:r>
                </w:p>
              </w:tc>
              <w:tc>
                <w:tcPr>
                  <w:tcW w:w="1084" w:type="pct"/>
                  <w:noWrap w:val="0"/>
                  <w:vAlign w:val="top"/>
                </w:tcPr>
                <w:p w14:paraId="62070E5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14:paraId="11E5DA2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26" w:hRule="atLeast"/>
                <w:jc w:val="center"/>
              </w:trPr>
              <w:tc>
                <w:tcPr>
                  <w:tcW w:w="1057" w:type="pct"/>
                  <w:vMerge w:val="restart"/>
                  <w:noWrap w:val="0"/>
                  <w:vAlign w:val="center"/>
                </w:tcPr>
                <w:p w14:paraId="1248EB5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西厂界</w:t>
                  </w:r>
                </w:p>
              </w:tc>
              <w:tc>
                <w:tcPr>
                  <w:tcW w:w="887" w:type="pct"/>
                  <w:noWrap w:val="0"/>
                  <w:vAlign w:val="center"/>
                </w:tcPr>
                <w:p w14:paraId="7C795B6D">
                  <w:pPr>
                    <w:keepNext w:val="0"/>
                    <w:keepLines w:val="0"/>
                    <w:widowControl/>
                    <w:suppressLineNumbers w:val="0"/>
                    <w:spacing w:before="0" w:beforeAutospacing="0" w:after="0" w:afterAutospacing="0"/>
                    <w:ind w:left="0" w:leftChars="0" w:right="0" w:rightChars="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昼</w:t>
                  </w:r>
                </w:p>
              </w:tc>
              <w:tc>
                <w:tcPr>
                  <w:tcW w:w="901" w:type="pct"/>
                  <w:vMerge w:val="restart"/>
                  <w:noWrap w:val="0"/>
                  <w:vAlign w:val="center"/>
                </w:tcPr>
                <w:p w14:paraId="1C08353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20</w:t>
                  </w:r>
                </w:p>
              </w:tc>
              <w:tc>
                <w:tcPr>
                  <w:tcW w:w="1068" w:type="pct"/>
                  <w:noWrap w:val="0"/>
                  <w:vAlign w:val="center"/>
                </w:tcPr>
                <w:p w14:paraId="389121B3">
                  <w:pPr>
                    <w:keepNext w:val="0"/>
                    <w:keepLines w:val="0"/>
                    <w:suppressLineNumbers w:val="0"/>
                    <w:autoSpaceDN w:val="0"/>
                    <w:spacing w:before="0" w:beforeAutospacing="0" w:after="0" w:afterAutospacing="0"/>
                    <w:ind w:left="0" w:right="0"/>
                    <w:jc w:val="center"/>
                    <w:textAlignment w:val="top"/>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60</w:t>
                  </w:r>
                </w:p>
              </w:tc>
              <w:tc>
                <w:tcPr>
                  <w:tcW w:w="1084" w:type="pct"/>
                  <w:noWrap w:val="0"/>
                  <w:vAlign w:val="top"/>
                </w:tcPr>
                <w:p w14:paraId="3957B98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达标</w:t>
                  </w:r>
                </w:p>
              </w:tc>
            </w:tr>
            <w:tr w14:paraId="1EF89A8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26" w:hRule="atLeast"/>
                <w:jc w:val="center"/>
              </w:trPr>
              <w:tc>
                <w:tcPr>
                  <w:tcW w:w="1057" w:type="pct"/>
                  <w:vMerge w:val="continue"/>
                  <w:noWrap w:val="0"/>
                  <w:vAlign w:val="center"/>
                </w:tcPr>
                <w:p w14:paraId="2198ECC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p>
              </w:tc>
              <w:tc>
                <w:tcPr>
                  <w:tcW w:w="887" w:type="pct"/>
                  <w:noWrap w:val="0"/>
                  <w:vAlign w:val="center"/>
                </w:tcPr>
                <w:p w14:paraId="710FC75D">
                  <w:pPr>
                    <w:keepNext w:val="0"/>
                    <w:keepLines w:val="0"/>
                    <w:suppressLineNumbers w:val="0"/>
                    <w:autoSpaceDN w:val="0"/>
                    <w:spacing w:before="0" w:beforeAutospacing="0" w:after="0" w:afterAutospacing="0"/>
                    <w:ind w:left="0" w:leftChars="0" w:right="0" w:rightChars="0"/>
                    <w:jc w:val="center"/>
                    <w:textAlignment w:val="top"/>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夜</w:t>
                  </w:r>
                </w:p>
              </w:tc>
              <w:tc>
                <w:tcPr>
                  <w:tcW w:w="901" w:type="pct"/>
                  <w:vMerge w:val="continue"/>
                  <w:noWrap w:val="0"/>
                  <w:vAlign w:val="center"/>
                </w:tcPr>
                <w:p w14:paraId="3DB59AE1">
                  <w:pPr>
                    <w:keepNext w:val="0"/>
                    <w:keepLines w:val="0"/>
                    <w:suppressLineNumbers w:val="0"/>
                    <w:autoSpaceDN w:val="0"/>
                    <w:spacing w:before="0" w:beforeAutospacing="0" w:after="0" w:afterAutospacing="0"/>
                    <w:ind w:left="0" w:right="0"/>
                    <w:jc w:val="center"/>
                    <w:textAlignment w:val="top"/>
                    <w:rPr>
                      <w:rFonts w:hint="default" w:ascii="Times New Roman" w:hAnsi="Times New Roman" w:eastAsia="宋体" w:cs="Times New Roman"/>
                      <w:color w:val="auto"/>
                      <w:kern w:val="2"/>
                      <w:sz w:val="21"/>
                      <w:szCs w:val="21"/>
                      <w:highlight w:val="none"/>
                      <w:lang w:val="en-US" w:eastAsia="zh-CN" w:bidi="ar-SA"/>
                    </w:rPr>
                  </w:pPr>
                </w:p>
              </w:tc>
              <w:tc>
                <w:tcPr>
                  <w:tcW w:w="1068" w:type="pct"/>
                  <w:noWrap w:val="0"/>
                  <w:vAlign w:val="center"/>
                </w:tcPr>
                <w:p w14:paraId="05745FF2">
                  <w:pPr>
                    <w:keepNext w:val="0"/>
                    <w:keepLines w:val="0"/>
                    <w:suppressLineNumbers w:val="0"/>
                    <w:autoSpaceDN w:val="0"/>
                    <w:spacing w:before="0" w:beforeAutospacing="0" w:after="0" w:afterAutospacing="0"/>
                    <w:ind w:left="0" w:right="0"/>
                    <w:jc w:val="center"/>
                    <w:textAlignment w:val="top"/>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50</w:t>
                  </w:r>
                </w:p>
              </w:tc>
              <w:tc>
                <w:tcPr>
                  <w:tcW w:w="1084" w:type="pct"/>
                  <w:noWrap w:val="0"/>
                  <w:vAlign w:val="top"/>
                </w:tcPr>
                <w:p w14:paraId="08F382E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14:paraId="3469FB4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26" w:hRule="atLeast"/>
                <w:jc w:val="center"/>
              </w:trPr>
              <w:tc>
                <w:tcPr>
                  <w:tcW w:w="1057" w:type="pct"/>
                  <w:vMerge w:val="restart"/>
                  <w:noWrap w:val="0"/>
                  <w:vAlign w:val="center"/>
                </w:tcPr>
                <w:p w14:paraId="35DCEC8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北厂界</w:t>
                  </w:r>
                </w:p>
              </w:tc>
              <w:tc>
                <w:tcPr>
                  <w:tcW w:w="887" w:type="pct"/>
                  <w:noWrap w:val="0"/>
                  <w:vAlign w:val="center"/>
                </w:tcPr>
                <w:p w14:paraId="52494DF1">
                  <w:pPr>
                    <w:keepNext w:val="0"/>
                    <w:keepLines w:val="0"/>
                    <w:widowControl/>
                    <w:suppressLineNumbers w:val="0"/>
                    <w:spacing w:before="0" w:beforeAutospacing="0" w:after="0" w:afterAutospacing="0"/>
                    <w:ind w:left="0" w:leftChars="0" w:right="0" w:rightChars="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昼</w:t>
                  </w:r>
                </w:p>
              </w:tc>
              <w:tc>
                <w:tcPr>
                  <w:tcW w:w="901" w:type="pct"/>
                  <w:vMerge w:val="restart"/>
                  <w:noWrap w:val="0"/>
                  <w:vAlign w:val="center"/>
                </w:tcPr>
                <w:p w14:paraId="10C03A0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bidi="ar"/>
                    </w:rPr>
                    <w:t>24</w:t>
                  </w:r>
                </w:p>
              </w:tc>
              <w:tc>
                <w:tcPr>
                  <w:tcW w:w="1068" w:type="pct"/>
                  <w:noWrap w:val="0"/>
                  <w:vAlign w:val="center"/>
                </w:tcPr>
                <w:p w14:paraId="35F10774">
                  <w:pPr>
                    <w:keepNext w:val="0"/>
                    <w:keepLines w:val="0"/>
                    <w:suppressLineNumbers w:val="0"/>
                    <w:autoSpaceDN w:val="0"/>
                    <w:spacing w:before="0" w:beforeAutospacing="0" w:after="0" w:afterAutospacing="0"/>
                    <w:ind w:left="0" w:leftChars="0" w:right="0" w:rightChars="0"/>
                    <w:jc w:val="center"/>
                    <w:textAlignment w:val="top"/>
                    <w:rPr>
                      <w:rFonts w:hint="default" w:ascii="Times New Roman" w:hAnsi="Times New Roman" w:eastAsia="宋体" w:cs="Times New Roman"/>
                      <w:color w:val="auto"/>
                      <w:szCs w:val="21"/>
                      <w:highlight w:val="none"/>
                      <w:lang w:val="en-US"/>
                    </w:rPr>
                  </w:pPr>
                  <w:r>
                    <w:rPr>
                      <w:rFonts w:hint="eastAsia" w:ascii="Times New Roman" w:hAnsi="Times New Roman" w:eastAsia="宋体" w:cs="Times New Roman"/>
                      <w:color w:val="auto"/>
                      <w:szCs w:val="21"/>
                      <w:highlight w:val="none"/>
                      <w:lang w:val="en-US" w:eastAsia="zh-CN"/>
                    </w:rPr>
                    <w:t>60</w:t>
                  </w:r>
                </w:p>
              </w:tc>
              <w:tc>
                <w:tcPr>
                  <w:tcW w:w="1084" w:type="pct"/>
                  <w:noWrap w:val="0"/>
                  <w:vAlign w:val="top"/>
                </w:tcPr>
                <w:p w14:paraId="25147F6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达标</w:t>
                  </w:r>
                </w:p>
              </w:tc>
            </w:tr>
            <w:tr w14:paraId="15AC7DA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36" w:hRule="atLeast"/>
                <w:jc w:val="center"/>
              </w:trPr>
              <w:tc>
                <w:tcPr>
                  <w:tcW w:w="1057" w:type="pct"/>
                  <w:vMerge w:val="continue"/>
                  <w:noWrap w:val="0"/>
                  <w:vAlign w:val="center"/>
                </w:tcPr>
                <w:p w14:paraId="36FA8DE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p>
              </w:tc>
              <w:tc>
                <w:tcPr>
                  <w:tcW w:w="887" w:type="pct"/>
                  <w:noWrap w:val="0"/>
                  <w:vAlign w:val="center"/>
                </w:tcPr>
                <w:p w14:paraId="31B40D49">
                  <w:pPr>
                    <w:keepNext w:val="0"/>
                    <w:keepLines w:val="0"/>
                    <w:suppressLineNumbers w:val="0"/>
                    <w:autoSpaceDN w:val="0"/>
                    <w:spacing w:before="0" w:beforeAutospacing="0" w:after="0" w:afterAutospacing="0"/>
                    <w:ind w:left="0" w:leftChars="0" w:right="0" w:rightChars="0"/>
                    <w:jc w:val="center"/>
                    <w:textAlignment w:val="top"/>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夜</w:t>
                  </w:r>
                </w:p>
              </w:tc>
              <w:tc>
                <w:tcPr>
                  <w:tcW w:w="901" w:type="pct"/>
                  <w:vMerge w:val="continue"/>
                  <w:noWrap w:val="0"/>
                  <w:vAlign w:val="center"/>
                </w:tcPr>
                <w:p w14:paraId="6FD3AC35">
                  <w:pPr>
                    <w:keepNext w:val="0"/>
                    <w:keepLines w:val="0"/>
                    <w:suppressLineNumbers w:val="0"/>
                    <w:autoSpaceDN w:val="0"/>
                    <w:spacing w:before="0" w:beforeAutospacing="0" w:after="0" w:afterAutospacing="0"/>
                    <w:ind w:left="0" w:right="0"/>
                    <w:jc w:val="center"/>
                    <w:textAlignment w:val="top"/>
                    <w:rPr>
                      <w:rFonts w:hint="eastAsia" w:ascii="Times New Roman" w:hAnsi="Times New Roman" w:eastAsia="宋体" w:cs="Times New Roman"/>
                      <w:color w:val="auto"/>
                      <w:kern w:val="2"/>
                      <w:sz w:val="21"/>
                      <w:szCs w:val="21"/>
                      <w:highlight w:val="none"/>
                      <w:lang w:val="en-US" w:eastAsia="zh-CN" w:bidi="ar-SA"/>
                    </w:rPr>
                  </w:pPr>
                </w:p>
              </w:tc>
              <w:tc>
                <w:tcPr>
                  <w:tcW w:w="1068" w:type="pct"/>
                  <w:noWrap w:val="0"/>
                  <w:vAlign w:val="center"/>
                </w:tcPr>
                <w:p w14:paraId="51071809">
                  <w:pPr>
                    <w:keepNext w:val="0"/>
                    <w:keepLines w:val="0"/>
                    <w:suppressLineNumbers w:val="0"/>
                    <w:autoSpaceDN w:val="0"/>
                    <w:spacing w:before="0" w:beforeAutospacing="0" w:after="0" w:afterAutospacing="0"/>
                    <w:ind w:left="0" w:leftChars="0" w:right="0" w:rightChars="0"/>
                    <w:jc w:val="center"/>
                    <w:textAlignment w:val="top"/>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50</w:t>
                  </w:r>
                </w:p>
              </w:tc>
              <w:tc>
                <w:tcPr>
                  <w:tcW w:w="1084" w:type="pct"/>
                  <w:noWrap w:val="0"/>
                  <w:vAlign w:val="top"/>
                </w:tcPr>
                <w:p w14:paraId="52C93E7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bl>
          <w:p w14:paraId="2097DB79">
            <w:pPr>
              <w:keepNext w:val="0"/>
              <w:keepLines w:val="0"/>
              <w:suppressLineNumbers w:val="0"/>
              <w:spacing w:before="0" w:beforeAutospacing="0" w:after="0" w:afterAutospacing="0" w:line="360" w:lineRule="auto"/>
              <w:ind w:left="0" w:right="0" w:firstLine="480" w:firstLineChars="200"/>
              <w:rPr>
                <w:rFonts w:hint="eastAsia" w:ascii="Calibri" w:hAnsi="Calibri" w:cs="Times New Roman"/>
                <w:color w:val="auto"/>
                <w:sz w:val="24"/>
                <w:highlight w:val="none"/>
                <w:shd w:val="clear" w:color="auto" w:fill="auto"/>
                <w:lang w:val="en-US" w:eastAsia="zh-CN"/>
              </w:rPr>
            </w:pPr>
            <w:r>
              <w:rPr>
                <w:rFonts w:ascii="Calibri" w:hAnsi="Calibri" w:eastAsia="宋体" w:cs="Times New Roman"/>
                <w:color w:val="auto"/>
                <w:sz w:val="24"/>
                <w:highlight w:val="none"/>
                <w:shd w:val="clear" w:color="auto" w:fill="auto"/>
              </w:rPr>
              <w:t>由表</w:t>
            </w:r>
            <w:r>
              <w:rPr>
                <w:rFonts w:hint="eastAsia" w:ascii="Calibri" w:hAnsi="Calibri" w:cs="Times New Roman"/>
                <w:color w:val="auto"/>
                <w:sz w:val="24"/>
                <w:highlight w:val="none"/>
                <w:shd w:val="clear" w:color="auto" w:fill="auto"/>
                <w:lang w:val="en-US" w:eastAsia="zh-CN"/>
              </w:rPr>
              <w:t>4-14</w:t>
            </w:r>
            <w:r>
              <w:rPr>
                <w:rFonts w:ascii="Calibri" w:hAnsi="Calibri" w:eastAsia="宋体" w:cs="Times New Roman"/>
                <w:color w:val="auto"/>
                <w:sz w:val="24"/>
                <w:highlight w:val="none"/>
                <w:shd w:val="clear" w:color="auto" w:fill="auto"/>
              </w:rPr>
              <w:t>预测可见，项目生产期间主要噪声源经采取减振、隔声措施后，营运期</w:t>
            </w:r>
            <w:r>
              <w:rPr>
                <w:rFonts w:hint="eastAsia" w:ascii="Calibri" w:hAnsi="Calibri" w:eastAsia="宋体" w:cs="Times New Roman"/>
                <w:color w:val="auto"/>
                <w:sz w:val="24"/>
                <w:highlight w:val="none"/>
                <w:shd w:val="clear" w:color="auto" w:fill="auto"/>
                <w:lang w:val="en-US" w:eastAsia="zh-CN"/>
              </w:rPr>
              <w:t>项目</w:t>
            </w:r>
            <w:r>
              <w:rPr>
                <w:rFonts w:hint="default" w:ascii="Calibri" w:hAnsi="Calibri" w:eastAsia="宋体" w:cs="Times New Roman"/>
                <w:color w:val="auto"/>
                <w:sz w:val="24"/>
                <w:highlight w:val="none"/>
                <w:shd w:val="clear" w:color="auto" w:fill="auto"/>
                <w:lang w:val="en-US" w:eastAsia="zh-CN"/>
              </w:rPr>
              <w:t>厂界</w:t>
            </w:r>
            <w:r>
              <w:rPr>
                <w:rFonts w:hint="eastAsia" w:ascii="Calibri" w:hAnsi="Calibri" w:cs="Times New Roman"/>
                <w:color w:val="auto"/>
                <w:sz w:val="24"/>
                <w:highlight w:val="none"/>
                <w:shd w:val="clear" w:color="auto" w:fill="auto"/>
                <w:lang w:val="en-US" w:eastAsia="zh-CN"/>
              </w:rPr>
              <w:t>四周</w:t>
            </w:r>
            <w:r>
              <w:rPr>
                <w:rFonts w:hint="default" w:ascii="Calibri" w:hAnsi="Calibri" w:eastAsia="宋体" w:cs="Times New Roman"/>
                <w:color w:val="auto"/>
                <w:sz w:val="24"/>
                <w:highlight w:val="none"/>
                <w:shd w:val="clear" w:color="auto" w:fill="auto"/>
                <w:lang w:val="en-US" w:eastAsia="zh-CN"/>
              </w:rPr>
              <w:t>噪声满足《工业企业厂界环境噪声排放标准》（GB12348-2008）</w:t>
            </w:r>
            <w:r>
              <w:rPr>
                <w:rFonts w:hint="eastAsia" w:ascii="Calibri" w:hAnsi="Calibri" w:eastAsia="宋体" w:cs="Times New Roman"/>
                <w:color w:val="auto"/>
                <w:sz w:val="24"/>
                <w:highlight w:val="none"/>
                <w:shd w:val="clear" w:color="auto" w:fill="auto"/>
                <w:lang w:val="en-US" w:eastAsia="zh-CN"/>
              </w:rPr>
              <w:t>2</w:t>
            </w:r>
            <w:r>
              <w:rPr>
                <w:rFonts w:hint="default" w:ascii="Calibri" w:hAnsi="Calibri" w:eastAsia="宋体" w:cs="Times New Roman"/>
                <w:color w:val="auto"/>
                <w:sz w:val="24"/>
                <w:highlight w:val="none"/>
                <w:shd w:val="clear" w:color="auto" w:fill="auto"/>
                <w:lang w:val="en-US" w:eastAsia="zh-CN"/>
              </w:rPr>
              <w:t>类限值</w:t>
            </w:r>
            <w:r>
              <w:rPr>
                <w:rFonts w:hint="eastAsia" w:ascii="Calibri" w:hAnsi="Calibri" w:eastAsia="宋体" w:cs="Times New Roman"/>
                <w:color w:val="auto"/>
                <w:sz w:val="24"/>
                <w:highlight w:val="none"/>
                <w:shd w:val="clear" w:color="auto" w:fill="auto"/>
                <w:lang w:val="en-US" w:eastAsia="zh-CN"/>
              </w:rPr>
              <w:t>。</w:t>
            </w:r>
            <w:r>
              <w:rPr>
                <w:rFonts w:hint="eastAsia" w:ascii="Calibri" w:hAnsi="Calibri" w:cs="Times New Roman"/>
                <w:color w:val="auto"/>
                <w:sz w:val="24"/>
                <w:highlight w:val="none"/>
                <w:shd w:val="clear" w:color="auto" w:fill="auto"/>
                <w:lang w:val="en-US" w:eastAsia="zh-CN"/>
              </w:rPr>
              <w:t>本项目运输车辆在厂区内禁止鸣笛，定期进行车辆维护保养，减少夜间运输，车辆行驶过程中在居民区减速行驶，严禁鸣笛，防止对道路周边居民造成影响，对环境影响不大。</w:t>
            </w:r>
          </w:p>
          <w:p w14:paraId="3693F197">
            <w:pPr>
              <w:keepNext w:val="0"/>
              <w:keepLines w:val="0"/>
              <w:suppressLineNumbers w:val="0"/>
              <w:spacing w:before="0" w:beforeAutospacing="0" w:after="0" w:afterAutospacing="0" w:line="360" w:lineRule="auto"/>
              <w:ind w:left="0" w:right="0" w:firstLine="480" w:firstLineChars="200"/>
              <w:rPr>
                <w:rFonts w:hint="eastAsia" w:ascii="Calibri" w:hAnsi="Calibri" w:eastAsia="宋体" w:cs="Times New Roman"/>
                <w:color w:val="auto"/>
                <w:sz w:val="24"/>
                <w:highlight w:val="none"/>
                <w:shd w:val="clear" w:color="auto" w:fill="auto"/>
              </w:rPr>
            </w:pPr>
            <w:r>
              <w:rPr>
                <w:rFonts w:hint="eastAsia" w:ascii="Calibri" w:hAnsi="Calibri" w:eastAsia="宋体" w:cs="Times New Roman"/>
                <w:color w:val="auto"/>
                <w:sz w:val="24"/>
                <w:highlight w:val="none"/>
                <w:shd w:val="clear" w:color="auto" w:fill="auto"/>
              </w:rPr>
              <w:t>因此</w:t>
            </w:r>
            <w:r>
              <w:rPr>
                <w:rFonts w:ascii="Calibri" w:hAnsi="Calibri" w:eastAsia="宋体" w:cs="Times New Roman"/>
                <w:color w:val="auto"/>
                <w:sz w:val="24"/>
                <w:highlight w:val="none"/>
                <w:shd w:val="clear" w:color="auto" w:fill="auto"/>
              </w:rPr>
              <w:t>项目生产噪声对区域声环境质量影响不大。</w:t>
            </w:r>
          </w:p>
          <w:p w14:paraId="1137F022">
            <w:pPr>
              <w:keepNext w:val="0"/>
              <w:keepLines w:val="0"/>
              <w:suppressLineNumbers w:val="0"/>
              <w:spacing w:before="0" w:beforeAutospacing="0" w:after="0" w:afterAutospacing="0" w:line="500" w:lineRule="exact"/>
              <w:ind w:left="0" w:right="0"/>
              <w:jc w:val="center"/>
              <w:rPr>
                <w:rFonts w:hint="eastAsia" w:ascii="宋体" w:hAnsi="宋体" w:eastAsia="宋体" w:cs="宋体"/>
                <w:b/>
                <w:color w:val="auto"/>
                <w:sz w:val="24"/>
                <w:highlight w:val="none"/>
                <w:shd w:val="clear" w:color="auto" w:fill="auto"/>
              </w:rPr>
            </w:pPr>
            <w:r>
              <w:rPr>
                <w:rFonts w:hint="eastAsia" w:ascii="宋体" w:hAnsi="宋体" w:eastAsia="宋体" w:cs="宋体"/>
                <w:b/>
                <w:color w:val="auto"/>
                <w:sz w:val="24"/>
                <w:highlight w:val="none"/>
                <w:shd w:val="clear" w:color="auto" w:fill="auto"/>
              </w:rPr>
              <w:t>表</w:t>
            </w:r>
            <w:r>
              <w:rPr>
                <w:rFonts w:hint="eastAsia" w:ascii="Calibri" w:hAnsi="Calibri" w:cs="Times New Roman"/>
                <w:color w:val="auto"/>
                <w:sz w:val="24"/>
                <w:highlight w:val="none"/>
                <w:shd w:val="clear" w:color="auto" w:fill="auto"/>
                <w:lang w:val="en-US" w:eastAsia="zh-CN"/>
              </w:rPr>
              <w:t>4-15</w:t>
            </w:r>
            <w:r>
              <w:rPr>
                <w:rFonts w:hint="eastAsia" w:ascii="宋体" w:hAnsi="宋体" w:eastAsia="宋体" w:cs="宋体"/>
                <w:b/>
                <w:color w:val="auto"/>
                <w:sz w:val="24"/>
                <w:highlight w:val="none"/>
                <w:shd w:val="clear" w:color="auto" w:fill="auto"/>
              </w:rPr>
              <w:t xml:space="preserve">  项目污染源及环境监测计划</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31"/>
              <w:gridCol w:w="2542"/>
              <w:gridCol w:w="947"/>
              <w:gridCol w:w="1655"/>
              <w:gridCol w:w="1435"/>
            </w:tblGrid>
            <w:tr w14:paraId="7F131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3" w:hRule="atLeast"/>
                <w:jc w:val="center"/>
              </w:trPr>
              <w:tc>
                <w:tcPr>
                  <w:tcW w:w="1931" w:type="dxa"/>
                  <w:vMerge w:val="restart"/>
                  <w:noWrap w:val="0"/>
                  <w:vAlign w:val="center"/>
                </w:tcPr>
                <w:p w14:paraId="5B5EB053">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分类</w:t>
                  </w:r>
                </w:p>
              </w:tc>
              <w:tc>
                <w:tcPr>
                  <w:tcW w:w="3489" w:type="dxa"/>
                  <w:gridSpan w:val="2"/>
                  <w:noWrap w:val="0"/>
                  <w:vAlign w:val="center"/>
                </w:tcPr>
                <w:p w14:paraId="78EFA141">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监测点</w:t>
                  </w:r>
                </w:p>
              </w:tc>
              <w:tc>
                <w:tcPr>
                  <w:tcW w:w="1655" w:type="dxa"/>
                  <w:vMerge w:val="restart"/>
                  <w:noWrap w:val="0"/>
                  <w:vAlign w:val="center"/>
                </w:tcPr>
                <w:p w14:paraId="7740B404">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监测项目</w:t>
                  </w:r>
                </w:p>
              </w:tc>
              <w:tc>
                <w:tcPr>
                  <w:tcW w:w="1435" w:type="dxa"/>
                  <w:vMerge w:val="restart"/>
                  <w:noWrap w:val="0"/>
                  <w:vAlign w:val="center"/>
                </w:tcPr>
                <w:p w14:paraId="36384ECD">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监测频率</w:t>
                  </w:r>
                </w:p>
              </w:tc>
            </w:tr>
            <w:tr w14:paraId="14F907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2" w:hRule="atLeast"/>
                <w:jc w:val="center"/>
              </w:trPr>
              <w:tc>
                <w:tcPr>
                  <w:tcW w:w="1931" w:type="dxa"/>
                  <w:vMerge w:val="continue"/>
                  <w:noWrap w:val="0"/>
                  <w:vAlign w:val="center"/>
                </w:tcPr>
                <w:p w14:paraId="006636B2">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p>
              </w:tc>
              <w:tc>
                <w:tcPr>
                  <w:tcW w:w="2542" w:type="dxa"/>
                  <w:noWrap w:val="0"/>
                  <w:vAlign w:val="center"/>
                </w:tcPr>
                <w:p w14:paraId="374CF035">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位置</w:t>
                  </w:r>
                </w:p>
              </w:tc>
              <w:tc>
                <w:tcPr>
                  <w:tcW w:w="947" w:type="dxa"/>
                  <w:noWrap w:val="0"/>
                  <w:vAlign w:val="center"/>
                </w:tcPr>
                <w:p w14:paraId="31CD3968">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个数</w:t>
                  </w:r>
                </w:p>
              </w:tc>
              <w:tc>
                <w:tcPr>
                  <w:tcW w:w="1655" w:type="dxa"/>
                  <w:vMerge w:val="continue"/>
                  <w:noWrap w:val="0"/>
                  <w:vAlign w:val="center"/>
                </w:tcPr>
                <w:p w14:paraId="166F8A69">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p>
              </w:tc>
              <w:tc>
                <w:tcPr>
                  <w:tcW w:w="1435" w:type="dxa"/>
                  <w:vMerge w:val="continue"/>
                  <w:noWrap w:val="0"/>
                  <w:vAlign w:val="center"/>
                </w:tcPr>
                <w:p w14:paraId="435E985C">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p>
              </w:tc>
            </w:tr>
            <w:tr w14:paraId="5E0DA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0" w:hRule="atLeast"/>
                <w:jc w:val="center"/>
              </w:trPr>
              <w:tc>
                <w:tcPr>
                  <w:tcW w:w="1931" w:type="dxa"/>
                  <w:noWrap w:val="0"/>
                  <w:vAlign w:val="center"/>
                </w:tcPr>
                <w:p w14:paraId="7341A4E0">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噪声</w:t>
                  </w:r>
                </w:p>
              </w:tc>
              <w:tc>
                <w:tcPr>
                  <w:tcW w:w="2542" w:type="dxa"/>
                  <w:noWrap w:val="0"/>
                  <w:vAlign w:val="center"/>
                </w:tcPr>
                <w:p w14:paraId="3A60F130">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shd w:val="clear" w:color="auto" w:fill="auto"/>
                      <w:lang w:eastAsia="zh-CN"/>
                    </w:rPr>
                  </w:pPr>
                  <w:r>
                    <w:rPr>
                      <w:rFonts w:hint="eastAsia" w:ascii="宋体" w:hAnsi="宋体" w:eastAsia="宋体" w:cs="宋体"/>
                      <w:color w:val="auto"/>
                      <w:szCs w:val="21"/>
                      <w:highlight w:val="none"/>
                      <w:shd w:val="clear" w:color="auto" w:fill="auto"/>
                    </w:rPr>
                    <w:t>厂界外1米处</w:t>
                  </w:r>
                </w:p>
              </w:tc>
              <w:tc>
                <w:tcPr>
                  <w:tcW w:w="947" w:type="dxa"/>
                  <w:noWrap w:val="0"/>
                  <w:vAlign w:val="center"/>
                </w:tcPr>
                <w:p w14:paraId="333D100B">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shd w:val="clear" w:color="auto" w:fill="auto"/>
                      <w:lang w:eastAsia="zh-CN"/>
                    </w:rPr>
                  </w:pPr>
                  <w:r>
                    <w:rPr>
                      <w:rFonts w:hint="eastAsia" w:ascii="宋体" w:hAnsi="宋体" w:eastAsia="宋体" w:cs="宋体"/>
                      <w:color w:val="auto"/>
                      <w:szCs w:val="21"/>
                      <w:highlight w:val="none"/>
                      <w:shd w:val="clear" w:color="auto" w:fill="auto"/>
                      <w:lang w:val="en-US" w:eastAsia="zh-CN"/>
                    </w:rPr>
                    <w:t>4</w:t>
                  </w:r>
                </w:p>
              </w:tc>
              <w:tc>
                <w:tcPr>
                  <w:tcW w:w="1655" w:type="dxa"/>
                  <w:noWrap w:val="0"/>
                  <w:vAlign w:val="center"/>
                </w:tcPr>
                <w:p w14:paraId="636B09D7">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连续等效A声级</w:t>
                  </w:r>
                </w:p>
              </w:tc>
              <w:tc>
                <w:tcPr>
                  <w:tcW w:w="1435" w:type="dxa"/>
                  <w:noWrap w:val="0"/>
                  <w:vAlign w:val="center"/>
                </w:tcPr>
                <w:p w14:paraId="5D2D1E87">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1次/季度</w:t>
                  </w:r>
                </w:p>
              </w:tc>
            </w:tr>
          </w:tbl>
          <w:p w14:paraId="3BEE872A">
            <w:pPr>
              <w:keepNext w:val="0"/>
              <w:keepLines w:val="0"/>
              <w:suppressLineNumbers w:val="0"/>
              <w:spacing w:before="50" w:beforeAutospacing="0" w:after="50" w:afterAutospacing="0" w:line="360" w:lineRule="auto"/>
              <w:ind w:left="0" w:right="0" w:firstLine="482" w:firstLineChars="200"/>
              <w:rPr>
                <w:rFonts w:hint="eastAsia" w:ascii="宋体" w:hAnsi="宋体" w:eastAsia="宋体" w:cs="宋体"/>
                <w:b/>
                <w:color w:val="auto"/>
                <w:sz w:val="24"/>
                <w:highlight w:val="none"/>
                <w:shd w:val="clear" w:color="auto" w:fill="auto"/>
              </w:rPr>
            </w:pPr>
            <w:r>
              <w:rPr>
                <w:rFonts w:hint="eastAsia" w:ascii="宋体" w:hAnsi="宋体" w:eastAsia="宋体" w:cs="宋体"/>
                <w:b/>
                <w:color w:val="auto"/>
                <w:sz w:val="24"/>
                <w:highlight w:val="none"/>
                <w:shd w:val="clear" w:color="auto" w:fill="auto"/>
              </w:rPr>
              <w:t>四、固体废物影响分析</w:t>
            </w:r>
          </w:p>
          <w:p w14:paraId="18A0CD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Calibri" w:hAnsi="Calibri" w:cs="Times New Roman"/>
                <w:color w:val="auto"/>
                <w:sz w:val="24"/>
                <w:szCs w:val="24"/>
                <w:highlight w:val="none"/>
                <w:shd w:val="clear" w:color="auto" w:fill="auto"/>
                <w:lang w:val="en-US" w:eastAsia="zh-CN"/>
              </w:rPr>
            </w:pPr>
            <w:r>
              <w:rPr>
                <w:rFonts w:ascii="Calibri" w:hAnsi="Calibri" w:eastAsia="宋体" w:cs="Times New Roman"/>
                <w:color w:val="auto"/>
                <w:sz w:val="24"/>
                <w:highlight w:val="none"/>
              </w:rPr>
              <w:t>项目营运期固体废物主要为</w:t>
            </w:r>
            <w:r>
              <w:rPr>
                <w:rFonts w:hint="eastAsia" w:ascii="Calibri" w:hAnsi="Calibri" w:eastAsia="宋体" w:cs="Times New Roman"/>
                <w:color w:val="auto"/>
                <w:sz w:val="24"/>
                <w:highlight w:val="none"/>
                <w:lang w:eastAsia="zh-CN"/>
              </w:rPr>
              <w:t>一般固体废物、危险废物和生活垃圾。一般固体废物</w:t>
            </w:r>
            <w:r>
              <w:rPr>
                <w:rFonts w:ascii="Calibri" w:hAnsi="Calibri" w:eastAsia="宋体" w:cs="Times New Roman"/>
                <w:color w:val="auto"/>
                <w:sz w:val="24"/>
                <w:szCs w:val="24"/>
                <w:highlight w:val="none"/>
                <w:shd w:val="clear" w:color="auto" w:fill="auto"/>
              </w:rPr>
              <w:t>主要为除尘器回收粉尘</w:t>
            </w:r>
            <w:r>
              <w:rPr>
                <w:rFonts w:hint="eastAsia" w:ascii="Calibri" w:hAnsi="Calibri" w:eastAsia="宋体" w:cs="Times New Roman"/>
                <w:color w:val="auto"/>
                <w:sz w:val="24"/>
                <w:szCs w:val="24"/>
                <w:highlight w:val="none"/>
                <w:shd w:val="clear" w:color="auto" w:fill="auto"/>
                <w:lang w:eastAsia="zh-CN"/>
              </w:rPr>
              <w:t>、沉降粉尘、</w:t>
            </w:r>
            <w:r>
              <w:rPr>
                <w:rFonts w:hint="eastAsia" w:ascii="Calibri" w:hAnsi="Calibri" w:cs="Times New Roman"/>
                <w:color w:val="auto"/>
                <w:sz w:val="24"/>
                <w:szCs w:val="24"/>
                <w:highlight w:val="none"/>
                <w:shd w:val="clear" w:color="auto" w:fill="auto"/>
                <w:lang w:eastAsia="zh-CN"/>
              </w:rPr>
              <w:t>沉淀池污泥、</w:t>
            </w:r>
            <w:r>
              <w:rPr>
                <w:rFonts w:hint="eastAsia" w:ascii="Calibri" w:hAnsi="Calibri" w:eastAsia="宋体" w:cs="Times New Roman"/>
                <w:color w:val="auto"/>
                <w:sz w:val="24"/>
                <w:szCs w:val="24"/>
                <w:highlight w:val="none"/>
                <w:shd w:val="clear" w:color="auto" w:fill="auto"/>
                <w:lang w:eastAsia="zh-CN"/>
              </w:rPr>
              <w:t>废布袋、</w:t>
            </w:r>
            <w:r>
              <w:rPr>
                <w:rFonts w:hint="eastAsia" w:ascii="Calibri" w:hAnsi="Calibri" w:eastAsia="宋体" w:cs="Times New Roman"/>
                <w:color w:val="auto"/>
                <w:sz w:val="24"/>
                <w:highlight w:val="none"/>
                <w:lang w:eastAsia="zh-CN"/>
              </w:rPr>
              <w:t>危险废物为</w:t>
            </w:r>
            <w:r>
              <w:rPr>
                <w:rFonts w:hint="eastAsia" w:ascii="Calibri" w:hAnsi="Calibri" w:eastAsia="宋体" w:cs="Times New Roman"/>
                <w:color w:val="auto"/>
                <w:sz w:val="24"/>
                <w:szCs w:val="24"/>
                <w:highlight w:val="none"/>
                <w:shd w:val="clear" w:color="auto" w:fill="auto"/>
                <w:lang w:eastAsia="zh-CN"/>
              </w:rPr>
              <w:t>废机油</w:t>
            </w:r>
            <w:r>
              <w:rPr>
                <w:rFonts w:hint="eastAsia" w:ascii="Calibri" w:hAnsi="Calibri" w:cs="Times New Roman"/>
                <w:color w:val="auto"/>
                <w:sz w:val="24"/>
                <w:szCs w:val="24"/>
                <w:highlight w:val="none"/>
                <w:shd w:val="clear" w:color="auto" w:fill="auto"/>
                <w:lang w:eastAsia="zh-CN"/>
              </w:rPr>
              <w:t>、</w:t>
            </w:r>
            <w:r>
              <w:rPr>
                <w:rFonts w:hint="eastAsia" w:ascii="Times New Roman" w:hAnsi="Times New Roman" w:eastAsia="宋体" w:cs="Times New Roman"/>
                <w:color w:val="auto"/>
                <w:sz w:val="24"/>
                <w:highlight w:val="none"/>
                <w:shd w:val="clear" w:color="auto" w:fill="auto"/>
                <w:lang w:val="en-US" w:eastAsia="zh-CN"/>
              </w:rPr>
              <w:t>废油桶</w:t>
            </w:r>
            <w:r>
              <w:rPr>
                <w:rFonts w:hint="eastAsia" w:ascii="Times New Roman" w:hAnsi="Times New Roman" w:cs="Times New Roman"/>
                <w:color w:val="auto"/>
                <w:sz w:val="24"/>
                <w:highlight w:val="none"/>
                <w:shd w:val="clear" w:color="auto" w:fill="auto"/>
                <w:lang w:val="en-US" w:eastAsia="zh-CN"/>
              </w:rPr>
              <w:t>、</w:t>
            </w:r>
            <w:r>
              <w:rPr>
                <w:rFonts w:hint="eastAsia" w:ascii="Times New Roman" w:hAnsi="Times New Roman" w:eastAsia="宋体" w:cs="Times New Roman"/>
                <w:color w:val="auto"/>
                <w:sz w:val="24"/>
                <w:highlight w:val="none"/>
                <w:shd w:val="clear" w:color="auto" w:fill="auto"/>
                <w:lang w:val="en-US" w:eastAsia="zh-CN"/>
              </w:rPr>
              <w:t>废油手套和抹布</w:t>
            </w:r>
            <w:r>
              <w:rPr>
                <w:rFonts w:ascii="Calibri" w:hAnsi="Calibri" w:eastAsia="宋体" w:cs="Times New Roman"/>
                <w:color w:val="auto"/>
                <w:sz w:val="24"/>
                <w:szCs w:val="24"/>
                <w:highlight w:val="none"/>
                <w:shd w:val="clear" w:color="auto" w:fill="auto"/>
              </w:rPr>
              <w:t>。</w:t>
            </w:r>
            <w:r>
              <w:rPr>
                <w:rFonts w:hint="eastAsia" w:ascii="Calibri" w:hAnsi="Calibri" w:cs="Times New Roman"/>
                <w:color w:val="auto"/>
                <w:sz w:val="24"/>
                <w:szCs w:val="24"/>
                <w:highlight w:val="none"/>
                <w:shd w:val="clear" w:color="auto" w:fill="auto"/>
                <w:lang w:eastAsia="zh-CN"/>
              </w:rPr>
              <w:t>本项目设有一般工业固体废物暂存区，位于产品库房内，占地面积</w:t>
            </w:r>
            <w:r>
              <w:rPr>
                <w:rFonts w:hint="eastAsia" w:ascii="Calibri" w:hAnsi="Calibri" w:cs="Times New Roman"/>
                <w:color w:val="auto"/>
                <w:sz w:val="24"/>
                <w:szCs w:val="24"/>
                <w:highlight w:val="none"/>
                <w:shd w:val="clear" w:color="auto" w:fill="auto"/>
                <w:lang w:val="en-US" w:eastAsia="zh-CN"/>
              </w:rPr>
              <w:t>100㎡，用于临时存放一般工业固体废物。</w:t>
            </w:r>
          </w:p>
          <w:p w14:paraId="13155213">
            <w:pPr>
              <w:pStyle w:val="2"/>
              <w:keepNext w:val="0"/>
              <w:keepLines w:val="0"/>
              <w:suppressLineNumbers w:val="0"/>
              <w:spacing w:before="0" w:beforeAutospacing="0" w:after="0" w:afterAutospacing="0"/>
              <w:ind w:left="0" w:right="0"/>
              <w:rPr>
                <w:rFonts w:hint="default"/>
                <w:color w:val="auto"/>
                <w:highlight w:val="none"/>
                <w:lang w:val="en-US" w:eastAsia="zh-CN"/>
              </w:rPr>
            </w:pPr>
            <w:r>
              <w:rPr>
                <w:rFonts w:hint="eastAsia" w:ascii="Times New Roman" w:hAnsi="Times New Roman" w:eastAsia="宋体" w:cs="Times New Roman"/>
                <w:b w:val="0"/>
                <w:bCs w:val="0"/>
                <w:color w:val="auto"/>
                <w:kern w:val="2"/>
                <w:sz w:val="24"/>
                <w:szCs w:val="24"/>
                <w:highlight w:val="none"/>
                <w:shd w:val="clear" w:fill="auto"/>
                <w:lang w:val="en-US" w:eastAsia="zh-CN" w:bidi="ar-SA"/>
              </w:rPr>
              <w:t>1、一般工业固体废物</w:t>
            </w:r>
          </w:p>
          <w:p w14:paraId="1F7303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Calibri" w:hAnsi="Calibri" w:eastAsia="宋体" w:cs="Times New Roman"/>
                <w:color w:val="auto"/>
                <w:sz w:val="24"/>
                <w:szCs w:val="24"/>
                <w:highlight w:val="none"/>
                <w:shd w:val="clear" w:color="auto" w:fill="auto"/>
              </w:rPr>
            </w:pPr>
            <w:r>
              <w:rPr>
                <w:rFonts w:hint="eastAsia" w:ascii="宋体" w:hAnsi="宋体" w:eastAsia="宋体" w:cs="宋体"/>
                <w:b w:val="0"/>
                <w:bCs w:val="0"/>
                <w:color w:val="auto"/>
                <w:kern w:val="2"/>
                <w:sz w:val="24"/>
                <w:szCs w:val="24"/>
                <w:highlight w:val="none"/>
                <w:shd w:val="clear" w:fill="auto"/>
                <w:lang w:val="en-US" w:eastAsia="zh-CN" w:bidi="ar-SA"/>
              </w:rPr>
              <w:t>①</w:t>
            </w:r>
            <w:r>
              <w:rPr>
                <w:rFonts w:hint="eastAsia" w:ascii="Times New Roman" w:hAnsi="Times New Roman" w:eastAsia="宋体" w:cs="Times New Roman"/>
                <w:b w:val="0"/>
                <w:bCs w:val="0"/>
                <w:color w:val="auto"/>
                <w:kern w:val="2"/>
                <w:sz w:val="24"/>
                <w:szCs w:val="24"/>
                <w:highlight w:val="none"/>
                <w:shd w:val="clear" w:fill="auto"/>
                <w:lang w:val="en-US" w:eastAsia="zh-CN" w:bidi="ar-SA"/>
              </w:rPr>
              <w:t>、</w:t>
            </w:r>
            <w:r>
              <w:rPr>
                <w:rFonts w:hint="eastAsia" w:ascii="Calibri" w:hAnsi="Calibri" w:eastAsia="宋体" w:cs="Times New Roman"/>
                <w:color w:val="auto"/>
                <w:sz w:val="24"/>
                <w:szCs w:val="24"/>
                <w:highlight w:val="none"/>
                <w:shd w:val="clear" w:color="auto" w:fill="auto"/>
              </w:rPr>
              <w:t>除尘灰</w:t>
            </w:r>
            <w:r>
              <w:rPr>
                <w:rFonts w:hint="eastAsia" w:ascii="Times New Roman" w:hAnsi="Times New Roman" w:eastAsia="宋体" w:cs="宋体"/>
                <w:color w:val="auto"/>
                <w:kern w:val="2"/>
                <w:sz w:val="24"/>
                <w:szCs w:val="24"/>
                <w:highlight w:val="none"/>
                <w:shd w:val="clear" w:color="auto" w:fill="auto"/>
                <w:lang w:val="en-US" w:eastAsia="zh-CN" w:bidi="ar"/>
              </w:rPr>
              <w:t>（</w:t>
            </w:r>
            <w:r>
              <w:rPr>
                <w:rFonts w:hint="eastAsia" w:cs="宋体"/>
                <w:color w:val="auto"/>
                <w:kern w:val="2"/>
                <w:sz w:val="24"/>
                <w:szCs w:val="24"/>
                <w:highlight w:val="none"/>
                <w:shd w:val="clear" w:color="auto" w:fill="auto"/>
                <w:lang w:val="en-US" w:eastAsia="zh-CN" w:bidi="ar"/>
              </w:rPr>
              <w:t>废物种类：SW17 可再生类废物；废物</w:t>
            </w:r>
            <w:r>
              <w:rPr>
                <w:rFonts w:hint="eastAsia" w:ascii="Times New Roman" w:hAnsi="Times New Roman" w:eastAsia="宋体" w:cs="宋体"/>
                <w:color w:val="auto"/>
                <w:kern w:val="2"/>
                <w:sz w:val="24"/>
                <w:szCs w:val="24"/>
                <w:highlight w:val="none"/>
                <w:shd w:val="clear" w:color="auto" w:fill="auto"/>
                <w:lang w:val="en-US" w:eastAsia="zh-CN" w:bidi="ar"/>
              </w:rPr>
              <w:t>代码</w:t>
            </w:r>
            <w:r>
              <w:rPr>
                <w:rFonts w:hint="eastAsia" w:cs="宋体"/>
                <w:color w:val="auto"/>
                <w:kern w:val="2"/>
                <w:sz w:val="24"/>
                <w:szCs w:val="24"/>
                <w:highlight w:val="none"/>
                <w:shd w:val="clear" w:color="auto" w:fill="auto"/>
                <w:lang w:val="en-US" w:eastAsia="zh-CN" w:bidi="ar"/>
              </w:rPr>
              <w:t>：</w:t>
            </w:r>
            <w:r>
              <w:rPr>
                <w:rFonts w:hint="eastAsia" w:ascii="Times New Roman" w:hAnsi="Times New Roman" w:eastAsia="宋体" w:cs="Times New Roman"/>
                <w:color w:val="auto"/>
                <w:sz w:val="24"/>
                <w:szCs w:val="24"/>
                <w:highlight w:val="none"/>
                <w:shd w:val="clear" w:color="auto" w:fill="auto"/>
                <w:lang w:val="en-US" w:eastAsia="zh-CN"/>
              </w:rPr>
              <w:t>900-099-S</w:t>
            </w:r>
            <w:r>
              <w:rPr>
                <w:rFonts w:hint="eastAsia" w:cs="Times New Roman"/>
                <w:color w:val="auto"/>
                <w:sz w:val="24"/>
                <w:szCs w:val="24"/>
                <w:highlight w:val="none"/>
                <w:shd w:val="clear" w:color="auto" w:fill="auto"/>
                <w:lang w:val="en-US" w:eastAsia="zh-CN"/>
              </w:rPr>
              <w:t>17</w:t>
            </w:r>
            <w:r>
              <w:rPr>
                <w:rFonts w:hint="eastAsia" w:ascii="Times New Roman" w:hAnsi="Times New Roman" w:eastAsia="宋体" w:cs="宋体"/>
                <w:color w:val="auto"/>
                <w:kern w:val="2"/>
                <w:sz w:val="24"/>
                <w:szCs w:val="24"/>
                <w:highlight w:val="none"/>
                <w:shd w:val="clear" w:color="auto" w:fill="auto"/>
                <w:lang w:val="en-US" w:eastAsia="zh-CN" w:bidi="ar"/>
              </w:rPr>
              <w:t>）</w:t>
            </w:r>
          </w:p>
          <w:p w14:paraId="3474E2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Calibri" w:hAnsi="Calibri" w:eastAsia="宋体" w:cs="Times New Roman"/>
                <w:b w:val="0"/>
                <w:bCs w:val="0"/>
                <w:color w:val="auto"/>
                <w:sz w:val="24"/>
                <w:highlight w:val="none"/>
                <w:shd w:val="clear" w:color="auto" w:fill="auto"/>
                <w:lang w:eastAsia="zh-CN"/>
              </w:rPr>
            </w:pPr>
            <w:r>
              <w:rPr>
                <w:rFonts w:ascii="Calibri" w:hAnsi="Calibri" w:eastAsia="宋体" w:cs="Times New Roman"/>
                <w:color w:val="auto"/>
                <w:sz w:val="24"/>
                <w:szCs w:val="24"/>
                <w:highlight w:val="none"/>
                <w:shd w:val="clear" w:color="auto" w:fill="auto"/>
              </w:rPr>
              <w:t>本项目</w:t>
            </w:r>
            <w:r>
              <w:rPr>
                <w:rFonts w:hint="eastAsia" w:ascii="Calibri" w:hAnsi="Calibri" w:eastAsia="宋体" w:cs="Times New Roman"/>
                <w:color w:val="auto"/>
                <w:sz w:val="24"/>
                <w:szCs w:val="24"/>
                <w:highlight w:val="none"/>
                <w:shd w:val="clear" w:color="auto" w:fill="auto"/>
                <w:lang w:eastAsia="zh-CN"/>
              </w:rPr>
              <w:t>布袋</w:t>
            </w:r>
            <w:r>
              <w:rPr>
                <w:rFonts w:ascii="Calibri" w:hAnsi="Calibri" w:eastAsia="宋体" w:cs="Times New Roman"/>
                <w:color w:val="auto"/>
                <w:sz w:val="24"/>
                <w:szCs w:val="24"/>
                <w:highlight w:val="none"/>
                <w:shd w:val="clear" w:color="auto" w:fill="auto"/>
              </w:rPr>
              <w:t>除尘器回收粉尘约</w:t>
            </w:r>
            <w:r>
              <w:rPr>
                <w:rFonts w:hint="eastAsia" w:cs="Times New Roman"/>
                <w:color w:val="auto"/>
                <w:sz w:val="24"/>
                <w:szCs w:val="24"/>
                <w:highlight w:val="none"/>
                <w:shd w:val="clear" w:color="auto" w:fill="auto"/>
                <w:lang w:val="en-US" w:eastAsia="zh-CN"/>
              </w:rPr>
              <w:t xml:space="preserve">1562.89 </w:t>
            </w:r>
            <w:r>
              <w:rPr>
                <w:rFonts w:ascii="Calibri" w:hAnsi="Calibri" w:eastAsia="宋体" w:cs="Times New Roman"/>
                <w:color w:val="auto"/>
                <w:sz w:val="24"/>
                <w:szCs w:val="24"/>
                <w:highlight w:val="none"/>
                <w:shd w:val="clear" w:color="auto" w:fill="auto"/>
              </w:rPr>
              <w:t>t/a，</w:t>
            </w:r>
            <w:r>
              <w:rPr>
                <w:rFonts w:hint="eastAsia" w:ascii="Calibri" w:hAnsi="Calibri" w:cs="Times New Roman"/>
                <w:color w:val="auto"/>
                <w:sz w:val="24"/>
                <w:szCs w:val="24"/>
                <w:highlight w:val="none"/>
                <w:shd w:val="clear" w:color="auto" w:fill="auto"/>
                <w:lang w:eastAsia="zh-CN"/>
              </w:rPr>
              <w:t>暂存于一般工业固体废物暂存区，定期外售用于建筑材料。</w:t>
            </w:r>
          </w:p>
          <w:p w14:paraId="4DE908D1">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rPr>
                <w:rFonts w:hint="eastAsia" w:ascii="Calibri" w:hAnsi="Calibri" w:eastAsia="宋体" w:cs="Times New Roman"/>
                <w:color w:val="auto"/>
                <w:highlight w:val="none"/>
                <w:shd w:val="clear" w:color="auto" w:fill="auto"/>
                <w:lang w:val="en-US" w:eastAsia="zh-CN"/>
              </w:rPr>
            </w:pPr>
            <w:r>
              <w:rPr>
                <w:rFonts w:hint="eastAsia" w:ascii="宋体" w:hAnsi="宋体" w:eastAsia="宋体" w:cs="宋体"/>
                <w:b w:val="0"/>
                <w:bCs w:val="0"/>
                <w:color w:val="auto"/>
                <w:kern w:val="2"/>
                <w:sz w:val="24"/>
                <w:szCs w:val="24"/>
                <w:highlight w:val="none"/>
                <w:shd w:val="clear" w:fill="auto"/>
                <w:lang w:val="en-US" w:eastAsia="zh-CN" w:bidi="ar-SA"/>
              </w:rPr>
              <w:t>②</w:t>
            </w:r>
            <w:r>
              <w:rPr>
                <w:rFonts w:hint="eastAsia" w:ascii="Times New Roman" w:hAnsi="Times New Roman" w:eastAsia="宋体" w:cs="Times New Roman"/>
                <w:b w:val="0"/>
                <w:bCs w:val="0"/>
                <w:color w:val="auto"/>
                <w:kern w:val="2"/>
                <w:sz w:val="24"/>
                <w:szCs w:val="24"/>
                <w:highlight w:val="none"/>
                <w:shd w:val="clear" w:fill="auto"/>
                <w:lang w:val="en-US" w:eastAsia="zh-CN" w:bidi="ar-SA"/>
              </w:rPr>
              <w:t>、</w:t>
            </w:r>
            <w:r>
              <w:rPr>
                <w:rFonts w:hint="eastAsia" w:ascii="Calibri" w:hAnsi="Calibri" w:eastAsia="宋体" w:cs="Times New Roman"/>
                <w:b w:val="0"/>
                <w:bCs w:val="0"/>
                <w:color w:val="auto"/>
                <w:sz w:val="24"/>
                <w:highlight w:val="none"/>
                <w:shd w:val="clear" w:color="auto" w:fill="auto"/>
                <w:lang w:eastAsia="zh-CN"/>
              </w:rPr>
              <w:t>沉降粉尘</w:t>
            </w:r>
            <w:r>
              <w:rPr>
                <w:rFonts w:hint="eastAsia" w:ascii="Times New Roman" w:hAnsi="Times New Roman" w:eastAsia="宋体" w:cs="宋体"/>
                <w:color w:val="auto"/>
                <w:kern w:val="2"/>
                <w:sz w:val="24"/>
                <w:szCs w:val="24"/>
                <w:highlight w:val="none"/>
                <w:shd w:val="clear" w:color="auto" w:fill="auto"/>
                <w:lang w:val="en-US" w:eastAsia="zh-CN" w:bidi="ar"/>
              </w:rPr>
              <w:t>（</w:t>
            </w:r>
            <w:r>
              <w:rPr>
                <w:rFonts w:hint="eastAsia" w:cs="宋体"/>
                <w:color w:val="auto"/>
                <w:kern w:val="2"/>
                <w:sz w:val="24"/>
                <w:szCs w:val="24"/>
                <w:highlight w:val="none"/>
                <w:shd w:val="clear" w:color="auto" w:fill="auto"/>
                <w:lang w:val="en-US" w:eastAsia="zh-CN" w:bidi="ar"/>
              </w:rPr>
              <w:t>废物种类：SW17 可再生类废物；废物</w:t>
            </w:r>
            <w:r>
              <w:rPr>
                <w:rFonts w:hint="eastAsia" w:ascii="Times New Roman" w:hAnsi="Times New Roman" w:eastAsia="宋体" w:cs="宋体"/>
                <w:color w:val="auto"/>
                <w:kern w:val="2"/>
                <w:sz w:val="24"/>
                <w:szCs w:val="24"/>
                <w:highlight w:val="none"/>
                <w:shd w:val="clear" w:color="auto" w:fill="auto"/>
                <w:lang w:val="en-US" w:eastAsia="zh-CN" w:bidi="ar"/>
              </w:rPr>
              <w:t>代码</w:t>
            </w:r>
            <w:r>
              <w:rPr>
                <w:rFonts w:hint="eastAsia" w:cs="宋体"/>
                <w:color w:val="auto"/>
                <w:kern w:val="2"/>
                <w:sz w:val="24"/>
                <w:szCs w:val="24"/>
                <w:highlight w:val="none"/>
                <w:shd w:val="clear" w:color="auto" w:fill="auto"/>
                <w:lang w:val="en-US" w:eastAsia="zh-CN" w:bidi="ar"/>
              </w:rPr>
              <w:t>：</w:t>
            </w:r>
            <w:r>
              <w:rPr>
                <w:rFonts w:hint="eastAsia" w:ascii="Times New Roman" w:hAnsi="Times New Roman" w:eastAsia="宋体" w:cs="Times New Roman"/>
                <w:color w:val="auto"/>
                <w:sz w:val="24"/>
                <w:szCs w:val="24"/>
                <w:highlight w:val="none"/>
                <w:shd w:val="clear" w:color="auto" w:fill="auto"/>
                <w:lang w:val="en-US" w:eastAsia="zh-CN"/>
              </w:rPr>
              <w:t>900-099-S</w:t>
            </w:r>
            <w:r>
              <w:rPr>
                <w:rFonts w:hint="eastAsia" w:cs="Times New Roman"/>
                <w:color w:val="auto"/>
                <w:sz w:val="24"/>
                <w:szCs w:val="24"/>
                <w:highlight w:val="none"/>
                <w:shd w:val="clear" w:color="auto" w:fill="auto"/>
                <w:lang w:val="en-US" w:eastAsia="zh-CN"/>
              </w:rPr>
              <w:t>17</w:t>
            </w:r>
            <w:r>
              <w:rPr>
                <w:rFonts w:hint="eastAsia" w:ascii="Times New Roman" w:hAnsi="Times New Roman" w:eastAsia="宋体" w:cs="宋体"/>
                <w:color w:val="auto"/>
                <w:kern w:val="2"/>
                <w:sz w:val="24"/>
                <w:szCs w:val="24"/>
                <w:highlight w:val="none"/>
                <w:shd w:val="clear" w:color="auto" w:fill="auto"/>
                <w:lang w:val="en-US" w:eastAsia="zh-CN" w:bidi="ar"/>
              </w:rPr>
              <w:t>）</w:t>
            </w:r>
          </w:p>
          <w:p w14:paraId="231C43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highlight w:val="none"/>
                <w:shd w:val="clear" w:color="auto" w:fill="auto"/>
                <w:lang w:val="en-US" w:eastAsia="zh-CN"/>
              </w:rPr>
            </w:pPr>
            <w:r>
              <w:rPr>
                <w:rFonts w:ascii="Calibri" w:hAnsi="Calibri" w:eastAsia="宋体" w:cs="Times New Roman"/>
                <w:color w:val="auto"/>
                <w:sz w:val="24"/>
                <w:szCs w:val="24"/>
                <w:highlight w:val="none"/>
                <w:shd w:val="clear" w:color="auto" w:fill="auto"/>
              </w:rPr>
              <w:t>本项目</w:t>
            </w:r>
            <w:r>
              <w:rPr>
                <w:rFonts w:hint="eastAsia" w:ascii="Times New Roman" w:hAnsi="Times New Roman" w:eastAsia="宋体" w:cs="Times New Roman"/>
                <w:color w:val="auto"/>
                <w:sz w:val="24"/>
                <w:szCs w:val="24"/>
                <w:highlight w:val="none"/>
                <w:shd w:val="clear" w:color="auto" w:fill="auto"/>
                <w:lang w:eastAsia="zh-CN"/>
              </w:rPr>
              <w:t>产生的沉降粉尘，年产生量为</w:t>
            </w:r>
            <w:r>
              <w:rPr>
                <w:rFonts w:hint="eastAsia" w:cs="Times New Roman"/>
                <w:color w:val="auto"/>
                <w:sz w:val="24"/>
                <w:szCs w:val="24"/>
                <w:highlight w:val="none"/>
                <w:shd w:val="clear" w:color="auto" w:fill="auto"/>
                <w:lang w:val="en-US" w:eastAsia="zh-CN"/>
              </w:rPr>
              <w:t>243.737</w:t>
            </w:r>
            <w:r>
              <w:rPr>
                <w:rFonts w:hint="eastAsia" w:ascii="Times New Roman" w:hAnsi="Times New Roman" w:eastAsia="宋体" w:cs="Times New Roman"/>
                <w:color w:val="auto"/>
                <w:sz w:val="24"/>
                <w:szCs w:val="24"/>
                <w:highlight w:val="none"/>
                <w:shd w:val="clear" w:color="auto" w:fill="auto"/>
                <w:lang w:val="en-US" w:eastAsia="zh-CN"/>
              </w:rPr>
              <w:t>t/a，</w:t>
            </w:r>
            <w:r>
              <w:rPr>
                <w:rFonts w:hint="eastAsia" w:ascii="Calibri" w:hAnsi="Calibri" w:cs="Times New Roman"/>
                <w:color w:val="auto"/>
                <w:sz w:val="24"/>
                <w:szCs w:val="24"/>
                <w:highlight w:val="none"/>
                <w:shd w:val="clear" w:color="auto" w:fill="auto"/>
                <w:lang w:eastAsia="zh-CN"/>
              </w:rPr>
              <w:t>暂存于一般工业固体废物暂存区，定期外售用于建筑材料</w:t>
            </w:r>
            <w:r>
              <w:rPr>
                <w:rFonts w:hint="eastAsia" w:ascii="Times New Roman" w:hAnsi="Times New Roman" w:eastAsia="宋体" w:cs="Times New Roman"/>
                <w:color w:val="auto"/>
                <w:sz w:val="24"/>
                <w:szCs w:val="24"/>
                <w:highlight w:val="none"/>
                <w:shd w:val="clear" w:color="auto" w:fill="auto"/>
                <w:lang w:val="en-US" w:eastAsia="zh-CN"/>
              </w:rPr>
              <w:t>。</w:t>
            </w:r>
          </w:p>
          <w:p w14:paraId="4F2DA214">
            <w:pPr>
              <w:keepNext w:val="0"/>
              <w:keepLines w:val="0"/>
              <w:pageBreakBefore w:val="0"/>
              <w:widowControl w:val="0"/>
              <w:numPr>
                <w:ilvl w:val="0"/>
                <w:numId w:val="0"/>
              </w:numPr>
              <w:suppressLineNumbers w:val="0"/>
              <w:tabs>
                <w:tab w:val="left" w:pos="567"/>
              </w:tabs>
              <w:kinsoku/>
              <w:wordWrap/>
              <w:overflowPunct/>
              <w:topLinePunct w:val="0"/>
              <w:autoSpaceDE/>
              <w:autoSpaceDN/>
              <w:bidi w:val="0"/>
              <w:snapToGrid w:val="0"/>
              <w:spacing w:before="0" w:beforeAutospacing="0" w:after="0" w:afterAutospacing="0" w:line="360" w:lineRule="auto"/>
              <w:ind w:left="0" w:right="0" w:rightChars="0" w:firstLine="480" w:firstLineChars="200"/>
              <w:rPr>
                <w:rFonts w:hint="eastAsia" w:cs="Times New Roman"/>
                <w:b w:val="0"/>
                <w:bCs w:val="0"/>
                <w:color w:val="auto"/>
                <w:sz w:val="24"/>
                <w:highlight w:val="none"/>
                <w:shd w:val="clear" w:color="auto" w:fill="auto"/>
                <w:lang w:val="en-US" w:eastAsia="zh-CN"/>
              </w:rPr>
            </w:pPr>
            <w:r>
              <w:rPr>
                <w:rFonts w:hint="eastAsia" w:ascii="宋体" w:hAnsi="宋体" w:eastAsia="宋体" w:cs="宋体"/>
                <w:b w:val="0"/>
                <w:bCs w:val="0"/>
                <w:color w:val="auto"/>
                <w:kern w:val="2"/>
                <w:sz w:val="24"/>
                <w:szCs w:val="24"/>
                <w:highlight w:val="none"/>
                <w:shd w:val="clear" w:fill="auto"/>
                <w:lang w:val="en-US" w:eastAsia="zh-CN" w:bidi="ar-SA"/>
              </w:rPr>
              <w:t>③</w:t>
            </w:r>
            <w:r>
              <w:rPr>
                <w:rFonts w:hint="eastAsia" w:ascii="Times New Roman" w:hAnsi="Times New Roman" w:eastAsia="宋体" w:cs="Times New Roman"/>
                <w:b w:val="0"/>
                <w:bCs w:val="0"/>
                <w:color w:val="auto"/>
                <w:kern w:val="2"/>
                <w:sz w:val="24"/>
                <w:szCs w:val="24"/>
                <w:highlight w:val="none"/>
                <w:shd w:val="clear" w:fill="auto"/>
                <w:lang w:val="en-US" w:eastAsia="zh-CN" w:bidi="ar-SA"/>
              </w:rPr>
              <w:t>、</w:t>
            </w:r>
            <w:r>
              <w:rPr>
                <w:rFonts w:hint="eastAsia" w:cs="Times New Roman"/>
                <w:b w:val="0"/>
                <w:bCs w:val="0"/>
                <w:color w:val="auto"/>
                <w:sz w:val="24"/>
                <w:highlight w:val="none"/>
                <w:shd w:val="clear" w:color="auto" w:fill="auto"/>
                <w:lang w:val="en-US" w:eastAsia="zh-CN"/>
              </w:rPr>
              <w:t>沉淀池污泥</w:t>
            </w:r>
            <w:r>
              <w:rPr>
                <w:rFonts w:hint="eastAsia" w:ascii="Times New Roman" w:hAnsi="Times New Roman" w:eastAsia="宋体" w:cs="宋体"/>
                <w:color w:val="auto"/>
                <w:kern w:val="2"/>
                <w:sz w:val="24"/>
                <w:szCs w:val="24"/>
                <w:highlight w:val="none"/>
                <w:shd w:val="clear" w:color="auto" w:fill="auto"/>
                <w:lang w:val="en-US" w:eastAsia="zh-CN" w:bidi="ar"/>
              </w:rPr>
              <w:t>（</w:t>
            </w:r>
            <w:r>
              <w:rPr>
                <w:rFonts w:hint="eastAsia" w:cs="宋体"/>
                <w:color w:val="auto"/>
                <w:kern w:val="2"/>
                <w:sz w:val="24"/>
                <w:szCs w:val="24"/>
                <w:highlight w:val="none"/>
                <w:shd w:val="clear" w:color="auto" w:fill="auto"/>
                <w:lang w:val="en-US" w:eastAsia="zh-CN" w:bidi="ar"/>
              </w:rPr>
              <w:t>废物种类：SW07 污泥；废物</w:t>
            </w:r>
            <w:r>
              <w:rPr>
                <w:rFonts w:hint="eastAsia" w:ascii="Times New Roman" w:hAnsi="Times New Roman" w:eastAsia="宋体" w:cs="宋体"/>
                <w:color w:val="auto"/>
                <w:kern w:val="2"/>
                <w:sz w:val="24"/>
                <w:szCs w:val="24"/>
                <w:highlight w:val="none"/>
                <w:shd w:val="clear" w:color="auto" w:fill="auto"/>
                <w:lang w:val="en-US" w:eastAsia="zh-CN" w:bidi="ar"/>
              </w:rPr>
              <w:t>代码</w:t>
            </w:r>
            <w:r>
              <w:rPr>
                <w:rFonts w:hint="eastAsia" w:cs="Times New Roman"/>
                <w:b w:val="0"/>
                <w:bCs w:val="0"/>
                <w:color w:val="auto"/>
                <w:sz w:val="24"/>
                <w:highlight w:val="none"/>
                <w:shd w:val="clear" w:color="auto" w:fill="auto"/>
                <w:lang w:val="en-US" w:eastAsia="zh-CN"/>
              </w:rPr>
              <w:t>900-099-S07</w:t>
            </w:r>
            <w:r>
              <w:rPr>
                <w:rFonts w:hint="eastAsia" w:ascii="Times New Roman" w:hAnsi="Times New Roman" w:eastAsia="宋体" w:cs="宋体"/>
                <w:color w:val="auto"/>
                <w:kern w:val="2"/>
                <w:sz w:val="24"/>
                <w:szCs w:val="24"/>
                <w:highlight w:val="none"/>
                <w:shd w:val="clear" w:color="auto" w:fill="auto"/>
                <w:lang w:val="en-US" w:eastAsia="zh-CN" w:bidi="ar"/>
              </w:rPr>
              <w:t>）</w:t>
            </w:r>
          </w:p>
          <w:p w14:paraId="658E13BD">
            <w:pPr>
              <w:keepNext w:val="0"/>
              <w:keepLines w:val="0"/>
              <w:pageBreakBefore w:val="0"/>
              <w:widowControl w:val="0"/>
              <w:numPr>
                <w:ilvl w:val="0"/>
                <w:numId w:val="0"/>
              </w:numPr>
              <w:suppressLineNumbers w:val="0"/>
              <w:tabs>
                <w:tab w:val="left" w:pos="567"/>
              </w:tabs>
              <w:kinsoku/>
              <w:wordWrap/>
              <w:overflowPunct/>
              <w:topLinePunct w:val="0"/>
              <w:autoSpaceDE/>
              <w:autoSpaceDN/>
              <w:bidi w:val="0"/>
              <w:snapToGrid w:val="0"/>
              <w:spacing w:before="0" w:beforeAutospacing="0" w:after="0" w:afterAutospacing="0" w:line="360" w:lineRule="auto"/>
              <w:ind w:left="0" w:right="0" w:rightChars="0" w:firstLine="480" w:firstLineChars="200"/>
              <w:rPr>
                <w:color w:val="auto"/>
                <w:highlight w:val="none"/>
              </w:rPr>
            </w:pPr>
            <w:r>
              <w:rPr>
                <w:rFonts w:hint="eastAsia" w:cs="Times New Roman"/>
                <w:b w:val="0"/>
                <w:bCs w:val="0"/>
                <w:color w:val="auto"/>
                <w:sz w:val="24"/>
                <w:highlight w:val="none"/>
                <w:shd w:val="clear" w:color="auto" w:fill="auto"/>
                <w:lang w:val="en-US" w:eastAsia="zh-CN"/>
              </w:rPr>
              <w:t>项目设置洗车平台，对出厂车辆进行轮胎清洗，轮胎清洗水排入沉淀池循环利用，年清洗车辆20063</w:t>
            </w:r>
            <w:r>
              <w:rPr>
                <w:rFonts w:hint="eastAsia"/>
                <w:color w:val="auto"/>
                <w:sz w:val="24"/>
                <w:szCs w:val="24"/>
                <w:highlight w:val="none"/>
                <w:lang w:eastAsia="zh-CN"/>
              </w:rPr>
              <w:t>辆</w:t>
            </w:r>
            <w:r>
              <w:rPr>
                <w:rFonts w:hint="eastAsia" w:cs="Times New Roman"/>
                <w:b w:val="0"/>
                <w:bCs w:val="0"/>
                <w:color w:val="auto"/>
                <w:sz w:val="24"/>
                <w:highlight w:val="none"/>
                <w:shd w:val="clear" w:color="auto" w:fill="auto"/>
                <w:lang w:val="en-US" w:eastAsia="zh-CN"/>
              </w:rPr>
              <w:t>/年，以每车带走泥土50g计，则沉淀池污泥年产生量为1t/a，产生的污泥定期清掏，外售建材公司用于建筑材料，厂内不设储存。</w:t>
            </w:r>
          </w:p>
          <w:p w14:paraId="76B144D5">
            <w:pPr>
              <w:keepNext w:val="0"/>
              <w:keepLines w:val="0"/>
              <w:pageBreakBefore w:val="0"/>
              <w:widowControl w:val="0"/>
              <w:numPr>
                <w:ilvl w:val="0"/>
                <w:numId w:val="0"/>
              </w:numPr>
              <w:suppressLineNumbers w:val="0"/>
              <w:tabs>
                <w:tab w:val="left" w:pos="567"/>
              </w:tabs>
              <w:kinsoku/>
              <w:wordWrap/>
              <w:overflowPunct/>
              <w:topLinePunct w:val="0"/>
              <w:autoSpaceDE/>
              <w:autoSpaceDN/>
              <w:bidi w:val="0"/>
              <w:snapToGrid w:val="0"/>
              <w:spacing w:before="0" w:beforeAutospacing="0" w:after="0" w:afterAutospacing="0" w:line="360" w:lineRule="auto"/>
              <w:ind w:left="0" w:right="0" w:rightChars="0" w:firstLine="480" w:firstLineChars="200"/>
              <w:rPr>
                <w:rFonts w:hint="eastAsia" w:cs="Times New Roman"/>
                <w:b w:val="0"/>
                <w:bCs w:val="0"/>
                <w:color w:val="auto"/>
                <w:sz w:val="24"/>
                <w:highlight w:val="none"/>
                <w:shd w:val="clear" w:color="auto" w:fill="auto"/>
                <w:lang w:val="en-US" w:eastAsia="zh-CN"/>
              </w:rPr>
            </w:pPr>
            <w:r>
              <w:rPr>
                <w:rFonts w:hint="eastAsia" w:ascii="宋体" w:hAnsi="宋体" w:eastAsia="宋体" w:cs="宋体"/>
                <w:b w:val="0"/>
                <w:bCs w:val="0"/>
                <w:color w:val="auto"/>
                <w:kern w:val="2"/>
                <w:sz w:val="24"/>
                <w:szCs w:val="24"/>
                <w:highlight w:val="none"/>
                <w:shd w:val="clear" w:fill="auto"/>
                <w:lang w:val="en-US" w:eastAsia="zh-CN" w:bidi="ar-SA"/>
              </w:rPr>
              <w:t>④</w:t>
            </w:r>
            <w:r>
              <w:rPr>
                <w:rFonts w:hint="eastAsia" w:ascii="Times New Roman" w:hAnsi="Times New Roman" w:eastAsia="宋体" w:cs="Times New Roman"/>
                <w:b w:val="0"/>
                <w:bCs w:val="0"/>
                <w:color w:val="auto"/>
                <w:kern w:val="2"/>
                <w:sz w:val="24"/>
                <w:szCs w:val="24"/>
                <w:highlight w:val="none"/>
                <w:shd w:val="clear" w:fill="auto"/>
                <w:lang w:val="en-US" w:eastAsia="zh-CN" w:bidi="ar-SA"/>
              </w:rPr>
              <w:t>、</w:t>
            </w:r>
            <w:r>
              <w:rPr>
                <w:rFonts w:hint="eastAsia" w:cs="Times New Roman"/>
                <w:b w:val="0"/>
                <w:bCs w:val="0"/>
                <w:color w:val="auto"/>
                <w:kern w:val="2"/>
                <w:sz w:val="24"/>
                <w:szCs w:val="24"/>
                <w:highlight w:val="none"/>
                <w:shd w:val="clear" w:fill="auto"/>
                <w:lang w:val="en-US" w:eastAsia="zh-CN" w:bidi="ar-SA"/>
              </w:rPr>
              <w:t>水洗白云石</w:t>
            </w:r>
            <w:r>
              <w:rPr>
                <w:rFonts w:hint="eastAsia" w:cs="Times New Roman"/>
                <w:b w:val="0"/>
                <w:bCs w:val="0"/>
                <w:color w:val="auto"/>
                <w:sz w:val="24"/>
                <w:highlight w:val="none"/>
                <w:shd w:val="clear" w:color="auto" w:fill="auto"/>
                <w:lang w:val="en-US" w:eastAsia="zh-CN"/>
              </w:rPr>
              <w:t>沉淀渣</w:t>
            </w:r>
            <w:r>
              <w:rPr>
                <w:rFonts w:hint="eastAsia" w:ascii="Times New Roman" w:hAnsi="Times New Roman" w:eastAsia="宋体" w:cs="宋体"/>
                <w:color w:val="auto"/>
                <w:kern w:val="2"/>
                <w:sz w:val="24"/>
                <w:szCs w:val="24"/>
                <w:highlight w:val="none"/>
                <w:shd w:val="clear" w:color="auto" w:fill="auto"/>
                <w:lang w:val="en-US" w:eastAsia="zh-CN" w:bidi="ar"/>
              </w:rPr>
              <w:t>（</w:t>
            </w:r>
            <w:r>
              <w:rPr>
                <w:rFonts w:hint="eastAsia" w:cs="宋体"/>
                <w:color w:val="auto"/>
                <w:kern w:val="2"/>
                <w:sz w:val="24"/>
                <w:szCs w:val="24"/>
                <w:highlight w:val="none"/>
                <w:shd w:val="clear" w:color="auto" w:fill="auto"/>
                <w:lang w:val="en-US" w:eastAsia="zh-CN" w:bidi="ar"/>
              </w:rPr>
              <w:t>废物种类：SW07 污泥；废物</w:t>
            </w:r>
            <w:r>
              <w:rPr>
                <w:rFonts w:hint="eastAsia" w:ascii="Times New Roman" w:hAnsi="Times New Roman" w:eastAsia="宋体" w:cs="宋体"/>
                <w:color w:val="auto"/>
                <w:kern w:val="2"/>
                <w:sz w:val="24"/>
                <w:szCs w:val="24"/>
                <w:highlight w:val="none"/>
                <w:shd w:val="clear" w:color="auto" w:fill="auto"/>
                <w:lang w:val="en-US" w:eastAsia="zh-CN" w:bidi="ar"/>
              </w:rPr>
              <w:t>代码</w:t>
            </w:r>
            <w:r>
              <w:rPr>
                <w:rFonts w:hint="eastAsia" w:cs="Times New Roman"/>
                <w:b w:val="0"/>
                <w:bCs w:val="0"/>
                <w:color w:val="auto"/>
                <w:sz w:val="24"/>
                <w:highlight w:val="none"/>
                <w:shd w:val="clear" w:color="auto" w:fill="auto"/>
                <w:lang w:val="en-US" w:eastAsia="zh-CN"/>
              </w:rPr>
              <w:t>900-099-S07</w:t>
            </w:r>
            <w:r>
              <w:rPr>
                <w:rFonts w:hint="eastAsia" w:ascii="Times New Roman" w:hAnsi="Times New Roman" w:eastAsia="宋体" w:cs="宋体"/>
                <w:color w:val="auto"/>
                <w:kern w:val="2"/>
                <w:sz w:val="24"/>
                <w:szCs w:val="24"/>
                <w:highlight w:val="none"/>
                <w:shd w:val="clear" w:color="auto" w:fill="auto"/>
                <w:lang w:val="en-US" w:eastAsia="zh-CN" w:bidi="ar"/>
              </w:rPr>
              <w:t>）</w:t>
            </w:r>
          </w:p>
          <w:p w14:paraId="4393BD93">
            <w:pPr>
              <w:pStyle w:val="16"/>
              <w:keepNext w:val="0"/>
              <w:keepLines w:val="0"/>
              <w:suppressLineNumbers w:val="0"/>
              <w:spacing w:before="0" w:beforeAutospacing="0" w:after="0" w:afterAutospacing="0"/>
              <w:ind w:left="0" w:right="0"/>
              <w:rPr>
                <w:rFonts w:hint="default"/>
                <w:color w:val="auto"/>
                <w:highlight w:val="none"/>
                <w:lang w:val="en-US" w:eastAsia="zh-CN"/>
              </w:rPr>
            </w:pPr>
            <w:r>
              <w:rPr>
                <w:rFonts w:hint="eastAsia" w:cs="Times New Roman"/>
                <w:b w:val="0"/>
                <w:bCs w:val="0"/>
                <w:color w:val="auto"/>
                <w:sz w:val="24"/>
                <w:highlight w:val="none"/>
                <w:shd w:val="clear" w:color="auto" w:fill="auto"/>
                <w:lang w:val="en-US" w:eastAsia="zh-CN"/>
              </w:rPr>
              <w:t>项目水洗白云石废水排入沉淀池循环利用，根据物料平衡，沉淀渣年产生量约为8t/a，产生的沉淀渣定期清掏，外售建材公司用于建筑材料，厂内不设储存</w:t>
            </w:r>
          </w:p>
          <w:p w14:paraId="3FEB4E62">
            <w:pPr>
              <w:keepNext w:val="0"/>
              <w:keepLines w:val="0"/>
              <w:pageBreakBefore w:val="0"/>
              <w:widowControl w:val="0"/>
              <w:numPr>
                <w:ilvl w:val="0"/>
                <w:numId w:val="0"/>
              </w:numPr>
              <w:suppressLineNumbers w:val="0"/>
              <w:tabs>
                <w:tab w:val="left" w:pos="567"/>
              </w:tabs>
              <w:kinsoku/>
              <w:wordWrap/>
              <w:overflowPunct/>
              <w:topLinePunct w:val="0"/>
              <w:autoSpaceDE/>
              <w:autoSpaceDN/>
              <w:bidi w:val="0"/>
              <w:snapToGrid w:val="0"/>
              <w:spacing w:before="0" w:beforeAutospacing="0" w:after="0" w:afterAutospacing="0" w:line="360" w:lineRule="auto"/>
              <w:ind w:left="420" w:leftChars="0" w:right="0"/>
              <w:rPr>
                <w:rFonts w:hint="eastAsia" w:ascii="Times New Roman" w:hAnsi="Times New Roman" w:eastAsia="宋体" w:cs="Times New Roman"/>
                <w:b w:val="0"/>
                <w:bCs w:val="0"/>
                <w:color w:val="auto"/>
                <w:sz w:val="24"/>
                <w:highlight w:val="none"/>
                <w:shd w:val="clear" w:color="auto" w:fill="auto"/>
                <w:lang w:val="en-US" w:eastAsia="zh-CN"/>
              </w:rPr>
            </w:pPr>
            <w:r>
              <w:rPr>
                <w:rFonts w:hint="eastAsia" w:ascii="宋体" w:hAnsi="宋体" w:eastAsia="宋体" w:cs="宋体"/>
                <w:b w:val="0"/>
                <w:bCs w:val="0"/>
                <w:color w:val="auto"/>
                <w:kern w:val="2"/>
                <w:sz w:val="24"/>
                <w:szCs w:val="24"/>
                <w:highlight w:val="none"/>
                <w:shd w:val="clear" w:fill="auto"/>
                <w:lang w:val="en-US" w:eastAsia="zh-CN" w:bidi="ar-SA"/>
              </w:rPr>
              <w:t>⑤</w:t>
            </w:r>
            <w:r>
              <w:rPr>
                <w:rFonts w:hint="eastAsia" w:ascii="Times New Roman" w:hAnsi="Times New Roman" w:eastAsia="宋体" w:cs="Times New Roman"/>
                <w:b w:val="0"/>
                <w:bCs w:val="0"/>
                <w:color w:val="auto"/>
                <w:kern w:val="2"/>
                <w:sz w:val="24"/>
                <w:szCs w:val="24"/>
                <w:highlight w:val="none"/>
                <w:shd w:val="clear" w:fill="auto"/>
                <w:lang w:val="en-US" w:eastAsia="zh-CN" w:bidi="ar-SA"/>
              </w:rPr>
              <w:t>、</w:t>
            </w:r>
            <w:r>
              <w:rPr>
                <w:rFonts w:hint="eastAsia" w:ascii="Times New Roman" w:hAnsi="Times New Roman" w:eastAsia="宋体" w:cs="Times New Roman"/>
                <w:b w:val="0"/>
                <w:bCs w:val="0"/>
                <w:color w:val="auto"/>
                <w:sz w:val="24"/>
                <w:highlight w:val="none"/>
                <w:shd w:val="clear" w:color="auto" w:fill="auto"/>
                <w:lang w:val="en-US" w:eastAsia="zh-CN"/>
              </w:rPr>
              <w:t>废布袋（</w:t>
            </w:r>
            <w:r>
              <w:rPr>
                <w:rFonts w:hint="eastAsia" w:cs="宋体"/>
                <w:color w:val="auto"/>
                <w:kern w:val="2"/>
                <w:sz w:val="24"/>
                <w:szCs w:val="24"/>
                <w:highlight w:val="none"/>
                <w:shd w:val="clear" w:color="auto" w:fill="auto"/>
                <w:lang w:val="en-US" w:eastAsia="zh-CN" w:bidi="ar"/>
              </w:rPr>
              <w:t>废物种类：SW59 其他工业固体废物；废物</w:t>
            </w:r>
            <w:r>
              <w:rPr>
                <w:rFonts w:hint="eastAsia" w:ascii="Times New Roman" w:hAnsi="Times New Roman" w:eastAsia="宋体" w:cs="Times New Roman"/>
                <w:b w:val="0"/>
                <w:bCs w:val="0"/>
                <w:color w:val="auto"/>
                <w:sz w:val="24"/>
                <w:highlight w:val="none"/>
                <w:shd w:val="clear" w:color="auto" w:fill="auto"/>
                <w:lang w:val="en-US" w:eastAsia="zh-CN"/>
              </w:rPr>
              <w:t>代码</w:t>
            </w:r>
            <w:r>
              <w:rPr>
                <w:rFonts w:hint="eastAsia" w:ascii="Times New Roman" w:hAnsi="Times New Roman" w:eastAsia="宋体" w:cs="Times New Roman"/>
                <w:color w:val="auto"/>
                <w:sz w:val="24"/>
                <w:szCs w:val="24"/>
                <w:highlight w:val="none"/>
                <w:shd w:val="clear" w:color="auto" w:fill="auto"/>
                <w:lang w:val="en-US" w:eastAsia="zh-CN"/>
              </w:rPr>
              <w:t>900-009-S59）</w:t>
            </w:r>
          </w:p>
          <w:p w14:paraId="7A97BA45">
            <w:pPr>
              <w:keepNext w:val="0"/>
              <w:keepLines w:val="0"/>
              <w:pageBreakBefore w:val="0"/>
              <w:widowControl w:val="0"/>
              <w:suppressLineNumbers w:val="0"/>
              <w:tabs>
                <w:tab w:val="left" w:pos="567"/>
              </w:tabs>
              <w:kinsoku/>
              <w:wordWrap/>
              <w:overflowPunct/>
              <w:topLinePunct w:val="0"/>
              <w:autoSpaceDE/>
              <w:autoSpaceDN/>
              <w:bidi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highlight w:val="none"/>
                <w:shd w:val="clear" w:color="auto" w:fill="auto"/>
                <w:lang w:val="en-US" w:eastAsia="zh-CN"/>
              </w:rPr>
            </w:pPr>
            <w:r>
              <w:rPr>
                <w:rFonts w:hint="eastAsia" w:ascii="Times New Roman" w:hAnsi="Times New Roman" w:eastAsia="宋体" w:cs="Times New Roman"/>
                <w:b w:val="0"/>
                <w:bCs w:val="0"/>
                <w:color w:val="auto"/>
                <w:sz w:val="24"/>
                <w:highlight w:val="none"/>
                <w:shd w:val="clear" w:color="auto" w:fill="auto"/>
                <w:lang w:val="en-US" w:eastAsia="zh-CN"/>
              </w:rPr>
              <w:t>除尘器维修会产生废布袋，年产</w:t>
            </w:r>
            <w:r>
              <w:rPr>
                <w:rFonts w:hint="eastAsia" w:ascii="Times New Roman" w:hAnsi="Times New Roman" w:eastAsia="宋体" w:cs="Times New Roman"/>
                <w:b w:val="0"/>
                <w:bCs w:val="0"/>
                <w:color w:val="auto"/>
                <w:sz w:val="24"/>
                <w:szCs w:val="24"/>
                <w:highlight w:val="none"/>
                <w:shd w:val="clear" w:color="auto" w:fill="auto"/>
                <w:lang w:val="en-US" w:eastAsia="zh-CN"/>
              </w:rPr>
              <w:t>生量为0.</w:t>
            </w:r>
            <w:r>
              <w:rPr>
                <w:rFonts w:hint="eastAsia" w:cs="Times New Roman"/>
                <w:b w:val="0"/>
                <w:bCs w:val="0"/>
                <w:color w:val="auto"/>
                <w:sz w:val="24"/>
                <w:szCs w:val="24"/>
                <w:highlight w:val="none"/>
                <w:shd w:val="clear" w:color="auto" w:fill="auto"/>
                <w:lang w:val="en-US" w:eastAsia="zh-CN"/>
              </w:rPr>
              <w:t>1</w:t>
            </w:r>
            <w:r>
              <w:rPr>
                <w:rFonts w:hint="eastAsia" w:ascii="Times New Roman" w:hAnsi="Times New Roman" w:eastAsia="宋体" w:cs="Times New Roman"/>
                <w:color w:val="auto"/>
                <w:sz w:val="24"/>
                <w:szCs w:val="24"/>
                <w:highlight w:val="none"/>
                <w:shd w:val="clear" w:color="auto" w:fill="auto"/>
                <w:lang w:val="en-US" w:eastAsia="zh-CN"/>
              </w:rPr>
              <w:t>t/a，废布袋集中收集，放置于产品库房西南角一般固体废物暂存区，</w:t>
            </w:r>
            <w:r>
              <w:rPr>
                <w:rFonts w:hint="eastAsia" w:cs="Times New Roman"/>
                <w:color w:val="auto"/>
                <w:sz w:val="24"/>
                <w:szCs w:val="24"/>
                <w:highlight w:val="none"/>
                <w:shd w:val="clear" w:color="auto" w:fill="auto"/>
                <w:lang w:eastAsia="zh-CN"/>
              </w:rPr>
              <w:t>由厂家</w:t>
            </w:r>
            <w:r>
              <w:rPr>
                <w:rFonts w:hint="eastAsia" w:ascii="Times New Roman" w:hAnsi="Times New Roman" w:cs="Times New Roman"/>
                <w:color w:val="auto"/>
                <w:sz w:val="24"/>
                <w:szCs w:val="24"/>
                <w:highlight w:val="none"/>
                <w:lang w:eastAsia="zh-CN"/>
              </w:rPr>
              <w:t>回收</w:t>
            </w:r>
            <w:r>
              <w:rPr>
                <w:rFonts w:hint="eastAsia" w:ascii="Times New Roman" w:hAnsi="Times New Roman" w:eastAsia="宋体" w:cs="Times New Roman"/>
                <w:color w:val="auto"/>
                <w:sz w:val="24"/>
                <w:szCs w:val="24"/>
                <w:highlight w:val="none"/>
                <w:shd w:val="clear" w:color="auto" w:fill="auto"/>
                <w:lang w:val="en-US" w:eastAsia="zh-CN"/>
              </w:rPr>
              <w:t>。</w:t>
            </w:r>
          </w:p>
          <w:p w14:paraId="3DAE3D9C">
            <w:pPr>
              <w:pStyle w:val="2"/>
              <w:keepNext w:val="0"/>
              <w:keepLines w:val="0"/>
              <w:suppressLineNumbers w:val="0"/>
              <w:spacing w:before="0" w:beforeAutospacing="0" w:after="0" w:afterAutospacing="0"/>
              <w:ind w:left="0" w:right="0"/>
              <w:rPr>
                <w:rFonts w:hint="default"/>
                <w:color w:val="auto"/>
                <w:highlight w:val="none"/>
                <w:lang w:val="en-US" w:eastAsia="zh-CN"/>
              </w:rPr>
            </w:pPr>
            <w:r>
              <w:rPr>
                <w:rFonts w:hint="eastAsia" w:ascii="Times New Roman" w:hAnsi="Times New Roman" w:cs="Times New Roman"/>
                <w:color w:val="auto"/>
                <w:sz w:val="24"/>
                <w:szCs w:val="24"/>
                <w:highlight w:val="none"/>
                <w:shd w:val="clear" w:color="auto" w:fill="auto"/>
                <w:lang w:val="en-US" w:eastAsia="zh-CN"/>
              </w:rPr>
              <w:t>2、危险废物</w:t>
            </w:r>
          </w:p>
          <w:p w14:paraId="15620BB4">
            <w:pPr>
              <w:keepNext w:val="0"/>
              <w:keepLines w:val="0"/>
              <w:pageBreakBefore w:val="0"/>
              <w:widowControl w:val="0"/>
              <w:numPr>
                <w:ilvl w:val="0"/>
                <w:numId w:val="0"/>
              </w:numPr>
              <w:suppressLineNumbers w:val="0"/>
              <w:tabs>
                <w:tab w:val="left" w:pos="567"/>
              </w:tabs>
              <w:kinsoku/>
              <w:wordWrap/>
              <w:overflowPunct/>
              <w:topLinePunct w:val="0"/>
              <w:autoSpaceDE/>
              <w:autoSpaceDN/>
              <w:bidi w:val="0"/>
              <w:snapToGrid w:val="0"/>
              <w:spacing w:before="0" w:beforeAutospacing="0" w:after="0" w:afterAutospacing="0" w:line="360" w:lineRule="auto"/>
              <w:ind w:left="0" w:leftChars="0" w:right="0" w:firstLine="420" w:firstLineChars="175"/>
              <w:rPr>
                <w:rFonts w:hint="eastAsia" w:ascii="Times New Roman" w:hAnsi="Times New Roman" w:eastAsia="宋体" w:cs="Times New Roman"/>
                <w:b w:val="0"/>
                <w:bCs w:val="0"/>
                <w:color w:val="auto"/>
                <w:sz w:val="24"/>
                <w:highlight w:val="none"/>
                <w:shd w:val="clear" w:color="auto" w:fill="auto"/>
                <w:lang w:val="en-US" w:eastAsia="zh-CN"/>
              </w:rPr>
            </w:pPr>
            <w:r>
              <w:rPr>
                <w:rFonts w:hint="eastAsia" w:ascii="宋体" w:hAnsi="宋体" w:eastAsia="宋体" w:cs="宋体"/>
                <w:b w:val="0"/>
                <w:bCs w:val="0"/>
                <w:color w:val="auto"/>
                <w:kern w:val="2"/>
                <w:sz w:val="24"/>
                <w:szCs w:val="24"/>
                <w:highlight w:val="none"/>
                <w:shd w:val="clear" w:fill="auto"/>
                <w:lang w:val="en-US" w:eastAsia="zh-CN" w:bidi="ar-SA"/>
              </w:rPr>
              <w:t>①</w:t>
            </w:r>
            <w:r>
              <w:rPr>
                <w:rFonts w:hint="eastAsia" w:ascii="Times New Roman" w:hAnsi="Times New Roman" w:eastAsia="宋体" w:cs="Times New Roman"/>
                <w:b w:val="0"/>
                <w:bCs w:val="0"/>
                <w:color w:val="auto"/>
                <w:sz w:val="24"/>
                <w:highlight w:val="none"/>
                <w:shd w:val="clear" w:color="auto" w:fill="auto"/>
                <w:lang w:val="en-US" w:eastAsia="zh-CN"/>
              </w:rPr>
              <w:t>、废机油（</w:t>
            </w:r>
            <w:r>
              <w:rPr>
                <w:rFonts w:hint="eastAsia" w:cs="宋体"/>
                <w:color w:val="auto"/>
                <w:kern w:val="2"/>
                <w:sz w:val="24"/>
                <w:szCs w:val="24"/>
                <w:highlight w:val="none"/>
                <w:shd w:val="clear" w:color="auto" w:fill="auto"/>
                <w:lang w:val="en-US" w:eastAsia="zh-CN" w:bidi="ar"/>
              </w:rPr>
              <w:t>废物种类：HW08 废矿物油与含矿物油废物；废物</w:t>
            </w:r>
            <w:r>
              <w:rPr>
                <w:rFonts w:hint="eastAsia" w:ascii="Times New Roman" w:hAnsi="Times New Roman" w:eastAsia="宋体" w:cs="Times New Roman"/>
                <w:b w:val="0"/>
                <w:bCs w:val="0"/>
                <w:color w:val="auto"/>
                <w:sz w:val="24"/>
                <w:highlight w:val="none"/>
                <w:shd w:val="clear" w:color="auto" w:fill="auto"/>
                <w:lang w:val="en-US" w:eastAsia="zh-CN"/>
              </w:rPr>
              <w:t>代码</w:t>
            </w:r>
            <w:r>
              <w:rPr>
                <w:rFonts w:hint="eastAsia" w:ascii="Times New Roman" w:hAnsi="Times New Roman" w:eastAsia="宋体" w:cs="Times New Roman"/>
                <w:color w:val="auto"/>
                <w:sz w:val="24"/>
                <w:szCs w:val="24"/>
                <w:highlight w:val="none"/>
                <w:shd w:val="clear" w:color="auto" w:fill="auto"/>
                <w:lang w:val="en-US" w:eastAsia="zh-CN"/>
              </w:rPr>
              <w:t>900-217-08</w:t>
            </w:r>
            <w:r>
              <w:rPr>
                <w:rFonts w:hint="eastAsia" w:ascii="Times New Roman" w:hAnsi="Times New Roman" w:eastAsia="宋体" w:cs="Times New Roman"/>
                <w:b w:val="0"/>
                <w:bCs w:val="0"/>
                <w:color w:val="auto"/>
                <w:sz w:val="24"/>
                <w:highlight w:val="none"/>
                <w:shd w:val="clear" w:color="auto" w:fill="auto"/>
                <w:lang w:val="en-US" w:eastAsia="zh-CN"/>
              </w:rPr>
              <w:t>）</w:t>
            </w:r>
          </w:p>
          <w:p w14:paraId="7026C1F2">
            <w:pPr>
              <w:keepNext w:val="0"/>
              <w:keepLines w:val="0"/>
              <w:pageBreakBefore w:val="0"/>
              <w:widowControl w:val="0"/>
              <w:suppressLineNumbers w:val="0"/>
              <w:tabs>
                <w:tab w:val="left" w:pos="567"/>
              </w:tabs>
              <w:kinsoku/>
              <w:wordWrap/>
              <w:overflowPunct/>
              <w:topLinePunct w:val="0"/>
              <w:autoSpaceDE/>
              <w:autoSpaceDN/>
              <w:bidi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highlight w:val="none"/>
                <w:shd w:val="clear" w:color="auto" w:fill="auto"/>
                <w:lang w:val="en-US" w:eastAsia="zh-CN"/>
              </w:rPr>
            </w:pPr>
            <w:r>
              <w:rPr>
                <w:rFonts w:ascii="Calibri" w:hAnsi="Calibri" w:eastAsia="宋体" w:cs="Times New Roman"/>
                <w:color w:val="auto"/>
                <w:sz w:val="24"/>
                <w:szCs w:val="24"/>
                <w:highlight w:val="none"/>
                <w:shd w:val="clear" w:color="auto" w:fill="auto"/>
              </w:rPr>
              <w:t>本项目</w:t>
            </w:r>
            <w:r>
              <w:rPr>
                <w:rFonts w:hint="eastAsia" w:ascii="Times New Roman" w:hAnsi="Times New Roman" w:eastAsia="宋体" w:cs="Times New Roman"/>
                <w:color w:val="auto"/>
                <w:sz w:val="24"/>
                <w:highlight w:val="none"/>
                <w:shd w:val="clear" w:color="auto" w:fill="auto"/>
                <w:lang w:val="en-US" w:eastAsia="zh-CN"/>
              </w:rPr>
              <w:t>机械设备维护会产生废油，废机油产生量约为0.2t/a，废机油属危险废物，暂存于</w:t>
            </w:r>
            <w:r>
              <w:rPr>
                <w:rFonts w:hint="eastAsia" w:cs="Times New Roman"/>
                <w:color w:val="auto"/>
                <w:sz w:val="24"/>
                <w:highlight w:val="none"/>
                <w:shd w:val="clear" w:color="auto" w:fill="auto"/>
                <w:lang w:val="en-US" w:eastAsia="zh-CN"/>
              </w:rPr>
              <w:t>厂内</w:t>
            </w:r>
            <w:r>
              <w:rPr>
                <w:rFonts w:hint="eastAsia" w:ascii="Times New Roman" w:hAnsi="Times New Roman" w:eastAsia="宋体" w:cs="Times New Roman"/>
                <w:color w:val="auto"/>
                <w:sz w:val="24"/>
                <w:highlight w:val="none"/>
                <w:shd w:val="clear" w:color="auto" w:fill="auto"/>
                <w:lang w:val="en-US" w:eastAsia="zh-CN"/>
              </w:rPr>
              <w:t>危险废物贮存点，定期交</w:t>
            </w:r>
            <w:r>
              <w:rPr>
                <w:rFonts w:hint="eastAsia" w:cs="Times New Roman"/>
                <w:color w:val="auto"/>
                <w:sz w:val="24"/>
                <w:highlight w:val="none"/>
                <w:shd w:val="clear" w:color="auto" w:fill="auto"/>
                <w:lang w:val="en-US" w:eastAsia="zh-CN"/>
              </w:rPr>
              <w:t>由</w:t>
            </w:r>
            <w:r>
              <w:rPr>
                <w:rFonts w:hint="eastAsia" w:ascii="Times New Roman" w:hAnsi="Times New Roman" w:eastAsia="宋体" w:cs="Times New Roman"/>
                <w:color w:val="auto"/>
                <w:sz w:val="24"/>
                <w:highlight w:val="none"/>
                <w:shd w:val="clear" w:color="auto" w:fill="auto"/>
                <w:lang w:val="en-US" w:eastAsia="zh-CN"/>
              </w:rPr>
              <w:t>有</w:t>
            </w:r>
            <w:r>
              <w:rPr>
                <w:rFonts w:hint="eastAsia" w:cs="Times New Roman"/>
                <w:color w:val="auto"/>
                <w:sz w:val="24"/>
                <w:highlight w:val="none"/>
                <w:shd w:val="clear" w:color="auto" w:fill="auto"/>
                <w:lang w:val="en-US" w:eastAsia="zh-CN"/>
              </w:rPr>
              <w:t>资质单位处置</w:t>
            </w:r>
            <w:r>
              <w:rPr>
                <w:rFonts w:hint="eastAsia" w:ascii="Times New Roman" w:hAnsi="Times New Roman" w:eastAsia="宋体" w:cs="Times New Roman"/>
                <w:color w:val="auto"/>
                <w:sz w:val="24"/>
                <w:highlight w:val="none"/>
                <w:shd w:val="clear" w:color="auto" w:fill="auto"/>
                <w:lang w:val="en-US" w:eastAsia="zh-CN"/>
              </w:rPr>
              <w:t>。</w:t>
            </w:r>
          </w:p>
          <w:p w14:paraId="4DD8E11D">
            <w:pPr>
              <w:keepNext w:val="0"/>
              <w:keepLines w:val="0"/>
              <w:pageBreakBefore w:val="0"/>
              <w:widowControl w:val="0"/>
              <w:numPr>
                <w:ilvl w:val="0"/>
                <w:numId w:val="0"/>
              </w:numPr>
              <w:suppressLineNumbers w:val="0"/>
              <w:tabs>
                <w:tab w:val="left" w:pos="567"/>
              </w:tabs>
              <w:kinsoku/>
              <w:wordWrap/>
              <w:overflowPunct/>
              <w:topLinePunct w:val="0"/>
              <w:autoSpaceDE/>
              <w:autoSpaceDN/>
              <w:bidi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highlight w:val="none"/>
                <w:shd w:val="clear" w:color="auto" w:fill="auto"/>
                <w:lang w:val="en-US" w:eastAsia="zh-CN"/>
              </w:rPr>
            </w:pPr>
            <w:r>
              <w:rPr>
                <w:rFonts w:hint="eastAsia" w:ascii="宋体" w:hAnsi="宋体" w:eastAsia="宋体" w:cs="宋体"/>
                <w:b w:val="0"/>
                <w:bCs w:val="0"/>
                <w:color w:val="auto"/>
                <w:kern w:val="2"/>
                <w:sz w:val="24"/>
                <w:szCs w:val="24"/>
                <w:highlight w:val="none"/>
                <w:shd w:val="clear" w:fill="auto"/>
                <w:lang w:val="en-US" w:eastAsia="zh-CN" w:bidi="ar-SA"/>
              </w:rPr>
              <w:t>②</w:t>
            </w:r>
            <w:r>
              <w:rPr>
                <w:rFonts w:hint="eastAsia" w:ascii="Times New Roman" w:hAnsi="Times New Roman" w:eastAsia="宋体" w:cs="Times New Roman"/>
                <w:b w:val="0"/>
                <w:bCs w:val="0"/>
                <w:color w:val="auto"/>
                <w:kern w:val="2"/>
                <w:sz w:val="24"/>
                <w:szCs w:val="24"/>
                <w:highlight w:val="none"/>
                <w:shd w:val="clear" w:fill="auto"/>
                <w:lang w:val="en-US" w:eastAsia="zh-CN" w:bidi="ar-SA"/>
              </w:rPr>
              <w:t>、</w:t>
            </w:r>
            <w:r>
              <w:rPr>
                <w:rFonts w:hint="eastAsia" w:ascii="Times New Roman" w:hAnsi="Times New Roman" w:eastAsia="宋体" w:cs="Times New Roman"/>
                <w:color w:val="auto"/>
                <w:sz w:val="24"/>
                <w:highlight w:val="none"/>
                <w:shd w:val="clear" w:color="auto" w:fill="auto"/>
                <w:lang w:val="en-US" w:eastAsia="zh-CN"/>
              </w:rPr>
              <w:t>废油桶（</w:t>
            </w:r>
            <w:r>
              <w:rPr>
                <w:rFonts w:hint="eastAsia" w:cs="宋体"/>
                <w:color w:val="auto"/>
                <w:kern w:val="2"/>
                <w:sz w:val="24"/>
                <w:szCs w:val="24"/>
                <w:highlight w:val="none"/>
                <w:shd w:val="clear" w:color="auto" w:fill="auto"/>
                <w:lang w:val="en-US" w:eastAsia="zh-CN" w:bidi="ar"/>
              </w:rPr>
              <w:t>废物种类：HW08 废矿物油与含矿物油废物；废物</w:t>
            </w:r>
            <w:r>
              <w:rPr>
                <w:rFonts w:hint="eastAsia" w:ascii="Times New Roman" w:hAnsi="Times New Roman" w:eastAsia="宋体" w:cs="Times New Roman"/>
                <w:color w:val="auto"/>
                <w:sz w:val="24"/>
                <w:highlight w:val="none"/>
                <w:shd w:val="clear" w:color="auto" w:fill="auto"/>
                <w:lang w:val="en-US" w:eastAsia="zh-CN"/>
              </w:rPr>
              <w:t>代码900-249-08）</w:t>
            </w:r>
          </w:p>
          <w:p w14:paraId="30169695">
            <w:pPr>
              <w:keepNext w:val="0"/>
              <w:keepLines w:val="0"/>
              <w:pageBreakBefore w:val="0"/>
              <w:widowControl w:val="0"/>
              <w:suppressLineNumbers w:val="0"/>
              <w:tabs>
                <w:tab w:val="left" w:pos="567"/>
              </w:tabs>
              <w:kinsoku/>
              <w:wordWrap/>
              <w:overflowPunct/>
              <w:topLinePunct w:val="0"/>
              <w:autoSpaceDE/>
              <w:autoSpaceDN/>
              <w:bidi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highlight w:val="none"/>
                <w:shd w:val="clear" w:color="auto" w:fill="auto"/>
                <w:lang w:val="en-US" w:eastAsia="zh-CN"/>
              </w:rPr>
            </w:pPr>
            <w:r>
              <w:rPr>
                <w:rFonts w:ascii="Calibri" w:hAnsi="Calibri" w:eastAsia="宋体" w:cs="Times New Roman"/>
                <w:color w:val="auto"/>
                <w:sz w:val="24"/>
                <w:szCs w:val="24"/>
                <w:highlight w:val="none"/>
                <w:shd w:val="clear" w:color="auto" w:fill="auto"/>
              </w:rPr>
              <w:t>本项目</w:t>
            </w:r>
            <w:r>
              <w:rPr>
                <w:rFonts w:hint="eastAsia" w:ascii="Times New Roman" w:hAnsi="Times New Roman" w:eastAsia="宋体" w:cs="Times New Roman"/>
                <w:color w:val="auto"/>
                <w:sz w:val="24"/>
                <w:highlight w:val="none"/>
                <w:shd w:val="clear" w:color="auto" w:fill="auto"/>
                <w:lang w:val="en-US" w:eastAsia="zh-CN"/>
              </w:rPr>
              <w:t>生产过程中会产生废油桶，产生量约为1个/a，废油桶属危险废物，暂存于</w:t>
            </w:r>
            <w:r>
              <w:rPr>
                <w:rFonts w:hint="eastAsia" w:cs="Times New Roman"/>
                <w:color w:val="auto"/>
                <w:sz w:val="24"/>
                <w:highlight w:val="none"/>
                <w:shd w:val="clear" w:color="auto" w:fill="auto"/>
                <w:lang w:val="en-US" w:eastAsia="zh-CN"/>
              </w:rPr>
              <w:t>厂内</w:t>
            </w:r>
            <w:r>
              <w:rPr>
                <w:rFonts w:hint="eastAsia" w:ascii="Times New Roman" w:hAnsi="Times New Roman" w:eastAsia="宋体" w:cs="Times New Roman"/>
                <w:color w:val="auto"/>
                <w:sz w:val="24"/>
                <w:highlight w:val="none"/>
                <w:shd w:val="clear" w:color="auto" w:fill="auto"/>
                <w:lang w:val="en-US" w:eastAsia="zh-CN"/>
              </w:rPr>
              <w:t>危险废物贮存点，定期交</w:t>
            </w:r>
            <w:r>
              <w:rPr>
                <w:rFonts w:hint="eastAsia" w:cs="Times New Roman"/>
                <w:color w:val="auto"/>
                <w:sz w:val="24"/>
                <w:highlight w:val="none"/>
                <w:shd w:val="clear" w:color="auto" w:fill="auto"/>
                <w:lang w:val="en-US" w:eastAsia="zh-CN"/>
              </w:rPr>
              <w:t>由</w:t>
            </w:r>
            <w:r>
              <w:rPr>
                <w:rFonts w:hint="eastAsia" w:ascii="Times New Roman" w:hAnsi="Times New Roman" w:eastAsia="宋体" w:cs="Times New Roman"/>
                <w:color w:val="auto"/>
                <w:sz w:val="24"/>
                <w:highlight w:val="none"/>
                <w:shd w:val="clear" w:color="auto" w:fill="auto"/>
                <w:lang w:val="en-US" w:eastAsia="zh-CN"/>
              </w:rPr>
              <w:t>有</w:t>
            </w:r>
            <w:r>
              <w:rPr>
                <w:rFonts w:hint="eastAsia" w:cs="Times New Roman"/>
                <w:color w:val="auto"/>
                <w:sz w:val="24"/>
                <w:highlight w:val="none"/>
                <w:shd w:val="clear" w:color="auto" w:fill="auto"/>
                <w:lang w:val="en-US" w:eastAsia="zh-CN"/>
              </w:rPr>
              <w:t>资质单位处置</w:t>
            </w:r>
            <w:r>
              <w:rPr>
                <w:rFonts w:hint="eastAsia" w:ascii="Times New Roman" w:hAnsi="Times New Roman" w:eastAsia="宋体" w:cs="Times New Roman"/>
                <w:color w:val="auto"/>
                <w:sz w:val="24"/>
                <w:highlight w:val="none"/>
                <w:shd w:val="clear" w:color="auto" w:fill="auto"/>
                <w:lang w:val="en-US" w:eastAsia="zh-CN"/>
              </w:rPr>
              <w:t>。</w:t>
            </w:r>
          </w:p>
          <w:p w14:paraId="102B0EC7">
            <w:pPr>
              <w:keepNext w:val="0"/>
              <w:keepLines w:val="0"/>
              <w:pageBreakBefore w:val="0"/>
              <w:widowControl w:val="0"/>
              <w:suppressLineNumbers w:val="0"/>
              <w:tabs>
                <w:tab w:val="left" w:pos="567"/>
              </w:tabs>
              <w:kinsoku/>
              <w:wordWrap/>
              <w:overflowPunct/>
              <w:topLinePunct w:val="0"/>
              <w:autoSpaceDE/>
              <w:autoSpaceDN/>
              <w:bidi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highlight w:val="none"/>
                <w:shd w:val="clear" w:color="auto" w:fill="auto"/>
                <w:lang w:val="en-US" w:eastAsia="zh-CN"/>
              </w:rPr>
            </w:pPr>
            <w:r>
              <w:rPr>
                <w:rFonts w:hint="eastAsia" w:ascii="宋体" w:hAnsi="宋体" w:eastAsia="宋体" w:cs="宋体"/>
                <w:b w:val="0"/>
                <w:bCs w:val="0"/>
                <w:color w:val="auto"/>
                <w:kern w:val="2"/>
                <w:sz w:val="24"/>
                <w:szCs w:val="24"/>
                <w:highlight w:val="none"/>
                <w:shd w:val="clear" w:fill="auto"/>
                <w:lang w:val="en-US" w:eastAsia="zh-CN" w:bidi="ar-SA"/>
              </w:rPr>
              <w:t>③</w:t>
            </w:r>
            <w:r>
              <w:rPr>
                <w:rFonts w:hint="eastAsia" w:ascii="Times New Roman" w:hAnsi="Times New Roman" w:eastAsia="宋体" w:cs="Times New Roman"/>
                <w:color w:val="auto"/>
                <w:sz w:val="24"/>
                <w:highlight w:val="none"/>
                <w:shd w:val="clear" w:color="auto" w:fill="auto"/>
                <w:lang w:val="en-US" w:eastAsia="zh-CN"/>
              </w:rPr>
              <w:t>、废油手套和抹布（</w:t>
            </w:r>
            <w:r>
              <w:rPr>
                <w:rFonts w:hint="eastAsia" w:cs="宋体"/>
                <w:color w:val="auto"/>
                <w:kern w:val="2"/>
                <w:sz w:val="24"/>
                <w:szCs w:val="24"/>
                <w:highlight w:val="none"/>
                <w:shd w:val="clear" w:color="auto" w:fill="auto"/>
                <w:lang w:val="en-US" w:eastAsia="zh-CN" w:bidi="ar"/>
              </w:rPr>
              <w:t>废物种类：HW49 其他废物；废物</w:t>
            </w:r>
            <w:r>
              <w:rPr>
                <w:rFonts w:hint="eastAsia" w:ascii="Times New Roman" w:hAnsi="Times New Roman" w:eastAsia="宋体" w:cs="Times New Roman"/>
                <w:color w:val="auto"/>
                <w:sz w:val="24"/>
                <w:highlight w:val="none"/>
                <w:shd w:val="clear" w:color="auto" w:fill="auto"/>
                <w:lang w:val="en-US" w:eastAsia="zh-CN"/>
              </w:rPr>
              <w:t>代码900-041-49）</w:t>
            </w:r>
          </w:p>
          <w:p w14:paraId="49FD9C63">
            <w:pPr>
              <w:keepNext w:val="0"/>
              <w:keepLines w:val="0"/>
              <w:pageBreakBefore w:val="0"/>
              <w:widowControl w:val="0"/>
              <w:suppressLineNumbers w:val="0"/>
              <w:tabs>
                <w:tab w:val="left" w:pos="567"/>
              </w:tabs>
              <w:kinsoku/>
              <w:wordWrap/>
              <w:overflowPunct/>
              <w:topLinePunct w:val="0"/>
              <w:autoSpaceDE/>
              <w:autoSpaceDN/>
              <w:bidi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shd w:val="clear" w:color="auto" w:fill="auto"/>
                <w:lang w:val="en-US" w:eastAsia="zh-CN"/>
              </w:rPr>
            </w:pPr>
            <w:r>
              <w:rPr>
                <w:rFonts w:hint="eastAsia" w:ascii="Times New Roman" w:hAnsi="Times New Roman" w:eastAsia="宋体" w:cs="Times New Roman"/>
                <w:color w:val="auto"/>
                <w:sz w:val="24"/>
                <w:highlight w:val="none"/>
                <w:shd w:val="clear" w:color="auto" w:fill="auto"/>
                <w:lang w:val="en-US" w:eastAsia="zh-CN"/>
              </w:rPr>
              <w:t>项目设备维修会产生废油手套和抹布，产生量约为0.01t/a。废油手套和抹布属危险废物，暂存于</w:t>
            </w:r>
            <w:r>
              <w:rPr>
                <w:rFonts w:hint="eastAsia" w:cs="Times New Roman"/>
                <w:color w:val="auto"/>
                <w:sz w:val="24"/>
                <w:highlight w:val="none"/>
                <w:shd w:val="clear" w:color="auto" w:fill="auto"/>
                <w:lang w:val="en-US" w:eastAsia="zh-CN"/>
              </w:rPr>
              <w:t>厂内</w:t>
            </w:r>
            <w:r>
              <w:rPr>
                <w:rFonts w:hint="eastAsia" w:ascii="Times New Roman" w:hAnsi="Times New Roman" w:eastAsia="宋体" w:cs="Times New Roman"/>
                <w:color w:val="auto"/>
                <w:sz w:val="24"/>
                <w:highlight w:val="none"/>
                <w:shd w:val="clear" w:color="auto" w:fill="auto"/>
                <w:lang w:val="en-US" w:eastAsia="zh-CN"/>
              </w:rPr>
              <w:t>危险废物贮存点，定期交</w:t>
            </w:r>
            <w:r>
              <w:rPr>
                <w:rFonts w:hint="eastAsia" w:cs="Times New Roman"/>
                <w:color w:val="auto"/>
                <w:sz w:val="24"/>
                <w:highlight w:val="none"/>
                <w:shd w:val="clear" w:color="auto" w:fill="auto"/>
                <w:lang w:val="en-US" w:eastAsia="zh-CN"/>
              </w:rPr>
              <w:t>由</w:t>
            </w:r>
            <w:r>
              <w:rPr>
                <w:rFonts w:hint="eastAsia" w:ascii="Times New Roman" w:hAnsi="Times New Roman" w:eastAsia="宋体" w:cs="Times New Roman"/>
                <w:color w:val="auto"/>
                <w:sz w:val="24"/>
                <w:highlight w:val="none"/>
                <w:shd w:val="clear" w:color="auto" w:fill="auto"/>
                <w:lang w:val="en-US" w:eastAsia="zh-CN"/>
              </w:rPr>
              <w:t>有</w:t>
            </w:r>
            <w:r>
              <w:rPr>
                <w:rFonts w:hint="eastAsia" w:cs="Times New Roman"/>
                <w:color w:val="auto"/>
                <w:sz w:val="24"/>
                <w:highlight w:val="none"/>
                <w:shd w:val="clear" w:color="auto" w:fill="auto"/>
                <w:lang w:val="en-US" w:eastAsia="zh-CN"/>
              </w:rPr>
              <w:t>资质单位处置</w:t>
            </w:r>
            <w:r>
              <w:rPr>
                <w:rFonts w:hint="eastAsia" w:ascii="Times New Roman" w:hAnsi="Times New Roman" w:eastAsia="宋体" w:cs="Times New Roman"/>
                <w:color w:val="auto"/>
                <w:sz w:val="24"/>
                <w:highlight w:val="none"/>
                <w:shd w:val="clear" w:color="auto" w:fill="auto"/>
                <w:lang w:val="en-US" w:eastAsia="zh-CN"/>
              </w:rPr>
              <w:t>。</w:t>
            </w:r>
          </w:p>
          <w:p w14:paraId="5FBA40CC">
            <w:pPr>
              <w:keepNext w:val="0"/>
              <w:keepLines w:val="0"/>
              <w:pageBreakBefore w:val="0"/>
              <w:widowControl w:val="0"/>
              <w:suppressLineNumbers w:val="0"/>
              <w:tabs>
                <w:tab w:val="left" w:pos="567"/>
              </w:tabs>
              <w:kinsoku/>
              <w:wordWrap/>
              <w:overflowPunct/>
              <w:topLinePunct w:val="0"/>
              <w:autoSpaceDE/>
              <w:autoSpaceDN/>
              <w:bidi w:val="0"/>
              <w:snapToGrid w:val="0"/>
              <w:spacing w:before="0" w:beforeAutospacing="0" w:after="0" w:afterAutospacing="0" w:line="360" w:lineRule="auto"/>
              <w:ind w:left="0" w:right="0" w:firstLine="480" w:firstLineChars="200"/>
              <w:rPr>
                <w:rFonts w:hint="eastAsia" w:ascii="Calibri" w:hAnsi="Calibri" w:eastAsia="宋体" w:cs="Times New Roman"/>
                <w:color w:val="auto"/>
                <w:sz w:val="24"/>
                <w:highlight w:val="none"/>
                <w:shd w:val="clear" w:color="auto" w:fill="auto"/>
                <w:lang w:eastAsia="zh-CN"/>
              </w:rPr>
            </w:pPr>
            <w:r>
              <w:rPr>
                <w:rFonts w:hint="eastAsia" w:ascii="Calibri" w:hAnsi="Calibri" w:cs="Times New Roman"/>
                <w:color w:val="auto"/>
                <w:sz w:val="24"/>
                <w:highlight w:val="none"/>
                <w:shd w:val="clear" w:color="auto" w:fill="auto"/>
                <w:lang w:val="en-US" w:eastAsia="zh-CN"/>
              </w:rPr>
              <w:t>3</w:t>
            </w:r>
            <w:r>
              <w:rPr>
                <w:rFonts w:hint="eastAsia" w:ascii="Calibri" w:hAnsi="Calibri" w:eastAsia="宋体" w:cs="Times New Roman"/>
                <w:color w:val="auto"/>
                <w:sz w:val="24"/>
                <w:highlight w:val="none"/>
                <w:shd w:val="clear" w:color="auto" w:fill="auto"/>
                <w:lang w:val="en-US" w:eastAsia="zh-CN"/>
              </w:rPr>
              <w:t>、</w:t>
            </w:r>
            <w:r>
              <w:rPr>
                <w:rFonts w:ascii="Calibri" w:hAnsi="Calibri" w:eastAsia="宋体" w:cs="Times New Roman"/>
                <w:color w:val="auto"/>
                <w:sz w:val="24"/>
                <w:highlight w:val="none"/>
                <w:shd w:val="clear" w:color="auto" w:fill="auto"/>
              </w:rPr>
              <w:t>生活垃圾</w:t>
            </w:r>
            <w:r>
              <w:rPr>
                <w:rFonts w:hint="eastAsia" w:ascii="Calibri" w:hAnsi="Calibri" w:cs="Times New Roman"/>
                <w:color w:val="auto"/>
                <w:sz w:val="24"/>
                <w:highlight w:val="none"/>
                <w:shd w:val="clear" w:color="auto" w:fill="auto"/>
                <w:lang w:eastAsia="zh-CN"/>
              </w:rPr>
              <w:t>（</w:t>
            </w:r>
            <w:r>
              <w:rPr>
                <w:rFonts w:hint="eastAsia" w:cs="宋体"/>
                <w:color w:val="auto"/>
                <w:kern w:val="2"/>
                <w:sz w:val="24"/>
                <w:szCs w:val="24"/>
                <w:highlight w:val="none"/>
                <w:shd w:val="clear" w:color="auto" w:fill="auto"/>
                <w:lang w:val="en-US" w:eastAsia="zh-CN" w:bidi="ar"/>
              </w:rPr>
              <w:t>废物种类：SW64 其他垃圾；废物</w:t>
            </w:r>
            <w:r>
              <w:rPr>
                <w:rFonts w:hint="eastAsia" w:ascii="Calibri" w:hAnsi="Calibri" w:cs="Times New Roman"/>
                <w:color w:val="auto"/>
                <w:sz w:val="24"/>
                <w:highlight w:val="none"/>
                <w:shd w:val="clear" w:color="auto" w:fill="auto"/>
                <w:lang w:eastAsia="zh-CN"/>
              </w:rPr>
              <w:t>代码900-099-S64）</w:t>
            </w:r>
          </w:p>
          <w:p w14:paraId="00D38C49">
            <w:pPr>
              <w:keepNext w:val="0"/>
              <w:keepLines w:val="0"/>
              <w:pageBreakBefore w:val="0"/>
              <w:widowControl w:val="0"/>
              <w:suppressLineNumbers w:val="0"/>
              <w:tabs>
                <w:tab w:val="left" w:pos="567"/>
              </w:tabs>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Calibri" w:hAnsi="Calibri" w:eastAsia="宋体" w:cs="Times New Roman"/>
                <w:color w:val="auto"/>
                <w:highlight w:val="none"/>
                <w:lang w:val="en-US" w:eastAsia="zh-CN"/>
              </w:rPr>
            </w:pPr>
            <w:r>
              <w:rPr>
                <w:rFonts w:hint="eastAsia" w:ascii="Calibri" w:hAnsi="Calibri" w:eastAsia="宋体" w:cs="Times New Roman"/>
                <w:color w:val="auto"/>
                <w:sz w:val="24"/>
                <w:highlight w:val="none"/>
                <w:shd w:val="clear" w:color="auto" w:fill="auto"/>
              </w:rPr>
              <w:t>本</w:t>
            </w:r>
            <w:r>
              <w:rPr>
                <w:rFonts w:hint="eastAsia" w:ascii="Calibri" w:hAnsi="Calibri" w:eastAsia="宋体" w:cs="Times New Roman"/>
                <w:color w:val="auto"/>
                <w:sz w:val="24"/>
                <w:highlight w:val="none"/>
                <w:shd w:val="clear" w:color="auto" w:fill="auto"/>
                <w:lang w:eastAsia="zh-CN"/>
              </w:rPr>
              <w:t>项目</w:t>
            </w:r>
            <w:r>
              <w:rPr>
                <w:rFonts w:hint="eastAsia" w:ascii="Calibri" w:hAnsi="Calibri" w:eastAsia="宋体" w:cs="Times New Roman"/>
                <w:color w:val="auto"/>
                <w:sz w:val="24"/>
                <w:highlight w:val="none"/>
                <w:shd w:val="clear" w:color="auto" w:fill="auto"/>
                <w:lang w:val="en-US" w:eastAsia="zh-CN"/>
              </w:rPr>
              <w:t>新增员工</w:t>
            </w:r>
            <w:r>
              <w:rPr>
                <w:rFonts w:hint="eastAsia" w:ascii="Calibri" w:hAnsi="Calibri" w:cs="Times New Roman"/>
                <w:color w:val="auto"/>
                <w:sz w:val="24"/>
                <w:highlight w:val="none"/>
                <w:shd w:val="clear" w:color="auto" w:fill="auto"/>
                <w:lang w:val="en-US" w:eastAsia="zh-CN"/>
              </w:rPr>
              <w:t>50</w:t>
            </w:r>
            <w:r>
              <w:rPr>
                <w:rFonts w:hint="eastAsia" w:ascii="Calibri" w:hAnsi="Calibri" w:eastAsia="宋体" w:cs="Times New Roman"/>
                <w:color w:val="auto"/>
                <w:sz w:val="24"/>
                <w:highlight w:val="none"/>
                <w:shd w:val="clear" w:color="auto" w:fill="auto"/>
              </w:rPr>
              <w:t>人，全年运营</w:t>
            </w:r>
            <w:r>
              <w:rPr>
                <w:rFonts w:hint="eastAsia" w:ascii="Calibri" w:hAnsi="Calibri" w:eastAsia="宋体" w:cs="Times New Roman"/>
                <w:color w:val="auto"/>
                <w:sz w:val="24"/>
                <w:highlight w:val="none"/>
                <w:shd w:val="clear" w:color="auto" w:fill="auto"/>
                <w:lang w:val="en-US" w:eastAsia="zh-CN"/>
              </w:rPr>
              <w:t>3</w:t>
            </w:r>
            <w:r>
              <w:rPr>
                <w:rFonts w:hint="eastAsia" w:ascii="Calibri" w:hAnsi="Calibri" w:cs="Times New Roman"/>
                <w:color w:val="auto"/>
                <w:sz w:val="24"/>
                <w:highlight w:val="none"/>
                <w:shd w:val="clear" w:color="auto" w:fill="auto"/>
                <w:lang w:val="en-US" w:eastAsia="zh-CN"/>
              </w:rPr>
              <w:t>3</w:t>
            </w:r>
            <w:r>
              <w:rPr>
                <w:rFonts w:hint="eastAsia" w:ascii="Calibri" w:hAnsi="Calibri" w:eastAsia="宋体" w:cs="Times New Roman"/>
                <w:color w:val="auto"/>
                <w:sz w:val="24"/>
                <w:highlight w:val="none"/>
                <w:shd w:val="clear" w:color="auto" w:fill="auto"/>
                <w:lang w:val="en-US" w:eastAsia="zh-CN"/>
              </w:rPr>
              <w:t>0</w:t>
            </w:r>
            <w:r>
              <w:rPr>
                <w:rFonts w:hint="eastAsia" w:ascii="Calibri" w:hAnsi="Calibri" w:eastAsia="宋体" w:cs="Times New Roman"/>
                <w:color w:val="auto"/>
                <w:sz w:val="24"/>
                <w:highlight w:val="none"/>
                <w:shd w:val="clear" w:color="auto" w:fill="auto"/>
              </w:rPr>
              <w:t>天</w:t>
            </w:r>
            <w:r>
              <w:rPr>
                <w:rFonts w:hint="eastAsia" w:ascii="Calibri" w:hAnsi="Calibri" w:eastAsia="宋体" w:cs="Times New Roman"/>
                <w:color w:val="auto"/>
                <w:sz w:val="24"/>
                <w:highlight w:val="none"/>
                <w:shd w:val="clear" w:color="auto" w:fill="auto"/>
                <w:lang w:eastAsia="zh-CN"/>
              </w:rPr>
              <w:t>，生</w:t>
            </w:r>
            <w:r>
              <w:rPr>
                <w:rFonts w:hint="eastAsia" w:ascii="Calibri" w:hAnsi="Calibri" w:eastAsia="宋体" w:cs="Times New Roman"/>
                <w:color w:val="auto"/>
                <w:sz w:val="24"/>
                <w:highlight w:val="none"/>
                <w:shd w:val="clear" w:color="auto" w:fill="auto"/>
              </w:rPr>
              <w:t>活垃圾按平均0.5kg/人·d计，产生量约</w:t>
            </w:r>
            <w:r>
              <w:rPr>
                <w:rFonts w:hint="eastAsia" w:ascii="Calibri" w:hAnsi="Calibri" w:cs="Times New Roman"/>
                <w:color w:val="auto"/>
                <w:sz w:val="24"/>
                <w:highlight w:val="none"/>
                <w:shd w:val="clear" w:color="auto" w:fill="auto"/>
                <w:lang w:val="en-US" w:eastAsia="zh-CN"/>
              </w:rPr>
              <w:t>8.25</w:t>
            </w:r>
            <w:r>
              <w:rPr>
                <w:rFonts w:hint="eastAsia" w:ascii="Calibri" w:hAnsi="Calibri" w:eastAsia="宋体" w:cs="Times New Roman"/>
                <w:color w:val="auto"/>
                <w:sz w:val="24"/>
                <w:highlight w:val="none"/>
                <w:shd w:val="clear" w:color="auto" w:fill="auto"/>
              </w:rPr>
              <w:t>t/a，集中收集后，由环卫部门定期送至生活垃圾处理厂集中处理。</w:t>
            </w:r>
          </w:p>
          <w:p w14:paraId="3981F7DA">
            <w:pPr>
              <w:pStyle w:val="21"/>
              <w:keepNext w:val="0"/>
              <w:keepLines w:val="0"/>
              <w:suppressLineNumbers w:val="0"/>
              <w:spacing w:before="0" w:beforeAutospacing="0" w:after="0" w:afterAutospacing="0" w:line="480" w:lineRule="exact"/>
              <w:ind w:left="0" w:leftChars="0" w:right="0" w:firstLine="0" w:firstLineChars="0"/>
              <w:jc w:val="center"/>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eastAsia="zh-CN"/>
              </w:rPr>
              <w:t>表</w:t>
            </w:r>
            <w:r>
              <w:rPr>
                <w:rFonts w:hint="eastAsia" w:ascii="Calibri" w:hAnsi="Calibri" w:cs="Times New Roman"/>
                <w:color w:val="auto"/>
                <w:sz w:val="24"/>
                <w:highlight w:val="none"/>
                <w:shd w:val="clear" w:color="auto" w:fill="auto"/>
                <w:lang w:val="en-US" w:eastAsia="zh-CN"/>
              </w:rPr>
              <w:t>4-16</w:t>
            </w:r>
            <w:r>
              <w:rPr>
                <w:rFonts w:hint="eastAsia" w:ascii="Times New Roman" w:hAnsi="Times New Roman" w:eastAsia="宋体" w:cs="Times New Roman"/>
                <w:color w:val="auto"/>
                <w:sz w:val="24"/>
                <w:highlight w:val="none"/>
                <w:lang w:val="en-US" w:eastAsia="zh-CN"/>
              </w:rPr>
              <w:t xml:space="preserve"> 项目固体废物汇总表</w:t>
            </w:r>
          </w:p>
          <w:tbl>
            <w:tblPr>
              <w:tblStyle w:val="26"/>
              <w:tblW w:w="85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8"/>
              <w:gridCol w:w="1072"/>
              <w:gridCol w:w="899"/>
              <w:gridCol w:w="1313"/>
              <w:gridCol w:w="1153"/>
              <w:gridCol w:w="1549"/>
              <w:gridCol w:w="2004"/>
            </w:tblGrid>
            <w:tr w14:paraId="70D52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518" w:type="dxa"/>
                  <w:noWrap w:val="0"/>
                  <w:vAlign w:val="center"/>
                </w:tcPr>
                <w:p w14:paraId="65154526">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序号</w:t>
                  </w:r>
                </w:p>
              </w:tc>
              <w:tc>
                <w:tcPr>
                  <w:tcW w:w="1072" w:type="dxa"/>
                  <w:noWrap w:val="0"/>
                  <w:vAlign w:val="center"/>
                </w:tcPr>
                <w:p w14:paraId="2A9B0A07">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固废名称</w:t>
                  </w:r>
                </w:p>
              </w:tc>
              <w:tc>
                <w:tcPr>
                  <w:tcW w:w="899" w:type="dxa"/>
                  <w:shd w:val="clear" w:color="auto" w:fill="auto"/>
                  <w:noWrap w:val="0"/>
                  <w:vAlign w:val="center"/>
                </w:tcPr>
                <w:p w14:paraId="2618C9DF">
                  <w:pPr>
                    <w:keepNext w:val="0"/>
                    <w:keepLines w:val="0"/>
                    <w:suppressLineNumbers w:val="0"/>
                    <w:spacing w:before="0" w:beforeAutospacing="0" w:after="0" w:afterAutospacing="0" w:line="240" w:lineRule="exact"/>
                    <w:ind w:left="0" w:leftChars="0" w:right="0" w:rightChars="0"/>
                    <w:jc w:val="center"/>
                    <w:rPr>
                      <w:rFonts w:hint="eastAsia"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废物种类</w:t>
                  </w:r>
                </w:p>
              </w:tc>
              <w:tc>
                <w:tcPr>
                  <w:tcW w:w="1313" w:type="dxa"/>
                  <w:noWrap w:val="0"/>
                  <w:vAlign w:val="center"/>
                </w:tcPr>
                <w:p w14:paraId="08D92443">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废物</w:t>
                  </w:r>
                  <w:r>
                    <w:rPr>
                      <w:rFonts w:hint="eastAsia" w:ascii="Times New Roman" w:hAnsi="Times New Roman" w:eastAsia="宋体" w:cs="Times New Roman"/>
                      <w:bCs/>
                      <w:color w:val="auto"/>
                      <w:sz w:val="21"/>
                      <w:szCs w:val="21"/>
                      <w:highlight w:val="none"/>
                      <w:lang w:val="en-US" w:eastAsia="zh-CN"/>
                    </w:rPr>
                    <w:t>代码</w:t>
                  </w:r>
                </w:p>
              </w:tc>
              <w:tc>
                <w:tcPr>
                  <w:tcW w:w="1153" w:type="dxa"/>
                  <w:noWrap w:val="0"/>
                  <w:vAlign w:val="center"/>
                </w:tcPr>
                <w:p w14:paraId="5E44F2CA">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产生量（t/a）</w:t>
                  </w:r>
                </w:p>
              </w:tc>
              <w:tc>
                <w:tcPr>
                  <w:tcW w:w="1549" w:type="dxa"/>
                  <w:noWrap w:val="0"/>
                  <w:vAlign w:val="center"/>
                </w:tcPr>
                <w:p w14:paraId="6834EABF">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类别</w:t>
                  </w:r>
                </w:p>
              </w:tc>
              <w:tc>
                <w:tcPr>
                  <w:tcW w:w="2004" w:type="dxa"/>
                  <w:noWrap w:val="0"/>
                  <w:vAlign w:val="center"/>
                </w:tcPr>
                <w:p w14:paraId="2C02F808">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利用处置去向</w:t>
                  </w:r>
                </w:p>
              </w:tc>
            </w:tr>
            <w:tr w14:paraId="3867C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518" w:type="dxa"/>
                  <w:noWrap w:val="0"/>
                  <w:vAlign w:val="center"/>
                </w:tcPr>
                <w:p w14:paraId="25F248D1">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1</w:t>
                  </w:r>
                </w:p>
              </w:tc>
              <w:tc>
                <w:tcPr>
                  <w:tcW w:w="1072" w:type="dxa"/>
                  <w:noWrap w:val="0"/>
                  <w:vAlign w:val="center"/>
                </w:tcPr>
                <w:p w14:paraId="11E777BE">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除尘灰</w:t>
                  </w:r>
                </w:p>
              </w:tc>
              <w:tc>
                <w:tcPr>
                  <w:tcW w:w="899" w:type="dxa"/>
                  <w:shd w:val="clear" w:color="auto" w:fill="auto"/>
                  <w:noWrap w:val="0"/>
                  <w:vAlign w:val="center"/>
                </w:tcPr>
                <w:p w14:paraId="5DD1D321">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宋体"/>
                      <w:color w:val="auto"/>
                      <w:kern w:val="2"/>
                      <w:sz w:val="21"/>
                      <w:szCs w:val="21"/>
                      <w:highlight w:val="none"/>
                      <w:shd w:val="clear" w:color="auto" w:fill="auto"/>
                      <w:lang w:val="en-US" w:eastAsia="zh-CN" w:bidi="ar"/>
                    </w:rPr>
                    <w:t>SW17</w:t>
                  </w:r>
                </w:p>
              </w:tc>
              <w:tc>
                <w:tcPr>
                  <w:tcW w:w="1313" w:type="dxa"/>
                  <w:noWrap w:val="0"/>
                  <w:vAlign w:val="center"/>
                </w:tcPr>
                <w:p w14:paraId="134C68EB">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900-099-S</w:t>
                  </w:r>
                  <w:r>
                    <w:rPr>
                      <w:rFonts w:hint="eastAsia" w:cs="Times New Roman"/>
                      <w:bCs/>
                      <w:color w:val="auto"/>
                      <w:sz w:val="21"/>
                      <w:szCs w:val="21"/>
                      <w:highlight w:val="none"/>
                      <w:lang w:val="en-US" w:eastAsia="zh-CN"/>
                    </w:rPr>
                    <w:t>17</w:t>
                  </w:r>
                </w:p>
              </w:tc>
              <w:tc>
                <w:tcPr>
                  <w:tcW w:w="1153" w:type="dxa"/>
                  <w:noWrap w:val="0"/>
                  <w:vAlign w:val="center"/>
                </w:tcPr>
                <w:p w14:paraId="192B9C2D">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lang w:val="en-US" w:eastAsia="zh-CN"/>
                    </w:rPr>
                  </w:pPr>
                  <w:r>
                    <w:rPr>
                      <w:rFonts w:hint="eastAsia" w:cs="Times New Roman"/>
                      <w:color w:val="auto"/>
                      <w:kern w:val="2"/>
                      <w:sz w:val="21"/>
                      <w:szCs w:val="21"/>
                      <w:highlight w:val="none"/>
                      <w:shd w:val="clear" w:color="auto" w:fill="auto"/>
                      <w:vertAlign w:val="baseline"/>
                      <w:lang w:val="en-US" w:eastAsia="zh-CN" w:bidi="ar-SA"/>
                    </w:rPr>
                    <w:t xml:space="preserve">1562.89 </w:t>
                  </w:r>
                </w:p>
              </w:tc>
              <w:tc>
                <w:tcPr>
                  <w:tcW w:w="1549" w:type="dxa"/>
                  <w:noWrap w:val="0"/>
                  <w:vAlign w:val="center"/>
                </w:tcPr>
                <w:p w14:paraId="4C9303D4">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一般固体废物</w:t>
                  </w:r>
                </w:p>
              </w:tc>
              <w:tc>
                <w:tcPr>
                  <w:tcW w:w="2004" w:type="dxa"/>
                  <w:noWrap w:val="0"/>
                  <w:vAlign w:val="center"/>
                </w:tcPr>
                <w:p w14:paraId="002AF73A">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eastAsia="zh-CN"/>
                    </w:rPr>
                    <w:t>集中收集</w:t>
                  </w:r>
                  <w:r>
                    <w:rPr>
                      <w:rFonts w:hint="eastAsia" w:ascii="Times New Roman" w:hAnsi="Times New Roman" w:eastAsia="宋体" w:cs="Times New Roman"/>
                      <w:bCs/>
                      <w:color w:val="auto"/>
                      <w:sz w:val="21"/>
                      <w:szCs w:val="21"/>
                      <w:highlight w:val="none"/>
                      <w:lang w:eastAsia="zh-CN"/>
                    </w:rPr>
                    <w:t>后外售</w:t>
                  </w:r>
                </w:p>
              </w:tc>
            </w:tr>
            <w:tr w14:paraId="5A5E6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518" w:type="dxa"/>
                  <w:noWrap w:val="0"/>
                  <w:vAlign w:val="center"/>
                </w:tcPr>
                <w:p w14:paraId="4854084A">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2</w:t>
                  </w:r>
                </w:p>
              </w:tc>
              <w:tc>
                <w:tcPr>
                  <w:tcW w:w="1072" w:type="dxa"/>
                  <w:noWrap w:val="0"/>
                  <w:vAlign w:val="center"/>
                </w:tcPr>
                <w:p w14:paraId="3F65342B">
                  <w:pPr>
                    <w:keepNext w:val="0"/>
                    <w:keepLines w:val="0"/>
                    <w:suppressLineNumbers w:val="0"/>
                    <w:spacing w:before="0" w:beforeAutospacing="0" w:after="0" w:afterAutospacing="0" w:line="240" w:lineRule="exact"/>
                    <w:ind w:left="0" w:right="0"/>
                    <w:jc w:val="center"/>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沉降粉尘</w:t>
                  </w:r>
                </w:p>
              </w:tc>
              <w:tc>
                <w:tcPr>
                  <w:tcW w:w="899" w:type="dxa"/>
                  <w:shd w:val="clear" w:color="auto" w:fill="auto"/>
                  <w:noWrap w:val="0"/>
                  <w:vAlign w:val="center"/>
                </w:tcPr>
                <w:p w14:paraId="63F7EF98">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宋体"/>
                      <w:color w:val="auto"/>
                      <w:kern w:val="2"/>
                      <w:sz w:val="21"/>
                      <w:szCs w:val="21"/>
                      <w:highlight w:val="none"/>
                      <w:shd w:val="clear" w:color="auto" w:fill="auto"/>
                      <w:lang w:val="en-US" w:eastAsia="zh-CN" w:bidi="ar"/>
                    </w:rPr>
                    <w:t>SW17</w:t>
                  </w:r>
                </w:p>
              </w:tc>
              <w:tc>
                <w:tcPr>
                  <w:tcW w:w="1313" w:type="dxa"/>
                  <w:noWrap w:val="0"/>
                  <w:vAlign w:val="center"/>
                </w:tcPr>
                <w:p w14:paraId="4993F7E3">
                  <w:pPr>
                    <w:keepNext w:val="0"/>
                    <w:keepLines w:val="0"/>
                    <w:suppressLineNumbers w:val="0"/>
                    <w:spacing w:before="0" w:beforeAutospacing="0" w:after="0" w:afterAutospacing="0" w:line="240" w:lineRule="exact"/>
                    <w:ind w:left="0" w:leftChars="0" w:right="0" w:rightChars="0"/>
                    <w:jc w:val="center"/>
                    <w:rPr>
                      <w:rFonts w:hint="eastAsia"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900-099-S</w:t>
                  </w:r>
                  <w:r>
                    <w:rPr>
                      <w:rFonts w:hint="eastAsia" w:cs="Times New Roman"/>
                      <w:bCs/>
                      <w:color w:val="auto"/>
                      <w:sz w:val="21"/>
                      <w:szCs w:val="21"/>
                      <w:highlight w:val="none"/>
                      <w:lang w:val="en-US" w:eastAsia="zh-CN"/>
                    </w:rPr>
                    <w:t>17</w:t>
                  </w:r>
                </w:p>
              </w:tc>
              <w:tc>
                <w:tcPr>
                  <w:tcW w:w="1153" w:type="dxa"/>
                  <w:noWrap w:val="0"/>
                  <w:vAlign w:val="center"/>
                </w:tcPr>
                <w:p w14:paraId="74C4AA42">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lang w:val="en-US" w:eastAsia="zh-CN"/>
                    </w:rPr>
                  </w:pPr>
                  <w:r>
                    <w:rPr>
                      <w:rFonts w:hint="eastAsia" w:cs="Times New Roman"/>
                      <w:color w:val="auto"/>
                      <w:kern w:val="2"/>
                      <w:sz w:val="21"/>
                      <w:szCs w:val="21"/>
                      <w:highlight w:val="none"/>
                      <w:shd w:val="clear" w:color="auto" w:fill="auto"/>
                      <w:vertAlign w:val="baseline"/>
                      <w:lang w:val="en-US" w:eastAsia="zh-CN" w:bidi="ar-SA"/>
                    </w:rPr>
                    <w:t>243.737</w:t>
                  </w:r>
                </w:p>
              </w:tc>
              <w:tc>
                <w:tcPr>
                  <w:tcW w:w="1549" w:type="dxa"/>
                  <w:noWrap w:val="0"/>
                  <w:vAlign w:val="center"/>
                </w:tcPr>
                <w:p w14:paraId="6A49F69E">
                  <w:pPr>
                    <w:keepNext w:val="0"/>
                    <w:keepLines w:val="0"/>
                    <w:suppressLineNumbers w:val="0"/>
                    <w:spacing w:before="0" w:beforeAutospacing="0" w:after="0" w:afterAutospacing="0" w:line="240" w:lineRule="exact"/>
                    <w:ind w:left="0" w:right="0"/>
                    <w:jc w:val="center"/>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一般固体废物</w:t>
                  </w:r>
                </w:p>
              </w:tc>
              <w:tc>
                <w:tcPr>
                  <w:tcW w:w="2004" w:type="dxa"/>
                  <w:noWrap w:val="0"/>
                  <w:vAlign w:val="center"/>
                </w:tcPr>
                <w:p w14:paraId="516840C1">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eastAsia="zh-CN"/>
                    </w:rPr>
                    <w:t>集中收集</w:t>
                  </w:r>
                  <w:r>
                    <w:rPr>
                      <w:rFonts w:hint="eastAsia" w:ascii="Times New Roman" w:hAnsi="Times New Roman" w:eastAsia="宋体" w:cs="Times New Roman"/>
                      <w:bCs/>
                      <w:color w:val="auto"/>
                      <w:sz w:val="21"/>
                      <w:szCs w:val="21"/>
                      <w:highlight w:val="none"/>
                      <w:lang w:eastAsia="zh-CN"/>
                    </w:rPr>
                    <w:t>后外售</w:t>
                  </w:r>
                </w:p>
              </w:tc>
            </w:tr>
            <w:tr w14:paraId="31790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518" w:type="dxa"/>
                  <w:noWrap w:val="0"/>
                  <w:vAlign w:val="center"/>
                </w:tcPr>
                <w:p w14:paraId="2627D1E4">
                  <w:pPr>
                    <w:keepNext w:val="0"/>
                    <w:keepLines w:val="0"/>
                    <w:suppressLineNumbers w:val="0"/>
                    <w:spacing w:before="0" w:beforeAutospacing="0" w:after="0" w:afterAutospacing="0" w:line="240" w:lineRule="exact"/>
                    <w:ind w:left="0" w:leftChars="0" w:right="0" w:rightChars="0"/>
                    <w:jc w:val="center"/>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3</w:t>
                  </w:r>
                </w:p>
              </w:tc>
              <w:tc>
                <w:tcPr>
                  <w:tcW w:w="1072" w:type="dxa"/>
                  <w:noWrap w:val="0"/>
                  <w:vAlign w:val="center"/>
                </w:tcPr>
                <w:p w14:paraId="6F3F6804">
                  <w:pPr>
                    <w:keepNext w:val="0"/>
                    <w:keepLines w:val="0"/>
                    <w:suppressLineNumbers w:val="0"/>
                    <w:spacing w:before="0" w:beforeAutospacing="0" w:after="0" w:afterAutospacing="0" w:line="240" w:lineRule="exact"/>
                    <w:ind w:left="0" w:right="0"/>
                    <w:jc w:val="center"/>
                    <w:rPr>
                      <w:rFonts w:hint="eastAsia" w:ascii="Times New Roman" w:hAnsi="Times New Roman" w:eastAsia="宋体" w:cs="Times New Roman"/>
                      <w:bCs/>
                      <w:color w:val="auto"/>
                      <w:sz w:val="21"/>
                      <w:szCs w:val="21"/>
                      <w:highlight w:val="none"/>
                      <w:lang w:val="en-US" w:eastAsia="zh-CN"/>
                    </w:rPr>
                  </w:pPr>
                  <w:r>
                    <w:rPr>
                      <w:rFonts w:hint="eastAsia" w:cs="Times New Roman"/>
                      <w:b w:val="0"/>
                      <w:bCs w:val="0"/>
                      <w:color w:val="auto"/>
                      <w:sz w:val="21"/>
                      <w:szCs w:val="21"/>
                      <w:highlight w:val="none"/>
                      <w:shd w:val="clear" w:color="auto" w:fill="auto"/>
                      <w:lang w:val="en-US" w:eastAsia="zh-CN"/>
                    </w:rPr>
                    <w:t>沉淀池污泥</w:t>
                  </w:r>
                </w:p>
              </w:tc>
              <w:tc>
                <w:tcPr>
                  <w:tcW w:w="899" w:type="dxa"/>
                  <w:shd w:val="clear" w:color="auto" w:fill="auto"/>
                  <w:noWrap w:val="0"/>
                  <w:vAlign w:val="center"/>
                </w:tcPr>
                <w:p w14:paraId="0E66B4E9">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宋体"/>
                      <w:color w:val="auto"/>
                      <w:kern w:val="2"/>
                      <w:sz w:val="21"/>
                      <w:szCs w:val="21"/>
                      <w:highlight w:val="none"/>
                      <w:shd w:val="clear" w:color="auto" w:fill="auto"/>
                      <w:lang w:val="en-US" w:eastAsia="zh-CN" w:bidi="ar"/>
                    </w:rPr>
                    <w:t>SW07</w:t>
                  </w:r>
                </w:p>
              </w:tc>
              <w:tc>
                <w:tcPr>
                  <w:tcW w:w="1313" w:type="dxa"/>
                  <w:noWrap w:val="0"/>
                  <w:vAlign w:val="center"/>
                </w:tcPr>
                <w:p w14:paraId="547F7486">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900-099-S07</w:t>
                  </w:r>
                </w:p>
              </w:tc>
              <w:tc>
                <w:tcPr>
                  <w:tcW w:w="1153" w:type="dxa"/>
                  <w:noWrap w:val="0"/>
                  <w:vAlign w:val="center"/>
                </w:tcPr>
                <w:p w14:paraId="45289C84">
                  <w:pPr>
                    <w:keepNext w:val="0"/>
                    <w:keepLines w:val="0"/>
                    <w:suppressLineNumbers w:val="0"/>
                    <w:spacing w:before="0" w:beforeAutospacing="0" w:after="0" w:afterAutospacing="0"/>
                    <w:ind w:left="0" w:right="0"/>
                    <w:jc w:val="center"/>
                    <w:rPr>
                      <w:rFonts w:hint="default" w:cs="Times New Roman"/>
                      <w:color w:val="auto"/>
                      <w:kern w:val="2"/>
                      <w:sz w:val="21"/>
                      <w:szCs w:val="21"/>
                      <w:highlight w:val="none"/>
                      <w:shd w:val="clear" w:color="auto" w:fill="auto"/>
                      <w:vertAlign w:val="baseline"/>
                      <w:lang w:val="en-US" w:eastAsia="zh-CN" w:bidi="ar-SA"/>
                    </w:rPr>
                  </w:pPr>
                  <w:r>
                    <w:rPr>
                      <w:rFonts w:hint="eastAsia" w:cs="Times New Roman"/>
                      <w:color w:val="auto"/>
                      <w:kern w:val="2"/>
                      <w:sz w:val="21"/>
                      <w:szCs w:val="21"/>
                      <w:highlight w:val="none"/>
                      <w:shd w:val="clear" w:color="auto" w:fill="auto"/>
                      <w:vertAlign w:val="baseline"/>
                      <w:lang w:val="en-US" w:eastAsia="zh-CN" w:bidi="ar-SA"/>
                    </w:rPr>
                    <w:t>1</w:t>
                  </w:r>
                </w:p>
              </w:tc>
              <w:tc>
                <w:tcPr>
                  <w:tcW w:w="1549" w:type="dxa"/>
                  <w:noWrap w:val="0"/>
                  <w:vAlign w:val="center"/>
                </w:tcPr>
                <w:p w14:paraId="6520FC1F">
                  <w:pPr>
                    <w:keepNext w:val="0"/>
                    <w:keepLines w:val="0"/>
                    <w:suppressLineNumbers w:val="0"/>
                    <w:spacing w:before="0" w:beforeAutospacing="0" w:after="0" w:afterAutospacing="0" w:line="240" w:lineRule="exact"/>
                    <w:ind w:left="0" w:leftChars="0" w:right="0" w:rightChars="0"/>
                    <w:jc w:val="center"/>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一般固体废物</w:t>
                  </w:r>
                </w:p>
              </w:tc>
              <w:tc>
                <w:tcPr>
                  <w:tcW w:w="2004" w:type="dxa"/>
                  <w:noWrap w:val="0"/>
                  <w:vAlign w:val="center"/>
                </w:tcPr>
                <w:p w14:paraId="03DBAA91">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eastAsia="zh-CN"/>
                    </w:rPr>
                    <w:t>集中收集</w:t>
                  </w:r>
                  <w:r>
                    <w:rPr>
                      <w:rFonts w:hint="eastAsia" w:ascii="Times New Roman" w:hAnsi="Times New Roman" w:eastAsia="宋体" w:cs="Times New Roman"/>
                      <w:bCs/>
                      <w:color w:val="auto"/>
                      <w:sz w:val="21"/>
                      <w:szCs w:val="21"/>
                      <w:highlight w:val="none"/>
                      <w:lang w:eastAsia="zh-CN"/>
                    </w:rPr>
                    <w:t>后外售</w:t>
                  </w:r>
                </w:p>
              </w:tc>
            </w:tr>
            <w:tr w14:paraId="2C73E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518" w:type="dxa"/>
                  <w:shd w:val="clear" w:color="auto" w:fill="auto"/>
                  <w:noWrap w:val="0"/>
                  <w:vAlign w:val="center"/>
                </w:tcPr>
                <w:p w14:paraId="16B15F13">
                  <w:pPr>
                    <w:keepNext w:val="0"/>
                    <w:keepLines w:val="0"/>
                    <w:suppressLineNumbers w:val="0"/>
                    <w:spacing w:before="0" w:beforeAutospacing="0" w:after="0" w:afterAutospacing="0" w:line="240" w:lineRule="exact"/>
                    <w:ind w:left="0" w:leftChars="0" w:right="0" w:rightChars="0"/>
                    <w:jc w:val="center"/>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4</w:t>
                  </w:r>
                </w:p>
              </w:tc>
              <w:tc>
                <w:tcPr>
                  <w:tcW w:w="1072" w:type="dxa"/>
                  <w:noWrap w:val="0"/>
                  <w:vAlign w:val="center"/>
                </w:tcPr>
                <w:p w14:paraId="668DF547">
                  <w:pPr>
                    <w:keepNext w:val="0"/>
                    <w:keepLines w:val="0"/>
                    <w:suppressLineNumbers w:val="0"/>
                    <w:spacing w:before="0" w:beforeAutospacing="0" w:after="0" w:afterAutospacing="0" w:line="240" w:lineRule="exact"/>
                    <w:ind w:left="0" w:leftChars="0" w:right="0" w:rightChars="0"/>
                    <w:jc w:val="center"/>
                    <w:rPr>
                      <w:rFonts w:hint="eastAsia" w:cs="Times New Roman"/>
                      <w:b w:val="0"/>
                      <w:bCs w:val="0"/>
                      <w:color w:val="auto"/>
                      <w:sz w:val="21"/>
                      <w:szCs w:val="21"/>
                      <w:highlight w:val="none"/>
                      <w:shd w:val="clear" w:color="auto" w:fill="auto"/>
                      <w:lang w:val="en-US" w:eastAsia="zh-CN"/>
                    </w:rPr>
                  </w:pPr>
                  <w:r>
                    <w:rPr>
                      <w:rFonts w:hint="eastAsia" w:cs="Times New Roman"/>
                      <w:b w:val="0"/>
                      <w:bCs w:val="0"/>
                      <w:color w:val="auto"/>
                      <w:sz w:val="21"/>
                      <w:szCs w:val="21"/>
                      <w:highlight w:val="none"/>
                      <w:shd w:val="clear" w:color="auto" w:fill="auto"/>
                      <w:lang w:val="en-US" w:eastAsia="zh-CN"/>
                    </w:rPr>
                    <w:t>水洗白云石沉淀渣</w:t>
                  </w:r>
                </w:p>
              </w:tc>
              <w:tc>
                <w:tcPr>
                  <w:tcW w:w="899" w:type="dxa"/>
                  <w:shd w:val="clear" w:color="auto" w:fill="auto"/>
                  <w:noWrap w:val="0"/>
                  <w:vAlign w:val="center"/>
                </w:tcPr>
                <w:p w14:paraId="3B551850">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宋体"/>
                      <w:color w:val="auto"/>
                      <w:kern w:val="2"/>
                      <w:sz w:val="21"/>
                      <w:szCs w:val="21"/>
                      <w:highlight w:val="none"/>
                      <w:shd w:val="clear" w:color="auto" w:fill="auto"/>
                      <w:lang w:val="en-US" w:eastAsia="zh-CN" w:bidi="ar"/>
                    </w:rPr>
                    <w:t>SW07</w:t>
                  </w:r>
                </w:p>
              </w:tc>
              <w:tc>
                <w:tcPr>
                  <w:tcW w:w="1313" w:type="dxa"/>
                  <w:noWrap w:val="0"/>
                  <w:vAlign w:val="center"/>
                </w:tcPr>
                <w:p w14:paraId="272C6527">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900-099-S07</w:t>
                  </w:r>
                </w:p>
              </w:tc>
              <w:tc>
                <w:tcPr>
                  <w:tcW w:w="1153" w:type="dxa"/>
                  <w:noWrap w:val="0"/>
                  <w:vAlign w:val="center"/>
                </w:tcPr>
                <w:p w14:paraId="24E0FBA8">
                  <w:pPr>
                    <w:keepNext w:val="0"/>
                    <w:keepLines w:val="0"/>
                    <w:suppressLineNumbers w:val="0"/>
                    <w:spacing w:before="0" w:beforeAutospacing="0" w:after="0" w:afterAutospacing="0"/>
                    <w:ind w:left="0" w:leftChars="0" w:right="0" w:rightChars="0"/>
                    <w:jc w:val="center"/>
                    <w:rPr>
                      <w:rFonts w:hint="eastAsia" w:cs="Times New Roman"/>
                      <w:color w:val="auto"/>
                      <w:kern w:val="2"/>
                      <w:sz w:val="21"/>
                      <w:szCs w:val="21"/>
                      <w:highlight w:val="none"/>
                      <w:shd w:val="clear" w:color="auto" w:fill="auto"/>
                      <w:vertAlign w:val="baseline"/>
                      <w:lang w:val="en-US" w:eastAsia="zh-CN" w:bidi="ar-SA"/>
                    </w:rPr>
                  </w:pPr>
                  <w:r>
                    <w:rPr>
                      <w:rFonts w:hint="eastAsia" w:cs="Times New Roman"/>
                      <w:color w:val="auto"/>
                      <w:kern w:val="2"/>
                      <w:sz w:val="21"/>
                      <w:szCs w:val="21"/>
                      <w:highlight w:val="none"/>
                      <w:shd w:val="clear" w:color="auto" w:fill="auto"/>
                      <w:vertAlign w:val="baseline"/>
                      <w:lang w:val="en-US" w:eastAsia="zh-CN" w:bidi="ar-SA"/>
                    </w:rPr>
                    <w:t>8</w:t>
                  </w:r>
                </w:p>
              </w:tc>
              <w:tc>
                <w:tcPr>
                  <w:tcW w:w="1549" w:type="dxa"/>
                  <w:noWrap w:val="0"/>
                  <w:vAlign w:val="center"/>
                </w:tcPr>
                <w:p w14:paraId="575CB8E4">
                  <w:pPr>
                    <w:keepNext w:val="0"/>
                    <w:keepLines w:val="0"/>
                    <w:suppressLineNumbers w:val="0"/>
                    <w:spacing w:before="0" w:beforeAutospacing="0" w:after="0" w:afterAutospacing="0" w:line="240" w:lineRule="exact"/>
                    <w:ind w:left="0" w:leftChars="0" w:right="0" w:rightChars="0"/>
                    <w:jc w:val="center"/>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一般固体废物</w:t>
                  </w:r>
                </w:p>
              </w:tc>
              <w:tc>
                <w:tcPr>
                  <w:tcW w:w="2004" w:type="dxa"/>
                  <w:noWrap w:val="0"/>
                  <w:vAlign w:val="center"/>
                </w:tcPr>
                <w:p w14:paraId="3B12EB99">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eastAsia="zh-CN"/>
                    </w:rPr>
                    <w:t>集中收集</w:t>
                  </w:r>
                  <w:r>
                    <w:rPr>
                      <w:rFonts w:hint="eastAsia" w:ascii="Times New Roman" w:hAnsi="Times New Roman" w:eastAsia="宋体" w:cs="Times New Roman"/>
                      <w:bCs/>
                      <w:color w:val="auto"/>
                      <w:sz w:val="21"/>
                      <w:szCs w:val="21"/>
                      <w:highlight w:val="none"/>
                      <w:lang w:eastAsia="zh-CN"/>
                    </w:rPr>
                    <w:t>后外售</w:t>
                  </w:r>
                </w:p>
              </w:tc>
            </w:tr>
            <w:tr w14:paraId="029B6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518" w:type="dxa"/>
                  <w:shd w:val="clear" w:color="auto" w:fill="auto"/>
                  <w:noWrap w:val="0"/>
                  <w:vAlign w:val="center"/>
                </w:tcPr>
                <w:p w14:paraId="11A89907">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5</w:t>
                  </w:r>
                </w:p>
              </w:tc>
              <w:tc>
                <w:tcPr>
                  <w:tcW w:w="1072" w:type="dxa"/>
                  <w:noWrap w:val="0"/>
                  <w:vAlign w:val="center"/>
                </w:tcPr>
                <w:p w14:paraId="041AC687">
                  <w:pPr>
                    <w:keepNext w:val="0"/>
                    <w:keepLines w:val="0"/>
                    <w:suppressLineNumbers w:val="0"/>
                    <w:spacing w:before="0" w:beforeAutospacing="0" w:after="0" w:afterAutospacing="0" w:line="240" w:lineRule="exact"/>
                    <w:ind w:left="0" w:right="0"/>
                    <w:jc w:val="center"/>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废布袋</w:t>
                  </w:r>
                </w:p>
              </w:tc>
              <w:tc>
                <w:tcPr>
                  <w:tcW w:w="899" w:type="dxa"/>
                  <w:shd w:val="clear" w:color="auto" w:fill="auto"/>
                  <w:noWrap w:val="0"/>
                  <w:vAlign w:val="center"/>
                </w:tcPr>
                <w:p w14:paraId="10B45659">
                  <w:pPr>
                    <w:keepNext w:val="0"/>
                    <w:keepLines w:val="0"/>
                    <w:suppressLineNumbers w:val="0"/>
                    <w:spacing w:before="0" w:beforeAutospacing="0" w:after="0" w:afterAutospacing="0" w:line="240" w:lineRule="exact"/>
                    <w:ind w:left="0" w:leftChars="0" w:right="0" w:rightChars="0"/>
                    <w:jc w:val="center"/>
                    <w:rPr>
                      <w:rFonts w:hint="eastAsia"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SW59</w:t>
                  </w:r>
                </w:p>
              </w:tc>
              <w:tc>
                <w:tcPr>
                  <w:tcW w:w="1313" w:type="dxa"/>
                  <w:noWrap w:val="0"/>
                  <w:vAlign w:val="center"/>
                </w:tcPr>
                <w:p w14:paraId="5436A6BB">
                  <w:pPr>
                    <w:keepNext w:val="0"/>
                    <w:keepLines w:val="0"/>
                    <w:suppressLineNumbers w:val="0"/>
                    <w:spacing w:before="0" w:beforeAutospacing="0" w:after="0" w:afterAutospacing="0" w:line="240" w:lineRule="exact"/>
                    <w:ind w:left="0" w:right="0"/>
                    <w:jc w:val="center"/>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900-009-S59</w:t>
                  </w:r>
                </w:p>
              </w:tc>
              <w:tc>
                <w:tcPr>
                  <w:tcW w:w="1153" w:type="dxa"/>
                  <w:noWrap w:val="0"/>
                  <w:vAlign w:val="center"/>
                </w:tcPr>
                <w:p w14:paraId="1473E4A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shd w:val="clear" w:color="auto" w:fill="auto"/>
                      <w:vertAlign w:val="baseline"/>
                      <w:lang w:val="en-US" w:eastAsia="zh-CN" w:bidi="ar-SA"/>
                    </w:rPr>
                  </w:pPr>
                  <w:r>
                    <w:rPr>
                      <w:rFonts w:hint="eastAsia" w:ascii="Times New Roman" w:hAnsi="Times New Roman" w:eastAsia="宋体" w:cs="Times New Roman"/>
                      <w:color w:val="auto"/>
                      <w:kern w:val="2"/>
                      <w:sz w:val="21"/>
                      <w:szCs w:val="21"/>
                      <w:highlight w:val="none"/>
                      <w:shd w:val="clear" w:color="auto" w:fill="auto"/>
                      <w:vertAlign w:val="baseline"/>
                      <w:lang w:val="en-US" w:eastAsia="zh-CN" w:bidi="ar-SA"/>
                    </w:rPr>
                    <w:t>0.</w:t>
                  </w:r>
                  <w:r>
                    <w:rPr>
                      <w:rFonts w:hint="eastAsia" w:cs="Times New Roman"/>
                      <w:color w:val="auto"/>
                      <w:kern w:val="2"/>
                      <w:sz w:val="21"/>
                      <w:szCs w:val="21"/>
                      <w:highlight w:val="none"/>
                      <w:shd w:val="clear" w:color="auto" w:fill="auto"/>
                      <w:vertAlign w:val="baseline"/>
                      <w:lang w:val="en-US" w:eastAsia="zh-CN" w:bidi="ar-SA"/>
                    </w:rPr>
                    <w:t>1</w:t>
                  </w:r>
                </w:p>
              </w:tc>
              <w:tc>
                <w:tcPr>
                  <w:tcW w:w="1549" w:type="dxa"/>
                  <w:noWrap w:val="0"/>
                  <w:vAlign w:val="center"/>
                </w:tcPr>
                <w:p w14:paraId="50DCD993">
                  <w:pPr>
                    <w:keepNext w:val="0"/>
                    <w:keepLines w:val="0"/>
                    <w:suppressLineNumbers w:val="0"/>
                    <w:spacing w:before="0" w:beforeAutospacing="0" w:after="0" w:afterAutospacing="0" w:line="240" w:lineRule="exact"/>
                    <w:ind w:left="0" w:right="0"/>
                    <w:jc w:val="center"/>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一般固体废物</w:t>
                  </w:r>
                </w:p>
              </w:tc>
              <w:tc>
                <w:tcPr>
                  <w:tcW w:w="2004" w:type="dxa"/>
                  <w:noWrap w:val="0"/>
                  <w:vAlign w:val="center"/>
                </w:tcPr>
                <w:p w14:paraId="0802B84A">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eastAsia="zh-CN"/>
                    </w:rPr>
                    <w:t>集中收集</w:t>
                  </w:r>
                  <w:r>
                    <w:rPr>
                      <w:rFonts w:hint="eastAsia" w:ascii="Times New Roman" w:hAnsi="Times New Roman" w:eastAsia="宋体" w:cs="Times New Roman"/>
                      <w:bCs/>
                      <w:color w:val="auto"/>
                      <w:sz w:val="21"/>
                      <w:szCs w:val="21"/>
                      <w:highlight w:val="none"/>
                      <w:lang w:eastAsia="zh-CN"/>
                    </w:rPr>
                    <w:t>后</w:t>
                  </w:r>
                  <w:r>
                    <w:rPr>
                      <w:rFonts w:hint="eastAsia" w:cs="Times New Roman"/>
                      <w:bCs/>
                      <w:color w:val="auto"/>
                      <w:sz w:val="21"/>
                      <w:szCs w:val="21"/>
                      <w:highlight w:val="none"/>
                      <w:lang w:eastAsia="zh-CN"/>
                    </w:rPr>
                    <w:t>厂家回收</w:t>
                  </w:r>
                </w:p>
              </w:tc>
            </w:tr>
            <w:tr w14:paraId="3C588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518" w:type="dxa"/>
                  <w:shd w:val="clear" w:color="auto" w:fill="auto"/>
                  <w:noWrap w:val="0"/>
                  <w:vAlign w:val="center"/>
                </w:tcPr>
                <w:p w14:paraId="7C32B5E7">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6</w:t>
                  </w:r>
                </w:p>
              </w:tc>
              <w:tc>
                <w:tcPr>
                  <w:tcW w:w="1072" w:type="dxa"/>
                  <w:noWrap w:val="0"/>
                  <w:vAlign w:val="center"/>
                </w:tcPr>
                <w:p w14:paraId="5C8E46A7">
                  <w:pPr>
                    <w:keepNext w:val="0"/>
                    <w:keepLines w:val="0"/>
                    <w:suppressLineNumbers w:val="0"/>
                    <w:spacing w:before="0" w:beforeAutospacing="0" w:after="0" w:afterAutospacing="0" w:line="240" w:lineRule="exact"/>
                    <w:ind w:left="0" w:right="0"/>
                    <w:jc w:val="center"/>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废机油</w:t>
                  </w:r>
                </w:p>
              </w:tc>
              <w:tc>
                <w:tcPr>
                  <w:tcW w:w="899" w:type="dxa"/>
                  <w:shd w:val="clear" w:color="auto" w:fill="auto"/>
                  <w:noWrap w:val="0"/>
                  <w:vAlign w:val="center"/>
                </w:tcPr>
                <w:p w14:paraId="0D67DA3A">
                  <w:pPr>
                    <w:keepNext w:val="0"/>
                    <w:keepLines w:val="0"/>
                    <w:suppressLineNumbers w:val="0"/>
                    <w:spacing w:before="0" w:beforeAutospacing="0" w:after="0" w:afterAutospacing="0" w:line="240" w:lineRule="exact"/>
                    <w:ind w:left="0" w:leftChars="0" w:right="0" w:rightChars="0"/>
                    <w:jc w:val="center"/>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HW</w:t>
                  </w:r>
                  <w:r>
                    <w:rPr>
                      <w:rFonts w:hint="eastAsia" w:cs="Times New Roman"/>
                      <w:bCs/>
                      <w:color w:val="auto"/>
                      <w:sz w:val="21"/>
                      <w:szCs w:val="21"/>
                      <w:highlight w:val="none"/>
                      <w:lang w:val="en-US" w:eastAsia="zh-CN"/>
                    </w:rPr>
                    <w:t>08</w:t>
                  </w:r>
                </w:p>
              </w:tc>
              <w:tc>
                <w:tcPr>
                  <w:tcW w:w="1313" w:type="dxa"/>
                  <w:noWrap w:val="0"/>
                  <w:vAlign w:val="center"/>
                </w:tcPr>
                <w:p w14:paraId="06BD3EDE">
                  <w:pPr>
                    <w:keepNext w:val="0"/>
                    <w:keepLines w:val="0"/>
                    <w:suppressLineNumbers w:val="0"/>
                    <w:spacing w:before="0" w:beforeAutospacing="0" w:after="0" w:afterAutospacing="0" w:line="240" w:lineRule="exact"/>
                    <w:ind w:left="0" w:right="0"/>
                    <w:jc w:val="center"/>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900-217-08</w:t>
                  </w:r>
                </w:p>
              </w:tc>
              <w:tc>
                <w:tcPr>
                  <w:tcW w:w="1153" w:type="dxa"/>
                  <w:noWrap w:val="0"/>
                  <w:vAlign w:val="center"/>
                </w:tcPr>
                <w:p w14:paraId="3807EBA0">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color w:val="auto"/>
                      <w:kern w:val="2"/>
                      <w:sz w:val="21"/>
                      <w:szCs w:val="21"/>
                      <w:highlight w:val="none"/>
                      <w:shd w:val="clear" w:color="auto" w:fill="auto"/>
                      <w:vertAlign w:val="baseline"/>
                      <w:lang w:val="en-US" w:eastAsia="zh-CN" w:bidi="ar-SA"/>
                    </w:rPr>
                  </w:pPr>
                  <w:r>
                    <w:rPr>
                      <w:rFonts w:hint="eastAsia" w:ascii="Times New Roman" w:hAnsi="Times New Roman" w:eastAsia="宋体" w:cs="Times New Roman"/>
                      <w:bCs/>
                      <w:color w:val="auto"/>
                      <w:sz w:val="21"/>
                      <w:szCs w:val="21"/>
                      <w:highlight w:val="none"/>
                      <w:lang w:val="en-US" w:eastAsia="zh-CN"/>
                    </w:rPr>
                    <w:t>0.2</w:t>
                  </w:r>
                </w:p>
              </w:tc>
              <w:tc>
                <w:tcPr>
                  <w:tcW w:w="1549" w:type="dxa"/>
                  <w:noWrap w:val="0"/>
                  <w:vAlign w:val="center"/>
                </w:tcPr>
                <w:p w14:paraId="4949BD91">
                  <w:pPr>
                    <w:keepNext w:val="0"/>
                    <w:keepLines w:val="0"/>
                    <w:suppressLineNumbers w:val="0"/>
                    <w:spacing w:before="0" w:beforeAutospacing="0" w:after="0" w:afterAutospacing="0" w:line="240" w:lineRule="exact"/>
                    <w:ind w:left="0" w:right="0"/>
                    <w:jc w:val="center"/>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危险废物</w:t>
                  </w:r>
                </w:p>
              </w:tc>
              <w:tc>
                <w:tcPr>
                  <w:tcW w:w="2004" w:type="dxa"/>
                  <w:vMerge w:val="restart"/>
                  <w:noWrap w:val="0"/>
                  <w:vAlign w:val="center"/>
                </w:tcPr>
                <w:p w14:paraId="678E33BE">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val="en-US" w:eastAsia="zh-CN"/>
                    </w:rPr>
                    <w:t>暂存于厂内危险废物贮存点，定期交由有资质单位处置</w:t>
                  </w:r>
                </w:p>
              </w:tc>
            </w:tr>
            <w:tr w14:paraId="3BFE4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518" w:type="dxa"/>
                  <w:shd w:val="clear" w:color="auto" w:fill="auto"/>
                  <w:noWrap w:val="0"/>
                  <w:vAlign w:val="center"/>
                </w:tcPr>
                <w:p w14:paraId="69A9B337">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7</w:t>
                  </w:r>
                </w:p>
              </w:tc>
              <w:tc>
                <w:tcPr>
                  <w:tcW w:w="1072" w:type="dxa"/>
                  <w:noWrap w:val="0"/>
                  <w:vAlign w:val="center"/>
                </w:tcPr>
                <w:p w14:paraId="4678241F">
                  <w:pPr>
                    <w:keepNext w:val="0"/>
                    <w:keepLines w:val="0"/>
                    <w:suppressLineNumbers w:val="0"/>
                    <w:spacing w:before="0" w:beforeAutospacing="0" w:after="0" w:afterAutospacing="0" w:line="240" w:lineRule="exact"/>
                    <w:ind w:left="0" w:right="0"/>
                    <w:jc w:val="center"/>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废油桶</w:t>
                  </w:r>
                </w:p>
              </w:tc>
              <w:tc>
                <w:tcPr>
                  <w:tcW w:w="899" w:type="dxa"/>
                  <w:shd w:val="clear" w:color="auto" w:fill="auto"/>
                  <w:noWrap w:val="0"/>
                  <w:vAlign w:val="center"/>
                </w:tcPr>
                <w:p w14:paraId="5CD577B0">
                  <w:pPr>
                    <w:keepNext w:val="0"/>
                    <w:keepLines w:val="0"/>
                    <w:suppressLineNumbers w:val="0"/>
                    <w:spacing w:before="0" w:beforeAutospacing="0" w:after="0" w:afterAutospacing="0" w:line="240" w:lineRule="exact"/>
                    <w:ind w:left="0" w:leftChars="0" w:right="0" w:rightChars="0"/>
                    <w:jc w:val="center"/>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HW</w:t>
                  </w:r>
                  <w:r>
                    <w:rPr>
                      <w:rFonts w:hint="eastAsia" w:cs="Times New Roman"/>
                      <w:bCs/>
                      <w:color w:val="auto"/>
                      <w:sz w:val="21"/>
                      <w:szCs w:val="21"/>
                      <w:highlight w:val="none"/>
                      <w:lang w:val="en-US" w:eastAsia="zh-CN"/>
                    </w:rPr>
                    <w:t>08</w:t>
                  </w:r>
                </w:p>
              </w:tc>
              <w:tc>
                <w:tcPr>
                  <w:tcW w:w="1313" w:type="dxa"/>
                  <w:noWrap w:val="0"/>
                  <w:vAlign w:val="center"/>
                </w:tcPr>
                <w:p w14:paraId="59661BBD">
                  <w:pPr>
                    <w:keepNext w:val="0"/>
                    <w:keepLines w:val="0"/>
                    <w:suppressLineNumbers w:val="0"/>
                    <w:spacing w:before="0" w:beforeAutospacing="0" w:after="0" w:afterAutospacing="0" w:line="240" w:lineRule="exact"/>
                    <w:ind w:left="0" w:right="0"/>
                    <w:jc w:val="center"/>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900-249-08</w:t>
                  </w:r>
                </w:p>
              </w:tc>
              <w:tc>
                <w:tcPr>
                  <w:tcW w:w="1153" w:type="dxa"/>
                  <w:noWrap w:val="0"/>
                  <w:vAlign w:val="center"/>
                </w:tcPr>
                <w:p w14:paraId="607EF1F6">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1个/a</w:t>
                  </w:r>
                </w:p>
              </w:tc>
              <w:tc>
                <w:tcPr>
                  <w:tcW w:w="1549" w:type="dxa"/>
                  <w:noWrap w:val="0"/>
                  <w:vAlign w:val="center"/>
                </w:tcPr>
                <w:p w14:paraId="707DC113">
                  <w:pPr>
                    <w:keepNext w:val="0"/>
                    <w:keepLines w:val="0"/>
                    <w:suppressLineNumbers w:val="0"/>
                    <w:spacing w:before="0" w:beforeAutospacing="0" w:after="0" w:afterAutospacing="0" w:line="240" w:lineRule="exact"/>
                    <w:ind w:left="0" w:right="0"/>
                    <w:jc w:val="center"/>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危险废物</w:t>
                  </w:r>
                </w:p>
              </w:tc>
              <w:tc>
                <w:tcPr>
                  <w:tcW w:w="2004" w:type="dxa"/>
                  <w:vMerge w:val="continue"/>
                  <w:noWrap w:val="0"/>
                  <w:vAlign w:val="center"/>
                </w:tcPr>
                <w:p w14:paraId="74F0BA96">
                  <w:pPr>
                    <w:keepNext w:val="0"/>
                    <w:keepLines w:val="0"/>
                    <w:suppressLineNumbers w:val="0"/>
                    <w:spacing w:before="0" w:beforeAutospacing="0" w:after="0" w:afterAutospacing="0" w:line="240" w:lineRule="exact"/>
                    <w:ind w:left="0" w:right="0"/>
                    <w:jc w:val="center"/>
                    <w:rPr>
                      <w:rFonts w:hint="eastAsia" w:ascii="Times New Roman" w:hAnsi="Times New Roman" w:eastAsia="宋体" w:cs="Times New Roman"/>
                      <w:bCs/>
                      <w:color w:val="auto"/>
                      <w:sz w:val="21"/>
                      <w:szCs w:val="21"/>
                      <w:highlight w:val="none"/>
                      <w:lang w:eastAsia="zh-CN"/>
                    </w:rPr>
                  </w:pPr>
                </w:p>
              </w:tc>
            </w:tr>
            <w:tr w14:paraId="03353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518" w:type="dxa"/>
                  <w:shd w:val="clear" w:color="auto" w:fill="auto"/>
                  <w:noWrap w:val="0"/>
                  <w:vAlign w:val="center"/>
                </w:tcPr>
                <w:p w14:paraId="40CBEA2D">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8</w:t>
                  </w:r>
                </w:p>
              </w:tc>
              <w:tc>
                <w:tcPr>
                  <w:tcW w:w="1072" w:type="dxa"/>
                  <w:noWrap w:val="0"/>
                  <w:vAlign w:val="center"/>
                </w:tcPr>
                <w:p w14:paraId="222872A7">
                  <w:pPr>
                    <w:keepNext w:val="0"/>
                    <w:keepLines w:val="0"/>
                    <w:suppressLineNumbers w:val="0"/>
                    <w:spacing w:before="0" w:beforeAutospacing="0" w:after="0" w:afterAutospacing="0" w:line="240" w:lineRule="exact"/>
                    <w:ind w:left="0" w:right="0"/>
                    <w:jc w:val="center"/>
                    <w:rPr>
                      <w:rFonts w:hint="eastAsia" w:ascii="Times New Roman" w:hAnsi="Times New Roman" w:eastAsia="宋体" w:cs="Times New Roman"/>
                      <w:bCs/>
                      <w:color w:val="auto"/>
                      <w:sz w:val="21"/>
                      <w:szCs w:val="21"/>
                      <w:highlight w:val="none"/>
                      <w:lang w:val="en-US" w:eastAsia="zh-CN"/>
                    </w:rPr>
                  </w:pPr>
                  <w:r>
                    <w:rPr>
                      <w:rFonts w:hint="default" w:ascii="Times New Roman" w:hAnsi="Times New Roman" w:cs="Times New Roman"/>
                      <w:color w:val="auto"/>
                      <w:sz w:val="21"/>
                      <w:szCs w:val="21"/>
                      <w:highlight w:val="none"/>
                      <w:lang w:eastAsia="zh-CN"/>
                    </w:rPr>
                    <w:t>废油手套和抹布</w:t>
                  </w:r>
                </w:p>
              </w:tc>
              <w:tc>
                <w:tcPr>
                  <w:tcW w:w="899" w:type="dxa"/>
                  <w:noWrap w:val="0"/>
                  <w:vAlign w:val="center"/>
                </w:tcPr>
                <w:p w14:paraId="2A6AC839">
                  <w:pPr>
                    <w:keepNext w:val="0"/>
                    <w:keepLines w:val="0"/>
                    <w:suppressLineNumbers w:val="0"/>
                    <w:spacing w:before="0" w:beforeAutospacing="0" w:after="0" w:afterAutospacing="0" w:line="240" w:lineRule="exact"/>
                    <w:ind w:left="0" w:leftChars="0" w:right="0" w:rightChars="0"/>
                    <w:jc w:val="center"/>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HW49</w:t>
                  </w:r>
                </w:p>
              </w:tc>
              <w:tc>
                <w:tcPr>
                  <w:tcW w:w="1313" w:type="dxa"/>
                  <w:noWrap w:val="0"/>
                  <w:vAlign w:val="center"/>
                </w:tcPr>
                <w:p w14:paraId="356C1069">
                  <w:pPr>
                    <w:keepNext w:val="0"/>
                    <w:keepLines w:val="0"/>
                    <w:suppressLineNumbers w:val="0"/>
                    <w:spacing w:before="0" w:beforeAutospacing="0" w:after="0" w:afterAutospacing="0" w:line="240" w:lineRule="exact"/>
                    <w:ind w:left="0" w:right="0"/>
                    <w:jc w:val="center"/>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900-041-49</w:t>
                  </w:r>
                </w:p>
              </w:tc>
              <w:tc>
                <w:tcPr>
                  <w:tcW w:w="1153" w:type="dxa"/>
                  <w:noWrap w:val="0"/>
                  <w:vAlign w:val="center"/>
                </w:tcPr>
                <w:p w14:paraId="791E6458">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0.01</w:t>
                  </w:r>
                </w:p>
              </w:tc>
              <w:tc>
                <w:tcPr>
                  <w:tcW w:w="1549" w:type="dxa"/>
                  <w:noWrap w:val="0"/>
                  <w:vAlign w:val="center"/>
                </w:tcPr>
                <w:p w14:paraId="39B4BB5E">
                  <w:pPr>
                    <w:keepNext w:val="0"/>
                    <w:keepLines w:val="0"/>
                    <w:suppressLineNumbers w:val="0"/>
                    <w:spacing w:before="0" w:beforeAutospacing="0" w:after="0" w:afterAutospacing="0" w:line="240" w:lineRule="exact"/>
                    <w:ind w:left="0" w:right="0"/>
                    <w:jc w:val="center"/>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危险废物</w:t>
                  </w:r>
                </w:p>
              </w:tc>
              <w:tc>
                <w:tcPr>
                  <w:tcW w:w="2004" w:type="dxa"/>
                  <w:vMerge w:val="continue"/>
                  <w:noWrap w:val="0"/>
                  <w:vAlign w:val="center"/>
                </w:tcPr>
                <w:p w14:paraId="1CC42AEC">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sz w:val="21"/>
                      <w:szCs w:val="21"/>
                      <w:highlight w:val="none"/>
                      <w:lang w:eastAsia="zh-CN"/>
                    </w:rPr>
                  </w:pPr>
                </w:p>
              </w:tc>
            </w:tr>
            <w:tr w14:paraId="03FD7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518" w:type="dxa"/>
                  <w:noWrap w:val="0"/>
                  <w:vAlign w:val="center"/>
                </w:tcPr>
                <w:p w14:paraId="276A238B">
                  <w:pPr>
                    <w:keepNext w:val="0"/>
                    <w:keepLines w:val="0"/>
                    <w:suppressLineNumbers w:val="0"/>
                    <w:spacing w:before="0" w:beforeAutospacing="0" w:after="0" w:afterAutospacing="0" w:line="240" w:lineRule="exact"/>
                    <w:ind w:left="0" w:right="0"/>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9</w:t>
                  </w:r>
                </w:p>
              </w:tc>
              <w:tc>
                <w:tcPr>
                  <w:tcW w:w="1072" w:type="dxa"/>
                  <w:noWrap w:val="0"/>
                  <w:vAlign w:val="center"/>
                </w:tcPr>
                <w:p w14:paraId="2BF1F39C">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 w:val="21"/>
                      <w:szCs w:val="21"/>
                      <w:highlight w:val="none"/>
                      <w:lang w:eastAsia="zh-CN"/>
                    </w:rPr>
                  </w:pPr>
                  <w:r>
                    <w:rPr>
                      <w:rFonts w:hint="eastAsia" w:cs="Times New Roman"/>
                      <w:color w:val="auto"/>
                      <w:sz w:val="21"/>
                      <w:szCs w:val="21"/>
                      <w:highlight w:val="none"/>
                      <w:lang w:eastAsia="zh-CN"/>
                    </w:rPr>
                    <w:t>生活垃圾</w:t>
                  </w:r>
                </w:p>
              </w:tc>
              <w:tc>
                <w:tcPr>
                  <w:tcW w:w="899" w:type="dxa"/>
                  <w:noWrap w:val="0"/>
                  <w:vAlign w:val="center"/>
                </w:tcPr>
                <w:p w14:paraId="715B22BE">
                  <w:pPr>
                    <w:keepNext w:val="0"/>
                    <w:keepLines w:val="0"/>
                    <w:suppressLineNumbers w:val="0"/>
                    <w:spacing w:before="0" w:beforeAutospacing="0" w:after="0" w:afterAutospacing="0" w:line="240" w:lineRule="exact"/>
                    <w:ind w:left="0" w:right="0"/>
                    <w:jc w:val="center"/>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SW64</w:t>
                  </w:r>
                </w:p>
              </w:tc>
              <w:tc>
                <w:tcPr>
                  <w:tcW w:w="1313" w:type="dxa"/>
                  <w:noWrap w:val="0"/>
                  <w:vAlign w:val="center"/>
                </w:tcPr>
                <w:p w14:paraId="70D7B01F">
                  <w:pPr>
                    <w:keepNext w:val="0"/>
                    <w:keepLines w:val="0"/>
                    <w:suppressLineNumbers w:val="0"/>
                    <w:spacing w:before="0" w:beforeAutospacing="0" w:after="0" w:afterAutospacing="0" w:line="240" w:lineRule="exact"/>
                    <w:ind w:left="0" w:right="0"/>
                    <w:jc w:val="center"/>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900-099-S64</w:t>
                  </w:r>
                </w:p>
              </w:tc>
              <w:tc>
                <w:tcPr>
                  <w:tcW w:w="1153" w:type="dxa"/>
                  <w:noWrap w:val="0"/>
                  <w:vAlign w:val="center"/>
                </w:tcPr>
                <w:p w14:paraId="15E6E49A">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8.25ta</w:t>
                  </w:r>
                </w:p>
              </w:tc>
              <w:tc>
                <w:tcPr>
                  <w:tcW w:w="1549" w:type="dxa"/>
                  <w:noWrap w:val="0"/>
                  <w:vAlign w:val="center"/>
                </w:tcPr>
                <w:p w14:paraId="11C6E05A">
                  <w:pPr>
                    <w:keepNext w:val="0"/>
                    <w:keepLines w:val="0"/>
                    <w:suppressLineNumbers w:val="0"/>
                    <w:spacing w:before="0" w:beforeAutospacing="0" w:after="0" w:afterAutospacing="0" w:line="240" w:lineRule="exact"/>
                    <w:ind w:left="0" w:right="0"/>
                    <w:jc w:val="center"/>
                    <w:rPr>
                      <w:rFonts w:hint="eastAsia"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生活垃圾</w:t>
                  </w:r>
                </w:p>
              </w:tc>
              <w:tc>
                <w:tcPr>
                  <w:tcW w:w="2004" w:type="dxa"/>
                  <w:noWrap w:val="0"/>
                  <w:vAlign w:val="center"/>
                </w:tcPr>
                <w:p w14:paraId="5459F7DA">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bCs/>
                      <w:color w:val="auto"/>
                      <w:sz w:val="21"/>
                      <w:szCs w:val="21"/>
                      <w:highlight w:val="none"/>
                      <w:lang w:eastAsia="zh-CN"/>
                    </w:rPr>
                  </w:pPr>
                  <w:r>
                    <w:rPr>
                      <w:rFonts w:hint="eastAsia" w:cs="Times New Roman"/>
                      <w:bCs/>
                      <w:color w:val="auto"/>
                      <w:sz w:val="21"/>
                      <w:szCs w:val="21"/>
                      <w:highlight w:val="none"/>
                      <w:lang w:eastAsia="zh-CN"/>
                    </w:rPr>
                    <w:t>交由环卫处置</w:t>
                  </w:r>
                </w:p>
              </w:tc>
            </w:tr>
          </w:tbl>
          <w:p w14:paraId="3908D7BD">
            <w:pPr>
              <w:keepNext w:val="0"/>
              <w:keepLines w:val="0"/>
              <w:suppressLineNumbers w:val="0"/>
              <w:tabs>
                <w:tab w:val="left" w:pos="567"/>
              </w:tabs>
              <w:snapToGrid w:val="0"/>
              <w:spacing w:before="0" w:beforeAutospacing="0" w:after="0" w:afterAutospacing="0" w:line="360" w:lineRule="auto"/>
              <w:ind w:left="0" w:right="0" w:firstLine="555"/>
              <w:rPr>
                <w:rFonts w:ascii="Calibri" w:hAnsi="Calibri" w:eastAsia="宋体" w:cs="Times New Roman"/>
                <w:color w:val="auto"/>
                <w:sz w:val="24"/>
                <w:highlight w:val="none"/>
                <w:shd w:val="clear" w:color="auto" w:fill="auto"/>
              </w:rPr>
            </w:pPr>
            <w:r>
              <w:rPr>
                <w:rFonts w:ascii="Calibri" w:hAnsi="Calibri" w:eastAsia="宋体" w:cs="Times New Roman"/>
                <w:color w:val="auto"/>
                <w:sz w:val="24"/>
                <w:highlight w:val="none"/>
                <w:shd w:val="clear" w:color="auto" w:fill="auto"/>
              </w:rPr>
              <w:t>本项目</w:t>
            </w:r>
            <w:r>
              <w:rPr>
                <w:rFonts w:hint="eastAsia" w:ascii="Calibri" w:hAnsi="Calibri" w:cs="Times New Roman"/>
                <w:color w:val="auto"/>
                <w:sz w:val="24"/>
                <w:highlight w:val="none"/>
                <w:shd w:val="clear" w:color="auto" w:fill="auto"/>
                <w:lang w:eastAsia="zh-CN"/>
              </w:rPr>
              <w:t>危险废物</w:t>
            </w:r>
            <w:r>
              <w:rPr>
                <w:rFonts w:ascii="Calibri" w:hAnsi="Calibri" w:eastAsia="宋体" w:cs="Times New Roman"/>
                <w:color w:val="auto"/>
                <w:sz w:val="24"/>
                <w:highlight w:val="none"/>
                <w:shd w:val="clear" w:color="auto" w:fill="auto"/>
              </w:rPr>
              <w:t>产生及处置措施情况见表</w:t>
            </w:r>
            <w:r>
              <w:rPr>
                <w:rFonts w:hint="eastAsia" w:ascii="Calibri" w:hAnsi="Calibri" w:cs="Times New Roman"/>
                <w:color w:val="auto"/>
                <w:sz w:val="24"/>
                <w:highlight w:val="none"/>
                <w:shd w:val="clear" w:color="auto" w:fill="auto"/>
                <w:lang w:val="en-US" w:eastAsia="zh-CN"/>
              </w:rPr>
              <w:t>4-17、4-18</w:t>
            </w:r>
            <w:r>
              <w:rPr>
                <w:rFonts w:ascii="Calibri" w:hAnsi="Calibri" w:eastAsia="宋体" w:cs="Times New Roman"/>
                <w:color w:val="auto"/>
                <w:sz w:val="24"/>
                <w:highlight w:val="none"/>
                <w:shd w:val="clear" w:color="auto" w:fill="auto"/>
              </w:rPr>
              <w:t>。</w:t>
            </w:r>
          </w:p>
          <w:p w14:paraId="37F472B9">
            <w:pPr>
              <w:keepNext w:val="0"/>
              <w:keepLines w:val="0"/>
              <w:suppressLineNumbers w:val="0"/>
              <w:spacing w:before="0" w:beforeAutospacing="0" w:after="0" w:afterAutospacing="0" w:line="460" w:lineRule="exact"/>
              <w:ind w:left="0" w:right="0"/>
              <w:jc w:val="center"/>
              <w:rPr>
                <w:rFonts w:ascii="Calibri" w:hAnsi="Calibri" w:eastAsia="宋体" w:cs="Times New Roman"/>
                <w:color w:val="auto"/>
                <w:sz w:val="24"/>
                <w:highlight w:val="none"/>
                <w:shd w:val="clear" w:color="auto" w:fill="auto"/>
              </w:rPr>
            </w:pPr>
            <w:r>
              <w:rPr>
                <w:rFonts w:hint="eastAsia" w:ascii="Calibri" w:hAnsi="Calibri" w:eastAsia="宋体" w:cs="Times New Roman"/>
                <w:color w:val="auto"/>
                <w:sz w:val="24"/>
                <w:highlight w:val="none"/>
                <w:shd w:val="clear" w:color="auto" w:fill="auto"/>
              </w:rPr>
              <w:t>表</w:t>
            </w:r>
            <w:r>
              <w:rPr>
                <w:rFonts w:hint="eastAsia" w:ascii="Calibri" w:hAnsi="Calibri" w:cs="Times New Roman"/>
                <w:color w:val="auto"/>
                <w:sz w:val="24"/>
                <w:highlight w:val="none"/>
                <w:shd w:val="clear" w:color="auto" w:fill="auto"/>
                <w:lang w:val="en-US" w:eastAsia="zh-CN"/>
              </w:rPr>
              <w:t>4-17</w:t>
            </w:r>
            <w:r>
              <w:rPr>
                <w:rFonts w:ascii="Calibri" w:hAnsi="Calibri" w:eastAsia="宋体" w:cs="Times New Roman"/>
                <w:color w:val="auto"/>
                <w:sz w:val="24"/>
                <w:highlight w:val="none"/>
                <w:shd w:val="clear" w:color="auto" w:fill="auto"/>
              </w:rPr>
              <w:t xml:space="preserve">   </w:t>
            </w:r>
            <w:r>
              <w:rPr>
                <w:rFonts w:hint="eastAsia" w:ascii="Calibri" w:hAnsi="Calibri" w:eastAsia="宋体" w:cs="Times New Roman"/>
                <w:color w:val="auto"/>
                <w:sz w:val="24"/>
                <w:highlight w:val="none"/>
                <w:shd w:val="clear" w:color="auto" w:fill="auto"/>
              </w:rPr>
              <w:t>危险废物汇总表</w:t>
            </w:r>
          </w:p>
          <w:tbl>
            <w:tblPr>
              <w:tblStyle w:val="25"/>
              <w:tblW w:w="84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0"/>
              <w:gridCol w:w="713"/>
              <w:gridCol w:w="787"/>
              <w:gridCol w:w="1196"/>
              <w:gridCol w:w="847"/>
              <w:gridCol w:w="664"/>
              <w:gridCol w:w="636"/>
              <w:gridCol w:w="553"/>
              <w:gridCol w:w="682"/>
              <w:gridCol w:w="574"/>
              <w:gridCol w:w="636"/>
              <w:gridCol w:w="702"/>
            </w:tblGrid>
            <w:tr w14:paraId="3BE2D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500" w:type="dxa"/>
                  <w:noWrap w:val="0"/>
                  <w:vAlign w:val="center"/>
                </w:tcPr>
                <w:p w14:paraId="24D55BD4">
                  <w:pPr>
                    <w:keepNext w:val="0"/>
                    <w:keepLines w:val="0"/>
                    <w:suppressLineNumbers w:val="0"/>
                    <w:topLinePunct/>
                    <w:adjustRightInd w:val="0"/>
                    <w:snapToGrid w:val="0"/>
                    <w:spacing w:before="0" w:beforeAutospacing="0" w:after="0" w:afterAutospacing="0" w:line="240" w:lineRule="atLeast"/>
                    <w:ind w:left="0" w:right="0"/>
                    <w:jc w:val="center"/>
                    <w:rPr>
                      <w:rFonts w:ascii="Calibri" w:hAnsi="Calibri" w:eastAsia="宋体" w:cs="Times New Roman"/>
                      <w:color w:val="auto"/>
                      <w:kern w:val="0"/>
                      <w:sz w:val="21"/>
                      <w:szCs w:val="21"/>
                      <w:highlight w:val="none"/>
                      <w:shd w:val="clear" w:color="auto" w:fill="auto"/>
                    </w:rPr>
                  </w:pPr>
                  <w:r>
                    <w:rPr>
                      <w:rFonts w:ascii="Calibri" w:hAnsi="Calibri" w:eastAsia="宋体" w:cs="Times New Roman"/>
                      <w:color w:val="auto"/>
                      <w:kern w:val="0"/>
                      <w:sz w:val="21"/>
                      <w:szCs w:val="21"/>
                      <w:highlight w:val="none"/>
                      <w:shd w:val="clear" w:color="auto" w:fill="auto"/>
                    </w:rPr>
                    <w:t>序号</w:t>
                  </w:r>
                </w:p>
              </w:tc>
              <w:tc>
                <w:tcPr>
                  <w:tcW w:w="713" w:type="dxa"/>
                  <w:noWrap w:val="0"/>
                  <w:vAlign w:val="center"/>
                </w:tcPr>
                <w:p w14:paraId="0A8EB31A">
                  <w:pPr>
                    <w:keepNext w:val="0"/>
                    <w:keepLines w:val="0"/>
                    <w:suppressLineNumbers w:val="0"/>
                    <w:topLinePunct/>
                    <w:adjustRightInd w:val="0"/>
                    <w:snapToGrid w:val="0"/>
                    <w:spacing w:before="0" w:beforeAutospacing="0" w:after="0" w:afterAutospacing="0" w:line="240" w:lineRule="atLeast"/>
                    <w:ind w:left="0" w:right="0"/>
                    <w:jc w:val="center"/>
                    <w:rPr>
                      <w:rFonts w:ascii="Calibri" w:hAnsi="Calibri" w:eastAsia="宋体" w:cs="Times New Roman"/>
                      <w:color w:val="auto"/>
                      <w:kern w:val="0"/>
                      <w:sz w:val="21"/>
                      <w:szCs w:val="21"/>
                      <w:highlight w:val="none"/>
                      <w:shd w:val="clear" w:color="auto" w:fill="auto"/>
                    </w:rPr>
                  </w:pPr>
                  <w:r>
                    <w:rPr>
                      <w:rFonts w:ascii="Calibri" w:hAnsi="Calibri" w:eastAsia="宋体" w:cs="Times New Roman"/>
                      <w:color w:val="auto"/>
                      <w:kern w:val="0"/>
                      <w:sz w:val="21"/>
                      <w:szCs w:val="21"/>
                      <w:highlight w:val="none"/>
                      <w:shd w:val="clear" w:color="auto" w:fill="auto"/>
                    </w:rPr>
                    <w:t>危险废物名称</w:t>
                  </w:r>
                </w:p>
              </w:tc>
              <w:tc>
                <w:tcPr>
                  <w:tcW w:w="787" w:type="dxa"/>
                  <w:noWrap w:val="0"/>
                  <w:vAlign w:val="center"/>
                </w:tcPr>
                <w:p w14:paraId="67325681">
                  <w:pPr>
                    <w:keepNext w:val="0"/>
                    <w:keepLines w:val="0"/>
                    <w:suppressLineNumbers w:val="0"/>
                    <w:topLinePunct/>
                    <w:adjustRightInd w:val="0"/>
                    <w:snapToGrid w:val="0"/>
                    <w:spacing w:before="0" w:beforeAutospacing="0" w:after="0" w:afterAutospacing="0" w:line="240" w:lineRule="atLeast"/>
                    <w:ind w:left="0" w:right="0"/>
                    <w:jc w:val="center"/>
                    <w:rPr>
                      <w:rFonts w:ascii="Calibri" w:hAnsi="Calibri" w:eastAsia="宋体" w:cs="Times New Roman"/>
                      <w:color w:val="auto"/>
                      <w:kern w:val="0"/>
                      <w:sz w:val="21"/>
                      <w:szCs w:val="21"/>
                      <w:highlight w:val="none"/>
                      <w:shd w:val="clear" w:color="auto" w:fill="auto"/>
                    </w:rPr>
                  </w:pPr>
                  <w:r>
                    <w:rPr>
                      <w:rFonts w:ascii="Calibri" w:hAnsi="Calibri" w:eastAsia="宋体" w:cs="Times New Roman"/>
                      <w:color w:val="auto"/>
                      <w:kern w:val="0"/>
                      <w:sz w:val="21"/>
                      <w:szCs w:val="21"/>
                      <w:highlight w:val="none"/>
                      <w:shd w:val="clear" w:color="auto" w:fill="auto"/>
                    </w:rPr>
                    <w:t>危险废物类别</w:t>
                  </w:r>
                </w:p>
              </w:tc>
              <w:tc>
                <w:tcPr>
                  <w:tcW w:w="1196" w:type="dxa"/>
                  <w:noWrap w:val="0"/>
                  <w:vAlign w:val="center"/>
                </w:tcPr>
                <w:p w14:paraId="70A039EA">
                  <w:pPr>
                    <w:keepNext w:val="0"/>
                    <w:keepLines w:val="0"/>
                    <w:suppressLineNumbers w:val="0"/>
                    <w:topLinePunct/>
                    <w:adjustRightInd w:val="0"/>
                    <w:snapToGrid w:val="0"/>
                    <w:spacing w:before="0" w:beforeAutospacing="0" w:after="0" w:afterAutospacing="0" w:line="240" w:lineRule="atLeast"/>
                    <w:ind w:left="0" w:right="0"/>
                    <w:jc w:val="center"/>
                    <w:rPr>
                      <w:rFonts w:ascii="Calibri" w:hAnsi="Calibri" w:eastAsia="宋体" w:cs="Times New Roman"/>
                      <w:color w:val="auto"/>
                      <w:kern w:val="0"/>
                      <w:sz w:val="21"/>
                      <w:szCs w:val="21"/>
                      <w:highlight w:val="none"/>
                      <w:shd w:val="clear" w:color="auto" w:fill="auto"/>
                    </w:rPr>
                  </w:pPr>
                  <w:r>
                    <w:rPr>
                      <w:rFonts w:ascii="Calibri" w:hAnsi="Calibri" w:eastAsia="宋体" w:cs="Times New Roman"/>
                      <w:color w:val="auto"/>
                      <w:kern w:val="0"/>
                      <w:sz w:val="21"/>
                      <w:szCs w:val="21"/>
                      <w:highlight w:val="none"/>
                      <w:shd w:val="clear" w:color="auto" w:fill="auto"/>
                    </w:rPr>
                    <w:t>危险废物代码</w:t>
                  </w:r>
                </w:p>
              </w:tc>
              <w:tc>
                <w:tcPr>
                  <w:tcW w:w="847" w:type="dxa"/>
                  <w:noWrap w:val="0"/>
                  <w:vAlign w:val="center"/>
                </w:tcPr>
                <w:p w14:paraId="1013B5D9">
                  <w:pPr>
                    <w:keepNext w:val="0"/>
                    <w:keepLines w:val="0"/>
                    <w:suppressLineNumbers w:val="0"/>
                    <w:topLinePunct/>
                    <w:adjustRightInd w:val="0"/>
                    <w:snapToGrid w:val="0"/>
                    <w:spacing w:before="0" w:beforeAutospacing="0" w:after="0" w:afterAutospacing="0" w:line="240" w:lineRule="atLeast"/>
                    <w:ind w:left="0" w:right="0"/>
                    <w:jc w:val="center"/>
                    <w:rPr>
                      <w:rFonts w:ascii="Calibri" w:hAnsi="Calibri" w:eastAsia="宋体" w:cs="Times New Roman"/>
                      <w:color w:val="auto"/>
                      <w:kern w:val="0"/>
                      <w:sz w:val="21"/>
                      <w:szCs w:val="21"/>
                      <w:highlight w:val="none"/>
                      <w:shd w:val="clear" w:color="auto" w:fill="auto"/>
                    </w:rPr>
                  </w:pPr>
                  <w:r>
                    <w:rPr>
                      <w:rFonts w:ascii="Calibri" w:hAnsi="Calibri" w:eastAsia="宋体" w:cs="Times New Roman"/>
                      <w:color w:val="auto"/>
                      <w:kern w:val="0"/>
                      <w:sz w:val="21"/>
                      <w:szCs w:val="21"/>
                      <w:highlight w:val="none"/>
                      <w:shd w:val="clear" w:color="auto" w:fill="auto"/>
                    </w:rPr>
                    <w:t>产生量（吨/年）</w:t>
                  </w:r>
                </w:p>
              </w:tc>
              <w:tc>
                <w:tcPr>
                  <w:tcW w:w="664" w:type="dxa"/>
                  <w:noWrap w:val="0"/>
                  <w:vAlign w:val="center"/>
                </w:tcPr>
                <w:p w14:paraId="3B646205">
                  <w:pPr>
                    <w:keepNext w:val="0"/>
                    <w:keepLines w:val="0"/>
                    <w:suppressLineNumbers w:val="0"/>
                    <w:topLinePunct/>
                    <w:adjustRightInd w:val="0"/>
                    <w:snapToGrid w:val="0"/>
                    <w:spacing w:before="0" w:beforeAutospacing="0" w:after="0" w:afterAutospacing="0" w:line="240" w:lineRule="atLeast"/>
                    <w:ind w:left="0" w:right="0"/>
                    <w:jc w:val="center"/>
                    <w:rPr>
                      <w:rFonts w:ascii="Calibri" w:hAnsi="Calibri" w:eastAsia="宋体" w:cs="Times New Roman"/>
                      <w:color w:val="auto"/>
                      <w:kern w:val="0"/>
                      <w:sz w:val="21"/>
                      <w:szCs w:val="21"/>
                      <w:highlight w:val="none"/>
                      <w:shd w:val="clear" w:color="auto" w:fill="auto"/>
                    </w:rPr>
                  </w:pPr>
                  <w:r>
                    <w:rPr>
                      <w:rFonts w:ascii="Calibri" w:hAnsi="Calibri" w:eastAsia="宋体" w:cs="Times New Roman"/>
                      <w:color w:val="auto"/>
                      <w:kern w:val="0"/>
                      <w:sz w:val="21"/>
                      <w:szCs w:val="21"/>
                      <w:highlight w:val="none"/>
                      <w:shd w:val="clear" w:color="auto" w:fill="auto"/>
                    </w:rPr>
                    <w:t>产生工序及装置</w:t>
                  </w:r>
                </w:p>
              </w:tc>
              <w:tc>
                <w:tcPr>
                  <w:tcW w:w="636" w:type="dxa"/>
                  <w:noWrap w:val="0"/>
                  <w:vAlign w:val="center"/>
                </w:tcPr>
                <w:p w14:paraId="6F5E1F4D">
                  <w:pPr>
                    <w:keepNext w:val="0"/>
                    <w:keepLines w:val="0"/>
                    <w:suppressLineNumbers w:val="0"/>
                    <w:topLinePunct/>
                    <w:adjustRightInd w:val="0"/>
                    <w:snapToGrid w:val="0"/>
                    <w:spacing w:before="0" w:beforeAutospacing="0" w:after="0" w:afterAutospacing="0" w:line="240" w:lineRule="atLeast"/>
                    <w:ind w:left="0" w:right="0"/>
                    <w:jc w:val="center"/>
                    <w:rPr>
                      <w:rFonts w:ascii="Calibri" w:hAnsi="Calibri" w:eastAsia="宋体" w:cs="Times New Roman"/>
                      <w:color w:val="auto"/>
                      <w:kern w:val="0"/>
                      <w:sz w:val="21"/>
                      <w:szCs w:val="21"/>
                      <w:highlight w:val="none"/>
                      <w:shd w:val="clear" w:color="auto" w:fill="auto"/>
                    </w:rPr>
                  </w:pPr>
                  <w:r>
                    <w:rPr>
                      <w:rFonts w:ascii="Calibri" w:hAnsi="Calibri" w:eastAsia="宋体" w:cs="Times New Roman"/>
                      <w:color w:val="auto"/>
                      <w:kern w:val="0"/>
                      <w:sz w:val="21"/>
                      <w:szCs w:val="21"/>
                      <w:highlight w:val="none"/>
                      <w:shd w:val="clear" w:color="auto" w:fill="auto"/>
                    </w:rPr>
                    <w:t>形态</w:t>
                  </w:r>
                </w:p>
              </w:tc>
              <w:tc>
                <w:tcPr>
                  <w:tcW w:w="553" w:type="dxa"/>
                  <w:noWrap w:val="0"/>
                  <w:vAlign w:val="center"/>
                </w:tcPr>
                <w:p w14:paraId="4A044E89">
                  <w:pPr>
                    <w:keepNext w:val="0"/>
                    <w:keepLines w:val="0"/>
                    <w:suppressLineNumbers w:val="0"/>
                    <w:topLinePunct/>
                    <w:adjustRightInd w:val="0"/>
                    <w:snapToGrid w:val="0"/>
                    <w:spacing w:before="0" w:beforeAutospacing="0" w:after="0" w:afterAutospacing="0" w:line="240" w:lineRule="atLeast"/>
                    <w:ind w:left="0" w:right="0"/>
                    <w:jc w:val="center"/>
                    <w:rPr>
                      <w:rFonts w:ascii="Calibri" w:hAnsi="Calibri" w:eastAsia="宋体" w:cs="Times New Roman"/>
                      <w:color w:val="auto"/>
                      <w:kern w:val="0"/>
                      <w:sz w:val="21"/>
                      <w:szCs w:val="21"/>
                      <w:highlight w:val="none"/>
                      <w:shd w:val="clear" w:color="auto" w:fill="auto"/>
                    </w:rPr>
                  </w:pPr>
                  <w:r>
                    <w:rPr>
                      <w:rFonts w:ascii="Calibri" w:hAnsi="Calibri" w:eastAsia="宋体" w:cs="Times New Roman"/>
                      <w:color w:val="auto"/>
                      <w:kern w:val="0"/>
                      <w:sz w:val="21"/>
                      <w:szCs w:val="21"/>
                      <w:highlight w:val="none"/>
                      <w:shd w:val="clear" w:color="auto" w:fill="auto"/>
                    </w:rPr>
                    <w:t>主要成分</w:t>
                  </w:r>
                </w:p>
              </w:tc>
              <w:tc>
                <w:tcPr>
                  <w:tcW w:w="682" w:type="dxa"/>
                  <w:noWrap w:val="0"/>
                  <w:vAlign w:val="center"/>
                </w:tcPr>
                <w:p w14:paraId="6769B0D2">
                  <w:pPr>
                    <w:keepNext w:val="0"/>
                    <w:keepLines w:val="0"/>
                    <w:suppressLineNumbers w:val="0"/>
                    <w:topLinePunct/>
                    <w:adjustRightInd w:val="0"/>
                    <w:snapToGrid w:val="0"/>
                    <w:spacing w:before="0" w:beforeAutospacing="0" w:after="0" w:afterAutospacing="0" w:line="240" w:lineRule="atLeast"/>
                    <w:ind w:left="0" w:right="0"/>
                    <w:jc w:val="center"/>
                    <w:rPr>
                      <w:rFonts w:ascii="Calibri" w:hAnsi="Calibri" w:eastAsia="宋体" w:cs="Times New Roman"/>
                      <w:color w:val="auto"/>
                      <w:kern w:val="0"/>
                      <w:sz w:val="21"/>
                      <w:szCs w:val="21"/>
                      <w:highlight w:val="none"/>
                      <w:shd w:val="clear" w:color="auto" w:fill="auto"/>
                    </w:rPr>
                  </w:pPr>
                  <w:r>
                    <w:rPr>
                      <w:rFonts w:ascii="Calibri" w:hAnsi="Calibri" w:eastAsia="宋体" w:cs="Times New Roman"/>
                      <w:color w:val="auto"/>
                      <w:kern w:val="0"/>
                      <w:sz w:val="21"/>
                      <w:szCs w:val="21"/>
                      <w:highlight w:val="none"/>
                      <w:shd w:val="clear" w:color="auto" w:fill="auto"/>
                    </w:rPr>
                    <w:t>有害成分</w:t>
                  </w:r>
                </w:p>
              </w:tc>
              <w:tc>
                <w:tcPr>
                  <w:tcW w:w="574" w:type="dxa"/>
                  <w:noWrap w:val="0"/>
                  <w:vAlign w:val="center"/>
                </w:tcPr>
                <w:p w14:paraId="1248A449">
                  <w:pPr>
                    <w:keepNext w:val="0"/>
                    <w:keepLines w:val="0"/>
                    <w:suppressLineNumbers w:val="0"/>
                    <w:topLinePunct/>
                    <w:adjustRightInd w:val="0"/>
                    <w:snapToGrid w:val="0"/>
                    <w:spacing w:before="0" w:beforeAutospacing="0" w:after="0" w:afterAutospacing="0" w:line="240" w:lineRule="atLeast"/>
                    <w:ind w:left="0" w:right="0"/>
                    <w:jc w:val="center"/>
                    <w:rPr>
                      <w:rFonts w:ascii="Calibri" w:hAnsi="Calibri" w:eastAsia="宋体" w:cs="Times New Roman"/>
                      <w:color w:val="auto"/>
                      <w:kern w:val="0"/>
                      <w:sz w:val="21"/>
                      <w:szCs w:val="21"/>
                      <w:highlight w:val="none"/>
                      <w:shd w:val="clear" w:color="auto" w:fill="auto"/>
                    </w:rPr>
                  </w:pPr>
                  <w:r>
                    <w:rPr>
                      <w:rFonts w:hint="eastAsia" w:ascii="Calibri" w:hAnsi="Calibri" w:eastAsia="宋体" w:cs="Times New Roman"/>
                      <w:color w:val="auto"/>
                      <w:kern w:val="0"/>
                      <w:sz w:val="21"/>
                      <w:szCs w:val="21"/>
                      <w:highlight w:val="none"/>
                      <w:shd w:val="clear" w:color="auto" w:fill="auto"/>
                      <w:lang w:eastAsia="zh-CN"/>
                    </w:rPr>
                    <w:t>贮存</w:t>
                  </w:r>
                  <w:r>
                    <w:rPr>
                      <w:rFonts w:ascii="Calibri" w:hAnsi="Calibri" w:eastAsia="宋体" w:cs="Times New Roman"/>
                      <w:color w:val="auto"/>
                      <w:kern w:val="0"/>
                      <w:sz w:val="21"/>
                      <w:szCs w:val="21"/>
                      <w:highlight w:val="none"/>
                      <w:shd w:val="clear" w:color="auto" w:fill="auto"/>
                    </w:rPr>
                    <w:t>周期</w:t>
                  </w:r>
                </w:p>
              </w:tc>
              <w:tc>
                <w:tcPr>
                  <w:tcW w:w="636" w:type="dxa"/>
                  <w:noWrap w:val="0"/>
                  <w:vAlign w:val="center"/>
                </w:tcPr>
                <w:p w14:paraId="2F89081D">
                  <w:pPr>
                    <w:keepNext w:val="0"/>
                    <w:keepLines w:val="0"/>
                    <w:suppressLineNumbers w:val="0"/>
                    <w:topLinePunct/>
                    <w:adjustRightInd w:val="0"/>
                    <w:snapToGrid w:val="0"/>
                    <w:spacing w:before="0" w:beforeAutospacing="0" w:after="0" w:afterAutospacing="0" w:line="240" w:lineRule="atLeast"/>
                    <w:ind w:left="0" w:right="0"/>
                    <w:jc w:val="center"/>
                    <w:rPr>
                      <w:rFonts w:ascii="Calibri" w:hAnsi="Calibri" w:eastAsia="宋体" w:cs="Times New Roman"/>
                      <w:color w:val="auto"/>
                      <w:kern w:val="0"/>
                      <w:sz w:val="21"/>
                      <w:szCs w:val="21"/>
                      <w:highlight w:val="none"/>
                      <w:shd w:val="clear" w:color="auto" w:fill="auto"/>
                    </w:rPr>
                  </w:pPr>
                  <w:r>
                    <w:rPr>
                      <w:rFonts w:ascii="Calibri" w:hAnsi="Calibri" w:eastAsia="宋体" w:cs="Times New Roman"/>
                      <w:color w:val="auto"/>
                      <w:kern w:val="0"/>
                      <w:sz w:val="21"/>
                      <w:szCs w:val="21"/>
                      <w:highlight w:val="none"/>
                      <w:shd w:val="clear" w:color="auto" w:fill="auto"/>
                    </w:rPr>
                    <w:t>危险</w:t>
                  </w:r>
                </w:p>
                <w:p w14:paraId="3852AAAE">
                  <w:pPr>
                    <w:keepNext w:val="0"/>
                    <w:keepLines w:val="0"/>
                    <w:suppressLineNumbers w:val="0"/>
                    <w:topLinePunct/>
                    <w:adjustRightInd w:val="0"/>
                    <w:snapToGrid w:val="0"/>
                    <w:spacing w:before="0" w:beforeAutospacing="0" w:after="0" w:afterAutospacing="0" w:line="240" w:lineRule="atLeast"/>
                    <w:ind w:left="0" w:right="0"/>
                    <w:jc w:val="center"/>
                    <w:rPr>
                      <w:rFonts w:ascii="Calibri" w:hAnsi="Calibri" w:eastAsia="宋体" w:cs="Times New Roman"/>
                      <w:color w:val="auto"/>
                      <w:kern w:val="0"/>
                      <w:sz w:val="21"/>
                      <w:szCs w:val="21"/>
                      <w:highlight w:val="none"/>
                      <w:shd w:val="clear" w:color="auto" w:fill="auto"/>
                    </w:rPr>
                  </w:pPr>
                  <w:r>
                    <w:rPr>
                      <w:rFonts w:ascii="Calibri" w:hAnsi="Calibri" w:eastAsia="宋体" w:cs="Times New Roman"/>
                      <w:color w:val="auto"/>
                      <w:kern w:val="0"/>
                      <w:sz w:val="21"/>
                      <w:szCs w:val="21"/>
                      <w:highlight w:val="none"/>
                      <w:shd w:val="clear" w:color="auto" w:fill="auto"/>
                    </w:rPr>
                    <w:t>特性</w:t>
                  </w:r>
                </w:p>
              </w:tc>
              <w:tc>
                <w:tcPr>
                  <w:tcW w:w="702" w:type="dxa"/>
                  <w:noWrap w:val="0"/>
                  <w:vAlign w:val="center"/>
                </w:tcPr>
                <w:p w14:paraId="1955DF42">
                  <w:pPr>
                    <w:keepNext w:val="0"/>
                    <w:keepLines w:val="0"/>
                    <w:suppressLineNumbers w:val="0"/>
                    <w:topLinePunct/>
                    <w:adjustRightInd w:val="0"/>
                    <w:snapToGrid w:val="0"/>
                    <w:spacing w:before="0" w:beforeAutospacing="0" w:after="0" w:afterAutospacing="0" w:line="240" w:lineRule="atLeast"/>
                    <w:ind w:left="0" w:right="0"/>
                    <w:jc w:val="center"/>
                    <w:rPr>
                      <w:rFonts w:ascii="Calibri" w:hAnsi="Calibri" w:eastAsia="宋体" w:cs="Times New Roman"/>
                      <w:color w:val="auto"/>
                      <w:kern w:val="0"/>
                      <w:sz w:val="21"/>
                      <w:szCs w:val="21"/>
                      <w:highlight w:val="none"/>
                      <w:shd w:val="clear" w:color="auto" w:fill="auto"/>
                    </w:rPr>
                  </w:pPr>
                  <w:r>
                    <w:rPr>
                      <w:rFonts w:ascii="Calibri" w:hAnsi="Calibri" w:eastAsia="宋体" w:cs="Times New Roman"/>
                      <w:color w:val="auto"/>
                      <w:kern w:val="0"/>
                      <w:sz w:val="21"/>
                      <w:szCs w:val="21"/>
                      <w:highlight w:val="none"/>
                      <w:shd w:val="clear" w:color="auto" w:fill="auto"/>
                    </w:rPr>
                    <w:t>污染防治措施</w:t>
                  </w:r>
                </w:p>
              </w:tc>
            </w:tr>
            <w:tr w14:paraId="29D58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6" w:hRule="atLeast"/>
                <w:jc w:val="center"/>
              </w:trPr>
              <w:tc>
                <w:tcPr>
                  <w:tcW w:w="500" w:type="dxa"/>
                  <w:noWrap w:val="0"/>
                  <w:vAlign w:val="center"/>
                </w:tcPr>
                <w:p w14:paraId="3CA5063C">
                  <w:pPr>
                    <w:keepNext w:val="0"/>
                    <w:keepLines w:val="0"/>
                    <w:suppressLineNumbers w:val="0"/>
                    <w:topLinePunct/>
                    <w:adjustRightInd w:val="0"/>
                    <w:snapToGrid w:val="0"/>
                    <w:spacing w:before="0" w:beforeAutospacing="0" w:after="0" w:afterAutospacing="0" w:line="240" w:lineRule="atLeast"/>
                    <w:ind w:left="0" w:right="0"/>
                    <w:jc w:val="center"/>
                    <w:rPr>
                      <w:rFonts w:ascii="Calibri" w:hAnsi="Calibri" w:eastAsia="宋体" w:cs="Times New Roman"/>
                      <w:color w:val="auto"/>
                      <w:kern w:val="0"/>
                      <w:sz w:val="21"/>
                      <w:szCs w:val="21"/>
                      <w:highlight w:val="none"/>
                      <w:shd w:val="clear" w:color="auto" w:fill="auto"/>
                    </w:rPr>
                  </w:pPr>
                  <w:r>
                    <w:rPr>
                      <w:rFonts w:ascii="Calibri" w:hAnsi="Calibri" w:eastAsia="宋体" w:cs="Times New Roman"/>
                      <w:color w:val="auto"/>
                      <w:kern w:val="0"/>
                      <w:sz w:val="21"/>
                      <w:szCs w:val="21"/>
                      <w:highlight w:val="none"/>
                      <w:shd w:val="clear" w:color="auto" w:fill="auto"/>
                    </w:rPr>
                    <w:t>1</w:t>
                  </w:r>
                </w:p>
              </w:tc>
              <w:tc>
                <w:tcPr>
                  <w:tcW w:w="713" w:type="dxa"/>
                  <w:noWrap w:val="0"/>
                  <w:vAlign w:val="center"/>
                </w:tcPr>
                <w:p w14:paraId="17C487AA">
                  <w:pPr>
                    <w:pStyle w:val="21"/>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Calibri" w:hAnsi="Calibri" w:eastAsia="宋体" w:cs="Times New Roman"/>
                      <w:color w:val="auto"/>
                      <w:kern w:val="0"/>
                      <w:sz w:val="21"/>
                      <w:szCs w:val="21"/>
                      <w:highlight w:val="none"/>
                      <w:shd w:val="clear" w:color="auto" w:fill="auto"/>
                      <w:lang w:eastAsia="zh-CN"/>
                    </w:rPr>
                  </w:pPr>
                  <w:r>
                    <w:rPr>
                      <w:rFonts w:hint="eastAsia" w:ascii="Times New Roman" w:hAnsi="Times New Roman" w:eastAsia="宋体" w:cs="Times New Roman"/>
                      <w:bCs/>
                      <w:color w:val="auto"/>
                      <w:sz w:val="21"/>
                      <w:szCs w:val="21"/>
                      <w:highlight w:val="none"/>
                      <w:lang w:val="en-US" w:eastAsia="zh-CN"/>
                    </w:rPr>
                    <w:t>废机油</w:t>
                  </w:r>
                </w:p>
              </w:tc>
              <w:tc>
                <w:tcPr>
                  <w:tcW w:w="787" w:type="dxa"/>
                  <w:noWrap w:val="0"/>
                  <w:vAlign w:val="center"/>
                </w:tcPr>
                <w:p w14:paraId="3CBA3353">
                  <w:pPr>
                    <w:keepNext w:val="0"/>
                    <w:keepLines w:val="0"/>
                    <w:suppressLineNumbers w:val="0"/>
                    <w:topLinePunct/>
                    <w:adjustRightInd w:val="0"/>
                    <w:snapToGrid w:val="0"/>
                    <w:spacing w:before="0" w:beforeAutospacing="0" w:after="0" w:afterAutospacing="0" w:line="240" w:lineRule="atLeast"/>
                    <w:ind w:left="0" w:right="0"/>
                    <w:jc w:val="center"/>
                    <w:rPr>
                      <w:rFonts w:hint="eastAsia" w:ascii="Calibri" w:hAnsi="Calibri" w:eastAsia="宋体" w:cs="Times New Roman"/>
                      <w:color w:val="auto"/>
                      <w:kern w:val="0"/>
                      <w:sz w:val="21"/>
                      <w:szCs w:val="21"/>
                      <w:highlight w:val="none"/>
                      <w:shd w:val="clear" w:color="auto" w:fill="auto"/>
                      <w:lang w:eastAsia="zh-CN"/>
                    </w:rPr>
                  </w:pPr>
                  <w:r>
                    <w:rPr>
                      <w:rFonts w:ascii="Calibri" w:hAnsi="Calibri" w:eastAsia="宋体" w:cs="Times New Roman"/>
                      <w:color w:val="auto"/>
                      <w:kern w:val="0"/>
                      <w:sz w:val="21"/>
                      <w:szCs w:val="21"/>
                      <w:highlight w:val="none"/>
                      <w:shd w:val="clear" w:color="auto" w:fill="auto"/>
                    </w:rPr>
                    <w:t>HW0</w:t>
                  </w:r>
                  <w:r>
                    <w:rPr>
                      <w:rFonts w:hint="eastAsia" w:ascii="Calibri" w:hAnsi="Calibri" w:eastAsia="宋体" w:cs="Times New Roman"/>
                      <w:color w:val="auto"/>
                      <w:kern w:val="0"/>
                      <w:sz w:val="21"/>
                      <w:szCs w:val="21"/>
                      <w:highlight w:val="none"/>
                      <w:shd w:val="clear" w:color="auto" w:fill="auto"/>
                      <w:lang w:val="en-US" w:eastAsia="zh-CN"/>
                    </w:rPr>
                    <w:t>8</w:t>
                  </w:r>
                </w:p>
              </w:tc>
              <w:tc>
                <w:tcPr>
                  <w:tcW w:w="1196" w:type="dxa"/>
                  <w:noWrap w:val="0"/>
                  <w:vAlign w:val="center"/>
                </w:tcPr>
                <w:p w14:paraId="1623C8BE">
                  <w:pPr>
                    <w:keepNext w:val="0"/>
                    <w:keepLines w:val="0"/>
                    <w:suppressLineNumbers w:val="0"/>
                    <w:topLinePunct/>
                    <w:adjustRightInd w:val="0"/>
                    <w:snapToGrid w:val="0"/>
                    <w:spacing w:before="0" w:beforeAutospacing="0" w:after="0" w:afterAutospacing="0" w:line="240" w:lineRule="atLeast"/>
                    <w:ind w:left="0" w:right="0"/>
                    <w:jc w:val="center"/>
                    <w:rPr>
                      <w:rFonts w:ascii="Calibri" w:hAnsi="Calibri" w:eastAsia="宋体" w:cs="Times New Roman"/>
                      <w:color w:val="auto"/>
                      <w:kern w:val="0"/>
                      <w:sz w:val="21"/>
                      <w:szCs w:val="21"/>
                      <w:highlight w:val="none"/>
                      <w:shd w:val="clear" w:color="auto" w:fill="auto"/>
                    </w:rPr>
                  </w:pPr>
                  <w:r>
                    <w:rPr>
                      <w:rFonts w:hint="eastAsia" w:ascii="Calibri" w:hAnsi="Calibri" w:eastAsia="宋体" w:cs="Times New Roman"/>
                      <w:color w:val="auto"/>
                      <w:sz w:val="21"/>
                      <w:szCs w:val="21"/>
                      <w:highlight w:val="none"/>
                      <w:shd w:val="clear" w:color="auto" w:fill="auto"/>
                      <w:lang w:val="en-US" w:eastAsia="zh-CN"/>
                    </w:rPr>
                    <w:t>900-217-08</w:t>
                  </w:r>
                </w:p>
              </w:tc>
              <w:tc>
                <w:tcPr>
                  <w:tcW w:w="847" w:type="dxa"/>
                  <w:noWrap w:val="0"/>
                  <w:vAlign w:val="center"/>
                </w:tcPr>
                <w:p w14:paraId="173F53B1">
                  <w:pPr>
                    <w:keepNext w:val="0"/>
                    <w:keepLines w:val="0"/>
                    <w:suppressLineNumbers w:val="0"/>
                    <w:topLinePunct/>
                    <w:adjustRightInd w:val="0"/>
                    <w:snapToGrid w:val="0"/>
                    <w:spacing w:before="0" w:beforeAutospacing="0" w:after="0" w:afterAutospacing="0" w:line="240" w:lineRule="atLeast"/>
                    <w:ind w:left="0" w:right="0"/>
                    <w:jc w:val="center"/>
                    <w:rPr>
                      <w:rFonts w:hint="default" w:ascii="Calibri" w:hAnsi="Calibri" w:eastAsia="宋体" w:cs="Times New Roman"/>
                      <w:color w:val="auto"/>
                      <w:kern w:val="0"/>
                      <w:sz w:val="21"/>
                      <w:szCs w:val="21"/>
                      <w:highlight w:val="none"/>
                      <w:shd w:val="clear" w:color="auto" w:fill="auto"/>
                      <w:lang w:val="en-US" w:eastAsia="zh-CN"/>
                    </w:rPr>
                  </w:pPr>
                  <w:r>
                    <w:rPr>
                      <w:rFonts w:hint="eastAsia" w:ascii="Calibri" w:hAnsi="Calibri" w:eastAsia="宋体" w:cs="Times New Roman"/>
                      <w:color w:val="auto"/>
                      <w:kern w:val="0"/>
                      <w:sz w:val="21"/>
                      <w:szCs w:val="21"/>
                      <w:highlight w:val="none"/>
                      <w:shd w:val="clear" w:color="auto" w:fill="auto"/>
                      <w:lang w:val="en-US" w:eastAsia="zh-CN"/>
                    </w:rPr>
                    <w:t>0.2</w:t>
                  </w:r>
                </w:p>
              </w:tc>
              <w:tc>
                <w:tcPr>
                  <w:tcW w:w="664" w:type="dxa"/>
                  <w:noWrap w:val="0"/>
                  <w:vAlign w:val="center"/>
                </w:tcPr>
                <w:p w14:paraId="18B024CB">
                  <w:pPr>
                    <w:keepNext w:val="0"/>
                    <w:keepLines w:val="0"/>
                    <w:suppressLineNumbers w:val="0"/>
                    <w:topLinePunct/>
                    <w:adjustRightInd w:val="0"/>
                    <w:snapToGrid w:val="0"/>
                    <w:spacing w:before="0" w:beforeAutospacing="0" w:after="0" w:afterAutospacing="0" w:line="240" w:lineRule="atLeast"/>
                    <w:ind w:left="0" w:right="0"/>
                    <w:jc w:val="center"/>
                    <w:rPr>
                      <w:rFonts w:hint="eastAsia" w:ascii="Calibri" w:hAnsi="Calibri" w:eastAsia="宋体" w:cs="Times New Roman"/>
                      <w:color w:val="auto"/>
                      <w:kern w:val="0"/>
                      <w:sz w:val="21"/>
                      <w:szCs w:val="21"/>
                      <w:highlight w:val="none"/>
                      <w:shd w:val="clear" w:color="auto" w:fill="auto"/>
                      <w:lang w:eastAsia="zh-CN"/>
                    </w:rPr>
                  </w:pPr>
                  <w:r>
                    <w:rPr>
                      <w:rFonts w:hint="eastAsia" w:ascii="Calibri" w:hAnsi="Calibri" w:eastAsia="宋体" w:cs="Times New Roman"/>
                      <w:color w:val="auto"/>
                      <w:kern w:val="0"/>
                      <w:sz w:val="21"/>
                      <w:szCs w:val="21"/>
                      <w:highlight w:val="none"/>
                      <w:shd w:val="clear" w:color="auto" w:fill="auto"/>
                      <w:lang w:eastAsia="zh-CN"/>
                    </w:rPr>
                    <w:t>设备维护</w:t>
                  </w:r>
                </w:p>
              </w:tc>
              <w:tc>
                <w:tcPr>
                  <w:tcW w:w="636" w:type="dxa"/>
                  <w:noWrap w:val="0"/>
                  <w:vAlign w:val="center"/>
                </w:tcPr>
                <w:p w14:paraId="43BBDADD">
                  <w:pPr>
                    <w:keepNext w:val="0"/>
                    <w:keepLines w:val="0"/>
                    <w:suppressLineNumbers w:val="0"/>
                    <w:topLinePunct/>
                    <w:adjustRightInd w:val="0"/>
                    <w:snapToGrid w:val="0"/>
                    <w:spacing w:before="0" w:beforeAutospacing="0" w:after="0" w:afterAutospacing="0" w:line="240" w:lineRule="atLeast"/>
                    <w:ind w:left="0" w:right="0"/>
                    <w:jc w:val="center"/>
                    <w:rPr>
                      <w:rFonts w:hint="eastAsia" w:ascii="Calibri" w:hAnsi="Calibri" w:eastAsia="宋体" w:cs="Times New Roman"/>
                      <w:color w:val="auto"/>
                      <w:kern w:val="0"/>
                      <w:sz w:val="21"/>
                      <w:szCs w:val="21"/>
                      <w:highlight w:val="none"/>
                      <w:shd w:val="clear" w:color="auto" w:fill="auto"/>
                      <w:lang w:eastAsia="zh-CN"/>
                    </w:rPr>
                  </w:pPr>
                  <w:r>
                    <w:rPr>
                      <w:rFonts w:ascii="Calibri" w:hAnsi="Calibri" w:eastAsia="宋体" w:cs="Times New Roman"/>
                      <w:color w:val="auto"/>
                      <w:kern w:val="0"/>
                      <w:sz w:val="21"/>
                      <w:szCs w:val="21"/>
                      <w:highlight w:val="none"/>
                      <w:shd w:val="clear" w:color="auto" w:fill="auto"/>
                    </w:rPr>
                    <w:t>液态</w:t>
                  </w:r>
                </w:p>
              </w:tc>
              <w:tc>
                <w:tcPr>
                  <w:tcW w:w="553" w:type="dxa"/>
                  <w:noWrap w:val="0"/>
                  <w:vAlign w:val="center"/>
                </w:tcPr>
                <w:p w14:paraId="5F07B708">
                  <w:pPr>
                    <w:keepNext w:val="0"/>
                    <w:keepLines w:val="0"/>
                    <w:suppressLineNumbers w:val="0"/>
                    <w:topLinePunct/>
                    <w:adjustRightInd w:val="0"/>
                    <w:snapToGrid w:val="0"/>
                    <w:spacing w:before="0" w:beforeAutospacing="0" w:after="0" w:afterAutospacing="0" w:line="240" w:lineRule="atLeast"/>
                    <w:ind w:left="0" w:right="0"/>
                    <w:jc w:val="center"/>
                    <w:rPr>
                      <w:rFonts w:ascii="Calibri" w:hAnsi="Calibri" w:eastAsia="宋体" w:cs="Times New Roman"/>
                      <w:color w:val="auto"/>
                      <w:kern w:val="0"/>
                      <w:sz w:val="21"/>
                      <w:szCs w:val="21"/>
                      <w:highlight w:val="none"/>
                      <w:shd w:val="clear" w:color="auto" w:fill="auto"/>
                    </w:rPr>
                  </w:pPr>
                  <w:r>
                    <w:rPr>
                      <w:rFonts w:ascii="Calibri" w:hAnsi="Calibri" w:eastAsia="宋体" w:cs="Times New Roman"/>
                      <w:color w:val="auto"/>
                      <w:kern w:val="0"/>
                      <w:sz w:val="21"/>
                      <w:szCs w:val="21"/>
                      <w:highlight w:val="none"/>
                      <w:shd w:val="clear" w:color="auto" w:fill="auto"/>
                    </w:rPr>
                    <w:t>油</w:t>
                  </w:r>
                </w:p>
              </w:tc>
              <w:tc>
                <w:tcPr>
                  <w:tcW w:w="682" w:type="dxa"/>
                  <w:noWrap w:val="0"/>
                  <w:vAlign w:val="center"/>
                </w:tcPr>
                <w:p w14:paraId="60C25B20">
                  <w:pPr>
                    <w:keepNext w:val="0"/>
                    <w:keepLines w:val="0"/>
                    <w:suppressLineNumbers w:val="0"/>
                    <w:topLinePunct/>
                    <w:adjustRightInd w:val="0"/>
                    <w:snapToGrid w:val="0"/>
                    <w:spacing w:before="0" w:beforeAutospacing="0" w:after="0" w:afterAutospacing="0" w:line="240" w:lineRule="atLeast"/>
                    <w:ind w:left="0" w:right="0"/>
                    <w:jc w:val="center"/>
                    <w:rPr>
                      <w:rFonts w:ascii="Calibri" w:hAnsi="Calibri" w:eastAsia="宋体" w:cs="Times New Roman"/>
                      <w:color w:val="auto"/>
                      <w:kern w:val="0"/>
                      <w:sz w:val="21"/>
                      <w:szCs w:val="21"/>
                      <w:highlight w:val="none"/>
                      <w:shd w:val="clear" w:color="auto" w:fill="auto"/>
                    </w:rPr>
                  </w:pPr>
                  <w:r>
                    <w:rPr>
                      <w:rFonts w:ascii="Calibri" w:hAnsi="Calibri" w:eastAsia="宋体" w:cs="Times New Roman"/>
                      <w:color w:val="auto"/>
                      <w:kern w:val="0"/>
                      <w:sz w:val="21"/>
                      <w:szCs w:val="21"/>
                      <w:highlight w:val="none"/>
                      <w:shd w:val="clear" w:color="auto" w:fill="auto"/>
                    </w:rPr>
                    <w:t>油水混合物</w:t>
                  </w:r>
                </w:p>
              </w:tc>
              <w:tc>
                <w:tcPr>
                  <w:tcW w:w="574" w:type="dxa"/>
                  <w:noWrap w:val="0"/>
                  <w:vAlign w:val="center"/>
                </w:tcPr>
                <w:p w14:paraId="7514A290">
                  <w:pPr>
                    <w:keepNext w:val="0"/>
                    <w:keepLines w:val="0"/>
                    <w:suppressLineNumbers w:val="0"/>
                    <w:topLinePunct/>
                    <w:adjustRightInd w:val="0"/>
                    <w:snapToGrid w:val="0"/>
                    <w:spacing w:before="0" w:beforeAutospacing="0" w:after="0" w:afterAutospacing="0" w:line="240" w:lineRule="atLeast"/>
                    <w:ind w:left="0" w:right="0"/>
                    <w:jc w:val="center"/>
                    <w:rPr>
                      <w:rFonts w:hint="eastAsia" w:ascii="Calibri" w:hAnsi="Calibri" w:eastAsia="宋体" w:cs="Times New Roman"/>
                      <w:color w:val="auto"/>
                      <w:kern w:val="0"/>
                      <w:sz w:val="21"/>
                      <w:szCs w:val="21"/>
                      <w:highlight w:val="none"/>
                      <w:shd w:val="clear" w:color="auto" w:fill="auto"/>
                      <w:lang w:eastAsia="zh-CN"/>
                    </w:rPr>
                  </w:pPr>
                  <w:r>
                    <w:rPr>
                      <w:rFonts w:hint="eastAsia" w:ascii="Calibri" w:hAnsi="Calibri" w:eastAsia="宋体" w:cs="Times New Roman"/>
                      <w:color w:val="auto"/>
                      <w:kern w:val="0"/>
                      <w:sz w:val="21"/>
                      <w:szCs w:val="21"/>
                      <w:highlight w:val="none"/>
                      <w:shd w:val="clear" w:color="auto" w:fill="auto"/>
                      <w:lang w:eastAsia="zh-CN"/>
                    </w:rPr>
                    <w:t>半年</w:t>
                  </w:r>
                </w:p>
              </w:tc>
              <w:tc>
                <w:tcPr>
                  <w:tcW w:w="636" w:type="dxa"/>
                  <w:noWrap w:val="0"/>
                  <w:vAlign w:val="center"/>
                </w:tcPr>
                <w:p w14:paraId="0E621189">
                  <w:pPr>
                    <w:keepNext w:val="0"/>
                    <w:keepLines w:val="0"/>
                    <w:suppressLineNumbers w:val="0"/>
                    <w:topLinePunct/>
                    <w:adjustRightInd w:val="0"/>
                    <w:snapToGrid w:val="0"/>
                    <w:spacing w:before="0" w:beforeAutospacing="0" w:after="0" w:afterAutospacing="0" w:line="240" w:lineRule="atLeast"/>
                    <w:ind w:left="0" w:right="0"/>
                    <w:jc w:val="center"/>
                    <w:rPr>
                      <w:rFonts w:hint="eastAsia" w:ascii="Calibri" w:hAnsi="Calibri" w:eastAsia="宋体" w:cs="Times New Roman"/>
                      <w:color w:val="auto"/>
                      <w:kern w:val="0"/>
                      <w:sz w:val="21"/>
                      <w:szCs w:val="21"/>
                      <w:highlight w:val="none"/>
                      <w:shd w:val="clear" w:color="auto" w:fill="auto"/>
                      <w:lang w:eastAsia="zh-CN"/>
                    </w:rPr>
                  </w:pPr>
                  <w:r>
                    <w:rPr>
                      <w:rFonts w:ascii="Calibri" w:hAnsi="Calibri" w:eastAsia="宋体" w:cs="Times New Roman"/>
                      <w:color w:val="auto"/>
                      <w:kern w:val="0"/>
                      <w:sz w:val="21"/>
                      <w:szCs w:val="21"/>
                      <w:highlight w:val="none"/>
                      <w:shd w:val="clear" w:color="auto" w:fill="auto"/>
                    </w:rPr>
                    <w:t>毒性</w:t>
                  </w:r>
                  <w:r>
                    <w:rPr>
                      <w:rFonts w:hint="eastAsia" w:ascii="Calibri" w:hAnsi="Calibri" w:eastAsia="宋体" w:cs="Times New Roman"/>
                      <w:color w:val="auto"/>
                      <w:kern w:val="0"/>
                      <w:sz w:val="21"/>
                      <w:szCs w:val="21"/>
                      <w:highlight w:val="none"/>
                      <w:shd w:val="clear" w:color="auto" w:fill="auto"/>
                      <w:lang w:eastAsia="zh-CN"/>
                    </w:rPr>
                    <w:t>、易燃性</w:t>
                  </w:r>
                </w:p>
              </w:tc>
              <w:tc>
                <w:tcPr>
                  <w:tcW w:w="702" w:type="dxa"/>
                  <w:vMerge w:val="restart"/>
                  <w:noWrap w:val="0"/>
                  <w:vAlign w:val="center"/>
                </w:tcPr>
                <w:p w14:paraId="074916C9">
                  <w:pPr>
                    <w:keepNext w:val="0"/>
                    <w:keepLines w:val="0"/>
                    <w:suppressLineNumbers w:val="0"/>
                    <w:topLinePunct/>
                    <w:adjustRightInd w:val="0"/>
                    <w:snapToGrid w:val="0"/>
                    <w:spacing w:before="0" w:beforeAutospacing="0" w:after="0" w:afterAutospacing="0" w:line="240" w:lineRule="atLeast"/>
                    <w:ind w:left="0" w:right="0"/>
                    <w:jc w:val="center"/>
                    <w:rPr>
                      <w:rFonts w:hint="eastAsia" w:ascii="Calibri" w:hAnsi="Calibri" w:eastAsia="宋体" w:cs="Times New Roman"/>
                      <w:color w:val="auto"/>
                      <w:kern w:val="0"/>
                      <w:sz w:val="21"/>
                      <w:szCs w:val="21"/>
                      <w:highlight w:val="none"/>
                      <w:shd w:val="clear" w:color="auto" w:fill="auto"/>
                      <w:lang w:eastAsia="zh-CN"/>
                    </w:rPr>
                  </w:pPr>
                  <w:r>
                    <w:rPr>
                      <w:rFonts w:hint="eastAsia" w:ascii="Calibri" w:hAnsi="Calibri" w:eastAsia="宋体" w:cs="Times New Roman"/>
                      <w:color w:val="auto"/>
                      <w:kern w:val="0"/>
                      <w:sz w:val="21"/>
                      <w:szCs w:val="21"/>
                      <w:highlight w:val="none"/>
                      <w:shd w:val="clear" w:color="auto" w:fill="auto"/>
                    </w:rPr>
                    <w:t>临时储存在</w:t>
                  </w:r>
                  <w:r>
                    <w:rPr>
                      <w:rFonts w:hint="eastAsia" w:ascii="Calibri" w:hAnsi="Calibri" w:eastAsia="宋体" w:cs="Times New Roman"/>
                      <w:color w:val="auto"/>
                      <w:kern w:val="0"/>
                      <w:sz w:val="21"/>
                      <w:szCs w:val="21"/>
                      <w:highlight w:val="none"/>
                      <w:shd w:val="clear" w:color="auto" w:fill="auto"/>
                      <w:lang w:eastAsia="zh-CN"/>
                    </w:rPr>
                    <w:t>危险废物贮存点</w:t>
                  </w:r>
                  <w:r>
                    <w:rPr>
                      <w:rFonts w:hint="eastAsia" w:ascii="Calibri" w:hAnsi="Calibri" w:eastAsia="宋体" w:cs="Times New Roman"/>
                      <w:color w:val="auto"/>
                      <w:kern w:val="0"/>
                      <w:sz w:val="21"/>
                      <w:szCs w:val="21"/>
                      <w:highlight w:val="none"/>
                      <w:shd w:val="clear" w:color="auto" w:fill="auto"/>
                    </w:rPr>
                    <w:t>内，定期</w:t>
                  </w:r>
                  <w:r>
                    <w:rPr>
                      <w:rFonts w:ascii="Calibri" w:hAnsi="Calibri" w:eastAsia="宋体" w:cs="Times New Roman"/>
                      <w:color w:val="auto"/>
                      <w:kern w:val="0"/>
                      <w:sz w:val="21"/>
                      <w:szCs w:val="21"/>
                      <w:highlight w:val="none"/>
                      <w:shd w:val="clear" w:color="auto" w:fill="auto"/>
                    </w:rPr>
                    <w:t>委托有资质单位</w:t>
                  </w:r>
                  <w:r>
                    <w:rPr>
                      <w:rFonts w:hint="eastAsia" w:ascii="Calibri" w:hAnsi="Calibri" w:eastAsia="宋体" w:cs="Times New Roman"/>
                      <w:color w:val="auto"/>
                      <w:kern w:val="0"/>
                      <w:sz w:val="21"/>
                      <w:szCs w:val="21"/>
                      <w:highlight w:val="none"/>
                      <w:shd w:val="clear" w:color="auto" w:fill="auto"/>
                      <w:lang w:eastAsia="zh-CN"/>
                    </w:rPr>
                    <w:t>处置</w:t>
                  </w:r>
                </w:p>
              </w:tc>
            </w:tr>
            <w:tr w14:paraId="26DC9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6" w:hRule="atLeast"/>
                <w:jc w:val="center"/>
              </w:trPr>
              <w:tc>
                <w:tcPr>
                  <w:tcW w:w="500" w:type="dxa"/>
                  <w:noWrap w:val="0"/>
                  <w:vAlign w:val="center"/>
                </w:tcPr>
                <w:p w14:paraId="13AF4912">
                  <w:pPr>
                    <w:keepNext w:val="0"/>
                    <w:keepLines w:val="0"/>
                    <w:suppressLineNumbers w:val="0"/>
                    <w:topLinePunct/>
                    <w:adjustRightInd w:val="0"/>
                    <w:snapToGrid w:val="0"/>
                    <w:spacing w:before="0" w:beforeAutospacing="0" w:after="0" w:afterAutospacing="0" w:line="240" w:lineRule="atLeast"/>
                    <w:ind w:left="0" w:right="0"/>
                    <w:jc w:val="center"/>
                    <w:rPr>
                      <w:rFonts w:hint="eastAsia" w:ascii="Calibri" w:hAnsi="Calibri" w:eastAsia="宋体" w:cs="Times New Roman"/>
                      <w:color w:val="auto"/>
                      <w:kern w:val="0"/>
                      <w:sz w:val="21"/>
                      <w:szCs w:val="21"/>
                      <w:highlight w:val="none"/>
                      <w:shd w:val="clear" w:color="auto" w:fill="auto"/>
                      <w:lang w:val="en-US" w:eastAsia="zh-CN" w:bidi="ar-SA"/>
                    </w:rPr>
                  </w:pPr>
                  <w:r>
                    <w:rPr>
                      <w:rFonts w:hint="eastAsia" w:ascii="Calibri" w:hAnsi="Calibri" w:eastAsia="宋体" w:cs="Times New Roman"/>
                      <w:color w:val="auto"/>
                      <w:kern w:val="0"/>
                      <w:sz w:val="21"/>
                      <w:szCs w:val="21"/>
                      <w:highlight w:val="none"/>
                      <w:shd w:val="clear" w:color="auto" w:fill="auto"/>
                      <w:lang w:val="en-US" w:eastAsia="zh-CN"/>
                    </w:rPr>
                    <w:t>2</w:t>
                  </w:r>
                </w:p>
              </w:tc>
              <w:tc>
                <w:tcPr>
                  <w:tcW w:w="713" w:type="dxa"/>
                  <w:noWrap w:val="0"/>
                  <w:vAlign w:val="center"/>
                </w:tcPr>
                <w:p w14:paraId="4238F4CB">
                  <w:pPr>
                    <w:pStyle w:val="21"/>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Calibri" w:hAnsi="Calibri" w:eastAsia="宋体" w:cs="Times New Roman"/>
                      <w:color w:val="auto"/>
                      <w:kern w:val="0"/>
                      <w:sz w:val="21"/>
                      <w:szCs w:val="21"/>
                      <w:highlight w:val="none"/>
                      <w:shd w:val="clear" w:color="auto" w:fill="auto"/>
                      <w:lang w:val="en-US" w:eastAsia="zh-CN" w:bidi="ar-SA"/>
                    </w:rPr>
                  </w:pPr>
                  <w:r>
                    <w:rPr>
                      <w:rFonts w:hint="eastAsia" w:ascii="Times New Roman" w:hAnsi="Times New Roman" w:eastAsia="宋体" w:cs="Times New Roman"/>
                      <w:bCs/>
                      <w:color w:val="auto"/>
                      <w:sz w:val="21"/>
                      <w:szCs w:val="21"/>
                      <w:highlight w:val="none"/>
                      <w:lang w:val="en-US" w:eastAsia="zh-CN"/>
                    </w:rPr>
                    <w:t>废油桶</w:t>
                  </w:r>
                </w:p>
              </w:tc>
              <w:tc>
                <w:tcPr>
                  <w:tcW w:w="787" w:type="dxa"/>
                  <w:noWrap w:val="0"/>
                  <w:vAlign w:val="center"/>
                </w:tcPr>
                <w:p w14:paraId="367203A5">
                  <w:pPr>
                    <w:keepNext w:val="0"/>
                    <w:keepLines w:val="0"/>
                    <w:suppressLineNumbers w:val="0"/>
                    <w:topLinePunct/>
                    <w:adjustRightInd w:val="0"/>
                    <w:snapToGrid w:val="0"/>
                    <w:spacing w:before="0" w:beforeAutospacing="0" w:after="0" w:afterAutospacing="0" w:line="240" w:lineRule="atLeast"/>
                    <w:ind w:left="0" w:right="0"/>
                    <w:jc w:val="center"/>
                    <w:rPr>
                      <w:rFonts w:hint="eastAsia" w:ascii="Calibri" w:hAnsi="Calibri" w:eastAsia="宋体" w:cs="Times New Roman"/>
                      <w:color w:val="auto"/>
                      <w:kern w:val="0"/>
                      <w:sz w:val="21"/>
                      <w:szCs w:val="21"/>
                      <w:highlight w:val="none"/>
                      <w:shd w:val="clear" w:color="auto" w:fill="auto"/>
                      <w:lang w:val="en-US" w:eastAsia="zh-CN" w:bidi="ar-SA"/>
                    </w:rPr>
                  </w:pPr>
                  <w:r>
                    <w:rPr>
                      <w:rFonts w:ascii="Calibri" w:hAnsi="Calibri" w:eastAsia="宋体" w:cs="Times New Roman"/>
                      <w:color w:val="auto"/>
                      <w:kern w:val="0"/>
                      <w:sz w:val="21"/>
                      <w:szCs w:val="21"/>
                      <w:highlight w:val="none"/>
                      <w:shd w:val="clear" w:color="auto" w:fill="auto"/>
                    </w:rPr>
                    <w:t>HW0</w:t>
                  </w:r>
                  <w:r>
                    <w:rPr>
                      <w:rFonts w:hint="eastAsia" w:ascii="Calibri" w:hAnsi="Calibri" w:eastAsia="宋体" w:cs="Times New Roman"/>
                      <w:color w:val="auto"/>
                      <w:kern w:val="0"/>
                      <w:sz w:val="21"/>
                      <w:szCs w:val="21"/>
                      <w:highlight w:val="none"/>
                      <w:shd w:val="clear" w:color="auto" w:fill="auto"/>
                      <w:lang w:val="en-US" w:eastAsia="zh-CN"/>
                    </w:rPr>
                    <w:t>8</w:t>
                  </w:r>
                </w:p>
              </w:tc>
              <w:tc>
                <w:tcPr>
                  <w:tcW w:w="1196" w:type="dxa"/>
                  <w:noWrap w:val="0"/>
                  <w:vAlign w:val="center"/>
                </w:tcPr>
                <w:p w14:paraId="069D3ECA">
                  <w:pPr>
                    <w:keepNext w:val="0"/>
                    <w:keepLines w:val="0"/>
                    <w:suppressLineNumbers w:val="0"/>
                    <w:topLinePunct/>
                    <w:adjustRightInd w:val="0"/>
                    <w:snapToGrid w:val="0"/>
                    <w:spacing w:before="0" w:beforeAutospacing="0" w:after="0" w:afterAutospacing="0" w:line="240" w:lineRule="atLeast"/>
                    <w:ind w:left="0" w:right="0"/>
                    <w:jc w:val="center"/>
                    <w:rPr>
                      <w:rFonts w:hint="eastAsia" w:ascii="Calibri" w:hAnsi="Calibri" w:eastAsia="宋体" w:cs="Times New Roman"/>
                      <w:color w:val="auto"/>
                      <w:sz w:val="21"/>
                      <w:szCs w:val="21"/>
                      <w:highlight w:val="none"/>
                      <w:shd w:val="clear" w:color="auto" w:fill="auto"/>
                      <w:lang w:val="en-US" w:eastAsia="zh-CN"/>
                    </w:rPr>
                  </w:pPr>
                  <w:r>
                    <w:rPr>
                      <w:rFonts w:hint="eastAsia" w:ascii="Calibri" w:hAnsi="Calibri" w:eastAsia="宋体" w:cs="Times New Roman"/>
                      <w:color w:val="auto"/>
                      <w:sz w:val="21"/>
                      <w:szCs w:val="21"/>
                      <w:highlight w:val="none"/>
                      <w:shd w:val="clear" w:color="auto" w:fill="auto"/>
                      <w:lang w:val="en-US" w:eastAsia="zh-CN"/>
                    </w:rPr>
                    <w:t>900-249-08</w:t>
                  </w:r>
                </w:p>
              </w:tc>
              <w:tc>
                <w:tcPr>
                  <w:tcW w:w="847" w:type="dxa"/>
                  <w:noWrap w:val="0"/>
                  <w:vAlign w:val="center"/>
                </w:tcPr>
                <w:p w14:paraId="4B5DE841">
                  <w:pPr>
                    <w:keepNext w:val="0"/>
                    <w:keepLines w:val="0"/>
                    <w:suppressLineNumbers w:val="0"/>
                    <w:topLinePunct/>
                    <w:adjustRightInd w:val="0"/>
                    <w:snapToGrid w:val="0"/>
                    <w:spacing w:before="0" w:beforeAutospacing="0" w:after="0" w:afterAutospacing="0" w:line="240" w:lineRule="atLeast"/>
                    <w:ind w:left="0" w:right="0"/>
                    <w:jc w:val="center"/>
                    <w:rPr>
                      <w:rFonts w:hint="eastAsia" w:ascii="Calibri" w:hAnsi="Calibri" w:eastAsia="宋体" w:cs="Times New Roman"/>
                      <w:color w:val="auto"/>
                      <w:kern w:val="0"/>
                      <w:sz w:val="21"/>
                      <w:szCs w:val="21"/>
                      <w:highlight w:val="none"/>
                      <w:shd w:val="clear" w:color="auto" w:fill="auto"/>
                      <w:lang w:val="en-US" w:eastAsia="zh-CN"/>
                    </w:rPr>
                  </w:pPr>
                  <w:r>
                    <w:rPr>
                      <w:rFonts w:hint="eastAsia" w:ascii="Times New Roman" w:hAnsi="Times New Roman" w:eastAsia="宋体" w:cs="Times New Roman"/>
                      <w:bCs/>
                      <w:color w:val="auto"/>
                      <w:sz w:val="21"/>
                      <w:szCs w:val="21"/>
                      <w:highlight w:val="none"/>
                      <w:lang w:val="en-US" w:eastAsia="zh-CN"/>
                    </w:rPr>
                    <w:t>1个</w:t>
                  </w:r>
                </w:p>
              </w:tc>
              <w:tc>
                <w:tcPr>
                  <w:tcW w:w="664" w:type="dxa"/>
                  <w:noWrap w:val="0"/>
                  <w:vAlign w:val="center"/>
                </w:tcPr>
                <w:p w14:paraId="1B369421">
                  <w:pPr>
                    <w:keepNext w:val="0"/>
                    <w:keepLines w:val="0"/>
                    <w:suppressLineNumbers w:val="0"/>
                    <w:topLinePunct/>
                    <w:adjustRightInd w:val="0"/>
                    <w:snapToGrid w:val="0"/>
                    <w:spacing w:before="0" w:beforeAutospacing="0" w:after="0" w:afterAutospacing="0" w:line="240" w:lineRule="atLeast"/>
                    <w:ind w:left="0" w:right="0"/>
                    <w:jc w:val="center"/>
                    <w:rPr>
                      <w:rFonts w:hint="eastAsia" w:ascii="Calibri" w:hAnsi="Calibri" w:eastAsia="宋体" w:cs="Times New Roman"/>
                      <w:color w:val="auto"/>
                      <w:kern w:val="0"/>
                      <w:sz w:val="21"/>
                      <w:szCs w:val="21"/>
                      <w:highlight w:val="none"/>
                      <w:shd w:val="clear" w:color="auto" w:fill="auto"/>
                      <w:lang w:val="en-US" w:eastAsia="zh-CN" w:bidi="ar-SA"/>
                    </w:rPr>
                  </w:pPr>
                  <w:r>
                    <w:rPr>
                      <w:rFonts w:hint="eastAsia" w:ascii="Calibri" w:hAnsi="Calibri" w:eastAsia="宋体" w:cs="Times New Roman"/>
                      <w:color w:val="auto"/>
                      <w:kern w:val="0"/>
                      <w:sz w:val="21"/>
                      <w:szCs w:val="21"/>
                      <w:highlight w:val="none"/>
                      <w:shd w:val="clear" w:color="auto" w:fill="auto"/>
                      <w:lang w:eastAsia="zh-CN"/>
                    </w:rPr>
                    <w:t>设备维护</w:t>
                  </w:r>
                </w:p>
              </w:tc>
              <w:tc>
                <w:tcPr>
                  <w:tcW w:w="636" w:type="dxa"/>
                  <w:noWrap w:val="0"/>
                  <w:vAlign w:val="center"/>
                </w:tcPr>
                <w:p w14:paraId="10BE3132">
                  <w:pPr>
                    <w:keepNext w:val="0"/>
                    <w:keepLines w:val="0"/>
                    <w:suppressLineNumbers w:val="0"/>
                    <w:topLinePunct/>
                    <w:adjustRightInd w:val="0"/>
                    <w:snapToGrid w:val="0"/>
                    <w:spacing w:before="0" w:beforeAutospacing="0" w:after="0" w:afterAutospacing="0" w:line="240" w:lineRule="atLeast"/>
                    <w:ind w:left="0" w:right="0"/>
                    <w:jc w:val="center"/>
                    <w:rPr>
                      <w:rFonts w:hint="eastAsia" w:ascii="Calibri" w:hAnsi="Calibri" w:eastAsia="宋体" w:cs="Times New Roman"/>
                      <w:color w:val="auto"/>
                      <w:kern w:val="0"/>
                      <w:sz w:val="21"/>
                      <w:szCs w:val="21"/>
                      <w:highlight w:val="none"/>
                      <w:shd w:val="clear" w:color="auto" w:fill="auto"/>
                      <w:lang w:val="en-US" w:eastAsia="zh-CN" w:bidi="ar-SA"/>
                    </w:rPr>
                  </w:pPr>
                  <w:r>
                    <w:rPr>
                      <w:rFonts w:hint="eastAsia" w:ascii="Calibri" w:hAnsi="Calibri" w:eastAsia="宋体" w:cs="Times New Roman"/>
                      <w:color w:val="auto"/>
                      <w:kern w:val="0"/>
                      <w:sz w:val="21"/>
                      <w:szCs w:val="21"/>
                      <w:highlight w:val="none"/>
                      <w:shd w:val="clear" w:color="auto" w:fill="auto"/>
                      <w:lang w:eastAsia="zh-CN"/>
                    </w:rPr>
                    <w:t>固态</w:t>
                  </w:r>
                </w:p>
              </w:tc>
              <w:tc>
                <w:tcPr>
                  <w:tcW w:w="553" w:type="dxa"/>
                  <w:noWrap w:val="0"/>
                  <w:vAlign w:val="center"/>
                </w:tcPr>
                <w:p w14:paraId="6E3F2DDE">
                  <w:pPr>
                    <w:keepNext w:val="0"/>
                    <w:keepLines w:val="0"/>
                    <w:suppressLineNumbers w:val="0"/>
                    <w:topLinePunct/>
                    <w:adjustRightInd w:val="0"/>
                    <w:snapToGrid w:val="0"/>
                    <w:spacing w:before="0" w:beforeAutospacing="0" w:after="0" w:afterAutospacing="0" w:line="240" w:lineRule="atLeast"/>
                    <w:ind w:left="0" w:right="0"/>
                    <w:jc w:val="center"/>
                    <w:rPr>
                      <w:rFonts w:ascii="Calibri" w:hAnsi="Calibri" w:eastAsia="宋体" w:cs="Times New Roman"/>
                      <w:color w:val="auto"/>
                      <w:kern w:val="0"/>
                      <w:sz w:val="21"/>
                      <w:szCs w:val="21"/>
                      <w:highlight w:val="none"/>
                      <w:shd w:val="clear" w:color="auto" w:fill="auto"/>
                      <w:lang w:val="en-US" w:eastAsia="zh-CN" w:bidi="ar-SA"/>
                    </w:rPr>
                  </w:pPr>
                  <w:r>
                    <w:rPr>
                      <w:rFonts w:ascii="Calibri" w:hAnsi="Calibri" w:eastAsia="宋体" w:cs="Times New Roman"/>
                      <w:color w:val="auto"/>
                      <w:kern w:val="0"/>
                      <w:sz w:val="21"/>
                      <w:szCs w:val="21"/>
                      <w:highlight w:val="none"/>
                      <w:shd w:val="clear" w:color="auto" w:fill="auto"/>
                    </w:rPr>
                    <w:t>油</w:t>
                  </w:r>
                </w:p>
              </w:tc>
              <w:tc>
                <w:tcPr>
                  <w:tcW w:w="682" w:type="dxa"/>
                  <w:noWrap w:val="0"/>
                  <w:vAlign w:val="center"/>
                </w:tcPr>
                <w:p w14:paraId="05E73769">
                  <w:pPr>
                    <w:keepNext w:val="0"/>
                    <w:keepLines w:val="0"/>
                    <w:suppressLineNumbers w:val="0"/>
                    <w:topLinePunct/>
                    <w:adjustRightInd w:val="0"/>
                    <w:snapToGrid w:val="0"/>
                    <w:spacing w:before="0" w:beforeAutospacing="0" w:after="0" w:afterAutospacing="0" w:line="240" w:lineRule="atLeast"/>
                    <w:ind w:left="0" w:right="0"/>
                    <w:jc w:val="center"/>
                    <w:rPr>
                      <w:rFonts w:ascii="Calibri" w:hAnsi="Calibri" w:eastAsia="宋体" w:cs="Times New Roman"/>
                      <w:color w:val="auto"/>
                      <w:kern w:val="0"/>
                      <w:sz w:val="21"/>
                      <w:szCs w:val="21"/>
                      <w:highlight w:val="none"/>
                      <w:shd w:val="clear" w:color="auto" w:fill="auto"/>
                      <w:lang w:val="en-US" w:eastAsia="zh-CN" w:bidi="ar-SA"/>
                    </w:rPr>
                  </w:pPr>
                  <w:r>
                    <w:rPr>
                      <w:rFonts w:ascii="Calibri" w:hAnsi="Calibri" w:eastAsia="宋体" w:cs="Times New Roman"/>
                      <w:color w:val="auto"/>
                      <w:kern w:val="0"/>
                      <w:sz w:val="21"/>
                      <w:szCs w:val="21"/>
                      <w:highlight w:val="none"/>
                      <w:shd w:val="clear" w:color="auto" w:fill="auto"/>
                    </w:rPr>
                    <w:t>油水混合物</w:t>
                  </w:r>
                </w:p>
              </w:tc>
              <w:tc>
                <w:tcPr>
                  <w:tcW w:w="574" w:type="dxa"/>
                  <w:noWrap w:val="0"/>
                  <w:vAlign w:val="center"/>
                </w:tcPr>
                <w:p w14:paraId="5581284E">
                  <w:pPr>
                    <w:keepNext w:val="0"/>
                    <w:keepLines w:val="0"/>
                    <w:suppressLineNumbers w:val="0"/>
                    <w:topLinePunct/>
                    <w:adjustRightInd w:val="0"/>
                    <w:snapToGrid w:val="0"/>
                    <w:spacing w:before="0" w:beforeAutospacing="0" w:after="0" w:afterAutospacing="0" w:line="240" w:lineRule="atLeast"/>
                    <w:ind w:left="0" w:right="0"/>
                    <w:jc w:val="center"/>
                    <w:rPr>
                      <w:rFonts w:hint="eastAsia" w:ascii="Calibri" w:hAnsi="Calibri" w:eastAsia="宋体" w:cs="Times New Roman"/>
                      <w:color w:val="auto"/>
                      <w:kern w:val="0"/>
                      <w:sz w:val="21"/>
                      <w:szCs w:val="21"/>
                      <w:highlight w:val="none"/>
                      <w:shd w:val="clear" w:color="auto" w:fill="auto"/>
                      <w:lang w:val="en-US" w:eastAsia="zh-CN" w:bidi="ar-SA"/>
                    </w:rPr>
                  </w:pPr>
                  <w:r>
                    <w:rPr>
                      <w:rFonts w:hint="eastAsia" w:ascii="Calibri" w:hAnsi="Calibri" w:eastAsia="宋体" w:cs="Times New Roman"/>
                      <w:color w:val="auto"/>
                      <w:kern w:val="0"/>
                      <w:sz w:val="21"/>
                      <w:szCs w:val="21"/>
                      <w:highlight w:val="none"/>
                      <w:shd w:val="clear" w:color="auto" w:fill="auto"/>
                      <w:lang w:eastAsia="zh-CN"/>
                    </w:rPr>
                    <w:t>半年</w:t>
                  </w:r>
                </w:p>
              </w:tc>
              <w:tc>
                <w:tcPr>
                  <w:tcW w:w="636" w:type="dxa"/>
                  <w:noWrap w:val="0"/>
                  <w:vAlign w:val="center"/>
                </w:tcPr>
                <w:p w14:paraId="12BB4C13">
                  <w:pPr>
                    <w:keepNext w:val="0"/>
                    <w:keepLines w:val="0"/>
                    <w:suppressLineNumbers w:val="0"/>
                    <w:topLinePunct/>
                    <w:adjustRightInd w:val="0"/>
                    <w:snapToGrid w:val="0"/>
                    <w:spacing w:before="0" w:beforeAutospacing="0" w:after="0" w:afterAutospacing="0" w:line="240" w:lineRule="atLeast"/>
                    <w:ind w:left="0" w:right="0"/>
                    <w:jc w:val="center"/>
                    <w:rPr>
                      <w:rFonts w:hint="eastAsia" w:ascii="Calibri" w:hAnsi="Calibri" w:eastAsia="宋体" w:cs="Times New Roman"/>
                      <w:color w:val="auto"/>
                      <w:kern w:val="0"/>
                      <w:sz w:val="21"/>
                      <w:szCs w:val="21"/>
                      <w:highlight w:val="none"/>
                      <w:shd w:val="clear" w:color="auto" w:fill="auto"/>
                      <w:lang w:val="en-US" w:eastAsia="zh-CN" w:bidi="ar-SA"/>
                    </w:rPr>
                  </w:pPr>
                  <w:r>
                    <w:rPr>
                      <w:rFonts w:ascii="Calibri" w:hAnsi="Calibri" w:eastAsia="宋体" w:cs="Times New Roman"/>
                      <w:color w:val="auto"/>
                      <w:kern w:val="0"/>
                      <w:sz w:val="21"/>
                      <w:szCs w:val="21"/>
                      <w:highlight w:val="none"/>
                      <w:shd w:val="clear" w:color="auto" w:fill="auto"/>
                    </w:rPr>
                    <w:t>毒性</w:t>
                  </w:r>
                  <w:r>
                    <w:rPr>
                      <w:rFonts w:hint="eastAsia" w:ascii="Calibri" w:hAnsi="Calibri" w:eastAsia="宋体" w:cs="Times New Roman"/>
                      <w:color w:val="auto"/>
                      <w:kern w:val="0"/>
                      <w:sz w:val="21"/>
                      <w:szCs w:val="21"/>
                      <w:highlight w:val="none"/>
                      <w:shd w:val="clear" w:color="auto" w:fill="auto"/>
                      <w:lang w:eastAsia="zh-CN"/>
                    </w:rPr>
                    <w:t>、易燃性</w:t>
                  </w:r>
                </w:p>
              </w:tc>
              <w:tc>
                <w:tcPr>
                  <w:tcW w:w="702" w:type="dxa"/>
                  <w:vMerge w:val="continue"/>
                  <w:noWrap w:val="0"/>
                  <w:vAlign w:val="center"/>
                </w:tcPr>
                <w:p w14:paraId="508096E2">
                  <w:pPr>
                    <w:keepNext w:val="0"/>
                    <w:keepLines w:val="0"/>
                    <w:suppressLineNumbers w:val="0"/>
                    <w:topLinePunct/>
                    <w:adjustRightInd w:val="0"/>
                    <w:snapToGrid w:val="0"/>
                    <w:spacing w:before="0" w:beforeAutospacing="0" w:after="0" w:afterAutospacing="0" w:line="240" w:lineRule="atLeast"/>
                    <w:ind w:left="0" w:right="0"/>
                    <w:jc w:val="center"/>
                    <w:rPr>
                      <w:rFonts w:hint="eastAsia" w:ascii="Calibri" w:hAnsi="Calibri" w:eastAsia="宋体" w:cs="Times New Roman"/>
                      <w:color w:val="auto"/>
                      <w:kern w:val="0"/>
                      <w:sz w:val="21"/>
                      <w:szCs w:val="21"/>
                      <w:highlight w:val="none"/>
                      <w:shd w:val="clear" w:color="auto" w:fill="auto"/>
                    </w:rPr>
                  </w:pPr>
                </w:p>
              </w:tc>
            </w:tr>
            <w:tr w14:paraId="3E233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366" w:hRule="atLeast"/>
                <w:jc w:val="center"/>
              </w:trPr>
              <w:tc>
                <w:tcPr>
                  <w:tcW w:w="500" w:type="dxa"/>
                  <w:noWrap w:val="0"/>
                  <w:vAlign w:val="center"/>
                </w:tcPr>
                <w:p w14:paraId="2CCDD724">
                  <w:pPr>
                    <w:keepNext w:val="0"/>
                    <w:keepLines w:val="0"/>
                    <w:suppressLineNumbers w:val="0"/>
                    <w:topLinePunct/>
                    <w:adjustRightInd w:val="0"/>
                    <w:snapToGrid w:val="0"/>
                    <w:spacing w:before="0" w:beforeAutospacing="0" w:after="0" w:afterAutospacing="0" w:line="240" w:lineRule="atLeast"/>
                    <w:ind w:left="0" w:right="0"/>
                    <w:jc w:val="center"/>
                    <w:rPr>
                      <w:rFonts w:hint="eastAsia" w:ascii="Calibri" w:hAnsi="Calibri" w:eastAsia="宋体" w:cs="Times New Roman"/>
                      <w:color w:val="auto"/>
                      <w:kern w:val="0"/>
                      <w:sz w:val="21"/>
                      <w:szCs w:val="21"/>
                      <w:highlight w:val="none"/>
                      <w:shd w:val="clear" w:color="auto" w:fill="auto"/>
                      <w:lang w:val="en-US" w:eastAsia="zh-CN"/>
                    </w:rPr>
                  </w:pPr>
                  <w:r>
                    <w:rPr>
                      <w:rFonts w:hint="eastAsia" w:ascii="Calibri" w:hAnsi="Calibri" w:eastAsia="宋体" w:cs="Times New Roman"/>
                      <w:color w:val="auto"/>
                      <w:kern w:val="0"/>
                      <w:sz w:val="21"/>
                      <w:szCs w:val="21"/>
                      <w:highlight w:val="none"/>
                      <w:shd w:val="clear" w:color="auto" w:fill="auto"/>
                      <w:lang w:val="en-US" w:eastAsia="zh-CN"/>
                    </w:rPr>
                    <w:t>3</w:t>
                  </w:r>
                </w:p>
              </w:tc>
              <w:tc>
                <w:tcPr>
                  <w:tcW w:w="713" w:type="dxa"/>
                  <w:noWrap w:val="0"/>
                  <w:vAlign w:val="center"/>
                </w:tcPr>
                <w:p w14:paraId="40C4B508">
                  <w:pPr>
                    <w:pStyle w:val="21"/>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color w:val="auto"/>
                      <w:sz w:val="21"/>
                      <w:szCs w:val="21"/>
                      <w:highlight w:val="none"/>
                      <w:lang w:val="en-US" w:eastAsia="zh-CN"/>
                    </w:rPr>
                  </w:pPr>
                  <w:r>
                    <w:rPr>
                      <w:rFonts w:hint="default" w:ascii="Times New Roman" w:hAnsi="Times New Roman" w:cs="Times New Roman"/>
                      <w:color w:val="auto"/>
                      <w:sz w:val="21"/>
                      <w:szCs w:val="21"/>
                      <w:highlight w:val="none"/>
                      <w:lang w:eastAsia="zh-CN"/>
                    </w:rPr>
                    <w:t>废油手套和抹布</w:t>
                  </w:r>
                </w:p>
              </w:tc>
              <w:tc>
                <w:tcPr>
                  <w:tcW w:w="787" w:type="dxa"/>
                  <w:noWrap w:val="0"/>
                  <w:vAlign w:val="center"/>
                </w:tcPr>
                <w:p w14:paraId="63A1F381">
                  <w:pPr>
                    <w:keepNext w:val="0"/>
                    <w:keepLines w:val="0"/>
                    <w:suppressLineNumbers w:val="0"/>
                    <w:topLinePunct/>
                    <w:adjustRightInd w:val="0"/>
                    <w:snapToGrid w:val="0"/>
                    <w:spacing w:before="0" w:beforeAutospacing="0" w:after="0" w:afterAutospacing="0" w:line="240" w:lineRule="atLeast"/>
                    <w:ind w:left="0" w:right="0"/>
                    <w:jc w:val="center"/>
                    <w:rPr>
                      <w:rFonts w:hint="default" w:ascii="Calibri" w:hAnsi="Calibri" w:eastAsia="宋体" w:cs="Times New Roman"/>
                      <w:color w:val="auto"/>
                      <w:kern w:val="0"/>
                      <w:sz w:val="21"/>
                      <w:szCs w:val="21"/>
                      <w:highlight w:val="none"/>
                      <w:shd w:val="clear" w:color="auto" w:fill="auto"/>
                      <w:lang w:val="en-US"/>
                    </w:rPr>
                  </w:pPr>
                  <w:r>
                    <w:rPr>
                      <w:rFonts w:ascii="Calibri" w:hAnsi="Calibri" w:eastAsia="宋体" w:cs="Times New Roman"/>
                      <w:color w:val="auto"/>
                      <w:kern w:val="0"/>
                      <w:sz w:val="21"/>
                      <w:szCs w:val="21"/>
                      <w:highlight w:val="none"/>
                      <w:shd w:val="clear" w:color="auto" w:fill="auto"/>
                    </w:rPr>
                    <w:t>HW</w:t>
                  </w:r>
                  <w:r>
                    <w:rPr>
                      <w:rFonts w:hint="eastAsia" w:ascii="Calibri" w:hAnsi="Calibri" w:cs="Times New Roman"/>
                      <w:color w:val="auto"/>
                      <w:kern w:val="0"/>
                      <w:sz w:val="21"/>
                      <w:szCs w:val="21"/>
                      <w:highlight w:val="none"/>
                      <w:shd w:val="clear" w:color="auto" w:fill="auto"/>
                      <w:lang w:val="en-US" w:eastAsia="zh-CN"/>
                    </w:rPr>
                    <w:t>49</w:t>
                  </w:r>
                </w:p>
              </w:tc>
              <w:tc>
                <w:tcPr>
                  <w:tcW w:w="1196" w:type="dxa"/>
                  <w:noWrap w:val="0"/>
                  <w:vAlign w:val="center"/>
                </w:tcPr>
                <w:p w14:paraId="5F41E2E5">
                  <w:pPr>
                    <w:keepNext w:val="0"/>
                    <w:keepLines w:val="0"/>
                    <w:suppressLineNumbers w:val="0"/>
                    <w:topLinePunct/>
                    <w:adjustRightInd w:val="0"/>
                    <w:snapToGrid w:val="0"/>
                    <w:spacing w:before="0" w:beforeAutospacing="0" w:after="0" w:afterAutospacing="0" w:line="240" w:lineRule="atLeast"/>
                    <w:ind w:left="0" w:right="0"/>
                    <w:jc w:val="center"/>
                    <w:rPr>
                      <w:rFonts w:hint="eastAsia" w:ascii="Calibri" w:hAnsi="Calibri"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kern w:val="0"/>
                      <w:sz w:val="21"/>
                      <w:szCs w:val="21"/>
                      <w:highlight w:val="none"/>
                      <w:shd w:val="clear" w:color="auto" w:fill="auto"/>
                      <w:lang w:val="en-US" w:eastAsia="zh-CN"/>
                    </w:rPr>
                    <w:t>900-041-49</w:t>
                  </w:r>
                </w:p>
              </w:tc>
              <w:tc>
                <w:tcPr>
                  <w:tcW w:w="847" w:type="dxa"/>
                  <w:noWrap w:val="0"/>
                  <w:vAlign w:val="center"/>
                </w:tcPr>
                <w:p w14:paraId="50DE3274">
                  <w:pPr>
                    <w:keepNext w:val="0"/>
                    <w:keepLines w:val="0"/>
                    <w:suppressLineNumbers w:val="0"/>
                    <w:topLinePunct/>
                    <w:adjustRightInd w:val="0"/>
                    <w:snapToGrid w:val="0"/>
                    <w:spacing w:before="0" w:beforeAutospacing="0" w:after="0" w:afterAutospacing="0" w:line="240" w:lineRule="atLeast"/>
                    <w:ind w:left="0" w:right="0"/>
                    <w:jc w:val="center"/>
                    <w:rPr>
                      <w:rFonts w:hint="eastAsia" w:ascii="Calibri" w:hAnsi="Calibri" w:eastAsia="宋体" w:cs="Times New Roman"/>
                      <w:color w:val="auto"/>
                      <w:kern w:val="0"/>
                      <w:sz w:val="21"/>
                      <w:szCs w:val="21"/>
                      <w:highlight w:val="none"/>
                      <w:shd w:val="clear" w:color="auto" w:fill="auto"/>
                      <w:lang w:val="en-US" w:eastAsia="zh-CN"/>
                    </w:rPr>
                  </w:pPr>
                  <w:r>
                    <w:rPr>
                      <w:rFonts w:hint="eastAsia" w:ascii="Calibri" w:hAnsi="Calibri" w:eastAsia="宋体" w:cs="Times New Roman"/>
                      <w:color w:val="auto"/>
                      <w:sz w:val="21"/>
                      <w:szCs w:val="21"/>
                      <w:highlight w:val="none"/>
                      <w:shd w:val="clear" w:color="auto" w:fill="auto"/>
                      <w:lang w:val="en-US" w:eastAsia="zh-CN"/>
                    </w:rPr>
                    <w:t>0.01</w:t>
                  </w:r>
                </w:p>
              </w:tc>
              <w:tc>
                <w:tcPr>
                  <w:tcW w:w="664" w:type="dxa"/>
                  <w:noWrap w:val="0"/>
                  <w:vAlign w:val="center"/>
                </w:tcPr>
                <w:p w14:paraId="1025B204">
                  <w:pPr>
                    <w:keepNext w:val="0"/>
                    <w:keepLines w:val="0"/>
                    <w:suppressLineNumbers w:val="0"/>
                    <w:topLinePunct/>
                    <w:adjustRightInd w:val="0"/>
                    <w:snapToGrid w:val="0"/>
                    <w:spacing w:before="0" w:beforeAutospacing="0" w:after="0" w:afterAutospacing="0" w:line="240" w:lineRule="atLeast"/>
                    <w:ind w:left="0" w:right="0"/>
                    <w:jc w:val="center"/>
                    <w:rPr>
                      <w:rFonts w:hint="eastAsia" w:ascii="Calibri" w:hAnsi="Calibri" w:eastAsia="宋体" w:cs="Times New Roman"/>
                      <w:color w:val="auto"/>
                      <w:kern w:val="0"/>
                      <w:sz w:val="21"/>
                      <w:szCs w:val="21"/>
                      <w:highlight w:val="none"/>
                      <w:shd w:val="clear" w:color="auto" w:fill="auto"/>
                      <w:lang w:eastAsia="zh-CN"/>
                    </w:rPr>
                  </w:pPr>
                  <w:r>
                    <w:rPr>
                      <w:rFonts w:hint="eastAsia" w:ascii="Calibri" w:hAnsi="Calibri" w:eastAsia="宋体" w:cs="Times New Roman"/>
                      <w:color w:val="auto"/>
                      <w:kern w:val="0"/>
                      <w:sz w:val="21"/>
                      <w:szCs w:val="21"/>
                      <w:highlight w:val="none"/>
                      <w:shd w:val="clear" w:color="auto" w:fill="auto"/>
                      <w:lang w:eastAsia="zh-CN"/>
                    </w:rPr>
                    <w:t>设备维修</w:t>
                  </w:r>
                </w:p>
              </w:tc>
              <w:tc>
                <w:tcPr>
                  <w:tcW w:w="636" w:type="dxa"/>
                  <w:noWrap w:val="0"/>
                  <w:vAlign w:val="center"/>
                </w:tcPr>
                <w:p w14:paraId="01AEAB49">
                  <w:pPr>
                    <w:keepNext w:val="0"/>
                    <w:keepLines w:val="0"/>
                    <w:suppressLineNumbers w:val="0"/>
                    <w:topLinePunct/>
                    <w:adjustRightInd w:val="0"/>
                    <w:snapToGrid w:val="0"/>
                    <w:spacing w:before="0" w:beforeAutospacing="0" w:after="0" w:afterAutospacing="0" w:line="240" w:lineRule="atLeast"/>
                    <w:ind w:left="0" w:right="0"/>
                    <w:jc w:val="center"/>
                    <w:rPr>
                      <w:rFonts w:ascii="Calibri" w:hAnsi="Calibri" w:eastAsia="宋体" w:cs="Times New Roman"/>
                      <w:color w:val="auto"/>
                      <w:kern w:val="0"/>
                      <w:sz w:val="21"/>
                      <w:szCs w:val="21"/>
                      <w:highlight w:val="none"/>
                      <w:shd w:val="clear" w:color="auto" w:fill="auto"/>
                    </w:rPr>
                  </w:pPr>
                  <w:r>
                    <w:rPr>
                      <w:rFonts w:hint="eastAsia" w:ascii="Calibri" w:hAnsi="Calibri" w:eastAsia="宋体" w:cs="Times New Roman"/>
                      <w:color w:val="auto"/>
                      <w:kern w:val="0"/>
                      <w:sz w:val="21"/>
                      <w:szCs w:val="21"/>
                      <w:highlight w:val="none"/>
                      <w:shd w:val="clear" w:color="auto" w:fill="auto"/>
                      <w:lang w:eastAsia="zh-CN"/>
                    </w:rPr>
                    <w:t>固态</w:t>
                  </w:r>
                </w:p>
              </w:tc>
              <w:tc>
                <w:tcPr>
                  <w:tcW w:w="553" w:type="dxa"/>
                  <w:noWrap w:val="0"/>
                  <w:vAlign w:val="center"/>
                </w:tcPr>
                <w:p w14:paraId="1C65DD23">
                  <w:pPr>
                    <w:keepNext w:val="0"/>
                    <w:keepLines w:val="0"/>
                    <w:suppressLineNumbers w:val="0"/>
                    <w:topLinePunct/>
                    <w:adjustRightInd w:val="0"/>
                    <w:snapToGrid w:val="0"/>
                    <w:spacing w:before="0" w:beforeAutospacing="0" w:after="0" w:afterAutospacing="0" w:line="240" w:lineRule="atLeast"/>
                    <w:ind w:left="0" w:right="0"/>
                    <w:jc w:val="center"/>
                    <w:rPr>
                      <w:rFonts w:ascii="Calibri" w:hAnsi="Calibri" w:eastAsia="宋体" w:cs="Times New Roman"/>
                      <w:color w:val="auto"/>
                      <w:kern w:val="0"/>
                      <w:sz w:val="21"/>
                      <w:szCs w:val="21"/>
                      <w:highlight w:val="none"/>
                      <w:shd w:val="clear" w:color="auto" w:fill="auto"/>
                    </w:rPr>
                  </w:pPr>
                  <w:r>
                    <w:rPr>
                      <w:rFonts w:hint="eastAsia" w:ascii="Calibri" w:hAnsi="Calibri" w:eastAsia="宋体" w:cs="Times New Roman"/>
                      <w:color w:val="auto"/>
                      <w:kern w:val="0"/>
                      <w:sz w:val="21"/>
                      <w:szCs w:val="21"/>
                      <w:highlight w:val="none"/>
                      <w:shd w:val="clear" w:color="auto" w:fill="auto"/>
                      <w:lang w:eastAsia="zh-CN"/>
                    </w:rPr>
                    <w:t>油</w:t>
                  </w:r>
                </w:p>
              </w:tc>
              <w:tc>
                <w:tcPr>
                  <w:tcW w:w="682" w:type="dxa"/>
                  <w:noWrap w:val="0"/>
                  <w:vAlign w:val="center"/>
                </w:tcPr>
                <w:p w14:paraId="128433EE">
                  <w:pPr>
                    <w:keepNext w:val="0"/>
                    <w:keepLines w:val="0"/>
                    <w:suppressLineNumbers w:val="0"/>
                    <w:topLinePunct/>
                    <w:adjustRightInd w:val="0"/>
                    <w:snapToGrid w:val="0"/>
                    <w:spacing w:before="0" w:beforeAutospacing="0" w:after="0" w:afterAutospacing="0" w:line="240" w:lineRule="atLeast"/>
                    <w:ind w:left="0" w:right="0"/>
                    <w:jc w:val="center"/>
                    <w:rPr>
                      <w:rFonts w:ascii="Calibri" w:hAnsi="Calibri" w:eastAsia="宋体" w:cs="Times New Roman"/>
                      <w:color w:val="auto"/>
                      <w:kern w:val="0"/>
                      <w:sz w:val="21"/>
                      <w:szCs w:val="21"/>
                      <w:highlight w:val="none"/>
                      <w:shd w:val="clear" w:color="auto" w:fill="auto"/>
                    </w:rPr>
                  </w:pPr>
                  <w:r>
                    <w:rPr>
                      <w:rFonts w:hint="eastAsia" w:ascii="Calibri" w:hAnsi="Calibri" w:eastAsia="宋体" w:cs="Times New Roman"/>
                      <w:color w:val="auto"/>
                      <w:kern w:val="0"/>
                      <w:sz w:val="21"/>
                      <w:szCs w:val="21"/>
                      <w:highlight w:val="none"/>
                      <w:shd w:val="clear" w:color="auto" w:fill="auto"/>
                      <w:lang w:eastAsia="zh-CN"/>
                    </w:rPr>
                    <w:t>油类物质</w:t>
                  </w:r>
                </w:p>
              </w:tc>
              <w:tc>
                <w:tcPr>
                  <w:tcW w:w="574" w:type="dxa"/>
                  <w:noWrap w:val="0"/>
                  <w:vAlign w:val="center"/>
                </w:tcPr>
                <w:p w14:paraId="26A94AEE">
                  <w:pPr>
                    <w:keepNext w:val="0"/>
                    <w:keepLines w:val="0"/>
                    <w:suppressLineNumbers w:val="0"/>
                    <w:topLinePunct/>
                    <w:adjustRightInd w:val="0"/>
                    <w:snapToGrid w:val="0"/>
                    <w:spacing w:before="0" w:beforeAutospacing="0" w:after="0" w:afterAutospacing="0" w:line="240" w:lineRule="atLeast"/>
                    <w:ind w:left="0" w:right="0"/>
                    <w:jc w:val="center"/>
                    <w:rPr>
                      <w:rFonts w:hint="eastAsia" w:ascii="Calibri" w:hAnsi="Calibri" w:eastAsia="宋体" w:cs="Times New Roman"/>
                      <w:color w:val="auto"/>
                      <w:kern w:val="0"/>
                      <w:sz w:val="21"/>
                      <w:szCs w:val="21"/>
                      <w:highlight w:val="none"/>
                      <w:shd w:val="clear" w:color="auto" w:fill="auto"/>
                      <w:lang w:eastAsia="zh-CN"/>
                    </w:rPr>
                  </w:pPr>
                  <w:r>
                    <w:rPr>
                      <w:rFonts w:hint="eastAsia" w:ascii="Calibri" w:hAnsi="Calibri" w:eastAsia="宋体" w:cs="Times New Roman"/>
                      <w:color w:val="auto"/>
                      <w:kern w:val="0"/>
                      <w:sz w:val="21"/>
                      <w:szCs w:val="21"/>
                      <w:highlight w:val="none"/>
                      <w:shd w:val="clear" w:color="auto" w:fill="auto"/>
                      <w:lang w:eastAsia="zh-CN"/>
                    </w:rPr>
                    <w:t>半年</w:t>
                  </w:r>
                </w:p>
              </w:tc>
              <w:tc>
                <w:tcPr>
                  <w:tcW w:w="636" w:type="dxa"/>
                  <w:noWrap w:val="0"/>
                  <w:vAlign w:val="center"/>
                </w:tcPr>
                <w:p w14:paraId="7B767F1F">
                  <w:pPr>
                    <w:keepNext w:val="0"/>
                    <w:keepLines w:val="0"/>
                    <w:suppressLineNumbers w:val="0"/>
                    <w:topLinePunct/>
                    <w:adjustRightInd w:val="0"/>
                    <w:snapToGrid w:val="0"/>
                    <w:spacing w:before="0" w:beforeAutospacing="0" w:after="0" w:afterAutospacing="0" w:line="240" w:lineRule="atLeast"/>
                    <w:ind w:left="0" w:right="0"/>
                    <w:jc w:val="center"/>
                    <w:rPr>
                      <w:rFonts w:ascii="Calibri" w:hAnsi="Calibri" w:eastAsia="宋体" w:cs="Times New Roman"/>
                      <w:color w:val="auto"/>
                      <w:kern w:val="0"/>
                      <w:sz w:val="21"/>
                      <w:szCs w:val="21"/>
                      <w:highlight w:val="none"/>
                      <w:shd w:val="clear" w:color="auto" w:fill="auto"/>
                    </w:rPr>
                  </w:pPr>
                  <w:r>
                    <w:rPr>
                      <w:rFonts w:ascii="Calibri" w:hAnsi="Calibri" w:eastAsia="宋体" w:cs="Times New Roman"/>
                      <w:color w:val="auto"/>
                      <w:kern w:val="0"/>
                      <w:sz w:val="21"/>
                      <w:szCs w:val="21"/>
                      <w:highlight w:val="none"/>
                      <w:shd w:val="clear" w:color="auto" w:fill="auto"/>
                    </w:rPr>
                    <w:t>毒性</w:t>
                  </w:r>
                  <w:r>
                    <w:rPr>
                      <w:rFonts w:hint="eastAsia" w:ascii="Calibri" w:hAnsi="Calibri" w:eastAsia="宋体" w:cs="Times New Roman"/>
                      <w:color w:val="auto"/>
                      <w:kern w:val="0"/>
                      <w:sz w:val="21"/>
                      <w:szCs w:val="21"/>
                      <w:highlight w:val="none"/>
                      <w:shd w:val="clear" w:color="auto" w:fill="auto"/>
                      <w:lang w:eastAsia="zh-CN"/>
                    </w:rPr>
                    <w:t>、易燃性</w:t>
                  </w:r>
                </w:p>
              </w:tc>
              <w:tc>
                <w:tcPr>
                  <w:tcW w:w="702" w:type="dxa"/>
                  <w:vMerge w:val="continue"/>
                  <w:noWrap w:val="0"/>
                  <w:vAlign w:val="center"/>
                </w:tcPr>
                <w:p w14:paraId="53A28C63">
                  <w:pPr>
                    <w:keepNext w:val="0"/>
                    <w:keepLines w:val="0"/>
                    <w:suppressLineNumbers w:val="0"/>
                    <w:topLinePunct/>
                    <w:adjustRightInd w:val="0"/>
                    <w:snapToGrid w:val="0"/>
                    <w:spacing w:before="0" w:beforeAutospacing="0" w:after="0" w:afterAutospacing="0" w:line="240" w:lineRule="atLeast"/>
                    <w:ind w:left="0" w:right="0"/>
                    <w:jc w:val="center"/>
                    <w:rPr>
                      <w:rFonts w:hint="eastAsia" w:ascii="Calibri" w:hAnsi="Calibri" w:eastAsia="宋体" w:cs="Times New Roman"/>
                      <w:color w:val="auto"/>
                      <w:kern w:val="0"/>
                      <w:sz w:val="21"/>
                      <w:szCs w:val="21"/>
                      <w:highlight w:val="none"/>
                      <w:shd w:val="clear" w:color="auto" w:fill="auto"/>
                    </w:rPr>
                  </w:pPr>
                </w:p>
              </w:tc>
            </w:tr>
          </w:tbl>
          <w:p w14:paraId="0905E132">
            <w:pPr>
              <w:keepNext w:val="0"/>
              <w:keepLines w:val="0"/>
              <w:suppressLineNumbers w:val="0"/>
              <w:tabs>
                <w:tab w:val="left" w:pos="567"/>
              </w:tabs>
              <w:snapToGrid w:val="0"/>
              <w:spacing w:before="0" w:beforeAutospacing="0" w:after="0" w:afterAutospacing="0" w:line="360" w:lineRule="auto"/>
              <w:ind w:left="0" w:right="0" w:firstLine="555"/>
              <w:rPr>
                <w:rFonts w:ascii="Calibri" w:hAnsi="Calibri" w:eastAsia="宋体" w:cs="Times New Roman"/>
                <w:color w:val="auto"/>
                <w:sz w:val="24"/>
                <w:highlight w:val="none"/>
                <w:shd w:val="clear" w:color="auto" w:fill="auto"/>
                <w:lang w:val="zh-CN"/>
              </w:rPr>
            </w:pPr>
          </w:p>
          <w:p w14:paraId="31274C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rPr>
              <w:t>表</w:t>
            </w:r>
            <w:r>
              <w:rPr>
                <w:rFonts w:hint="eastAsia" w:ascii="Calibri" w:hAnsi="Calibri" w:cs="Times New Roman"/>
                <w:color w:val="auto"/>
                <w:sz w:val="24"/>
                <w:highlight w:val="none"/>
                <w:shd w:val="clear" w:color="auto" w:fill="auto"/>
                <w:lang w:val="en-US" w:eastAsia="zh-CN"/>
              </w:rPr>
              <w:t>4-18</w:t>
            </w:r>
            <w:r>
              <w:rPr>
                <w:rFonts w:hint="eastAsia" w:ascii="Times New Roman" w:hAnsi="Times New Roman" w:eastAsia="宋体" w:cs="Times New Roman"/>
                <w:b w:val="0"/>
                <w:bCs w:val="0"/>
                <w:color w:val="auto"/>
                <w:sz w:val="24"/>
                <w:szCs w:val="24"/>
                <w:highlight w:val="none"/>
              </w:rPr>
              <w:t xml:space="preserve"> 项目危险废物贮存场所</w:t>
            </w:r>
            <w:r>
              <w:rPr>
                <w:rFonts w:hint="eastAsia" w:ascii="Times New Roman" w:hAnsi="Times New Roman" w:eastAsia="宋体" w:cs="Times New Roman"/>
                <w:b w:val="0"/>
                <w:bCs w:val="0"/>
                <w:color w:val="auto"/>
                <w:sz w:val="24"/>
                <w:szCs w:val="24"/>
                <w:highlight w:val="none"/>
                <w:lang w:eastAsia="zh-CN"/>
              </w:rPr>
              <w:t>（设施）</w:t>
            </w:r>
            <w:r>
              <w:rPr>
                <w:rFonts w:hint="eastAsia" w:ascii="Times New Roman" w:hAnsi="Times New Roman" w:eastAsia="宋体" w:cs="Times New Roman"/>
                <w:b w:val="0"/>
                <w:bCs w:val="0"/>
                <w:color w:val="auto"/>
                <w:sz w:val="24"/>
                <w:szCs w:val="24"/>
                <w:highlight w:val="none"/>
              </w:rPr>
              <w:t>基本情况</w:t>
            </w:r>
          </w:p>
          <w:tbl>
            <w:tblPr>
              <w:tblStyle w:val="2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1"/>
              <w:gridCol w:w="700"/>
              <w:gridCol w:w="1183"/>
              <w:gridCol w:w="1084"/>
              <w:gridCol w:w="1233"/>
              <w:gridCol w:w="767"/>
              <w:gridCol w:w="650"/>
              <w:gridCol w:w="833"/>
              <w:gridCol w:w="798"/>
              <w:gridCol w:w="638"/>
            </w:tblGrid>
            <w:tr w14:paraId="19517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1" w:type="pct"/>
                  <w:tcBorders>
                    <w:tl2br w:val="nil"/>
                    <w:tr2bl w:val="nil"/>
                  </w:tcBorders>
                  <w:noWrap w:val="0"/>
                  <w:vAlign w:val="center"/>
                </w:tcPr>
                <w:p w14:paraId="6498F0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序号</w:t>
                  </w:r>
                </w:p>
              </w:tc>
              <w:tc>
                <w:tcPr>
                  <w:tcW w:w="418" w:type="pct"/>
                  <w:tcBorders>
                    <w:tl2br w:val="nil"/>
                    <w:tr2bl w:val="nil"/>
                  </w:tcBorders>
                  <w:noWrap w:val="0"/>
                  <w:vAlign w:val="center"/>
                </w:tcPr>
                <w:p w14:paraId="14CAED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贮存场所</w:t>
                  </w:r>
                </w:p>
              </w:tc>
              <w:tc>
                <w:tcPr>
                  <w:tcW w:w="707" w:type="pct"/>
                  <w:tcBorders>
                    <w:tl2br w:val="nil"/>
                    <w:tr2bl w:val="nil"/>
                  </w:tcBorders>
                  <w:noWrap w:val="0"/>
                  <w:vAlign w:val="center"/>
                </w:tcPr>
                <w:p w14:paraId="14CA03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危险废物名称</w:t>
                  </w:r>
                </w:p>
              </w:tc>
              <w:tc>
                <w:tcPr>
                  <w:tcW w:w="648" w:type="pct"/>
                  <w:tcBorders>
                    <w:tl2br w:val="nil"/>
                    <w:tr2bl w:val="nil"/>
                  </w:tcBorders>
                  <w:noWrap w:val="0"/>
                  <w:vAlign w:val="center"/>
                </w:tcPr>
                <w:p w14:paraId="665C47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危险废物 类别</w:t>
                  </w:r>
                </w:p>
              </w:tc>
              <w:tc>
                <w:tcPr>
                  <w:tcW w:w="737" w:type="pct"/>
                  <w:tcBorders>
                    <w:tl2br w:val="nil"/>
                    <w:tr2bl w:val="nil"/>
                  </w:tcBorders>
                  <w:noWrap w:val="0"/>
                  <w:vAlign w:val="center"/>
                </w:tcPr>
                <w:p w14:paraId="1CF5DE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危险废物 代码</w:t>
                  </w:r>
                </w:p>
              </w:tc>
              <w:tc>
                <w:tcPr>
                  <w:tcW w:w="458" w:type="pct"/>
                  <w:tcBorders>
                    <w:tl2br w:val="nil"/>
                    <w:tr2bl w:val="nil"/>
                  </w:tcBorders>
                  <w:noWrap w:val="0"/>
                  <w:vAlign w:val="center"/>
                </w:tcPr>
                <w:p w14:paraId="7988E8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位置</w:t>
                  </w:r>
                </w:p>
              </w:tc>
              <w:tc>
                <w:tcPr>
                  <w:tcW w:w="388" w:type="pct"/>
                  <w:tcBorders>
                    <w:tl2br w:val="nil"/>
                    <w:tr2bl w:val="nil"/>
                  </w:tcBorders>
                  <w:noWrap w:val="0"/>
                  <w:vAlign w:val="center"/>
                </w:tcPr>
                <w:p w14:paraId="462F4D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占地面积</w:t>
                  </w:r>
                </w:p>
              </w:tc>
              <w:tc>
                <w:tcPr>
                  <w:tcW w:w="498" w:type="pct"/>
                  <w:tcBorders>
                    <w:tl2br w:val="nil"/>
                    <w:tr2bl w:val="nil"/>
                  </w:tcBorders>
                  <w:noWrap w:val="0"/>
                  <w:vAlign w:val="center"/>
                </w:tcPr>
                <w:p w14:paraId="1A1AF1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贮存点</w:t>
                  </w:r>
                  <w:r>
                    <w:rPr>
                      <w:rFonts w:hint="eastAsia" w:ascii="Times New Roman" w:hAnsi="Times New Roman" w:eastAsia="宋体" w:cs="Times New Roman"/>
                      <w:color w:val="auto"/>
                      <w:sz w:val="21"/>
                      <w:szCs w:val="21"/>
                      <w:highlight w:val="none"/>
                      <w:vertAlign w:val="baseline"/>
                      <w:lang w:val="en-US" w:eastAsia="zh-CN"/>
                    </w:rPr>
                    <w:t>最大贮存量</w:t>
                  </w:r>
                </w:p>
              </w:tc>
              <w:tc>
                <w:tcPr>
                  <w:tcW w:w="477" w:type="pct"/>
                  <w:tcBorders>
                    <w:tl2br w:val="nil"/>
                    <w:tr2bl w:val="nil"/>
                  </w:tcBorders>
                  <w:noWrap w:val="0"/>
                  <w:vAlign w:val="center"/>
                </w:tcPr>
                <w:p w14:paraId="516011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本项目最大产生量</w:t>
                  </w:r>
                </w:p>
              </w:tc>
              <w:tc>
                <w:tcPr>
                  <w:tcW w:w="381" w:type="pct"/>
                  <w:tcBorders>
                    <w:tl2br w:val="nil"/>
                    <w:tr2bl w:val="nil"/>
                  </w:tcBorders>
                  <w:noWrap w:val="0"/>
                  <w:vAlign w:val="center"/>
                </w:tcPr>
                <w:p w14:paraId="0056F1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贮存周期</w:t>
                  </w:r>
                </w:p>
              </w:tc>
            </w:tr>
            <w:tr w14:paraId="40DCF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1" w:type="pct"/>
                  <w:tcBorders>
                    <w:tl2br w:val="nil"/>
                    <w:tr2bl w:val="nil"/>
                  </w:tcBorders>
                  <w:noWrap w:val="0"/>
                  <w:vAlign w:val="center"/>
                </w:tcPr>
                <w:p w14:paraId="4C8BFD1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1</w:t>
                  </w:r>
                </w:p>
              </w:tc>
              <w:tc>
                <w:tcPr>
                  <w:tcW w:w="418" w:type="pct"/>
                  <w:vMerge w:val="restart"/>
                  <w:tcBorders>
                    <w:tl2br w:val="nil"/>
                    <w:tr2bl w:val="nil"/>
                  </w:tcBorders>
                  <w:noWrap w:val="0"/>
                  <w:vAlign w:val="center"/>
                </w:tcPr>
                <w:p w14:paraId="2CA402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危废贮存</w:t>
                  </w:r>
                  <w:r>
                    <w:rPr>
                      <w:rFonts w:hint="eastAsia" w:ascii="Times New Roman" w:hAnsi="Times New Roman" w:eastAsia="宋体" w:cs="Times New Roman"/>
                      <w:color w:val="auto"/>
                      <w:sz w:val="21"/>
                      <w:szCs w:val="21"/>
                      <w:highlight w:val="none"/>
                      <w:vertAlign w:val="baseline"/>
                      <w:lang w:val="en-US" w:eastAsia="zh-CN"/>
                    </w:rPr>
                    <w:t>点</w:t>
                  </w:r>
                </w:p>
              </w:tc>
              <w:tc>
                <w:tcPr>
                  <w:tcW w:w="707" w:type="pct"/>
                  <w:tcBorders>
                    <w:tl2br w:val="nil"/>
                    <w:tr2bl w:val="nil"/>
                  </w:tcBorders>
                  <w:noWrap w:val="0"/>
                  <w:vAlign w:val="center"/>
                </w:tcPr>
                <w:p w14:paraId="36CF0AC0">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废机油</w:t>
                  </w:r>
                </w:p>
              </w:tc>
              <w:tc>
                <w:tcPr>
                  <w:tcW w:w="648" w:type="pct"/>
                  <w:tcBorders>
                    <w:tl2br w:val="nil"/>
                    <w:tr2bl w:val="nil"/>
                  </w:tcBorders>
                  <w:noWrap w:val="0"/>
                  <w:vAlign w:val="center"/>
                </w:tcPr>
                <w:p w14:paraId="7320D2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HW08</w:t>
                  </w:r>
                </w:p>
              </w:tc>
              <w:tc>
                <w:tcPr>
                  <w:tcW w:w="737" w:type="pct"/>
                  <w:tcBorders>
                    <w:tl2br w:val="nil"/>
                    <w:tr2bl w:val="nil"/>
                  </w:tcBorders>
                  <w:noWrap w:val="0"/>
                  <w:vAlign w:val="center"/>
                </w:tcPr>
                <w:p w14:paraId="26B82A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900-21</w:t>
                  </w:r>
                  <w:r>
                    <w:rPr>
                      <w:rFonts w:hint="eastAsia" w:cs="Times New Roman"/>
                      <w:color w:val="auto"/>
                      <w:sz w:val="21"/>
                      <w:szCs w:val="21"/>
                      <w:highlight w:val="none"/>
                      <w:lang w:val="en-US" w:eastAsia="zh-CN"/>
                    </w:rPr>
                    <w:t>7</w:t>
                  </w:r>
                  <w:r>
                    <w:rPr>
                      <w:rFonts w:hint="eastAsia" w:ascii="Times New Roman" w:hAnsi="Times New Roman" w:eastAsia="宋体" w:cs="Times New Roman"/>
                      <w:color w:val="auto"/>
                      <w:sz w:val="21"/>
                      <w:szCs w:val="21"/>
                      <w:highlight w:val="none"/>
                      <w:lang w:val="en-US" w:eastAsia="zh-CN"/>
                    </w:rPr>
                    <w:t>-08</w:t>
                  </w:r>
                </w:p>
              </w:tc>
              <w:tc>
                <w:tcPr>
                  <w:tcW w:w="458" w:type="pct"/>
                  <w:vMerge w:val="restart"/>
                  <w:tcBorders>
                    <w:tl2br w:val="nil"/>
                    <w:tr2bl w:val="nil"/>
                  </w:tcBorders>
                  <w:noWrap w:val="0"/>
                  <w:vAlign w:val="center"/>
                </w:tcPr>
                <w:p w14:paraId="38B047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产品库房东北角</w:t>
                  </w:r>
                </w:p>
              </w:tc>
              <w:tc>
                <w:tcPr>
                  <w:tcW w:w="388" w:type="pct"/>
                  <w:vMerge w:val="restart"/>
                  <w:tcBorders>
                    <w:tl2br w:val="nil"/>
                    <w:tr2bl w:val="nil"/>
                  </w:tcBorders>
                  <w:noWrap w:val="0"/>
                  <w:vAlign w:val="center"/>
                </w:tcPr>
                <w:p w14:paraId="435A52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2"/>
                      <w:position w:val="-1"/>
                      <w:sz w:val="21"/>
                      <w:szCs w:val="21"/>
                      <w:highlight w:val="none"/>
                      <w:lang w:val="en-US" w:eastAsia="zh-CN"/>
                    </w:rPr>
                  </w:pPr>
                  <w:r>
                    <w:rPr>
                      <w:rFonts w:hint="eastAsia" w:ascii="Times New Roman" w:hAnsi="Times New Roman" w:eastAsia="宋体" w:cs="Times New Roman"/>
                      <w:color w:val="auto"/>
                      <w:spacing w:val="2"/>
                      <w:position w:val="-1"/>
                      <w:sz w:val="21"/>
                      <w:szCs w:val="21"/>
                      <w:highlight w:val="none"/>
                      <w:lang w:val="en-US" w:eastAsia="zh-CN"/>
                    </w:rPr>
                    <w:t>6</w:t>
                  </w:r>
                  <w:r>
                    <w:rPr>
                      <w:rFonts w:hint="default" w:ascii="Times New Roman" w:hAnsi="Times New Roman" w:eastAsia="宋体" w:cs="Times New Roman"/>
                      <w:color w:val="auto"/>
                      <w:spacing w:val="2"/>
                      <w:position w:val="-1"/>
                      <w:sz w:val="21"/>
                      <w:szCs w:val="21"/>
                      <w:highlight w:val="none"/>
                    </w:rPr>
                    <w:t>m</w:t>
                  </w:r>
                  <w:r>
                    <w:rPr>
                      <w:rFonts w:hint="default" w:ascii="Times New Roman" w:hAnsi="Times New Roman" w:eastAsia="宋体" w:cs="Times New Roman"/>
                      <w:color w:val="auto"/>
                      <w:spacing w:val="2"/>
                      <w:position w:val="-1"/>
                      <w:sz w:val="21"/>
                      <w:szCs w:val="21"/>
                      <w:highlight w:val="none"/>
                      <w:vertAlign w:val="superscript"/>
                      <w:lang w:val="en-US" w:eastAsia="zh-CN"/>
                    </w:rPr>
                    <w:t>2</w:t>
                  </w:r>
                </w:p>
              </w:tc>
              <w:tc>
                <w:tcPr>
                  <w:tcW w:w="498" w:type="pct"/>
                  <w:vMerge w:val="restart"/>
                  <w:tcBorders>
                    <w:tl2br w:val="nil"/>
                    <w:tr2bl w:val="nil"/>
                  </w:tcBorders>
                  <w:noWrap w:val="0"/>
                  <w:vAlign w:val="center"/>
                </w:tcPr>
                <w:p w14:paraId="36251710">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3t</w:t>
                  </w:r>
                </w:p>
              </w:tc>
              <w:tc>
                <w:tcPr>
                  <w:tcW w:w="477" w:type="pct"/>
                  <w:tcBorders>
                    <w:tl2br w:val="nil"/>
                    <w:tr2bl w:val="nil"/>
                  </w:tcBorders>
                  <w:noWrap w:val="0"/>
                  <w:vAlign w:val="center"/>
                </w:tcPr>
                <w:p w14:paraId="4BF582B3">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0.2t/a</w:t>
                  </w:r>
                </w:p>
              </w:tc>
              <w:tc>
                <w:tcPr>
                  <w:tcW w:w="381" w:type="pct"/>
                  <w:tcBorders>
                    <w:tl2br w:val="nil"/>
                    <w:tr2bl w:val="nil"/>
                  </w:tcBorders>
                  <w:noWrap w:val="0"/>
                  <w:vAlign w:val="center"/>
                </w:tcPr>
                <w:p w14:paraId="304BA9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半年</w:t>
                  </w:r>
                </w:p>
              </w:tc>
            </w:tr>
            <w:tr w14:paraId="6EDAD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1" w:type="pct"/>
                  <w:tcBorders>
                    <w:tl2br w:val="nil"/>
                    <w:tr2bl w:val="nil"/>
                  </w:tcBorders>
                  <w:noWrap w:val="0"/>
                  <w:vAlign w:val="center"/>
                </w:tcPr>
                <w:p w14:paraId="76FD344F">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2</w:t>
                  </w:r>
                </w:p>
              </w:tc>
              <w:tc>
                <w:tcPr>
                  <w:tcW w:w="418" w:type="pct"/>
                  <w:vMerge w:val="continue"/>
                  <w:tcBorders>
                    <w:tl2br w:val="nil"/>
                    <w:tr2bl w:val="nil"/>
                  </w:tcBorders>
                  <w:noWrap w:val="0"/>
                  <w:vAlign w:val="center"/>
                </w:tcPr>
                <w:p w14:paraId="02F56C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707" w:type="pct"/>
                  <w:tcBorders>
                    <w:tl2br w:val="nil"/>
                    <w:tr2bl w:val="nil"/>
                  </w:tcBorders>
                  <w:noWrap w:val="0"/>
                  <w:vAlign w:val="center"/>
                </w:tcPr>
                <w:p w14:paraId="64C779F3">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废油桶</w:t>
                  </w:r>
                </w:p>
              </w:tc>
              <w:tc>
                <w:tcPr>
                  <w:tcW w:w="648" w:type="pct"/>
                  <w:tcBorders>
                    <w:tl2br w:val="nil"/>
                    <w:tr2bl w:val="nil"/>
                  </w:tcBorders>
                  <w:noWrap w:val="0"/>
                  <w:vAlign w:val="center"/>
                </w:tcPr>
                <w:p w14:paraId="190C965B">
                  <w:pPr>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cs="Times New Roman"/>
                      <w:color w:val="auto"/>
                      <w:kern w:val="0"/>
                      <w:sz w:val="21"/>
                      <w:szCs w:val="21"/>
                      <w:highlight w:val="none"/>
                      <w:shd w:val="clear" w:color="auto" w:fill="auto"/>
                      <w:lang w:val="en-US" w:eastAsia="zh-CN"/>
                    </w:rPr>
                  </w:pPr>
                  <w:r>
                    <w:rPr>
                      <w:rFonts w:hint="default" w:ascii="Times New Roman" w:hAnsi="Times New Roman" w:cs="Times New Roman"/>
                      <w:color w:val="auto"/>
                      <w:kern w:val="0"/>
                      <w:sz w:val="21"/>
                      <w:szCs w:val="21"/>
                      <w:highlight w:val="none"/>
                      <w:shd w:val="clear" w:color="auto" w:fill="auto"/>
                      <w:lang w:val="en-US" w:eastAsia="zh-CN"/>
                    </w:rPr>
                    <w:t>H</w:t>
                  </w:r>
                  <w:r>
                    <w:rPr>
                      <w:rFonts w:hint="default" w:ascii="Times New Roman" w:hAnsi="Times New Roman" w:eastAsia="宋体" w:cs="Times New Roman"/>
                      <w:color w:val="auto"/>
                      <w:sz w:val="21"/>
                      <w:szCs w:val="21"/>
                      <w:highlight w:val="none"/>
                      <w:vertAlign w:val="baseline"/>
                      <w:lang w:val="en-US" w:eastAsia="zh-CN"/>
                    </w:rPr>
                    <w:t>W08</w:t>
                  </w:r>
                </w:p>
              </w:tc>
              <w:tc>
                <w:tcPr>
                  <w:tcW w:w="737" w:type="pct"/>
                  <w:tcBorders>
                    <w:tl2br w:val="nil"/>
                    <w:tr2bl w:val="nil"/>
                  </w:tcBorders>
                  <w:noWrap w:val="0"/>
                  <w:vAlign w:val="center"/>
                </w:tcPr>
                <w:p w14:paraId="5B41D4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auto"/>
                      <w:kern w:val="0"/>
                      <w:sz w:val="21"/>
                      <w:szCs w:val="21"/>
                      <w:highlight w:val="none"/>
                      <w:shd w:val="clear" w:color="auto" w:fill="auto"/>
                      <w:lang w:val="en-US" w:eastAsia="zh-CN"/>
                    </w:rPr>
                  </w:pPr>
                  <w:r>
                    <w:rPr>
                      <w:rFonts w:hint="eastAsia"/>
                      <w:color w:val="auto"/>
                      <w:kern w:val="0"/>
                      <w:sz w:val="21"/>
                      <w:szCs w:val="21"/>
                      <w:highlight w:val="none"/>
                      <w:shd w:val="clear" w:color="auto" w:fill="auto"/>
                      <w:lang w:val="en-US" w:eastAsia="zh-CN"/>
                    </w:rPr>
                    <w:t>900-249-08</w:t>
                  </w:r>
                </w:p>
              </w:tc>
              <w:tc>
                <w:tcPr>
                  <w:tcW w:w="458" w:type="pct"/>
                  <w:vMerge w:val="continue"/>
                  <w:tcBorders>
                    <w:tl2br w:val="nil"/>
                    <w:tr2bl w:val="nil"/>
                  </w:tcBorders>
                  <w:noWrap w:val="0"/>
                  <w:vAlign w:val="center"/>
                </w:tcPr>
                <w:p w14:paraId="0C361A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388" w:type="pct"/>
                  <w:vMerge w:val="continue"/>
                  <w:tcBorders>
                    <w:tl2br w:val="nil"/>
                    <w:tr2bl w:val="nil"/>
                  </w:tcBorders>
                  <w:noWrap w:val="0"/>
                  <w:vAlign w:val="center"/>
                </w:tcPr>
                <w:p w14:paraId="746BA7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2"/>
                      <w:position w:val="-1"/>
                      <w:sz w:val="21"/>
                      <w:szCs w:val="21"/>
                      <w:highlight w:val="none"/>
                      <w:lang w:val="en-US" w:eastAsia="zh-CN"/>
                    </w:rPr>
                  </w:pPr>
                </w:p>
              </w:tc>
              <w:tc>
                <w:tcPr>
                  <w:tcW w:w="498" w:type="pct"/>
                  <w:vMerge w:val="continue"/>
                  <w:tcBorders>
                    <w:tl2br w:val="nil"/>
                    <w:tr2bl w:val="nil"/>
                  </w:tcBorders>
                  <w:noWrap w:val="0"/>
                  <w:vAlign w:val="center"/>
                </w:tcPr>
                <w:p w14:paraId="03F563A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477" w:type="pct"/>
                  <w:tcBorders>
                    <w:tl2br w:val="nil"/>
                    <w:tr2bl w:val="nil"/>
                  </w:tcBorders>
                  <w:noWrap w:val="0"/>
                  <w:vAlign w:val="center"/>
                </w:tcPr>
                <w:p w14:paraId="5389E1A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2个/a</w:t>
                  </w:r>
                </w:p>
              </w:tc>
              <w:tc>
                <w:tcPr>
                  <w:tcW w:w="381" w:type="pct"/>
                  <w:tcBorders>
                    <w:tl2br w:val="nil"/>
                    <w:tr2bl w:val="nil"/>
                  </w:tcBorders>
                  <w:noWrap w:val="0"/>
                  <w:vAlign w:val="center"/>
                </w:tcPr>
                <w:p w14:paraId="16791B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半年</w:t>
                  </w:r>
                </w:p>
              </w:tc>
            </w:tr>
            <w:tr w14:paraId="7FD96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1" w:type="pct"/>
                  <w:tcBorders>
                    <w:tl2br w:val="nil"/>
                    <w:tr2bl w:val="nil"/>
                  </w:tcBorders>
                  <w:noWrap w:val="0"/>
                  <w:vAlign w:val="center"/>
                </w:tcPr>
                <w:p w14:paraId="61C3A143">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p>
              </w:tc>
              <w:tc>
                <w:tcPr>
                  <w:tcW w:w="418" w:type="pct"/>
                  <w:vMerge w:val="continue"/>
                  <w:tcBorders>
                    <w:tl2br w:val="nil"/>
                    <w:tr2bl w:val="nil"/>
                  </w:tcBorders>
                  <w:noWrap w:val="0"/>
                  <w:vAlign w:val="center"/>
                </w:tcPr>
                <w:p w14:paraId="17B51D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707" w:type="pct"/>
                  <w:tcBorders>
                    <w:tl2br w:val="nil"/>
                    <w:tr2bl w:val="nil"/>
                  </w:tcBorders>
                  <w:noWrap w:val="0"/>
                  <w:vAlign w:val="center"/>
                </w:tcPr>
                <w:p w14:paraId="2DBB3E4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废油手套和抹布</w:t>
                  </w:r>
                </w:p>
              </w:tc>
              <w:tc>
                <w:tcPr>
                  <w:tcW w:w="648" w:type="pct"/>
                  <w:tcBorders>
                    <w:tl2br w:val="nil"/>
                    <w:tr2bl w:val="nil"/>
                  </w:tcBorders>
                  <w:noWrap w:val="0"/>
                  <w:vAlign w:val="center"/>
                </w:tcPr>
                <w:p w14:paraId="3477BBC6">
                  <w:pPr>
                    <w:keepNext w:val="0"/>
                    <w:keepLines w:val="0"/>
                    <w:pageBreakBefore w:val="0"/>
                    <w:widowControl w:val="0"/>
                    <w:suppressLineNumbers w:val="0"/>
                    <w:kinsoku/>
                    <w:wordWrap/>
                    <w:overflowPunct/>
                    <w:topLinePunct/>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cs="Times New Roman"/>
                      <w:color w:val="auto"/>
                      <w:kern w:val="0"/>
                      <w:sz w:val="21"/>
                      <w:szCs w:val="21"/>
                      <w:highlight w:val="none"/>
                      <w:shd w:val="clear" w:color="auto" w:fill="auto"/>
                      <w:lang w:val="en-US" w:eastAsia="zh-CN"/>
                    </w:rPr>
                  </w:pPr>
                  <w:r>
                    <w:rPr>
                      <w:rFonts w:hint="default" w:ascii="Times New Roman" w:hAnsi="Times New Roman" w:cs="Times New Roman"/>
                      <w:color w:val="auto"/>
                      <w:kern w:val="0"/>
                      <w:sz w:val="21"/>
                      <w:szCs w:val="21"/>
                      <w:highlight w:val="none"/>
                      <w:shd w:val="clear" w:color="auto" w:fill="auto"/>
                      <w:lang w:val="en-US" w:eastAsia="zh-CN"/>
                    </w:rPr>
                    <w:t>H</w:t>
                  </w:r>
                  <w:r>
                    <w:rPr>
                      <w:rFonts w:hint="default" w:ascii="Times New Roman" w:hAnsi="Times New Roman" w:eastAsia="宋体" w:cs="Times New Roman"/>
                      <w:color w:val="auto"/>
                      <w:sz w:val="21"/>
                      <w:szCs w:val="21"/>
                      <w:highlight w:val="none"/>
                      <w:vertAlign w:val="baseline"/>
                      <w:lang w:val="en-US" w:eastAsia="zh-CN"/>
                    </w:rPr>
                    <w:t>W</w:t>
                  </w:r>
                  <w:r>
                    <w:rPr>
                      <w:rFonts w:hint="eastAsia" w:cs="Times New Roman"/>
                      <w:color w:val="auto"/>
                      <w:sz w:val="21"/>
                      <w:szCs w:val="21"/>
                      <w:highlight w:val="none"/>
                      <w:vertAlign w:val="baseline"/>
                      <w:lang w:val="en-US" w:eastAsia="zh-CN"/>
                    </w:rPr>
                    <w:t>49</w:t>
                  </w:r>
                </w:p>
              </w:tc>
              <w:tc>
                <w:tcPr>
                  <w:tcW w:w="737" w:type="pct"/>
                  <w:tcBorders>
                    <w:tl2br w:val="nil"/>
                    <w:tr2bl w:val="nil"/>
                  </w:tcBorders>
                  <w:noWrap w:val="0"/>
                  <w:vAlign w:val="center"/>
                </w:tcPr>
                <w:p w14:paraId="1ECCCE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color w:val="auto"/>
                      <w:kern w:val="0"/>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lang w:val="en-US" w:eastAsia="zh-CN"/>
                    </w:rPr>
                    <w:t>9</w:t>
                  </w:r>
                  <w:r>
                    <w:rPr>
                      <w:rFonts w:hint="default" w:ascii="Times New Roman" w:hAnsi="Times New Roman" w:eastAsia="宋体" w:cs="Times New Roman"/>
                      <w:color w:val="auto"/>
                      <w:sz w:val="21"/>
                      <w:szCs w:val="21"/>
                      <w:highlight w:val="none"/>
                      <w:lang w:val="en-US" w:eastAsia="zh-CN"/>
                    </w:rPr>
                    <w:t>00-041-49</w:t>
                  </w:r>
                </w:p>
              </w:tc>
              <w:tc>
                <w:tcPr>
                  <w:tcW w:w="458" w:type="pct"/>
                  <w:vMerge w:val="continue"/>
                  <w:tcBorders>
                    <w:tl2br w:val="nil"/>
                    <w:tr2bl w:val="nil"/>
                  </w:tcBorders>
                  <w:noWrap w:val="0"/>
                  <w:vAlign w:val="center"/>
                </w:tcPr>
                <w:p w14:paraId="0E0DC7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388" w:type="pct"/>
                  <w:vMerge w:val="continue"/>
                  <w:tcBorders>
                    <w:tl2br w:val="nil"/>
                    <w:tr2bl w:val="nil"/>
                  </w:tcBorders>
                  <w:noWrap w:val="0"/>
                  <w:vAlign w:val="center"/>
                </w:tcPr>
                <w:p w14:paraId="224201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2"/>
                      <w:position w:val="-1"/>
                      <w:sz w:val="21"/>
                      <w:szCs w:val="21"/>
                      <w:highlight w:val="none"/>
                      <w:lang w:val="en-US" w:eastAsia="zh-CN"/>
                    </w:rPr>
                  </w:pPr>
                </w:p>
              </w:tc>
              <w:tc>
                <w:tcPr>
                  <w:tcW w:w="498" w:type="pct"/>
                  <w:vMerge w:val="continue"/>
                  <w:tcBorders>
                    <w:tl2br w:val="nil"/>
                    <w:tr2bl w:val="nil"/>
                  </w:tcBorders>
                  <w:noWrap w:val="0"/>
                  <w:vAlign w:val="center"/>
                </w:tcPr>
                <w:p w14:paraId="38B2732A">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77" w:type="pct"/>
                  <w:tcBorders>
                    <w:tl2br w:val="nil"/>
                    <w:tr2bl w:val="nil"/>
                  </w:tcBorders>
                  <w:noWrap w:val="0"/>
                  <w:vAlign w:val="center"/>
                </w:tcPr>
                <w:p w14:paraId="2535D1A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0.01t/a</w:t>
                  </w:r>
                </w:p>
              </w:tc>
              <w:tc>
                <w:tcPr>
                  <w:tcW w:w="381" w:type="pct"/>
                  <w:tcBorders>
                    <w:tl2br w:val="nil"/>
                    <w:tr2bl w:val="nil"/>
                  </w:tcBorders>
                  <w:noWrap w:val="0"/>
                  <w:vAlign w:val="center"/>
                </w:tcPr>
                <w:p w14:paraId="042A58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半年</w:t>
                  </w:r>
                </w:p>
              </w:tc>
            </w:tr>
          </w:tbl>
          <w:p w14:paraId="4F1C5C0A">
            <w:pPr>
              <w:pStyle w:val="16"/>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固体废物环境管理</w:t>
            </w:r>
          </w:p>
          <w:p w14:paraId="72782F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建设单位应严格按照《中华人民共和国固体废物污染环境防治法》（2020修订）要求，建立健全工业固体废物产生、收集、贮存、运输、利用、处置全过程的污染环境防治责任制度，建立工业固体废物管理台账，如实记录产生工业固体废物的种类、数量、流向、贮存、利用、处置等信息。委托他人运输、利用、处置工业固体废物的，应当对受托方的主体资格和技术能力进行核实，依法签订书面合同，在合同中约定污染防治要求。</w:t>
            </w:r>
          </w:p>
          <w:p w14:paraId="70794431">
            <w:pPr>
              <w:pStyle w:val="1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lang w:val="en-US" w:eastAsia="zh-CN"/>
              </w:rPr>
              <w:t>一般固体废物环境管理</w:t>
            </w:r>
          </w:p>
          <w:p w14:paraId="1B01B95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w:t>
            </w:r>
            <w:r>
              <w:rPr>
                <w:rFonts w:hint="eastAsia" w:cs="Times New Roman"/>
                <w:color w:val="auto"/>
                <w:sz w:val="24"/>
                <w:szCs w:val="24"/>
                <w:highlight w:val="none"/>
                <w:lang w:val="en-US" w:eastAsia="zh-CN"/>
              </w:rPr>
              <w:t>项目在产品库房西南角设置一般工业固废暂存区，占地面积100㎡，</w:t>
            </w:r>
            <w:r>
              <w:rPr>
                <w:rFonts w:hint="eastAsia" w:ascii="Times New Roman" w:hAnsi="Times New Roman" w:eastAsia="宋体" w:cs="Times New Roman"/>
                <w:color w:val="auto"/>
                <w:sz w:val="24"/>
                <w:szCs w:val="24"/>
                <w:highlight w:val="none"/>
                <w:lang w:val="en-US" w:eastAsia="zh-CN"/>
              </w:rPr>
              <w:t>贮存一般工业固体废物，贮存过程满足相应防渗漏、防雨淋、防扬尘等环境保护要求。</w:t>
            </w:r>
            <w:r>
              <w:rPr>
                <w:rFonts w:hint="default" w:ascii="Times New Roman" w:hAnsi="Times New Roman" w:eastAsia="宋体" w:cs="Times New Roman"/>
                <w:color w:val="auto"/>
                <w:kern w:val="0"/>
                <w:sz w:val="24"/>
                <w:szCs w:val="24"/>
                <w:highlight w:val="none"/>
                <w:lang w:val="en-US" w:eastAsia="zh-CN" w:bidi="ar"/>
              </w:rPr>
              <w:t>防渗性能</w:t>
            </w:r>
            <w:r>
              <w:rPr>
                <w:rFonts w:hint="default" w:ascii="Times New Roman" w:hAnsi="Times New Roman" w:eastAsia="宋体" w:cs="Times New Roman"/>
                <w:color w:val="auto"/>
                <w:sz w:val="24"/>
                <w:szCs w:val="24"/>
                <w:highlight w:val="none"/>
                <w:lang w:val="en-US" w:eastAsia="zh-CN"/>
              </w:rPr>
              <w:t>应至少相当于</w:t>
            </w:r>
            <w:r>
              <w:rPr>
                <w:rFonts w:hint="default" w:ascii="Times New Roman" w:hAnsi="Times New Roman" w:eastAsia="宋体" w:cs="Times New Roman"/>
                <w:color w:val="auto"/>
                <w:kern w:val="0"/>
                <w:sz w:val="24"/>
                <w:szCs w:val="24"/>
                <w:highlight w:val="none"/>
                <w:lang w:val="en-US" w:eastAsia="zh-CN" w:bidi="ar"/>
              </w:rPr>
              <w:t>不应低于</w:t>
            </w:r>
            <w:r>
              <w:rPr>
                <w:rFonts w:hint="eastAsia" w:ascii="Times New Roman" w:hAnsi="Times New Roman" w:eastAsia="宋体" w:cs="Times New Roman"/>
                <w:color w:val="auto"/>
                <w:kern w:val="0"/>
                <w:sz w:val="24"/>
                <w:szCs w:val="24"/>
                <w:highlight w:val="none"/>
                <w:lang w:val="en-US" w:eastAsia="zh-CN" w:bidi="ar"/>
              </w:rPr>
              <w:t>1.5</w:t>
            </w:r>
            <w:r>
              <w:rPr>
                <w:rFonts w:hint="default" w:ascii="Times New Roman" w:hAnsi="Times New Roman" w:eastAsia="宋体" w:cs="Times New Roman"/>
                <w:color w:val="auto"/>
                <w:kern w:val="0"/>
                <w:sz w:val="24"/>
                <w:szCs w:val="24"/>
                <w:highlight w:val="none"/>
                <w:lang w:val="en-US" w:eastAsia="zh-CN" w:bidi="ar"/>
              </w:rPr>
              <w:t>m厚渗透系数为1.0×10</w:t>
            </w:r>
            <w:r>
              <w:rPr>
                <w:rFonts w:hint="default" w:ascii="Times New Roman" w:hAnsi="Times New Roman" w:eastAsia="宋体" w:cs="Times New Roman"/>
                <w:color w:val="auto"/>
                <w:kern w:val="0"/>
                <w:sz w:val="24"/>
                <w:szCs w:val="24"/>
                <w:highlight w:val="none"/>
                <w:vertAlign w:val="superscript"/>
                <w:lang w:val="en-US" w:eastAsia="zh-CN" w:bidi="ar"/>
              </w:rPr>
              <w:t>-7</w:t>
            </w:r>
            <w:r>
              <w:rPr>
                <w:rFonts w:hint="default" w:ascii="Times New Roman" w:hAnsi="Times New Roman" w:eastAsia="宋体" w:cs="Times New Roman"/>
                <w:color w:val="auto"/>
                <w:kern w:val="0"/>
                <w:sz w:val="24"/>
                <w:szCs w:val="24"/>
                <w:highlight w:val="none"/>
                <w:lang w:val="en-US" w:eastAsia="zh-CN" w:bidi="ar"/>
              </w:rPr>
              <w:t>cm/s的</w:t>
            </w:r>
            <w:r>
              <w:rPr>
                <w:rFonts w:hint="eastAsia" w:cs="Times New Roman"/>
                <w:color w:val="auto"/>
                <w:kern w:val="0"/>
                <w:sz w:val="24"/>
                <w:szCs w:val="24"/>
                <w:highlight w:val="none"/>
                <w:lang w:val="en-US" w:eastAsia="zh-CN" w:bidi="ar"/>
              </w:rPr>
              <w:t>黏土层</w:t>
            </w:r>
            <w:r>
              <w:rPr>
                <w:rFonts w:hint="default" w:ascii="Times New Roman" w:hAnsi="Times New Roman" w:eastAsia="宋体" w:cs="Times New Roman"/>
                <w:color w:val="auto"/>
                <w:kern w:val="0"/>
                <w:sz w:val="24"/>
                <w:szCs w:val="24"/>
                <w:highlight w:val="none"/>
                <w:lang w:val="en-US" w:eastAsia="zh-CN" w:bidi="ar"/>
              </w:rPr>
              <w:t>的防渗性能</w:t>
            </w:r>
            <w:r>
              <w:rPr>
                <w:rFonts w:hint="default" w:ascii="Times New Roman" w:hAnsi="Times New Roman" w:eastAsia="宋体" w:cs="Times New Roman"/>
                <w:color w:val="auto"/>
                <w:sz w:val="24"/>
                <w:szCs w:val="24"/>
                <w:highlight w:val="none"/>
                <w:lang w:val="en-US" w:eastAsia="zh-CN"/>
              </w:rPr>
              <w:t>，同时禁止将危险废物、生活垃圾混入一般工业固体废物</w:t>
            </w:r>
            <w:r>
              <w:rPr>
                <w:rFonts w:hint="eastAsia" w:ascii="Times New Roman" w:hAnsi="Times New Roman" w:eastAsia="宋体" w:cs="Times New Roman"/>
                <w:color w:val="auto"/>
                <w:sz w:val="24"/>
                <w:szCs w:val="24"/>
                <w:highlight w:val="none"/>
                <w:lang w:val="en-US" w:eastAsia="zh-CN"/>
              </w:rPr>
              <w:t>，不相容的一般工业固体废物设置不同的分区进行贮存。</w:t>
            </w:r>
          </w:p>
          <w:p w14:paraId="1C8DFB6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对于一般固废要求按照《一般工业固体废物贮存和填埋污染控制标准》（GB18599-2020）中的标准进行，应建立检查、维护制度，定期检查相关设施，发现有损坏可能或异常情况，应及时采取必要措施，以保障正常运行。应建立档案制度，将一般固体废弃物的种类、数量记录在案。</w:t>
            </w:r>
          </w:p>
          <w:p w14:paraId="500D080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同时企业应根据《一般工业固体废物管理台账制定指南（试行）</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中的相关要求，建立工业固体废物管理台账，如实记录工业固体废物的种类、数量、流向、贮存、利用、处置等信息，以实现固体废物的可追溯和可查询的目的。</w:t>
            </w:r>
          </w:p>
          <w:p w14:paraId="3E3B888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lang w:val="en-US" w:eastAsia="zh-CN"/>
              </w:rPr>
              <w:t>危险废物管理</w:t>
            </w:r>
          </w:p>
          <w:p w14:paraId="7EE147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本项目</w:t>
            </w:r>
            <w:r>
              <w:rPr>
                <w:rFonts w:hint="default" w:ascii="Times New Roman" w:hAnsi="Times New Roman" w:eastAsia="宋体" w:cs="Times New Roman"/>
                <w:color w:val="auto"/>
                <w:sz w:val="24"/>
                <w:szCs w:val="24"/>
                <w:highlight w:val="none"/>
                <w:lang w:val="en-US" w:eastAsia="zh-CN"/>
              </w:rPr>
              <w:t>在危险废物的产生、贮存、运输、处置、利用过程中</w:t>
            </w:r>
            <w:r>
              <w:rPr>
                <w:rFonts w:hint="eastAsia" w:ascii="Times New Roman" w:hAnsi="Times New Roman" w:eastAsia="宋体" w:cs="Times New Roman"/>
                <w:color w:val="auto"/>
                <w:sz w:val="24"/>
                <w:szCs w:val="24"/>
                <w:highlight w:val="none"/>
                <w:lang w:val="en-US" w:eastAsia="zh-CN"/>
              </w:rPr>
              <w:t>已</w:t>
            </w:r>
            <w:r>
              <w:rPr>
                <w:rFonts w:hint="default" w:ascii="Times New Roman" w:hAnsi="Times New Roman" w:eastAsia="宋体" w:cs="Times New Roman"/>
                <w:color w:val="auto"/>
                <w:sz w:val="24"/>
                <w:szCs w:val="24"/>
                <w:highlight w:val="none"/>
                <w:lang w:val="en-US" w:eastAsia="zh-CN"/>
              </w:rPr>
              <w:t>制定严格的管理制度和操作规程，严格按照《危险废物转移管理办法》、《危险废物规范化管理指标体系》等要求规范化建设和运行，</w:t>
            </w:r>
            <w:r>
              <w:rPr>
                <w:rFonts w:hint="default" w:ascii="Times New Roman" w:hAnsi="Times New Roman" w:eastAsia="宋体" w:cs="Times New Roman"/>
                <w:color w:val="auto"/>
                <w:kern w:val="0"/>
                <w:sz w:val="24"/>
                <w:szCs w:val="24"/>
                <w:highlight w:val="none"/>
                <w:lang w:val="en-US" w:eastAsia="zh-CN" w:bidi="ar"/>
              </w:rPr>
              <w:t>暂存期不超过1年</w:t>
            </w:r>
            <w:r>
              <w:rPr>
                <w:rFonts w:hint="default" w:ascii="Times New Roman" w:hAnsi="Times New Roman" w:eastAsia="宋体" w:cs="Times New Roman"/>
                <w:color w:val="auto"/>
                <w:sz w:val="24"/>
                <w:szCs w:val="24"/>
                <w:highlight w:val="none"/>
                <w:lang w:val="en-US" w:eastAsia="zh-CN"/>
              </w:rPr>
              <w:t>。</w:t>
            </w:r>
          </w:p>
          <w:p w14:paraId="37C67D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eastAsia" w:ascii="Calibri" w:hAnsi="Calibri" w:eastAsia="宋体" w:cs="Times New Roman"/>
                <w:iCs/>
                <w:color w:val="auto"/>
                <w:sz w:val="24"/>
                <w:highlight w:val="none"/>
                <w:lang w:eastAsia="zh-CN"/>
              </w:rPr>
              <w:t>贮存设施应根据危险废物的形态、物理化学性质、包装形式和污染物迁移途径，采取必要的防风、防晒、防雨、防漏、防渗、防腐以及其他环境污染防治措施，不应露天堆放危险废物；贮存设施应根据危险废物的类别、数量、形态、物理化学性质和污染防治等要求设置必要的贮存分区，避免不相容的危险废物接触、混合</w:t>
            </w:r>
            <w:r>
              <w:rPr>
                <w:rFonts w:hint="eastAsia" w:ascii="Calibri" w:hAnsi="Calibri" w:cs="Times New Roman"/>
                <w:iCs/>
                <w:color w:val="auto"/>
                <w:sz w:val="24"/>
                <w:highlight w:val="none"/>
                <w:lang w:eastAsia="zh-CN"/>
              </w:rPr>
              <w:t>；贮存设施或贮存分区内地面、墙面裙脚、堵截泄漏的围堰、接触危险废物的隔板和墙体等应采用坚固的材料建造，表面无裂缝；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ascii="Calibri" w:hAnsi="Calibri" w:cs="Times New Roman"/>
                <w:iCs/>
                <w:color w:val="auto"/>
                <w:sz w:val="24"/>
                <w:highlight w:val="none"/>
                <w:vertAlign w:val="superscript"/>
                <w:lang w:eastAsia="zh-CN"/>
              </w:rPr>
              <w:t>-7</w:t>
            </w:r>
            <w:r>
              <w:rPr>
                <w:rFonts w:hint="eastAsia" w:ascii="Calibri" w:hAnsi="Calibri" w:cs="Times New Roman"/>
                <w:iCs/>
                <w:color w:val="auto"/>
                <w:sz w:val="24"/>
                <w:highlight w:val="none"/>
                <w:lang w:eastAsia="zh-CN"/>
              </w:rPr>
              <w:t>cm/s），或至少2mm厚高密度聚乙烯膜等人工防渗材料（渗透系数不大于10</w:t>
            </w:r>
            <w:r>
              <w:rPr>
                <w:rFonts w:hint="eastAsia" w:ascii="Calibri" w:hAnsi="Calibri" w:cs="Times New Roman"/>
                <w:iCs/>
                <w:color w:val="auto"/>
                <w:sz w:val="24"/>
                <w:highlight w:val="none"/>
                <w:vertAlign w:val="superscript"/>
                <w:lang w:eastAsia="zh-CN"/>
              </w:rPr>
              <w:t>-10</w:t>
            </w:r>
            <w:r>
              <w:rPr>
                <w:rFonts w:hint="eastAsia" w:ascii="Calibri" w:hAnsi="Calibri" w:cs="Times New Roman"/>
                <w:iCs/>
                <w:color w:val="auto"/>
                <w:sz w:val="24"/>
                <w:highlight w:val="none"/>
                <w:lang w:eastAsia="zh-CN"/>
              </w:rPr>
              <w:t>cm/s），或其他防渗性能等效的材料；同一贮存设施宜采用相同的防渗、防腐工艺（包括防渗、防腐结构或材料），防渗、防腐材料应覆盖所有可能与废物及其渗滤液、渗漏液等接触的构筑物表面；采用不同防渗、防腐工艺应分别建设贮存分区；贮存设施应采取技术和管理措施防止无关人员进入。</w:t>
            </w:r>
            <w:r>
              <w:rPr>
                <w:rFonts w:hint="eastAsia" w:ascii="Times New Roman" w:hAnsi="Times New Roman" w:eastAsia="宋体" w:cs="Times New Roman"/>
                <w:color w:val="auto"/>
                <w:sz w:val="24"/>
                <w:highlight w:val="none"/>
                <w:lang w:val="en-US" w:eastAsia="zh-CN"/>
              </w:rPr>
              <w:t>符合《危险废物贮存污染控制标准》（GB18597-2023）的相关要求。</w:t>
            </w:r>
          </w:p>
          <w:p w14:paraId="05FA5E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auto"/>
                <w:sz w:val="24"/>
                <w:highlight w:val="none"/>
                <w:lang w:eastAsia="zh-CN"/>
              </w:rPr>
            </w:pPr>
            <w:r>
              <w:rPr>
                <w:rFonts w:hint="default" w:ascii="Times New Roman" w:hAnsi="Times New Roman" w:eastAsia="宋体" w:cs="Times New Roman"/>
                <w:color w:val="auto"/>
                <w:sz w:val="24"/>
                <w:szCs w:val="24"/>
                <w:highlight w:val="none"/>
                <w:lang w:val="en-US" w:eastAsia="zh-CN"/>
              </w:rPr>
              <w:t>此外，按照《中华人民共和国固体废物污染环境防治法》的规定产生危险废物的单位，制定危险废物管理计划；建立危险废物管理台账，如实记录有关信息，并通过国家危险废物信息管理系统向所在地生态环境主管部门申报危险废物的种类、产生量、流向、贮存、处置等有关资料。严禁建设单位将危险废物与一般工业固废或者生活垃圾混合处置，</w:t>
            </w:r>
            <w:r>
              <w:rPr>
                <w:rFonts w:hint="default" w:ascii="Times New Roman" w:hAnsi="Times New Roman" w:cs="Times New Roman"/>
                <w:color w:val="auto"/>
                <w:sz w:val="24"/>
                <w:highlight w:val="none"/>
              </w:rPr>
              <w:t>禁止将不相容（相互反应）的危险废物在同一容器内混装</w:t>
            </w:r>
            <w:r>
              <w:rPr>
                <w:rFonts w:hint="default" w:ascii="Times New Roman" w:hAnsi="Times New Roman" w:cs="Times New Roman"/>
                <w:color w:val="auto"/>
                <w:sz w:val="24"/>
                <w:highlight w:val="none"/>
                <w:lang w:eastAsia="zh-CN"/>
              </w:rPr>
              <w:t>。</w:t>
            </w:r>
          </w:p>
          <w:p w14:paraId="398A58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建设单位产生危险废物存至厂区危废贮存库存放，定期由有资质的危险废物处理单位进行转运、处理。建设单位需和危废处理单位签订危废合同，在委托运输和处理过程中，必须严格遵守危险废物的管理及处置处理规定。</w:t>
            </w:r>
          </w:p>
          <w:p w14:paraId="1151B3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auto"/>
                <w:sz w:val="24"/>
                <w:highlight w:val="none"/>
                <w:lang w:val="en-US" w:eastAsia="zh-CN"/>
              </w:rPr>
            </w:pPr>
            <w:r>
              <w:rPr>
                <w:rFonts w:hint="default" w:ascii="Times New Roman" w:hAnsi="Times New Roman" w:eastAsia="宋体" w:cs="Times New Roman"/>
                <w:color w:val="auto"/>
                <w:sz w:val="24"/>
                <w:highlight w:val="none"/>
                <w:lang w:eastAsia="zh-CN"/>
              </w:rPr>
              <w:t>危险废物管理计划和管理台账应按照《危险废物管理计划和管理台账制定技术导则》（HJ 1259</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eastAsia="zh-CN"/>
              </w:rPr>
              <w:t>2022）的要求，制定危险废物管理计划，建立危险废物管理台账</w:t>
            </w:r>
            <w:r>
              <w:rPr>
                <w:rFonts w:hint="default" w:ascii="Times New Roman" w:hAnsi="Times New Roman" w:eastAsia="宋体" w:cs="Times New Roman"/>
                <w:color w:val="auto"/>
                <w:sz w:val="24"/>
                <w:highlight w:val="none"/>
                <w:lang w:val="en-US" w:eastAsia="zh-CN"/>
              </w:rPr>
              <w:t>建立危险废物台账，台账至少保存5a</w:t>
            </w:r>
            <w:r>
              <w:rPr>
                <w:rFonts w:hint="default" w:ascii="Times New Roman" w:hAnsi="Times New Roman" w:cs="Times New Roman"/>
                <w:color w:val="auto"/>
                <w:sz w:val="24"/>
                <w:highlight w:val="none"/>
                <w:lang w:eastAsia="zh-CN"/>
              </w:rPr>
              <w:t>。</w:t>
            </w:r>
          </w:p>
          <w:p w14:paraId="2348F682">
            <w:pPr>
              <w:keepNext w:val="0"/>
              <w:keepLines w:val="0"/>
              <w:suppressLineNumbers w:val="0"/>
              <w:tabs>
                <w:tab w:val="left" w:pos="567"/>
              </w:tabs>
              <w:snapToGrid w:val="0"/>
              <w:spacing w:before="0" w:beforeAutospacing="0" w:after="0" w:afterAutospacing="0" w:line="360" w:lineRule="auto"/>
              <w:ind w:left="0" w:right="0" w:firstLine="555"/>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对于本</w:t>
            </w:r>
            <w:r>
              <w:rPr>
                <w:rFonts w:hint="eastAsia" w:cs="Times New Roman"/>
                <w:color w:val="auto"/>
                <w:sz w:val="24"/>
                <w:szCs w:val="24"/>
                <w:highlight w:val="none"/>
                <w:lang w:eastAsia="zh-CN"/>
              </w:rPr>
              <w:t>项目</w:t>
            </w:r>
            <w:r>
              <w:rPr>
                <w:rFonts w:hint="default" w:ascii="Times New Roman" w:hAnsi="Times New Roman" w:cs="Times New Roman"/>
                <w:color w:val="auto"/>
                <w:sz w:val="24"/>
                <w:szCs w:val="24"/>
                <w:highlight w:val="none"/>
              </w:rPr>
              <w:t>所产生的上述固体废物，危险废物收集后委托有资质的单位处理</w:t>
            </w:r>
            <w:r>
              <w:rPr>
                <w:rFonts w:hint="default" w:ascii="Times New Roman" w:hAnsi="Times New Roman" w:cs="Times New Roman"/>
                <w:color w:val="auto"/>
                <w:sz w:val="24"/>
                <w:szCs w:val="24"/>
                <w:highlight w:val="none"/>
                <w:lang w:eastAsia="zh-CN"/>
              </w:rPr>
              <w:t>，并做好台账，记录转运情况，</w:t>
            </w:r>
            <w:r>
              <w:rPr>
                <w:rFonts w:hint="default" w:ascii="Times New Roman" w:hAnsi="Times New Roman" w:cs="Times New Roman"/>
                <w:color w:val="auto"/>
                <w:sz w:val="24"/>
                <w:szCs w:val="24"/>
                <w:highlight w:val="none"/>
              </w:rPr>
              <w:t>符合国家有关危险废物处置的有关规定和标准要求。</w:t>
            </w:r>
            <w:r>
              <w:rPr>
                <w:rFonts w:hint="default" w:ascii="Times New Roman" w:hAnsi="Times New Roman" w:cs="Times New Roman"/>
                <w:color w:val="auto"/>
                <w:sz w:val="24"/>
                <w:szCs w:val="24"/>
                <w:highlight w:val="none"/>
                <w:lang w:eastAsia="zh-CN"/>
              </w:rPr>
              <w:t>一般固体废物</w:t>
            </w:r>
            <w:r>
              <w:rPr>
                <w:rFonts w:hint="default" w:ascii="Times New Roman" w:hAnsi="Times New Roman" w:cs="Times New Roman"/>
                <w:color w:val="auto"/>
                <w:sz w:val="24"/>
                <w:szCs w:val="24"/>
                <w:highlight w:val="none"/>
                <w:lang w:val="en-US" w:eastAsia="zh-CN"/>
              </w:rPr>
              <w:t>收集后</w:t>
            </w:r>
            <w:r>
              <w:rPr>
                <w:rFonts w:hint="eastAsia" w:cs="Times New Roman"/>
                <w:color w:val="auto"/>
                <w:sz w:val="24"/>
                <w:szCs w:val="24"/>
                <w:highlight w:val="none"/>
                <w:lang w:eastAsia="zh-CN"/>
              </w:rPr>
              <w:t>均妥善处理</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生活垃圾由</w:t>
            </w:r>
            <w:r>
              <w:rPr>
                <w:rFonts w:hint="default" w:ascii="Times New Roman" w:hAnsi="Times New Roman" w:cs="Times New Roman"/>
                <w:color w:val="auto"/>
                <w:sz w:val="24"/>
                <w:szCs w:val="24"/>
                <w:highlight w:val="none"/>
                <w:lang w:eastAsia="zh-CN"/>
              </w:rPr>
              <w:t>环卫部门清运处置</w:t>
            </w:r>
            <w:r>
              <w:rPr>
                <w:rFonts w:hint="default" w:ascii="Times New Roman" w:hAnsi="Times New Roman" w:cs="Times New Roman"/>
                <w:color w:val="auto"/>
                <w:sz w:val="24"/>
                <w:szCs w:val="24"/>
                <w:highlight w:val="none"/>
              </w:rPr>
              <w:t>，均符合国家有关一般性固体废物处置的有关规定和标准要求。</w:t>
            </w:r>
          </w:p>
          <w:p w14:paraId="4509897B">
            <w:pPr>
              <w:keepNext w:val="0"/>
              <w:keepLines w:val="0"/>
              <w:suppressLineNumbers w:val="0"/>
              <w:spacing w:before="50" w:beforeAutospacing="0" w:after="50" w:afterAutospacing="0" w:line="360" w:lineRule="auto"/>
              <w:ind w:left="0" w:right="0" w:firstLine="480" w:firstLineChars="200"/>
              <w:rPr>
                <w:rFonts w:ascii="Calibri" w:hAnsi="Calibri" w:eastAsia="宋体" w:cs="Times New Roman"/>
                <w:color w:val="auto"/>
                <w:sz w:val="24"/>
                <w:highlight w:val="none"/>
                <w:shd w:val="clear" w:color="auto" w:fill="auto"/>
              </w:rPr>
            </w:pPr>
            <w:r>
              <w:rPr>
                <w:rFonts w:hint="eastAsia" w:ascii="Calibri" w:hAnsi="Calibri" w:eastAsia="宋体" w:cs="Times New Roman"/>
                <w:color w:val="auto"/>
                <w:sz w:val="24"/>
                <w:highlight w:val="none"/>
                <w:shd w:val="clear" w:color="auto" w:fill="auto"/>
              </w:rPr>
              <w:t>采取以上措施后，本项目产生的固体废物</w:t>
            </w:r>
            <w:r>
              <w:rPr>
                <w:rFonts w:ascii="Calibri" w:hAnsi="Calibri" w:eastAsia="宋体" w:cs="Times New Roman"/>
                <w:color w:val="auto"/>
                <w:sz w:val="24"/>
                <w:highlight w:val="none"/>
                <w:shd w:val="clear" w:color="auto" w:fill="auto"/>
              </w:rPr>
              <w:t>对环境影响不大。</w:t>
            </w:r>
          </w:p>
          <w:p w14:paraId="6B56F752">
            <w:pPr>
              <w:keepNext w:val="0"/>
              <w:keepLines w:val="0"/>
              <w:suppressLineNumbers w:val="0"/>
              <w:spacing w:before="50" w:beforeAutospacing="0" w:after="50" w:afterAutospacing="0" w:line="360" w:lineRule="auto"/>
              <w:ind w:left="0" w:right="0" w:firstLine="482" w:firstLineChars="200"/>
              <w:rPr>
                <w:rFonts w:hint="eastAsia" w:ascii="宋体" w:hAnsi="宋体" w:eastAsia="宋体" w:cs="宋体"/>
                <w:b/>
                <w:color w:val="auto"/>
                <w:sz w:val="24"/>
                <w:highlight w:val="none"/>
              </w:rPr>
            </w:pPr>
            <w:r>
              <w:rPr>
                <w:rFonts w:hint="eastAsia" w:ascii="宋体" w:hAnsi="宋体" w:eastAsia="宋体" w:cs="宋体"/>
                <w:b/>
                <w:color w:val="auto"/>
                <w:sz w:val="24"/>
                <w:highlight w:val="none"/>
              </w:rPr>
              <w:t>五、地下水、土壤</w:t>
            </w:r>
          </w:p>
          <w:p w14:paraId="1EF501C2">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highlight w:val="none"/>
              </w:rPr>
              <w:t>本项目</w:t>
            </w:r>
            <w:r>
              <w:rPr>
                <w:rFonts w:hint="eastAsia" w:ascii="Times New Roman" w:hAnsi="Times New Roman" w:eastAsia="宋体" w:cs="Times New Roman"/>
                <w:color w:val="auto"/>
                <w:kern w:val="0"/>
                <w:sz w:val="24"/>
                <w:highlight w:val="none"/>
                <w:lang w:eastAsia="zh-CN"/>
              </w:rPr>
              <w:t>产生的大气污染物为颗粒物，</w:t>
            </w:r>
            <w:r>
              <w:rPr>
                <w:rFonts w:hint="default" w:ascii="Times New Roman" w:hAnsi="Times New Roman" w:eastAsia="宋体" w:cs="Times New Roman"/>
                <w:color w:val="auto"/>
                <w:kern w:val="0"/>
                <w:sz w:val="24"/>
                <w:highlight w:val="none"/>
              </w:rPr>
              <w:t>主要为大气沉降影响地下水和土壤</w:t>
            </w:r>
            <w:r>
              <w:rPr>
                <w:rFonts w:hint="default" w:ascii="Times New Roman" w:hAnsi="Times New Roman" w:eastAsia="宋体" w:cs="Times New Roman"/>
                <w:color w:val="auto"/>
                <w:sz w:val="24"/>
                <w:highlight w:val="none"/>
              </w:rPr>
              <w:t>，</w:t>
            </w:r>
            <w:r>
              <w:rPr>
                <w:rFonts w:hint="eastAsia" w:ascii="Times New Roman" w:hAnsi="Times New Roman" w:eastAsia="宋体" w:cs="Times New Roman"/>
                <w:color w:val="auto"/>
                <w:kern w:val="0"/>
                <w:sz w:val="24"/>
                <w:highlight w:val="none"/>
                <w:lang w:val="en-US" w:eastAsia="zh-CN"/>
              </w:rPr>
              <w:t>在生产线的上料</w:t>
            </w:r>
            <w:r>
              <w:rPr>
                <w:rFonts w:hint="eastAsia" w:cs="Times New Roman"/>
                <w:color w:val="auto"/>
                <w:kern w:val="0"/>
                <w:sz w:val="24"/>
                <w:highlight w:val="none"/>
                <w:lang w:val="en-US" w:eastAsia="zh-CN"/>
              </w:rPr>
              <w:t>、颚破、锤破、筛分、包装</w:t>
            </w:r>
            <w:r>
              <w:rPr>
                <w:rFonts w:hint="eastAsia" w:ascii="Times New Roman" w:hAnsi="Times New Roman" w:eastAsia="宋体" w:cs="Times New Roman"/>
                <w:color w:val="auto"/>
                <w:kern w:val="0"/>
                <w:sz w:val="24"/>
                <w:highlight w:val="none"/>
                <w:lang w:val="en-US" w:eastAsia="zh-CN"/>
              </w:rPr>
              <w:t>等工序设置集尘罩，废气经</w:t>
            </w:r>
            <w:r>
              <w:rPr>
                <w:rFonts w:hint="eastAsia" w:cs="Times New Roman"/>
                <w:color w:val="auto"/>
                <w:kern w:val="0"/>
                <w:sz w:val="24"/>
                <w:highlight w:val="none"/>
                <w:lang w:val="en-US" w:eastAsia="zh-CN"/>
              </w:rPr>
              <w:t>布袋</w:t>
            </w:r>
            <w:r>
              <w:rPr>
                <w:rFonts w:hint="eastAsia" w:ascii="Times New Roman" w:hAnsi="Times New Roman" w:eastAsia="宋体" w:cs="Times New Roman"/>
                <w:color w:val="auto"/>
                <w:kern w:val="0"/>
                <w:sz w:val="24"/>
                <w:highlight w:val="none"/>
                <w:lang w:val="en-US" w:eastAsia="zh-CN"/>
              </w:rPr>
              <w:t>除尘设施净化至新建的</w:t>
            </w:r>
            <w:r>
              <w:rPr>
                <w:rFonts w:hint="default" w:ascii="Times New Roman" w:hAnsi="Times New Roman" w:eastAsia="宋体" w:cs="Times New Roman"/>
                <w:color w:val="auto"/>
                <w:kern w:val="0"/>
                <w:sz w:val="24"/>
                <w:highlight w:val="none"/>
                <w:lang w:val="en-US" w:eastAsia="zh-CN"/>
              </w:rPr>
              <w:t>15m</w:t>
            </w:r>
            <w:r>
              <w:rPr>
                <w:rFonts w:hint="eastAsia" w:ascii="Times New Roman" w:hAnsi="Times New Roman" w:eastAsia="宋体" w:cs="Times New Roman"/>
                <w:color w:val="auto"/>
                <w:kern w:val="0"/>
                <w:sz w:val="24"/>
                <w:highlight w:val="none"/>
                <w:lang w:val="en-US" w:eastAsia="zh-CN"/>
              </w:rPr>
              <w:t>排气筒排放，</w:t>
            </w:r>
            <w:r>
              <w:rPr>
                <w:rFonts w:hint="eastAsia" w:cs="Times New Roman"/>
                <w:color w:val="auto"/>
                <w:kern w:val="0"/>
                <w:sz w:val="24"/>
                <w:highlight w:val="none"/>
                <w:lang w:val="en-US" w:eastAsia="zh-CN"/>
              </w:rPr>
              <w:t>环辊磨、雷蒙、立磨工序产生的废气经自带除尘设施净化后至</w:t>
            </w:r>
            <w:r>
              <w:rPr>
                <w:rFonts w:hint="eastAsia" w:ascii="Times New Roman" w:hAnsi="Times New Roman" w:eastAsia="宋体" w:cs="Times New Roman"/>
                <w:color w:val="auto"/>
                <w:kern w:val="0"/>
                <w:sz w:val="24"/>
                <w:highlight w:val="none"/>
                <w:lang w:val="en-US" w:eastAsia="zh-CN"/>
              </w:rPr>
              <w:t>新建的</w:t>
            </w:r>
            <w:r>
              <w:rPr>
                <w:rFonts w:hint="default" w:ascii="Times New Roman" w:hAnsi="Times New Roman" w:eastAsia="宋体" w:cs="Times New Roman"/>
                <w:color w:val="auto"/>
                <w:kern w:val="0"/>
                <w:sz w:val="24"/>
                <w:highlight w:val="none"/>
                <w:lang w:val="en-US" w:eastAsia="zh-CN"/>
              </w:rPr>
              <w:t>15m</w:t>
            </w:r>
            <w:r>
              <w:rPr>
                <w:rFonts w:hint="eastAsia" w:ascii="Times New Roman" w:hAnsi="Times New Roman" w:eastAsia="宋体" w:cs="Times New Roman"/>
                <w:color w:val="auto"/>
                <w:kern w:val="0"/>
                <w:sz w:val="24"/>
                <w:highlight w:val="none"/>
                <w:lang w:val="en-US" w:eastAsia="zh-CN"/>
              </w:rPr>
              <w:t>排气筒排放</w:t>
            </w:r>
            <w:r>
              <w:rPr>
                <w:rFonts w:hint="eastAsia" w:cs="Times New Roman"/>
                <w:color w:val="auto"/>
                <w:kern w:val="0"/>
                <w:sz w:val="24"/>
                <w:highlight w:val="none"/>
                <w:lang w:val="en-US" w:eastAsia="zh-CN"/>
              </w:rPr>
              <w:t>；本项目设封闭生产车间，所有生产工序均在封闭车间内进行，</w:t>
            </w:r>
            <w:r>
              <w:rPr>
                <w:rFonts w:hint="eastAsia" w:ascii="Times New Roman" w:hAnsi="Times New Roman" w:eastAsia="宋体" w:cs="Times New Roman"/>
                <w:color w:val="auto"/>
                <w:kern w:val="0"/>
                <w:sz w:val="24"/>
                <w:highlight w:val="none"/>
                <w:lang w:val="en-US" w:eastAsia="zh-CN"/>
              </w:rPr>
              <w:t>经处理后的有组织、无组织废气均能</w:t>
            </w:r>
            <w:r>
              <w:rPr>
                <w:rFonts w:hint="default" w:ascii="Times New Roman" w:hAnsi="Times New Roman" w:eastAsia="宋体" w:cs="Times New Roman"/>
                <w:color w:val="auto"/>
                <w:sz w:val="24"/>
                <w:highlight w:val="none"/>
              </w:rPr>
              <w:t>达标排放</w:t>
            </w:r>
            <w:r>
              <w:rPr>
                <w:rFonts w:hint="eastAsia" w:ascii="Calibri" w:hAnsi="Calibri" w:eastAsia="宋体" w:cs="Times New Roman"/>
                <w:color w:val="auto"/>
                <w:highlight w:val="none"/>
                <w:lang w:eastAsia="zh-CN"/>
              </w:rPr>
              <w:t>，</w:t>
            </w:r>
            <w:r>
              <w:rPr>
                <w:rFonts w:hint="eastAsia" w:ascii="Times New Roman" w:hAnsi="Times New Roman" w:eastAsia="宋体" w:cs="Times New Roman"/>
                <w:color w:val="auto"/>
                <w:kern w:val="0"/>
                <w:sz w:val="24"/>
                <w:highlight w:val="none"/>
                <w:lang w:val="en-US" w:eastAsia="zh-CN"/>
              </w:rPr>
              <w:t>排放量较小</w:t>
            </w:r>
            <w:r>
              <w:rPr>
                <w:rFonts w:hint="eastAsia" w:ascii="Times New Roman" w:hAnsi="Times New Roman" w:eastAsia="宋体" w:cs="Times New Roman"/>
                <w:color w:val="auto"/>
                <w:sz w:val="24"/>
                <w:highlight w:val="none"/>
                <w:lang w:eastAsia="zh-CN"/>
              </w:rPr>
              <w:t>，对</w:t>
            </w:r>
            <w:r>
              <w:rPr>
                <w:rFonts w:hint="default" w:ascii="Times New Roman" w:hAnsi="Times New Roman" w:eastAsia="宋体" w:cs="Times New Roman"/>
                <w:color w:val="auto"/>
                <w:sz w:val="24"/>
                <w:highlight w:val="none"/>
              </w:rPr>
              <w:t>地下水和土壤影响不大。</w:t>
            </w:r>
          </w:p>
          <w:p w14:paraId="4C380954">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szCs w:val="24"/>
                <w:highlight w:val="none"/>
              </w:rPr>
              <w:t>本</w:t>
            </w:r>
            <w:r>
              <w:rPr>
                <w:rFonts w:hint="default" w:ascii="Times New Roman" w:hAnsi="Times New Roman" w:eastAsia="宋体" w:cs="Times New Roman"/>
                <w:color w:val="auto"/>
                <w:sz w:val="24"/>
                <w:highlight w:val="none"/>
              </w:rPr>
              <w:t>项目</w:t>
            </w:r>
            <w:r>
              <w:rPr>
                <w:rFonts w:hint="eastAsia" w:ascii="Times New Roman" w:hAnsi="Times New Roman" w:eastAsia="宋体" w:cs="Times New Roman"/>
                <w:color w:val="auto"/>
                <w:sz w:val="24"/>
                <w:highlight w:val="none"/>
                <w:lang w:val="en-US" w:eastAsia="zh-CN"/>
              </w:rPr>
              <w:t>危险废物贮存点</w:t>
            </w:r>
            <w:r>
              <w:rPr>
                <w:rFonts w:hint="eastAsia" w:cs="Times New Roman"/>
                <w:color w:val="auto"/>
                <w:sz w:val="24"/>
                <w:highlight w:val="none"/>
                <w:lang w:val="en-US" w:eastAsia="zh-CN"/>
              </w:rPr>
              <w:t>、化粪池、水洗白云石沉淀池</w:t>
            </w:r>
            <w:r>
              <w:rPr>
                <w:rFonts w:hint="eastAsia" w:ascii="Times New Roman" w:hAnsi="Times New Roman" w:eastAsia="宋体" w:cs="Times New Roman"/>
                <w:color w:val="auto"/>
                <w:sz w:val="24"/>
                <w:highlight w:val="none"/>
                <w:lang w:val="en-US" w:eastAsia="zh-CN"/>
              </w:rPr>
              <w:t>、洗车平台沉淀池</w:t>
            </w:r>
            <w:r>
              <w:rPr>
                <w:rFonts w:hint="default" w:ascii="Times New Roman" w:hAnsi="Times New Roman" w:eastAsia="宋体" w:cs="Times New Roman"/>
                <w:color w:val="auto"/>
                <w:sz w:val="24"/>
                <w:highlight w:val="none"/>
              </w:rPr>
              <w:t>为</w:t>
            </w:r>
            <w:r>
              <w:rPr>
                <w:rFonts w:hint="default" w:ascii="Times New Roman" w:hAnsi="Times New Roman" w:eastAsia="宋体" w:cs="Times New Roman"/>
                <w:color w:val="auto"/>
                <w:sz w:val="24"/>
                <w:highlight w:val="none"/>
                <w:lang w:eastAsia="zh-CN"/>
              </w:rPr>
              <w:t>重点</w:t>
            </w:r>
            <w:r>
              <w:rPr>
                <w:rFonts w:hint="default" w:ascii="Times New Roman" w:hAnsi="Times New Roman" w:eastAsia="宋体" w:cs="Times New Roman"/>
                <w:color w:val="auto"/>
                <w:sz w:val="24"/>
                <w:highlight w:val="none"/>
              </w:rPr>
              <w:t>污染防渗区，</w:t>
            </w:r>
            <w:r>
              <w:rPr>
                <w:rFonts w:hint="default" w:ascii="Times New Roman" w:hAnsi="Times New Roman" w:eastAsia="宋体" w:cs="Times New Roman"/>
                <w:bCs/>
                <w:color w:val="auto"/>
                <w:sz w:val="24"/>
                <w:highlight w:val="none"/>
              </w:rPr>
              <w:t>等效黏土防渗层Mb≥</w:t>
            </w:r>
            <w:r>
              <w:rPr>
                <w:rFonts w:hint="default" w:ascii="Times New Roman" w:hAnsi="Times New Roman" w:eastAsia="宋体" w:cs="Times New Roman"/>
                <w:bCs/>
                <w:color w:val="auto"/>
                <w:sz w:val="24"/>
                <w:highlight w:val="none"/>
                <w:lang w:val="en-US" w:eastAsia="zh-CN"/>
              </w:rPr>
              <w:t>6.0</w:t>
            </w:r>
            <w:r>
              <w:rPr>
                <w:rFonts w:hint="default" w:ascii="Times New Roman" w:hAnsi="Times New Roman" w:eastAsia="宋体" w:cs="Times New Roman"/>
                <w:bCs/>
                <w:color w:val="auto"/>
                <w:sz w:val="24"/>
                <w:highlight w:val="none"/>
              </w:rPr>
              <w:t>m，K≤1×10</w:t>
            </w:r>
            <w:r>
              <w:rPr>
                <w:rFonts w:hint="default" w:ascii="Times New Roman" w:hAnsi="Times New Roman" w:eastAsia="宋体" w:cs="Times New Roman"/>
                <w:bCs/>
                <w:color w:val="auto"/>
                <w:sz w:val="24"/>
                <w:highlight w:val="none"/>
                <w:vertAlign w:val="superscript"/>
              </w:rPr>
              <w:t>-7</w:t>
            </w:r>
            <w:r>
              <w:rPr>
                <w:rFonts w:hint="default" w:ascii="Times New Roman" w:hAnsi="Times New Roman" w:eastAsia="宋体" w:cs="Times New Roman"/>
                <w:bCs/>
                <w:color w:val="auto"/>
                <w:sz w:val="24"/>
                <w:highlight w:val="none"/>
              </w:rPr>
              <w:t>cm/s</w:t>
            </w:r>
            <w:r>
              <w:rPr>
                <w:rFonts w:hint="default" w:ascii="Times New Roman" w:hAnsi="Times New Roman" w:eastAsia="宋体" w:cs="Times New Roman"/>
                <w:bCs/>
                <w:color w:val="auto"/>
                <w:sz w:val="24"/>
                <w:highlight w:val="none"/>
                <w:lang w:eastAsia="zh-CN"/>
              </w:rPr>
              <w:t>；</w:t>
            </w:r>
            <w:r>
              <w:rPr>
                <w:rFonts w:hint="eastAsia" w:cs="Times New Roman"/>
                <w:bCs/>
                <w:color w:val="auto"/>
                <w:sz w:val="24"/>
                <w:highlight w:val="none"/>
                <w:lang w:eastAsia="zh-CN"/>
              </w:rPr>
              <w:t>原料库房、产品库房、</w:t>
            </w:r>
            <w:r>
              <w:rPr>
                <w:rFonts w:hint="eastAsia" w:ascii="Times New Roman" w:hAnsi="Times New Roman" w:eastAsia="宋体" w:cs="Times New Roman"/>
                <w:color w:val="auto"/>
                <w:sz w:val="24"/>
                <w:highlight w:val="none"/>
                <w:lang w:val="en-US" w:eastAsia="zh-CN"/>
              </w:rPr>
              <w:t>生产</w:t>
            </w:r>
            <w:r>
              <w:rPr>
                <w:rFonts w:hint="default" w:ascii="Times New Roman" w:hAnsi="Times New Roman" w:eastAsia="宋体" w:cs="Times New Roman"/>
                <w:color w:val="auto"/>
                <w:sz w:val="24"/>
                <w:highlight w:val="none"/>
                <w:lang w:val="en-US" w:eastAsia="zh-CN"/>
              </w:rPr>
              <w:t>车间为</w:t>
            </w:r>
            <w:r>
              <w:rPr>
                <w:rFonts w:hint="default" w:ascii="Times New Roman" w:hAnsi="Times New Roman" w:eastAsia="宋体" w:cs="Times New Roman"/>
                <w:color w:val="auto"/>
                <w:sz w:val="24"/>
                <w:highlight w:val="none"/>
              </w:rPr>
              <w:t>一般污染防渗区，</w:t>
            </w:r>
            <w:r>
              <w:rPr>
                <w:rFonts w:hint="default" w:ascii="Times New Roman" w:hAnsi="Times New Roman" w:eastAsia="宋体" w:cs="Times New Roman"/>
                <w:bCs/>
                <w:color w:val="auto"/>
                <w:sz w:val="24"/>
                <w:highlight w:val="none"/>
              </w:rPr>
              <w:t>等效黏土防渗层Mb≥1.5m，K≤1×10</w:t>
            </w:r>
            <w:r>
              <w:rPr>
                <w:rFonts w:hint="default" w:ascii="Times New Roman" w:hAnsi="Times New Roman" w:eastAsia="宋体" w:cs="Times New Roman"/>
                <w:bCs/>
                <w:color w:val="auto"/>
                <w:sz w:val="24"/>
                <w:highlight w:val="none"/>
                <w:vertAlign w:val="superscript"/>
              </w:rPr>
              <w:t>-7</w:t>
            </w:r>
            <w:r>
              <w:rPr>
                <w:rFonts w:hint="default" w:ascii="Times New Roman" w:hAnsi="Times New Roman" w:eastAsia="宋体" w:cs="Times New Roman"/>
                <w:bCs/>
                <w:color w:val="auto"/>
                <w:sz w:val="24"/>
                <w:highlight w:val="none"/>
              </w:rPr>
              <w:t>cm/s</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lang w:val="en-US" w:eastAsia="zh-CN"/>
              </w:rPr>
              <w:t>厂区地坪硬化简单防渗</w:t>
            </w:r>
            <w:r>
              <w:rPr>
                <w:rFonts w:hint="default" w:ascii="Times New Roman" w:hAnsi="Times New Roman" w:eastAsia="宋体" w:cs="Times New Roman"/>
                <w:bCs/>
                <w:color w:val="auto"/>
                <w:sz w:val="24"/>
                <w:highlight w:val="none"/>
              </w:rPr>
              <w:t>。</w:t>
            </w:r>
          </w:p>
          <w:p w14:paraId="4E1DFCE3">
            <w:pPr>
              <w:keepNext w:val="0"/>
              <w:keepLines w:val="0"/>
              <w:suppressLineNumbers w:val="0"/>
              <w:tabs>
                <w:tab w:val="left" w:pos="3868"/>
              </w:tabs>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w:t>
            </w:r>
            <w:r>
              <w:rPr>
                <w:rFonts w:hint="default" w:ascii="Times New Roman" w:hAnsi="Times New Roman" w:eastAsia="宋体" w:cs="Times New Roman"/>
                <w:color w:val="auto"/>
                <w:sz w:val="24"/>
                <w:highlight w:val="none"/>
                <w:lang w:val="en-US" w:eastAsia="zh-CN"/>
              </w:rPr>
              <w:t>生产区和储存区</w:t>
            </w:r>
            <w:r>
              <w:rPr>
                <w:rFonts w:hint="default" w:ascii="Times New Roman" w:hAnsi="Times New Roman" w:eastAsia="宋体" w:cs="Times New Roman"/>
                <w:color w:val="auto"/>
                <w:sz w:val="24"/>
                <w:highlight w:val="none"/>
              </w:rPr>
              <w:t>做好防渗后，对地下水和土壤影响不大。</w:t>
            </w:r>
          </w:p>
          <w:p w14:paraId="2FED7CAB">
            <w:pPr>
              <w:keepNext w:val="0"/>
              <w:keepLines w:val="0"/>
              <w:suppressLineNumbers w:val="0"/>
              <w:spacing w:before="50" w:beforeAutospacing="0" w:after="50" w:afterAutospacing="0" w:line="360" w:lineRule="auto"/>
              <w:ind w:left="0" w:right="0"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六、生态影响分析</w:t>
            </w:r>
          </w:p>
          <w:p w14:paraId="3CF95BCE">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本项目</w:t>
            </w:r>
            <w:r>
              <w:rPr>
                <w:rFonts w:hint="eastAsia" w:ascii="宋体" w:hAnsi="宋体" w:eastAsia="宋体" w:cs="宋体"/>
                <w:color w:val="auto"/>
                <w:kern w:val="0"/>
                <w:sz w:val="24"/>
                <w:highlight w:val="none"/>
                <w:lang w:eastAsia="zh-CN"/>
              </w:rPr>
              <w:t>现有厂区</w:t>
            </w:r>
            <w:r>
              <w:rPr>
                <w:rFonts w:hint="eastAsia" w:ascii="宋体" w:hAnsi="宋体" w:eastAsia="宋体" w:cs="宋体"/>
                <w:color w:val="auto"/>
                <w:kern w:val="0"/>
                <w:sz w:val="24"/>
                <w:highlight w:val="none"/>
              </w:rPr>
              <w:t>，</w:t>
            </w:r>
            <w:r>
              <w:rPr>
                <w:rFonts w:hint="eastAsia" w:ascii="宋体" w:hAnsi="宋体" w:cs="宋体"/>
                <w:color w:val="auto"/>
                <w:kern w:val="0"/>
                <w:sz w:val="24"/>
                <w:highlight w:val="none"/>
                <w:lang w:eastAsia="zh-CN"/>
              </w:rPr>
              <w:t>不新增用地，用地性质为工业用地，</w:t>
            </w:r>
            <w:r>
              <w:rPr>
                <w:rFonts w:hint="eastAsia" w:ascii="宋体" w:hAnsi="宋体" w:eastAsia="宋体" w:cs="宋体"/>
                <w:color w:val="auto"/>
                <w:kern w:val="0"/>
                <w:sz w:val="24"/>
                <w:highlight w:val="none"/>
                <w:lang w:eastAsia="zh-CN"/>
              </w:rPr>
              <w:t>符合岫岩满族自治县国土空间规划</w:t>
            </w:r>
            <w:r>
              <w:rPr>
                <w:rFonts w:hint="eastAsia" w:ascii="宋体" w:hAnsi="宋体" w:eastAsia="宋体" w:cs="宋体"/>
                <w:color w:val="auto"/>
                <w:kern w:val="0"/>
                <w:sz w:val="24"/>
                <w:highlight w:val="none"/>
              </w:rPr>
              <w:t>，用地范围内无生态环境保护目标。</w:t>
            </w:r>
          </w:p>
          <w:p w14:paraId="65CB2B0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50" w:beforeAutospacing="0" w:after="50" w:afterAutospacing="0" w:line="360" w:lineRule="auto"/>
              <w:ind w:left="0" w:right="0" w:firstLine="482" w:firstLineChars="200"/>
              <w:textAlignment w:val="auto"/>
              <w:rPr>
                <w:rFonts w:hint="eastAsia" w:ascii="宋体" w:hAnsi="宋体" w:eastAsia="宋体" w:cs="宋体"/>
                <w:b/>
                <w:color w:val="auto"/>
                <w:sz w:val="24"/>
                <w:highlight w:val="none"/>
                <w:lang w:eastAsia="zh-CN"/>
              </w:rPr>
            </w:pPr>
            <w:r>
              <w:rPr>
                <w:rFonts w:hint="eastAsia" w:ascii="宋体" w:hAnsi="宋体" w:eastAsia="宋体" w:cs="宋体"/>
                <w:b/>
                <w:color w:val="auto"/>
                <w:sz w:val="24"/>
                <w:highlight w:val="none"/>
                <w:lang w:eastAsia="zh-CN"/>
              </w:rPr>
              <w:t>七、风险分析</w:t>
            </w:r>
          </w:p>
          <w:p w14:paraId="6B7C2D55">
            <w:pPr>
              <w:keepNext w:val="0"/>
              <w:keepLines w:val="0"/>
              <w:widowControl w:val="0"/>
              <w:numPr>
                <w:ilvl w:val="0"/>
                <w:numId w:val="15"/>
              </w:numPr>
              <w:suppressLineNumbers w:val="0"/>
              <w:spacing w:before="0" w:beforeAutospacing="0" w:after="0" w:afterAutospacing="0" w:line="360" w:lineRule="auto"/>
              <w:ind w:left="-60" w:leftChars="0" w:right="0" w:firstLine="480" w:firstLineChars="0"/>
              <w:jc w:val="both"/>
              <w:rPr>
                <w:rFonts w:hint="default" w:ascii="Times New Roman" w:hAnsi="Times New Roman" w:eastAsia="宋体" w:cs="Times New Roman"/>
                <w:color w:val="auto"/>
                <w:kern w:val="2"/>
                <w:sz w:val="24"/>
                <w:szCs w:val="24"/>
                <w:highlight w:val="none"/>
                <w:lang w:val="en-US" w:eastAsia="zh-CN" w:bidi="ar"/>
              </w:rPr>
            </w:pPr>
            <w:r>
              <w:rPr>
                <w:rFonts w:hint="eastAsia" w:ascii="Times New Roman" w:hAnsi="Times New Roman" w:eastAsia="宋体" w:cs="Times New Roman"/>
                <w:color w:val="auto"/>
                <w:kern w:val="2"/>
                <w:sz w:val="24"/>
                <w:szCs w:val="24"/>
                <w:highlight w:val="none"/>
                <w:lang w:val="en-US" w:eastAsia="zh-CN" w:bidi="ar"/>
              </w:rPr>
              <w:t>评价依据</w:t>
            </w:r>
          </w:p>
          <w:p w14:paraId="0E38478D">
            <w:pPr>
              <w:keepNext w:val="0"/>
              <w:keepLines w:val="0"/>
              <w:widowControl w:val="0"/>
              <w:numPr>
                <w:ilvl w:val="0"/>
                <w:numId w:val="16"/>
              </w:numPr>
              <w:suppressLineNumbers w:val="0"/>
              <w:spacing w:before="0" w:beforeAutospacing="0" w:after="0" w:afterAutospacing="0" w:line="360" w:lineRule="auto"/>
              <w:ind w:left="0" w:leftChars="0" w:right="0" w:rightChars="0" w:firstLine="480" w:firstLineChars="200"/>
              <w:jc w:val="both"/>
              <w:rPr>
                <w:rFonts w:hint="default" w:ascii="Times New Roman" w:hAnsi="Times New Roman" w:eastAsia="宋体" w:cs="Times New Roman"/>
                <w:color w:val="auto"/>
                <w:kern w:val="2"/>
                <w:sz w:val="24"/>
                <w:szCs w:val="24"/>
                <w:highlight w:val="none"/>
                <w:lang w:val="en-US" w:eastAsia="zh-CN" w:bidi="ar"/>
              </w:rPr>
            </w:pPr>
            <w:r>
              <w:rPr>
                <w:rFonts w:hint="default" w:ascii="Times New Roman" w:hAnsi="Times New Roman" w:eastAsia="宋体" w:cs="Times New Roman"/>
                <w:color w:val="auto"/>
                <w:kern w:val="2"/>
                <w:sz w:val="24"/>
                <w:szCs w:val="24"/>
                <w:highlight w:val="none"/>
                <w:lang w:val="en-US" w:eastAsia="zh-CN" w:bidi="ar"/>
              </w:rPr>
              <w:t>风险调查</w:t>
            </w:r>
          </w:p>
          <w:p w14:paraId="5EFFBD88">
            <w:pPr>
              <w:pStyle w:val="22"/>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auto"/>
              <w:ind w:firstLine="480" w:firstLineChars="200"/>
              <w:jc w:val="left"/>
              <w:textAlignment w:val="auto"/>
              <w:rPr>
                <w:rFonts w:hint="default" w:ascii="Times New Roman" w:hAnsi="Times New Roman" w:cs="Times New Roman"/>
                <w:color w:val="auto"/>
                <w:highlight w:val="none"/>
              </w:rPr>
            </w:pPr>
            <w:r>
              <w:rPr>
                <w:rFonts w:hint="default"/>
                <w:color w:val="auto"/>
                <w:kern w:val="2"/>
                <w:sz w:val="24"/>
                <w:szCs w:val="24"/>
                <w:highlight w:val="none"/>
                <w:lang w:val="en-US" w:eastAsia="zh-CN" w:bidi="ar-SA"/>
              </w:rPr>
              <w:t>本项目涉及风险物质为</w:t>
            </w:r>
            <w:r>
              <w:rPr>
                <w:rFonts w:hint="eastAsia"/>
                <w:color w:val="auto"/>
                <w:kern w:val="2"/>
                <w:sz w:val="24"/>
                <w:szCs w:val="24"/>
                <w:highlight w:val="none"/>
                <w:lang w:val="en-US" w:eastAsia="zh-CN" w:bidi="ar-SA"/>
              </w:rPr>
              <w:t>废机油</w:t>
            </w:r>
            <w:r>
              <w:rPr>
                <w:rFonts w:hint="default"/>
                <w:color w:val="auto"/>
                <w:kern w:val="2"/>
                <w:sz w:val="24"/>
                <w:szCs w:val="24"/>
                <w:highlight w:val="none"/>
                <w:lang w:val="en-US" w:eastAsia="zh-CN" w:bidi="ar-SA"/>
              </w:rPr>
              <w:t>，</w:t>
            </w:r>
            <w:r>
              <w:rPr>
                <w:rFonts w:hint="eastAsia"/>
                <w:color w:val="auto"/>
                <w:kern w:val="2"/>
                <w:sz w:val="24"/>
                <w:szCs w:val="24"/>
                <w:highlight w:val="none"/>
                <w:lang w:val="en-US" w:eastAsia="zh-CN" w:bidi="ar-SA"/>
              </w:rPr>
              <w:t>废机油</w:t>
            </w:r>
            <w:r>
              <w:rPr>
                <w:rFonts w:ascii="Times New Roman" w:hAnsi="Times New Roman" w:eastAsia="宋体"/>
                <w:color w:val="auto"/>
                <w:sz w:val="24"/>
                <w:szCs w:val="24"/>
                <w:highlight w:val="none"/>
              </w:rPr>
              <w:t>是复杂的碳氢化合物的混合物，</w:t>
            </w:r>
            <w:r>
              <w:rPr>
                <w:rFonts w:hint="eastAsia" w:ascii="Times New Roman" w:hAnsi="Times New Roman"/>
                <w:color w:val="auto"/>
                <w:sz w:val="24"/>
                <w:szCs w:val="24"/>
                <w:highlight w:val="none"/>
                <w:lang w:eastAsia="zh-CN"/>
              </w:rPr>
              <w:t>含有多种物质</w:t>
            </w:r>
            <w:r>
              <w:rPr>
                <w:rFonts w:ascii="Times New Roman" w:hAnsi="Times New Roman" w:eastAsia="宋体"/>
                <w:color w:val="auto"/>
                <w:sz w:val="24"/>
                <w:szCs w:val="24"/>
                <w:highlight w:val="none"/>
              </w:rPr>
              <w:t>，不是单一的</w:t>
            </w:r>
            <w:r>
              <w:rPr>
                <w:rFonts w:hint="eastAsia" w:ascii="Times New Roman" w:hAnsi="Times New Roman"/>
                <w:color w:val="auto"/>
                <w:sz w:val="24"/>
                <w:szCs w:val="24"/>
                <w:highlight w:val="none"/>
                <w:lang w:eastAsia="zh-CN"/>
              </w:rPr>
              <w:t>物质</w:t>
            </w:r>
            <w:r>
              <w:rPr>
                <w:rFonts w:ascii="Times New Roman" w:hAnsi="Times New Roman" w:eastAsia="宋体"/>
                <w:color w:val="auto"/>
                <w:sz w:val="24"/>
                <w:szCs w:val="24"/>
                <w:highlight w:val="none"/>
              </w:rPr>
              <w:t>，所以无统一的化学式。</w:t>
            </w:r>
            <w:r>
              <w:rPr>
                <w:rFonts w:hint="default" w:ascii="Times New Roman" w:hAnsi="Times New Roman" w:cs="Times New Roman"/>
                <w:color w:val="auto"/>
                <w:sz w:val="24"/>
                <w:highlight w:val="none"/>
              </w:rPr>
              <w:t>主要风险物质特性见表</w:t>
            </w:r>
            <w:r>
              <w:rPr>
                <w:rFonts w:hint="eastAsia" w:ascii="Calibri" w:hAnsi="Calibri" w:cs="Times New Roman"/>
                <w:color w:val="auto"/>
                <w:sz w:val="24"/>
                <w:highlight w:val="none"/>
                <w:shd w:val="clear" w:color="auto" w:fill="auto"/>
                <w:lang w:val="en-US" w:eastAsia="zh-CN"/>
              </w:rPr>
              <w:t>4-19</w:t>
            </w:r>
            <w:r>
              <w:rPr>
                <w:rFonts w:hint="default" w:ascii="Times New Roman" w:hAnsi="Times New Roman" w:cs="Times New Roman"/>
                <w:color w:val="auto"/>
                <w:sz w:val="24"/>
                <w:highlight w:val="none"/>
                <w:lang w:val="en-US" w:eastAsia="zh-CN"/>
              </w:rPr>
              <w:t>。</w:t>
            </w:r>
          </w:p>
          <w:p w14:paraId="2A3DA8D7">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表</w:t>
            </w:r>
            <w:r>
              <w:rPr>
                <w:rFonts w:hint="eastAsia" w:ascii="Calibri" w:hAnsi="Calibri" w:cs="Times New Roman"/>
                <w:color w:val="auto"/>
                <w:sz w:val="24"/>
                <w:highlight w:val="none"/>
                <w:shd w:val="clear" w:color="auto" w:fill="auto"/>
                <w:lang w:val="en-US" w:eastAsia="zh-CN"/>
              </w:rPr>
              <w:t>4-19</w:t>
            </w:r>
            <w:r>
              <w:rPr>
                <w:rFonts w:hint="default" w:ascii="Times New Roman" w:hAnsi="Times New Roman" w:eastAsia="宋体" w:cs="Times New Roman"/>
                <w:color w:val="auto"/>
                <w:sz w:val="24"/>
                <w:szCs w:val="24"/>
                <w:highlight w:val="none"/>
                <w:lang w:val="en-US" w:eastAsia="zh-CN"/>
              </w:rPr>
              <w:t xml:space="preserve">  </w:t>
            </w:r>
            <w:r>
              <w:rPr>
                <w:rFonts w:hint="eastAsia" w:ascii="Times New Roman" w:hAnsi="Times New Roman" w:eastAsia="宋体" w:cs="Times New Roman"/>
                <w:color w:val="auto"/>
                <w:sz w:val="24"/>
                <w:szCs w:val="24"/>
                <w:highlight w:val="none"/>
                <w:lang w:val="en-US" w:eastAsia="zh-CN"/>
              </w:rPr>
              <w:t>机油理化性质</w:t>
            </w:r>
          </w:p>
          <w:tbl>
            <w:tblPr>
              <w:tblStyle w:val="25"/>
              <w:tblW w:w="48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3"/>
              <w:gridCol w:w="1283"/>
              <w:gridCol w:w="329"/>
              <w:gridCol w:w="1032"/>
              <w:gridCol w:w="775"/>
              <w:gridCol w:w="374"/>
              <w:gridCol w:w="755"/>
              <w:gridCol w:w="528"/>
              <w:gridCol w:w="1158"/>
              <w:gridCol w:w="1074"/>
            </w:tblGrid>
            <w:tr w14:paraId="0C269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539" w:type="pct"/>
                  <w:tcBorders>
                    <w:tl2br w:val="nil"/>
                    <w:tr2bl w:val="nil"/>
                  </w:tcBorders>
                  <w:noWrap w:val="0"/>
                  <w:vAlign w:val="center"/>
                </w:tcPr>
                <w:p w14:paraId="2B7567F9">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标识</w:t>
                  </w:r>
                </w:p>
              </w:tc>
              <w:tc>
                <w:tcPr>
                  <w:tcW w:w="2315" w:type="pct"/>
                  <w:gridSpan w:val="5"/>
                  <w:tcBorders>
                    <w:tl2br w:val="nil"/>
                    <w:tr2bl w:val="nil"/>
                  </w:tcBorders>
                  <w:noWrap w:val="0"/>
                  <w:vAlign w:val="center"/>
                </w:tcPr>
                <w:p w14:paraId="3B0C7E08">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中文名：机油</w:t>
                  </w:r>
                </w:p>
              </w:tc>
              <w:tc>
                <w:tcPr>
                  <w:tcW w:w="2144" w:type="pct"/>
                  <w:gridSpan w:val="4"/>
                  <w:tcBorders>
                    <w:tl2br w:val="nil"/>
                    <w:tr2bl w:val="nil"/>
                  </w:tcBorders>
                  <w:noWrap w:val="0"/>
                  <w:vAlign w:val="center"/>
                </w:tcPr>
                <w:p w14:paraId="3E20FBE3">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英文名：lubricating</w:t>
                  </w:r>
                </w:p>
              </w:tc>
            </w:tr>
            <w:tr w14:paraId="6EFC6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pct"/>
                  <w:vMerge w:val="restart"/>
                  <w:tcBorders>
                    <w:tl2br w:val="nil"/>
                    <w:tr2bl w:val="nil"/>
                  </w:tcBorders>
                  <w:noWrap w:val="0"/>
                  <w:vAlign w:val="center"/>
                </w:tcPr>
                <w:p w14:paraId="18F81B3C">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理化性质</w:t>
                  </w:r>
                </w:p>
              </w:tc>
              <w:tc>
                <w:tcPr>
                  <w:tcW w:w="984" w:type="pct"/>
                  <w:gridSpan w:val="2"/>
                  <w:tcBorders>
                    <w:tl2br w:val="nil"/>
                    <w:tr2bl w:val="nil"/>
                  </w:tcBorders>
                  <w:noWrap w:val="0"/>
                  <w:vAlign w:val="center"/>
                </w:tcPr>
                <w:p w14:paraId="68D4799C">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外观与性状：</w:t>
                  </w:r>
                </w:p>
              </w:tc>
              <w:tc>
                <w:tcPr>
                  <w:tcW w:w="1331" w:type="pct"/>
                  <w:gridSpan w:val="3"/>
                  <w:tcBorders>
                    <w:tl2br w:val="nil"/>
                    <w:tr2bl w:val="nil"/>
                  </w:tcBorders>
                  <w:noWrap w:val="0"/>
                  <w:vAlign w:val="center"/>
                </w:tcPr>
                <w:p w14:paraId="4E763576">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淡黄色</w:t>
                  </w:r>
                  <w:r>
                    <w:rPr>
                      <w:rFonts w:hint="eastAsia" w:cs="Times New Roman"/>
                      <w:color w:val="auto"/>
                      <w:szCs w:val="21"/>
                      <w:highlight w:val="none"/>
                      <w:lang w:eastAsia="zh-CN"/>
                    </w:rPr>
                    <w:t>黏稠</w:t>
                  </w:r>
                  <w:r>
                    <w:rPr>
                      <w:rFonts w:ascii="Times New Roman" w:hAnsi="Times New Roman" w:eastAsia="宋体" w:cs="Times New Roman"/>
                      <w:color w:val="auto"/>
                      <w:szCs w:val="21"/>
                      <w:highlight w:val="none"/>
                    </w:rPr>
                    <w:t>液体</w:t>
                  </w:r>
                </w:p>
              </w:tc>
              <w:tc>
                <w:tcPr>
                  <w:tcW w:w="783" w:type="pct"/>
                  <w:gridSpan w:val="2"/>
                  <w:tcBorders>
                    <w:tl2br w:val="nil"/>
                    <w:tr2bl w:val="nil"/>
                  </w:tcBorders>
                  <w:noWrap w:val="0"/>
                  <w:vAlign w:val="center"/>
                </w:tcPr>
                <w:p w14:paraId="0FA27852">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闪点（℃）</w:t>
                  </w:r>
                </w:p>
              </w:tc>
              <w:tc>
                <w:tcPr>
                  <w:tcW w:w="1360" w:type="pct"/>
                  <w:gridSpan w:val="2"/>
                  <w:tcBorders>
                    <w:tl2br w:val="nil"/>
                    <w:tr2bl w:val="nil"/>
                  </w:tcBorders>
                  <w:noWrap w:val="0"/>
                  <w:vAlign w:val="center"/>
                </w:tcPr>
                <w:p w14:paraId="3718F2F3">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120~340</w:t>
                  </w:r>
                </w:p>
              </w:tc>
            </w:tr>
            <w:tr w14:paraId="3FD1D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539" w:type="pct"/>
                  <w:vMerge w:val="continue"/>
                  <w:tcBorders>
                    <w:tl2br w:val="nil"/>
                    <w:tr2bl w:val="nil"/>
                  </w:tcBorders>
                  <w:noWrap w:val="0"/>
                  <w:vAlign w:val="center"/>
                </w:tcPr>
                <w:p w14:paraId="5B235EC8">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p>
              </w:tc>
              <w:tc>
                <w:tcPr>
                  <w:tcW w:w="984" w:type="pct"/>
                  <w:gridSpan w:val="2"/>
                  <w:tcBorders>
                    <w:tl2br w:val="nil"/>
                    <w:tr2bl w:val="nil"/>
                  </w:tcBorders>
                  <w:noWrap w:val="0"/>
                  <w:vAlign w:val="center"/>
                </w:tcPr>
                <w:p w14:paraId="3A4A9FC3">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自燃点（℃）：</w:t>
                  </w:r>
                </w:p>
              </w:tc>
              <w:tc>
                <w:tcPr>
                  <w:tcW w:w="630" w:type="pct"/>
                  <w:tcBorders>
                    <w:tl2br w:val="nil"/>
                    <w:tr2bl w:val="nil"/>
                  </w:tcBorders>
                  <w:noWrap w:val="0"/>
                  <w:vAlign w:val="center"/>
                </w:tcPr>
                <w:p w14:paraId="11084AC9">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300~350</w:t>
                  </w:r>
                </w:p>
              </w:tc>
              <w:tc>
                <w:tcPr>
                  <w:tcW w:w="701" w:type="pct"/>
                  <w:gridSpan w:val="2"/>
                  <w:tcBorders>
                    <w:tl2br w:val="nil"/>
                    <w:tr2bl w:val="nil"/>
                  </w:tcBorders>
                  <w:noWrap w:val="0"/>
                  <w:vAlign w:val="center"/>
                </w:tcPr>
                <w:p w14:paraId="55361BAA">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相对密度</w:t>
                  </w:r>
                </w:p>
                <w:p w14:paraId="0488A4A1">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（水=1）</w:t>
                  </w:r>
                </w:p>
              </w:tc>
              <w:tc>
                <w:tcPr>
                  <w:tcW w:w="783" w:type="pct"/>
                  <w:gridSpan w:val="2"/>
                  <w:tcBorders>
                    <w:tl2br w:val="nil"/>
                    <w:tr2bl w:val="nil"/>
                  </w:tcBorders>
                  <w:noWrap w:val="0"/>
                  <w:vAlign w:val="center"/>
                </w:tcPr>
                <w:p w14:paraId="5558C4F2">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934.8</w:t>
                  </w:r>
                </w:p>
              </w:tc>
              <w:tc>
                <w:tcPr>
                  <w:tcW w:w="707" w:type="pct"/>
                  <w:tcBorders>
                    <w:tl2br w:val="nil"/>
                    <w:tr2bl w:val="nil"/>
                  </w:tcBorders>
                  <w:noWrap w:val="0"/>
                  <w:vAlign w:val="center"/>
                </w:tcPr>
                <w:p w14:paraId="62998676">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相对密度</w:t>
                  </w:r>
                </w:p>
                <w:p w14:paraId="2C07F654">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（空气=1）</w:t>
                  </w:r>
                </w:p>
              </w:tc>
              <w:tc>
                <w:tcPr>
                  <w:tcW w:w="652" w:type="pct"/>
                  <w:tcBorders>
                    <w:tl2br w:val="nil"/>
                    <w:tr2bl w:val="nil"/>
                  </w:tcBorders>
                  <w:noWrap w:val="0"/>
                  <w:vAlign w:val="center"/>
                </w:tcPr>
                <w:p w14:paraId="39B15120">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0.85</w:t>
                  </w:r>
                </w:p>
              </w:tc>
            </w:tr>
            <w:tr w14:paraId="75091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pct"/>
                  <w:vMerge w:val="continue"/>
                  <w:tcBorders>
                    <w:tl2br w:val="nil"/>
                    <w:tr2bl w:val="nil"/>
                  </w:tcBorders>
                  <w:noWrap w:val="0"/>
                  <w:vAlign w:val="center"/>
                </w:tcPr>
                <w:p w14:paraId="01D7621F">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p>
              </w:tc>
              <w:tc>
                <w:tcPr>
                  <w:tcW w:w="984" w:type="pct"/>
                  <w:gridSpan w:val="2"/>
                  <w:tcBorders>
                    <w:tl2br w:val="nil"/>
                    <w:tr2bl w:val="nil"/>
                  </w:tcBorders>
                  <w:noWrap w:val="0"/>
                  <w:vAlign w:val="center"/>
                </w:tcPr>
                <w:p w14:paraId="5FBB028C">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饱和蒸气压(kPa)：</w:t>
                  </w:r>
                </w:p>
              </w:tc>
              <w:tc>
                <w:tcPr>
                  <w:tcW w:w="3476" w:type="pct"/>
                  <w:gridSpan w:val="7"/>
                  <w:tcBorders>
                    <w:tl2br w:val="nil"/>
                    <w:tr2bl w:val="nil"/>
                  </w:tcBorders>
                  <w:noWrap w:val="0"/>
                  <w:vAlign w:val="center"/>
                </w:tcPr>
                <w:p w14:paraId="160DFE17">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0.13/145.8℃</w:t>
                  </w:r>
                </w:p>
              </w:tc>
            </w:tr>
            <w:tr w14:paraId="53576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pct"/>
                  <w:vMerge w:val="continue"/>
                  <w:tcBorders>
                    <w:tl2br w:val="nil"/>
                    <w:tr2bl w:val="nil"/>
                  </w:tcBorders>
                  <w:noWrap w:val="0"/>
                  <w:vAlign w:val="center"/>
                </w:tcPr>
                <w:p w14:paraId="1280CE0F">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p>
              </w:tc>
              <w:tc>
                <w:tcPr>
                  <w:tcW w:w="984" w:type="pct"/>
                  <w:gridSpan w:val="2"/>
                  <w:tcBorders>
                    <w:tl2br w:val="nil"/>
                    <w:tr2bl w:val="nil"/>
                  </w:tcBorders>
                  <w:noWrap w:val="0"/>
                  <w:vAlign w:val="center"/>
                </w:tcPr>
                <w:p w14:paraId="1D17B905">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溶解性</w:t>
                  </w:r>
                </w:p>
              </w:tc>
              <w:tc>
                <w:tcPr>
                  <w:tcW w:w="3476" w:type="pct"/>
                  <w:gridSpan w:val="7"/>
                  <w:tcBorders>
                    <w:tl2br w:val="nil"/>
                    <w:tr2bl w:val="nil"/>
                  </w:tcBorders>
                  <w:noWrap w:val="0"/>
                  <w:vAlign w:val="center"/>
                </w:tcPr>
                <w:p w14:paraId="78901430">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溶于苯、乙醇、乙醚、氯仿、丙酮等多数有机溶剂</w:t>
                  </w:r>
                </w:p>
              </w:tc>
            </w:tr>
            <w:tr w14:paraId="73365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pct"/>
                  <w:vMerge w:val="continue"/>
                  <w:tcBorders>
                    <w:tl2br w:val="nil"/>
                    <w:tr2bl w:val="nil"/>
                  </w:tcBorders>
                  <w:noWrap w:val="0"/>
                  <w:vAlign w:val="center"/>
                </w:tcPr>
                <w:p w14:paraId="59DDB6C2">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p>
              </w:tc>
              <w:tc>
                <w:tcPr>
                  <w:tcW w:w="4460" w:type="pct"/>
                  <w:gridSpan w:val="9"/>
                  <w:tcBorders>
                    <w:tl2br w:val="nil"/>
                    <w:tr2bl w:val="nil"/>
                  </w:tcBorders>
                  <w:noWrap w:val="0"/>
                  <w:vAlign w:val="center"/>
                </w:tcPr>
                <w:p w14:paraId="6165F880">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相对密度（水=1）：3.35</w:t>
                  </w:r>
                </w:p>
              </w:tc>
            </w:tr>
            <w:tr w14:paraId="27D5C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539" w:type="pct"/>
                  <w:vMerge w:val="restart"/>
                  <w:tcBorders>
                    <w:tl2br w:val="nil"/>
                    <w:tr2bl w:val="nil"/>
                  </w:tcBorders>
                  <w:noWrap w:val="0"/>
                  <w:vAlign w:val="center"/>
                </w:tcPr>
                <w:p w14:paraId="1624EFE7">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燃烧爆炸危险性</w:t>
                  </w:r>
                </w:p>
              </w:tc>
              <w:tc>
                <w:tcPr>
                  <w:tcW w:w="984" w:type="pct"/>
                  <w:gridSpan w:val="2"/>
                  <w:tcBorders>
                    <w:tl2br w:val="nil"/>
                    <w:tr2bl w:val="nil"/>
                  </w:tcBorders>
                  <w:noWrap w:val="0"/>
                  <w:vAlign w:val="center"/>
                </w:tcPr>
                <w:p w14:paraId="52819238">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危险特性</w:t>
                  </w:r>
                </w:p>
              </w:tc>
              <w:tc>
                <w:tcPr>
                  <w:tcW w:w="1103" w:type="pct"/>
                  <w:gridSpan w:val="2"/>
                  <w:tcBorders>
                    <w:tl2br w:val="nil"/>
                    <w:tr2bl w:val="nil"/>
                  </w:tcBorders>
                  <w:noWrap w:val="0"/>
                  <w:vAlign w:val="center"/>
                </w:tcPr>
                <w:p w14:paraId="5F388584">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可燃液体，火灾危险性为丙B类；遇明火、高温可燃</w:t>
                  </w:r>
                </w:p>
              </w:tc>
              <w:tc>
                <w:tcPr>
                  <w:tcW w:w="689" w:type="pct"/>
                  <w:gridSpan w:val="2"/>
                  <w:tcBorders>
                    <w:tl2br w:val="nil"/>
                    <w:tr2bl w:val="nil"/>
                  </w:tcBorders>
                  <w:noWrap w:val="0"/>
                  <w:vAlign w:val="center"/>
                </w:tcPr>
                <w:p w14:paraId="50A01B58">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燃烧分解产物</w:t>
                  </w:r>
                </w:p>
              </w:tc>
              <w:tc>
                <w:tcPr>
                  <w:tcW w:w="1682" w:type="pct"/>
                  <w:gridSpan w:val="3"/>
                  <w:tcBorders>
                    <w:tl2br w:val="nil"/>
                    <w:tr2bl w:val="nil"/>
                  </w:tcBorders>
                  <w:noWrap w:val="0"/>
                  <w:vAlign w:val="center"/>
                </w:tcPr>
                <w:p w14:paraId="739BA74E">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CO、CO</w:t>
                  </w:r>
                  <w:r>
                    <w:rPr>
                      <w:rFonts w:ascii="Times New Roman" w:hAnsi="Times New Roman" w:eastAsia="宋体" w:cs="Times New Roman"/>
                      <w:color w:val="auto"/>
                      <w:szCs w:val="21"/>
                      <w:highlight w:val="none"/>
                      <w:vertAlign w:val="subscript"/>
                    </w:rPr>
                    <w:t>2</w:t>
                  </w:r>
                  <w:r>
                    <w:rPr>
                      <w:rFonts w:ascii="Times New Roman" w:hAnsi="Times New Roman" w:eastAsia="宋体" w:cs="Times New Roman"/>
                      <w:color w:val="auto"/>
                      <w:szCs w:val="21"/>
                      <w:highlight w:val="none"/>
                    </w:rPr>
                    <w:t>等有毒有害气体</w:t>
                  </w:r>
                </w:p>
              </w:tc>
            </w:tr>
            <w:tr w14:paraId="3AD855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539" w:type="pct"/>
                  <w:vMerge w:val="continue"/>
                  <w:tcBorders>
                    <w:tl2br w:val="nil"/>
                    <w:tr2bl w:val="nil"/>
                  </w:tcBorders>
                  <w:noWrap w:val="0"/>
                  <w:vAlign w:val="center"/>
                </w:tcPr>
                <w:p w14:paraId="0C3FAF92">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p>
              </w:tc>
              <w:tc>
                <w:tcPr>
                  <w:tcW w:w="984" w:type="pct"/>
                  <w:gridSpan w:val="2"/>
                  <w:tcBorders>
                    <w:tl2br w:val="nil"/>
                    <w:tr2bl w:val="nil"/>
                  </w:tcBorders>
                  <w:noWrap w:val="0"/>
                  <w:vAlign w:val="center"/>
                </w:tcPr>
                <w:p w14:paraId="551D00E6">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稳定性：</w:t>
                  </w:r>
                </w:p>
              </w:tc>
              <w:tc>
                <w:tcPr>
                  <w:tcW w:w="1103" w:type="pct"/>
                  <w:gridSpan w:val="2"/>
                  <w:tcBorders>
                    <w:tl2br w:val="nil"/>
                    <w:tr2bl w:val="nil"/>
                  </w:tcBorders>
                  <w:noWrap w:val="0"/>
                  <w:vAlign w:val="center"/>
                </w:tcPr>
                <w:p w14:paraId="03EFD6FD">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稳定</w:t>
                  </w:r>
                </w:p>
              </w:tc>
              <w:tc>
                <w:tcPr>
                  <w:tcW w:w="689" w:type="pct"/>
                  <w:gridSpan w:val="2"/>
                  <w:tcBorders>
                    <w:tl2br w:val="nil"/>
                    <w:tr2bl w:val="nil"/>
                  </w:tcBorders>
                  <w:noWrap w:val="0"/>
                  <w:vAlign w:val="center"/>
                </w:tcPr>
                <w:p w14:paraId="01752118">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禁忌物</w:t>
                  </w:r>
                </w:p>
              </w:tc>
              <w:tc>
                <w:tcPr>
                  <w:tcW w:w="1682" w:type="pct"/>
                  <w:gridSpan w:val="3"/>
                  <w:tcBorders>
                    <w:tl2br w:val="nil"/>
                    <w:tr2bl w:val="nil"/>
                  </w:tcBorders>
                  <w:noWrap w:val="0"/>
                  <w:vAlign w:val="center"/>
                </w:tcPr>
                <w:p w14:paraId="70ECC807">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硝酸等强氧化剂</w:t>
                  </w:r>
                </w:p>
              </w:tc>
            </w:tr>
            <w:tr w14:paraId="18650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2" w:hRule="atLeast"/>
                <w:jc w:val="center"/>
              </w:trPr>
              <w:tc>
                <w:tcPr>
                  <w:tcW w:w="539" w:type="pct"/>
                  <w:vMerge w:val="continue"/>
                  <w:tcBorders>
                    <w:tl2br w:val="nil"/>
                    <w:tr2bl w:val="nil"/>
                  </w:tcBorders>
                  <w:noWrap w:val="0"/>
                  <w:vAlign w:val="center"/>
                </w:tcPr>
                <w:p w14:paraId="67497AEF">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p>
              </w:tc>
              <w:tc>
                <w:tcPr>
                  <w:tcW w:w="783" w:type="pct"/>
                  <w:tcBorders>
                    <w:tl2br w:val="nil"/>
                    <w:tr2bl w:val="nil"/>
                  </w:tcBorders>
                  <w:noWrap w:val="0"/>
                  <w:vAlign w:val="center"/>
                </w:tcPr>
                <w:p w14:paraId="14AF687C">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灭火方法</w:t>
                  </w:r>
                </w:p>
              </w:tc>
              <w:tc>
                <w:tcPr>
                  <w:tcW w:w="3676" w:type="pct"/>
                  <w:gridSpan w:val="8"/>
                  <w:tcBorders>
                    <w:tl2br w:val="nil"/>
                    <w:tr2bl w:val="nil"/>
                  </w:tcBorders>
                  <w:noWrap w:val="0"/>
                  <w:vAlign w:val="center"/>
                </w:tcPr>
                <w:p w14:paraId="17C97FEA">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消防人员须佩戴防毒面具、穿全身消防服，在上风向灭火。尽可能将容器从火场移至空旷处。喷水保持火场容器冷却，直至灭火结束。处在火场中的容器若已变色或从安全泄压装置中产生声音，必须立即撤离。灭火剂：雾状水、泡沫、干粉、二氧化碳、砂土。</w:t>
                  </w:r>
                </w:p>
              </w:tc>
            </w:tr>
            <w:tr w14:paraId="6E1F12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539" w:type="pct"/>
                  <w:tcBorders>
                    <w:tl2br w:val="nil"/>
                    <w:tr2bl w:val="nil"/>
                  </w:tcBorders>
                  <w:noWrap w:val="0"/>
                  <w:vAlign w:val="center"/>
                </w:tcPr>
                <w:p w14:paraId="1FDE18DC">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健康危害</w:t>
                  </w:r>
                </w:p>
              </w:tc>
              <w:tc>
                <w:tcPr>
                  <w:tcW w:w="4460" w:type="pct"/>
                  <w:gridSpan w:val="9"/>
                  <w:tcBorders>
                    <w:tl2br w:val="nil"/>
                    <w:tr2bl w:val="nil"/>
                  </w:tcBorders>
                  <w:noWrap w:val="0"/>
                  <w:vAlign w:val="center"/>
                </w:tcPr>
                <w:p w14:paraId="77CF3453">
                  <w:pPr>
                    <w:keepNext w:val="0"/>
                    <w:keepLines w:val="0"/>
                    <w:suppressLineNumbers w:val="0"/>
                    <w:adjustRightInd w:val="0"/>
                    <w:snapToGrid w:val="0"/>
                    <w:spacing w:before="0" w:beforeAutospacing="0" w:after="0" w:afterAutospacing="0"/>
                    <w:ind w:left="0" w:right="0"/>
                    <w:jc w:val="lef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急性吸入，可出现乏力、头晕、头痛、恶心，严重者可引起油脂性肺炎。慢接触者，暴露部位可发生油性痤疮和接触性皮炎。可引发神经衰弱综合症，呼吸道和眼刺激症状及慢性油脂性肺炎。</w:t>
                  </w:r>
                </w:p>
              </w:tc>
            </w:tr>
            <w:tr w14:paraId="05D9B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jc w:val="center"/>
              </w:trPr>
              <w:tc>
                <w:tcPr>
                  <w:tcW w:w="539" w:type="pct"/>
                  <w:tcBorders>
                    <w:tl2br w:val="nil"/>
                    <w:tr2bl w:val="nil"/>
                  </w:tcBorders>
                  <w:noWrap w:val="0"/>
                  <w:vAlign w:val="center"/>
                </w:tcPr>
                <w:p w14:paraId="18FB620B">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急救措施</w:t>
                  </w:r>
                </w:p>
              </w:tc>
              <w:tc>
                <w:tcPr>
                  <w:tcW w:w="4460" w:type="pct"/>
                  <w:gridSpan w:val="9"/>
                  <w:tcBorders>
                    <w:tl2br w:val="nil"/>
                    <w:tr2bl w:val="nil"/>
                  </w:tcBorders>
                  <w:noWrap w:val="0"/>
                  <w:vAlign w:val="center"/>
                </w:tcPr>
                <w:p w14:paraId="24C16DF4">
                  <w:pPr>
                    <w:keepNext w:val="0"/>
                    <w:keepLines w:val="0"/>
                    <w:suppressLineNumbers w:val="0"/>
                    <w:adjustRightInd w:val="0"/>
                    <w:snapToGrid w:val="0"/>
                    <w:spacing w:before="0" w:beforeAutospacing="0" w:after="0" w:afterAutospacing="0"/>
                    <w:ind w:left="0" w:right="0"/>
                    <w:jc w:val="lef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皮肤接触：脱去污染的衣着，用大量流动清水冲洗。就医。</w:t>
                  </w:r>
                </w:p>
                <w:p w14:paraId="3B8ED2F5">
                  <w:pPr>
                    <w:keepNext w:val="0"/>
                    <w:keepLines w:val="0"/>
                    <w:suppressLineNumbers w:val="0"/>
                    <w:adjustRightInd w:val="0"/>
                    <w:snapToGrid w:val="0"/>
                    <w:spacing w:before="0" w:beforeAutospacing="0" w:after="0" w:afterAutospacing="0"/>
                    <w:ind w:left="0" w:right="0"/>
                    <w:jc w:val="lef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眼睛接触：提起眼睑，用流动清水或生理盐水冲洗。就医。</w:t>
                  </w:r>
                </w:p>
                <w:p w14:paraId="24C66454">
                  <w:pPr>
                    <w:keepNext w:val="0"/>
                    <w:keepLines w:val="0"/>
                    <w:suppressLineNumbers w:val="0"/>
                    <w:adjustRightInd w:val="0"/>
                    <w:snapToGrid w:val="0"/>
                    <w:spacing w:before="0" w:beforeAutospacing="0" w:after="0" w:afterAutospacing="0"/>
                    <w:ind w:left="0" w:right="0"/>
                    <w:jc w:val="lef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吸入：迅速脱离现场至空气新鲜处。保持呼吸道通畅。如呼吸困难，给输氧。如呼吸停止，立即进行人工呼吸。就医。</w:t>
                  </w:r>
                </w:p>
                <w:p w14:paraId="7AC11AB2">
                  <w:pPr>
                    <w:keepNext w:val="0"/>
                    <w:keepLines w:val="0"/>
                    <w:suppressLineNumbers w:val="0"/>
                    <w:adjustRightInd w:val="0"/>
                    <w:snapToGrid w:val="0"/>
                    <w:spacing w:before="0" w:beforeAutospacing="0" w:after="0" w:afterAutospacing="0"/>
                    <w:ind w:left="0" w:right="0"/>
                    <w:jc w:val="lef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食入：饮适量温水，催吐。就医。</w:t>
                  </w:r>
                </w:p>
              </w:tc>
            </w:tr>
            <w:tr w14:paraId="27096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4" w:hRule="atLeast"/>
                <w:jc w:val="center"/>
              </w:trPr>
              <w:tc>
                <w:tcPr>
                  <w:tcW w:w="539" w:type="pct"/>
                  <w:tcBorders>
                    <w:tl2br w:val="nil"/>
                    <w:tr2bl w:val="nil"/>
                  </w:tcBorders>
                  <w:noWrap w:val="0"/>
                  <w:vAlign w:val="center"/>
                </w:tcPr>
                <w:p w14:paraId="34905990">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防护措施</w:t>
                  </w:r>
                </w:p>
              </w:tc>
              <w:tc>
                <w:tcPr>
                  <w:tcW w:w="4460" w:type="pct"/>
                  <w:gridSpan w:val="9"/>
                  <w:tcBorders>
                    <w:tl2br w:val="nil"/>
                    <w:tr2bl w:val="nil"/>
                  </w:tcBorders>
                  <w:noWrap w:val="0"/>
                  <w:vAlign w:val="center"/>
                </w:tcPr>
                <w:p w14:paraId="4C507A92">
                  <w:pPr>
                    <w:keepNext w:val="0"/>
                    <w:keepLines w:val="0"/>
                    <w:suppressLineNumbers w:val="0"/>
                    <w:adjustRightInd w:val="0"/>
                    <w:snapToGrid w:val="0"/>
                    <w:spacing w:before="0" w:beforeAutospacing="0" w:after="0" w:afterAutospacing="0"/>
                    <w:ind w:left="0" w:right="0"/>
                    <w:jc w:val="lef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呼吸系统防护：空气中浓度超标时，必须佩戴自吸过滤式防毒面具（半面罩）；紧急事态抢救或撤离时，应佩戴空气呼吸器。</w:t>
                  </w:r>
                </w:p>
                <w:p w14:paraId="501BD659">
                  <w:pPr>
                    <w:keepNext w:val="0"/>
                    <w:keepLines w:val="0"/>
                    <w:suppressLineNumbers w:val="0"/>
                    <w:adjustRightInd w:val="0"/>
                    <w:snapToGrid w:val="0"/>
                    <w:spacing w:before="0" w:beforeAutospacing="0" w:after="0" w:afterAutospacing="0"/>
                    <w:ind w:left="0" w:right="0"/>
                    <w:jc w:val="lef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眼睛防护：戴化学安全防护眼镜。</w:t>
                  </w:r>
                </w:p>
                <w:p w14:paraId="31E156FC">
                  <w:pPr>
                    <w:keepNext w:val="0"/>
                    <w:keepLines w:val="0"/>
                    <w:suppressLineNumbers w:val="0"/>
                    <w:adjustRightInd w:val="0"/>
                    <w:snapToGrid w:val="0"/>
                    <w:spacing w:before="0" w:beforeAutospacing="0" w:after="0" w:afterAutospacing="0"/>
                    <w:ind w:left="0" w:right="0"/>
                    <w:jc w:val="lef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身体防护：穿防毒渗透工作服。</w:t>
                  </w:r>
                </w:p>
                <w:p w14:paraId="4457DC90">
                  <w:pPr>
                    <w:keepNext w:val="0"/>
                    <w:keepLines w:val="0"/>
                    <w:suppressLineNumbers w:val="0"/>
                    <w:adjustRightInd w:val="0"/>
                    <w:snapToGrid w:val="0"/>
                    <w:spacing w:before="0" w:beforeAutospacing="0" w:after="0" w:afterAutospacing="0"/>
                    <w:ind w:left="0" w:right="0"/>
                    <w:jc w:val="lef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手防护：戴橡胶耐油手套。</w:t>
                  </w:r>
                </w:p>
                <w:p w14:paraId="29294FC4">
                  <w:pPr>
                    <w:keepNext w:val="0"/>
                    <w:keepLines w:val="0"/>
                    <w:suppressLineNumbers w:val="0"/>
                    <w:adjustRightInd w:val="0"/>
                    <w:snapToGrid w:val="0"/>
                    <w:spacing w:before="0" w:beforeAutospacing="0" w:after="0" w:afterAutospacing="0"/>
                    <w:ind w:left="0" w:right="0"/>
                    <w:jc w:val="lef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其他防护：工作场所禁止吸烟，避免长期反复接触。</w:t>
                  </w:r>
                </w:p>
              </w:tc>
            </w:tr>
            <w:tr w14:paraId="1437D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jc w:val="center"/>
              </w:trPr>
              <w:tc>
                <w:tcPr>
                  <w:tcW w:w="539" w:type="pct"/>
                  <w:tcBorders>
                    <w:tl2br w:val="nil"/>
                    <w:tr2bl w:val="nil"/>
                  </w:tcBorders>
                  <w:noWrap w:val="0"/>
                  <w:vAlign w:val="center"/>
                </w:tcPr>
                <w:p w14:paraId="423F1EA6">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泄漏处置</w:t>
                  </w:r>
                </w:p>
              </w:tc>
              <w:tc>
                <w:tcPr>
                  <w:tcW w:w="4460" w:type="pct"/>
                  <w:gridSpan w:val="9"/>
                  <w:tcBorders>
                    <w:tl2br w:val="nil"/>
                    <w:tr2bl w:val="nil"/>
                  </w:tcBorders>
                  <w:noWrap w:val="0"/>
                  <w:vAlign w:val="center"/>
                </w:tcPr>
                <w:p w14:paraId="0E6F1387">
                  <w:pPr>
                    <w:keepNext w:val="0"/>
                    <w:keepLines w:val="0"/>
                    <w:suppressLineNumbers w:val="0"/>
                    <w:adjustRightInd w:val="0"/>
                    <w:snapToGrid w:val="0"/>
                    <w:spacing w:before="0" w:beforeAutospacing="0" w:after="0" w:afterAutospacing="0"/>
                    <w:ind w:left="0" w:right="0"/>
                    <w:jc w:val="lef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迅速撤离泄漏污染区人员至安全区，并进行隔离，严格限制出入。切断火源。建议应急处理人员戴自给正式呼吸器，穿防毒服。尽可能切断泄漏源。防止流入下水道、排洪沟等限制性空间。小量泄漏：用砂土或其他</w:t>
                  </w:r>
                  <w:r>
                    <w:rPr>
                      <w:rFonts w:hint="eastAsia" w:cs="Times New Roman"/>
                      <w:color w:val="auto"/>
                      <w:szCs w:val="21"/>
                      <w:highlight w:val="none"/>
                      <w:lang w:eastAsia="zh-CN"/>
                    </w:rPr>
                    <w:t>天然材料</w:t>
                  </w:r>
                  <w:r>
                    <w:rPr>
                      <w:rFonts w:ascii="Times New Roman" w:hAnsi="Times New Roman" w:eastAsia="宋体" w:cs="Times New Roman"/>
                      <w:color w:val="auto"/>
                      <w:szCs w:val="21"/>
                      <w:highlight w:val="none"/>
                    </w:rPr>
                    <w:t>吸附或吸收，减少挥发。大量泄漏：构筑围堤或挖坑收容。用泵转移至槽车或专用收集器内，回收或运至废物处理场所处置。</w:t>
                  </w:r>
                </w:p>
              </w:tc>
            </w:tr>
            <w:tr w14:paraId="6F5CC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539" w:type="pct"/>
                  <w:tcBorders>
                    <w:tl2br w:val="nil"/>
                    <w:tr2bl w:val="nil"/>
                  </w:tcBorders>
                  <w:noWrap w:val="0"/>
                  <w:vAlign w:val="center"/>
                </w:tcPr>
                <w:p w14:paraId="32140580">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储存要求</w:t>
                  </w:r>
                </w:p>
              </w:tc>
              <w:tc>
                <w:tcPr>
                  <w:tcW w:w="4460" w:type="pct"/>
                  <w:gridSpan w:val="9"/>
                  <w:tcBorders>
                    <w:tl2br w:val="nil"/>
                    <w:tr2bl w:val="nil"/>
                  </w:tcBorders>
                  <w:noWrap w:val="0"/>
                  <w:vAlign w:val="center"/>
                </w:tcPr>
                <w:p w14:paraId="7C9A7307">
                  <w:pPr>
                    <w:keepNext w:val="0"/>
                    <w:keepLines w:val="0"/>
                    <w:suppressLineNumbers w:val="0"/>
                    <w:adjustRightInd w:val="0"/>
                    <w:snapToGrid w:val="0"/>
                    <w:spacing w:before="0" w:beforeAutospacing="0" w:after="0" w:afterAutospacing="0"/>
                    <w:ind w:left="0" w:right="0"/>
                    <w:jc w:val="lef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储存于阴凉、通风的库房。远离火种、热源。应与氧化剂分开存放，切忌混储。配备相应品种和数量的消防器材。储区应备有泄漏应急处理设备和合适的收容材料。</w:t>
                  </w:r>
                </w:p>
              </w:tc>
            </w:tr>
            <w:tr w14:paraId="4516D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3" w:hRule="atLeast"/>
                <w:jc w:val="center"/>
              </w:trPr>
              <w:tc>
                <w:tcPr>
                  <w:tcW w:w="539" w:type="pct"/>
                  <w:tcBorders>
                    <w:tl2br w:val="nil"/>
                    <w:tr2bl w:val="nil"/>
                  </w:tcBorders>
                  <w:noWrap w:val="0"/>
                  <w:vAlign w:val="center"/>
                </w:tcPr>
                <w:p w14:paraId="13A14ECA">
                  <w:pPr>
                    <w:keepNext w:val="0"/>
                    <w:keepLines w:val="0"/>
                    <w:suppressLineNumbers w:val="0"/>
                    <w:adjustRightInd w:val="0"/>
                    <w:snapToGrid w:val="0"/>
                    <w:spacing w:before="0" w:beforeAutospacing="0" w:after="0" w:afterAutospacing="0"/>
                    <w:ind w:left="0" w:right="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运输要求</w:t>
                  </w:r>
                </w:p>
              </w:tc>
              <w:tc>
                <w:tcPr>
                  <w:tcW w:w="4460" w:type="pct"/>
                  <w:gridSpan w:val="9"/>
                  <w:tcBorders>
                    <w:tl2br w:val="nil"/>
                    <w:tr2bl w:val="nil"/>
                  </w:tcBorders>
                  <w:noWrap w:val="0"/>
                  <w:vAlign w:val="center"/>
                </w:tcPr>
                <w:p w14:paraId="00EB8E5A">
                  <w:pPr>
                    <w:keepNext w:val="0"/>
                    <w:keepLines w:val="0"/>
                    <w:suppressLineNumbers w:val="0"/>
                    <w:adjustRightInd w:val="0"/>
                    <w:snapToGrid w:val="0"/>
                    <w:spacing w:before="0" w:beforeAutospacing="0" w:after="0" w:afterAutospacing="0"/>
                    <w:ind w:left="0" w:right="0"/>
                    <w:jc w:val="lef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用油罐、油罐车、油船、铁桶、塑料桶等盛装，盛装时切不可装满，要留出必要的安全空间。</w:t>
                  </w:r>
                </w:p>
                <w:p w14:paraId="29283BCA">
                  <w:pPr>
                    <w:keepNext w:val="0"/>
                    <w:keepLines w:val="0"/>
                    <w:suppressLineNumbers w:val="0"/>
                    <w:adjustRightInd w:val="0"/>
                    <w:snapToGrid w:val="0"/>
                    <w:spacing w:before="0" w:beforeAutospacing="0" w:after="0" w:afterAutospacing="0"/>
                    <w:ind w:left="0" w:right="0"/>
                    <w:jc w:val="lef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运输前应先检查包装容器是否完整、密封，运输过程中要确保容器不泄露、不倒塌、不坠落、不损坏。严禁与氧化剂、食用化学品等混装混运。运输车船必须彻底清洗、消毒，否则不得装运其它物品。船运时，配装位置应远离卧室、厨房，并与机舱、电源、火源等部位隔离。公路运输时要按规定路线行驶。</w:t>
                  </w:r>
                </w:p>
              </w:tc>
            </w:tr>
          </w:tbl>
          <w:p w14:paraId="58F0F151">
            <w:pPr>
              <w:keepNext w:val="0"/>
              <w:keepLines w:val="0"/>
              <w:widowControl w:val="0"/>
              <w:numPr>
                <w:ilvl w:val="0"/>
                <w:numId w:val="0"/>
              </w:numPr>
              <w:suppressLineNumbers w:val="0"/>
              <w:spacing w:before="0" w:beforeAutospacing="0" w:after="0" w:afterAutospacing="0" w:line="360" w:lineRule="auto"/>
              <w:ind w:left="0" w:leftChars="0" w:right="0" w:rightChars="0" w:firstLine="480" w:firstLineChars="200"/>
              <w:jc w:val="both"/>
              <w:rPr>
                <w:rFonts w:hint="default" w:ascii="Times New Roman" w:hAnsi="Times New Roman" w:eastAsia="宋体" w:cs="Times New Roman"/>
                <w:color w:val="auto"/>
                <w:kern w:val="2"/>
                <w:sz w:val="24"/>
                <w:szCs w:val="24"/>
                <w:highlight w:val="none"/>
                <w:lang w:val="en-US" w:eastAsia="zh-CN" w:bidi="ar"/>
              </w:rPr>
            </w:pPr>
            <w:r>
              <w:rPr>
                <w:rFonts w:hint="default" w:ascii="Times New Roman" w:hAnsi="Times New Roman" w:eastAsia="宋体" w:cs="Times New Roman"/>
                <w:color w:val="auto"/>
                <w:kern w:val="2"/>
                <w:sz w:val="24"/>
                <w:szCs w:val="24"/>
                <w:highlight w:val="none"/>
                <w:lang w:val="en-US" w:eastAsia="zh-CN" w:bidi="ar"/>
              </w:rPr>
              <w:t>2、</w:t>
            </w:r>
            <w:r>
              <w:rPr>
                <w:rFonts w:hint="eastAsia" w:ascii="Times New Roman" w:hAnsi="Times New Roman" w:eastAsia="宋体" w:cs="Times New Roman"/>
                <w:color w:val="auto"/>
                <w:kern w:val="2"/>
                <w:sz w:val="24"/>
                <w:szCs w:val="24"/>
                <w:highlight w:val="none"/>
                <w:lang w:val="en-US" w:eastAsia="zh-CN" w:bidi="ar"/>
              </w:rPr>
              <w:t>风险潜势初判</w:t>
            </w:r>
          </w:p>
          <w:p w14:paraId="65734BF3">
            <w:pPr>
              <w:keepNext w:val="0"/>
              <w:keepLines w:val="0"/>
              <w:widowControl w:val="0"/>
              <w:numPr>
                <w:ilvl w:val="0"/>
                <w:numId w:val="0"/>
              </w:numPr>
              <w:suppressLineNumbers w:val="0"/>
              <w:spacing w:before="0" w:beforeAutospacing="0" w:after="0" w:afterAutospacing="0" w:line="360" w:lineRule="auto"/>
              <w:ind w:left="0" w:leftChars="0" w:right="0" w:rightChars="0" w:firstLine="480" w:firstLineChars="200"/>
              <w:jc w:val="both"/>
              <w:rPr>
                <w:rFonts w:hint="default" w:ascii="Times New Roman" w:hAnsi="Times New Roman" w:eastAsia="宋体" w:cs="Times New Roman"/>
                <w:color w:val="auto"/>
                <w:kern w:val="2"/>
                <w:sz w:val="24"/>
                <w:szCs w:val="24"/>
                <w:highlight w:val="none"/>
                <w:lang w:val="en-US" w:eastAsia="zh-CN" w:bidi="ar"/>
              </w:rPr>
            </w:pPr>
            <w:r>
              <w:rPr>
                <w:rFonts w:hint="default" w:ascii="Times New Roman" w:hAnsi="Times New Roman" w:eastAsia="宋体" w:cs="Times New Roman"/>
                <w:color w:val="auto"/>
                <w:kern w:val="2"/>
                <w:sz w:val="24"/>
                <w:szCs w:val="24"/>
                <w:highlight w:val="none"/>
                <w:lang w:val="en-US" w:eastAsia="zh-CN" w:bidi="ar"/>
              </w:rPr>
              <w:t>根据建设项目涉及的物质和工艺系统危险性及其所在地敏感程度，结合事故情形下环境影响途径，对建设项目潜在环境危害程度进行概化分析，按表</w:t>
            </w:r>
            <w:r>
              <w:rPr>
                <w:rFonts w:hint="eastAsia" w:ascii="Calibri" w:hAnsi="Calibri" w:cs="Times New Roman"/>
                <w:color w:val="auto"/>
                <w:sz w:val="24"/>
                <w:highlight w:val="none"/>
                <w:shd w:val="clear" w:color="auto" w:fill="auto"/>
                <w:lang w:val="en-US" w:eastAsia="zh-CN"/>
              </w:rPr>
              <w:t>4-20</w:t>
            </w:r>
            <w:r>
              <w:rPr>
                <w:rFonts w:hint="default" w:ascii="Times New Roman" w:hAnsi="Times New Roman" w:eastAsia="宋体" w:cs="Times New Roman"/>
                <w:color w:val="auto"/>
                <w:kern w:val="2"/>
                <w:sz w:val="24"/>
                <w:szCs w:val="24"/>
                <w:highlight w:val="none"/>
                <w:lang w:val="en-US" w:eastAsia="zh-CN" w:bidi="ar"/>
              </w:rPr>
              <w:t>确定环境风险潜势。</w:t>
            </w:r>
          </w:p>
          <w:p w14:paraId="2011A14E">
            <w:pPr>
              <w:keepNext w:val="0"/>
              <w:keepLines w:val="0"/>
              <w:widowControl w:val="0"/>
              <w:numPr>
                <w:ilvl w:val="0"/>
                <w:numId w:val="0"/>
              </w:numPr>
              <w:suppressLineNumbers w:val="0"/>
              <w:spacing w:before="0" w:beforeAutospacing="0" w:after="0" w:afterAutospacing="0" w:line="360" w:lineRule="auto"/>
              <w:ind w:left="420" w:leftChars="200" w:right="0" w:rightChars="0"/>
              <w:jc w:val="center"/>
              <w:rPr>
                <w:rFonts w:hint="default" w:ascii="Times New Roman" w:hAnsi="Times New Roman" w:eastAsia="宋体" w:cs="Times New Roman"/>
                <w:color w:val="auto"/>
                <w:kern w:val="2"/>
                <w:sz w:val="24"/>
                <w:szCs w:val="24"/>
                <w:highlight w:val="none"/>
                <w:lang w:val="en-US" w:eastAsia="zh-CN" w:bidi="ar"/>
              </w:rPr>
            </w:pPr>
            <w:r>
              <w:rPr>
                <w:rFonts w:hint="default" w:ascii="Times New Roman" w:hAnsi="Times New Roman" w:eastAsia="宋体" w:cs="Times New Roman"/>
                <w:color w:val="auto"/>
                <w:kern w:val="2"/>
                <w:sz w:val="24"/>
                <w:szCs w:val="24"/>
                <w:highlight w:val="none"/>
                <w:lang w:val="en-US" w:eastAsia="zh-CN" w:bidi="ar"/>
              </w:rPr>
              <w:t>表</w:t>
            </w:r>
            <w:r>
              <w:rPr>
                <w:rFonts w:hint="eastAsia" w:ascii="Calibri" w:hAnsi="Calibri" w:cs="Times New Roman"/>
                <w:color w:val="auto"/>
                <w:sz w:val="24"/>
                <w:highlight w:val="none"/>
                <w:shd w:val="clear" w:color="auto" w:fill="auto"/>
                <w:lang w:val="en-US" w:eastAsia="zh-CN"/>
              </w:rPr>
              <w:t>4-20</w:t>
            </w:r>
            <w:r>
              <w:rPr>
                <w:rFonts w:hint="eastAsia" w:ascii="Times New Roman" w:hAnsi="Times New Roman" w:eastAsia="宋体" w:cs="Times New Roman"/>
                <w:color w:val="auto"/>
                <w:kern w:val="2"/>
                <w:sz w:val="24"/>
                <w:szCs w:val="24"/>
                <w:highlight w:val="none"/>
                <w:lang w:val="en-US" w:eastAsia="zh-CN" w:bidi="ar"/>
              </w:rPr>
              <w:t xml:space="preserve">  </w:t>
            </w:r>
            <w:r>
              <w:rPr>
                <w:rFonts w:hint="default" w:ascii="Times New Roman" w:hAnsi="Times New Roman" w:eastAsia="宋体" w:cs="Times New Roman"/>
                <w:color w:val="auto"/>
                <w:kern w:val="2"/>
                <w:sz w:val="24"/>
                <w:szCs w:val="24"/>
                <w:highlight w:val="none"/>
                <w:lang w:val="en-US" w:eastAsia="zh-CN" w:bidi="ar"/>
              </w:rPr>
              <w:t xml:space="preserve"> 建设项目环境风险潜势划分</w:t>
            </w:r>
          </w:p>
          <w:p w14:paraId="7FBC2414">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center"/>
              <w:rPr>
                <w:rFonts w:hint="default" w:ascii="Times New Roman" w:hAnsi="Times New Roman" w:eastAsia="宋体" w:cs="Times New Roman"/>
                <w:color w:val="auto"/>
                <w:kern w:val="2"/>
                <w:sz w:val="24"/>
                <w:szCs w:val="24"/>
                <w:highlight w:val="none"/>
                <w:lang w:val="en-US" w:eastAsia="zh-CN" w:bidi="ar"/>
              </w:rPr>
            </w:pPr>
            <w:r>
              <w:rPr>
                <w:rFonts w:hint="default" w:ascii="Times New Roman" w:hAnsi="Times New Roman" w:eastAsia="宋体" w:cs="Times New Roman"/>
                <w:color w:val="auto"/>
                <w:highlight w:val="none"/>
              </w:rPr>
              <w:drawing>
                <wp:inline distT="0" distB="0" distL="114300" distR="114300">
                  <wp:extent cx="5066030" cy="1263015"/>
                  <wp:effectExtent l="0" t="0" r="1270" b="13335"/>
                  <wp:docPr id="132"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25"/>
                          <pic:cNvPicPr>
                            <a:picLocks noChangeAspect="1"/>
                          </pic:cNvPicPr>
                        </pic:nvPicPr>
                        <pic:blipFill>
                          <a:blip r:embed="rId24"/>
                          <a:stretch>
                            <a:fillRect/>
                          </a:stretch>
                        </pic:blipFill>
                        <pic:spPr>
                          <a:xfrm>
                            <a:off x="0" y="0"/>
                            <a:ext cx="5066030" cy="1263015"/>
                          </a:xfrm>
                          <a:prstGeom prst="rect">
                            <a:avLst/>
                          </a:prstGeom>
                          <a:noFill/>
                          <a:ln>
                            <a:noFill/>
                          </a:ln>
                        </pic:spPr>
                      </pic:pic>
                    </a:graphicData>
                  </a:graphic>
                </wp:inline>
              </w:drawing>
            </w:r>
          </w:p>
          <w:p w14:paraId="04FDBCCD">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highlight w:val="none"/>
                <w:lang w:val="en-US" w:eastAsia="zh-CN" w:bidi="ar"/>
              </w:rPr>
            </w:pPr>
            <w:r>
              <w:rPr>
                <w:rFonts w:hint="default" w:ascii="Times New Roman" w:hAnsi="Times New Roman" w:eastAsia="宋体" w:cs="Times New Roman"/>
                <w:color w:val="auto"/>
                <w:kern w:val="2"/>
                <w:sz w:val="24"/>
                <w:szCs w:val="24"/>
                <w:highlight w:val="none"/>
                <w:lang w:val="en-US" w:eastAsia="zh-CN" w:bidi="ar"/>
              </w:rPr>
              <w:t>（1）P的分级确定</w:t>
            </w:r>
          </w:p>
          <w:p w14:paraId="41930C11">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highlight w:val="none"/>
                <w:lang w:val="en-US" w:eastAsia="zh-CN" w:bidi="ar"/>
              </w:rPr>
            </w:pPr>
            <w:r>
              <w:rPr>
                <w:rFonts w:hint="default" w:ascii="Times New Roman" w:hAnsi="Times New Roman" w:eastAsia="宋体" w:cs="Times New Roman"/>
                <w:color w:val="auto"/>
                <w:kern w:val="2"/>
                <w:sz w:val="24"/>
                <w:szCs w:val="24"/>
                <w:highlight w:val="none"/>
                <w:lang w:val="en-US" w:eastAsia="zh-CN" w:bidi="ar"/>
              </w:rPr>
              <w:t>分析建设项目生产、使用、储存过程中涉及的有毒有害、易燃易爆物质，参照《建设项目环境风险评价技术导则》（HJ169-2018）附录B确定物质的临界量。定量分析危险物质数量与临界量的比值（Q）和所属行业及生产工艺特点（M），按照导则附录C对危险物质及工艺系统危险性（P）等级进行判断。</w:t>
            </w:r>
          </w:p>
          <w:p w14:paraId="313F8DBB">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highlight w:val="none"/>
                <w:lang w:val="en-US" w:eastAsia="zh-CN" w:bidi="ar"/>
              </w:rPr>
            </w:pPr>
            <w:r>
              <w:rPr>
                <w:rFonts w:hint="default" w:ascii="Times New Roman" w:hAnsi="Times New Roman" w:eastAsia="宋体" w:cs="Times New Roman"/>
                <w:color w:val="auto"/>
                <w:kern w:val="2"/>
                <w:sz w:val="24"/>
                <w:szCs w:val="24"/>
                <w:highlight w:val="none"/>
                <w:lang w:val="en-US" w:eastAsia="zh-CN" w:bidi="ar"/>
              </w:rPr>
              <w:t>（2）E的分级确定</w:t>
            </w:r>
          </w:p>
          <w:p w14:paraId="3F1422B9">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highlight w:val="none"/>
                <w:lang w:val="en-US" w:eastAsia="zh-CN" w:bidi="ar"/>
              </w:rPr>
            </w:pPr>
            <w:r>
              <w:rPr>
                <w:rFonts w:hint="default" w:ascii="Times New Roman" w:hAnsi="Times New Roman" w:eastAsia="宋体" w:cs="Times New Roman"/>
                <w:color w:val="auto"/>
                <w:kern w:val="2"/>
                <w:sz w:val="24"/>
                <w:szCs w:val="24"/>
                <w:highlight w:val="none"/>
                <w:lang w:val="en-US" w:eastAsia="zh-CN" w:bidi="ar"/>
              </w:rPr>
              <w:t>分析危险物质在事故情形下的环境影响途径，如大气、地表水、地下水等，按照附录D对建设项目各要素环境敏感程度（E）等级进行判断。</w:t>
            </w:r>
          </w:p>
          <w:p w14:paraId="173D9D49">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highlight w:val="none"/>
                <w:lang w:val="en-US" w:eastAsia="zh-CN" w:bidi="ar"/>
              </w:rPr>
            </w:pPr>
            <w:r>
              <w:rPr>
                <w:rFonts w:hint="default" w:ascii="Times New Roman" w:hAnsi="Times New Roman" w:eastAsia="宋体" w:cs="Times New Roman"/>
                <w:color w:val="auto"/>
                <w:kern w:val="2"/>
                <w:sz w:val="24"/>
                <w:szCs w:val="24"/>
                <w:highlight w:val="none"/>
                <w:lang w:val="en-US" w:eastAsia="zh-CN" w:bidi="ar"/>
              </w:rPr>
              <w:t>（3）本项目环境风险潜势</w:t>
            </w:r>
          </w:p>
          <w:p w14:paraId="17B2A3EE">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bidi="ar"/>
              </w:rPr>
              <w:t>项目使用的废油为易燃物质，根据《建设项目环境风险评价技术导则》（HJ169-20</w:t>
            </w:r>
            <w:r>
              <w:rPr>
                <w:rFonts w:hint="default" w:ascii="Times New Roman" w:hAnsi="Times New Roman" w:eastAsia="宋体" w:cs="Times New Roman"/>
                <w:b w:val="0"/>
                <w:bCs w:val="0"/>
                <w:color w:val="auto"/>
                <w:sz w:val="24"/>
                <w:szCs w:val="24"/>
                <w:highlight w:val="none"/>
                <w:lang w:val="en-US" w:eastAsia="zh-CN"/>
              </w:rPr>
              <w:t>18）附录B中规定的储存临界量为2500t。本</w:t>
            </w:r>
            <w:r>
              <w:rPr>
                <w:rFonts w:hint="eastAsia" w:ascii="Times New Roman" w:hAnsi="Times New Roman" w:eastAsia="宋体" w:cs="Times New Roman"/>
                <w:b w:val="0"/>
                <w:bCs w:val="0"/>
                <w:color w:val="auto"/>
                <w:sz w:val="24"/>
                <w:szCs w:val="24"/>
                <w:highlight w:val="none"/>
                <w:lang w:val="en-US" w:eastAsia="zh-CN"/>
              </w:rPr>
              <w:t>厂区</w:t>
            </w:r>
            <w:r>
              <w:rPr>
                <w:rFonts w:hint="default" w:ascii="Times New Roman" w:hAnsi="Times New Roman" w:eastAsia="宋体" w:cs="Times New Roman"/>
                <w:b w:val="0"/>
                <w:bCs w:val="0"/>
                <w:color w:val="auto"/>
                <w:sz w:val="24"/>
                <w:szCs w:val="24"/>
                <w:highlight w:val="none"/>
                <w:lang w:val="en-US" w:eastAsia="zh-CN"/>
              </w:rPr>
              <w:t>废</w:t>
            </w:r>
            <w:r>
              <w:rPr>
                <w:rFonts w:hint="eastAsia" w:cs="Times New Roman"/>
                <w:b w:val="0"/>
                <w:bCs w:val="0"/>
                <w:color w:val="auto"/>
                <w:sz w:val="24"/>
                <w:szCs w:val="24"/>
                <w:highlight w:val="none"/>
                <w:lang w:val="en-US" w:eastAsia="zh-CN"/>
              </w:rPr>
              <w:t>机</w:t>
            </w:r>
            <w:r>
              <w:rPr>
                <w:rFonts w:hint="default" w:ascii="Times New Roman" w:hAnsi="Times New Roman" w:eastAsia="宋体" w:cs="Times New Roman"/>
                <w:b w:val="0"/>
                <w:bCs w:val="0"/>
                <w:color w:val="auto"/>
                <w:sz w:val="24"/>
                <w:szCs w:val="24"/>
                <w:highlight w:val="none"/>
                <w:lang w:val="en-US" w:eastAsia="zh-CN"/>
              </w:rPr>
              <w:t>油的最大存储总量为</w:t>
            </w:r>
            <w:r>
              <w:rPr>
                <w:rFonts w:hint="eastAsia" w:ascii="Times New Roman" w:hAnsi="Times New Roman" w:eastAsia="宋体" w:cs="Times New Roman"/>
                <w:b w:val="0"/>
                <w:bCs w:val="0"/>
                <w:color w:val="auto"/>
                <w:sz w:val="24"/>
                <w:szCs w:val="24"/>
                <w:highlight w:val="none"/>
                <w:lang w:val="en-US" w:eastAsia="zh-CN"/>
              </w:rPr>
              <w:t>0.2</w:t>
            </w:r>
            <w:r>
              <w:rPr>
                <w:rFonts w:hint="default" w:ascii="Times New Roman" w:hAnsi="Times New Roman" w:eastAsia="宋体" w:cs="Times New Roman"/>
                <w:b w:val="0"/>
                <w:bCs w:val="0"/>
                <w:color w:val="auto"/>
                <w:sz w:val="24"/>
                <w:szCs w:val="24"/>
                <w:highlight w:val="none"/>
                <w:lang w:val="en-US" w:eastAsia="zh-CN"/>
              </w:rPr>
              <w:t>t/a。因此，本项目危险物质数量与其临界量比值Q为：</w:t>
            </w:r>
          </w:p>
          <w:p w14:paraId="7917F37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position w:val="-28"/>
                <w:sz w:val="24"/>
                <w:szCs w:val="24"/>
                <w:highlight w:val="none"/>
                <w:lang w:val="en-US" w:eastAsia="zh-CN"/>
              </w:rPr>
              <w:object>
                <v:shape id="_x0000_i1031" o:spt="75" type="#_x0000_t75" style="height:33pt;width:128pt;" o:ole="t" filled="f" o:preferrelative="t" stroked="f" coordsize="21600,21600">
                  <v:path/>
                  <v:fill on="f" focussize="0,0"/>
                  <v:stroke on="f"/>
                  <v:imagedata r:id="rId26" o:title=""/>
                  <o:lock v:ext="edit" aspectratio="t"/>
                  <w10:wrap type="none"/>
                  <w10:anchorlock/>
                </v:shape>
                <o:OLEObject Type="Embed" ProgID="Equation.KSEE3" ShapeID="_x0000_i1031" DrawAspect="Content" ObjectID="_1468075731" r:id="rId25">
                  <o:LockedField>false</o:LockedField>
                </o:OLEObject>
              </w:object>
            </w:r>
          </w:p>
          <w:p w14:paraId="10E52C39">
            <w:pPr>
              <w:keepNext w:val="0"/>
              <w:keepLines w:val="0"/>
              <w:widowControl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kern w:val="2"/>
                <w:sz w:val="24"/>
                <w:szCs w:val="24"/>
                <w:highlight w:val="none"/>
                <w:lang w:val="en-US" w:eastAsia="zh-CN" w:bidi="ar"/>
              </w:rPr>
            </w:pPr>
            <w:r>
              <w:rPr>
                <w:rFonts w:hint="default" w:ascii="Times New Roman" w:hAnsi="Times New Roman" w:eastAsia="宋体" w:cs="Times New Roman"/>
                <w:color w:val="auto"/>
                <w:kern w:val="2"/>
                <w:sz w:val="24"/>
                <w:szCs w:val="24"/>
                <w:highlight w:val="none"/>
                <w:lang w:val="en-US" w:eastAsia="zh-CN" w:bidi="ar"/>
              </w:rPr>
              <w:t>式中：q—危险物质的最大存在总量，t</w:t>
            </w:r>
          </w:p>
          <w:p w14:paraId="74AF75B3">
            <w:pPr>
              <w:keepNext w:val="0"/>
              <w:keepLines w:val="0"/>
              <w:widowControl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bidi="ar"/>
              </w:rPr>
              <w:t>Q1—</w:t>
            </w:r>
            <w:r>
              <w:rPr>
                <w:rFonts w:hint="default" w:ascii="Times New Roman" w:hAnsi="Times New Roman" w:eastAsia="宋体" w:cs="Times New Roman"/>
                <w:b w:val="0"/>
                <w:bCs w:val="0"/>
                <w:color w:val="auto"/>
                <w:sz w:val="24"/>
                <w:szCs w:val="24"/>
                <w:highlight w:val="none"/>
                <w:lang w:val="en-US" w:eastAsia="zh-CN"/>
              </w:rPr>
              <w:t>危险物质的临界量，t</w:t>
            </w:r>
          </w:p>
          <w:p w14:paraId="08DD488B">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lang w:val="en-US" w:eastAsia="zh-CN"/>
              </w:rPr>
            </w:pPr>
          </w:p>
          <w:p w14:paraId="643C30D3">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表</w:t>
            </w:r>
            <w:r>
              <w:rPr>
                <w:rFonts w:hint="eastAsia" w:ascii="Calibri" w:hAnsi="Calibri" w:cs="Times New Roman"/>
                <w:color w:val="auto"/>
                <w:sz w:val="24"/>
                <w:highlight w:val="none"/>
                <w:shd w:val="clear" w:color="auto" w:fill="auto"/>
                <w:lang w:val="en-US" w:eastAsia="zh-CN"/>
              </w:rPr>
              <w:t>4-21</w:t>
            </w:r>
            <w:r>
              <w:rPr>
                <w:rFonts w:hint="eastAsia" w:ascii="Times New Roman" w:hAnsi="Times New Roman" w:eastAsia="宋体" w:cs="Times New Roman"/>
                <w:b w:val="0"/>
                <w:bCs w:val="0"/>
                <w:color w:val="auto"/>
                <w:sz w:val="24"/>
                <w:szCs w:val="24"/>
                <w:highlight w:val="none"/>
                <w:lang w:val="en-US" w:eastAsia="zh-CN"/>
              </w:rPr>
              <w:t xml:space="preserve">   </w:t>
            </w:r>
            <w:r>
              <w:rPr>
                <w:rFonts w:hint="default" w:ascii="Times New Roman" w:hAnsi="Times New Roman" w:eastAsia="宋体" w:cs="Times New Roman"/>
                <w:b w:val="0"/>
                <w:bCs w:val="0"/>
                <w:color w:val="auto"/>
                <w:sz w:val="24"/>
                <w:szCs w:val="24"/>
                <w:highlight w:val="none"/>
                <w:lang w:val="en-US" w:eastAsia="zh-CN"/>
              </w:rPr>
              <w:t xml:space="preserve">  建设项目Q值确定值</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7"/>
              <w:gridCol w:w="1336"/>
              <w:gridCol w:w="1562"/>
              <w:gridCol w:w="2084"/>
              <w:gridCol w:w="1055"/>
              <w:gridCol w:w="1625"/>
            </w:tblGrid>
            <w:tr w14:paraId="2BC90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17" w:type="pct"/>
                  <w:noWrap w:val="0"/>
                  <w:vAlign w:val="center"/>
                </w:tcPr>
                <w:p w14:paraId="37210A0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序号</w:t>
                  </w:r>
                </w:p>
              </w:tc>
              <w:tc>
                <w:tcPr>
                  <w:tcW w:w="799" w:type="pct"/>
                  <w:noWrap w:val="0"/>
                  <w:vAlign w:val="center"/>
                </w:tcPr>
                <w:p w14:paraId="23A27BF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名称</w:t>
                  </w:r>
                </w:p>
              </w:tc>
              <w:tc>
                <w:tcPr>
                  <w:tcW w:w="934" w:type="pct"/>
                  <w:noWrap w:val="0"/>
                  <w:vAlign w:val="center"/>
                </w:tcPr>
                <w:p w14:paraId="1FDAF95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风</w:t>
                  </w:r>
                  <w:r>
                    <w:rPr>
                      <w:rFonts w:hint="default" w:ascii="Times New Roman" w:hAnsi="Times New Roman" w:eastAsia="宋体" w:cs="Times New Roman"/>
                      <w:b w:val="0"/>
                      <w:bCs w:val="0"/>
                      <w:color w:val="auto"/>
                      <w:sz w:val="21"/>
                      <w:szCs w:val="21"/>
                      <w:highlight w:val="none"/>
                      <w:vertAlign w:val="baseline"/>
                      <w:lang w:val="en-US" w:eastAsia="zh-CN"/>
                    </w:rPr>
                    <w:t>险物质名称</w:t>
                  </w:r>
                </w:p>
              </w:tc>
              <w:tc>
                <w:tcPr>
                  <w:tcW w:w="1246" w:type="pct"/>
                  <w:noWrap w:val="0"/>
                  <w:vAlign w:val="center"/>
                </w:tcPr>
                <w:p w14:paraId="1559AA3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最大存在总量q</w:t>
                  </w:r>
                  <w:r>
                    <w:rPr>
                      <w:rFonts w:hint="default" w:ascii="Times New Roman" w:hAnsi="Times New Roman" w:eastAsia="宋体" w:cs="Times New Roman"/>
                      <w:b w:val="0"/>
                      <w:bCs w:val="0"/>
                      <w:color w:val="auto"/>
                      <w:sz w:val="21"/>
                      <w:szCs w:val="21"/>
                      <w:highlight w:val="none"/>
                      <w:vertAlign w:val="subscript"/>
                      <w:lang w:val="en-US" w:eastAsia="zh-CN"/>
                    </w:rPr>
                    <w:t>n</w:t>
                  </w:r>
                  <w:r>
                    <w:rPr>
                      <w:rFonts w:hint="default" w:ascii="Times New Roman" w:hAnsi="Times New Roman" w:eastAsia="宋体" w:cs="Times New Roman"/>
                      <w:b w:val="0"/>
                      <w:bCs w:val="0"/>
                      <w:color w:val="auto"/>
                      <w:sz w:val="21"/>
                      <w:szCs w:val="21"/>
                      <w:highlight w:val="none"/>
                      <w:vertAlign w:val="baseline"/>
                      <w:lang w:val="en-US" w:eastAsia="zh-CN"/>
                    </w:rPr>
                    <w:t>/t</w:t>
                  </w:r>
                </w:p>
              </w:tc>
              <w:tc>
                <w:tcPr>
                  <w:tcW w:w="629" w:type="pct"/>
                  <w:noWrap w:val="0"/>
                  <w:vAlign w:val="center"/>
                </w:tcPr>
                <w:p w14:paraId="7B2C0B4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临界量Q</w:t>
                  </w:r>
                  <w:r>
                    <w:rPr>
                      <w:rFonts w:hint="default" w:ascii="Times New Roman" w:hAnsi="Times New Roman" w:eastAsia="宋体" w:cs="Times New Roman"/>
                      <w:b w:val="0"/>
                      <w:bCs w:val="0"/>
                      <w:color w:val="auto"/>
                      <w:sz w:val="21"/>
                      <w:szCs w:val="21"/>
                      <w:highlight w:val="none"/>
                      <w:vertAlign w:val="subscript"/>
                      <w:lang w:val="en-US" w:eastAsia="zh-CN"/>
                    </w:rPr>
                    <w:t>n</w:t>
                  </w:r>
                  <w:r>
                    <w:rPr>
                      <w:rFonts w:hint="default" w:ascii="Times New Roman" w:hAnsi="Times New Roman" w:eastAsia="宋体" w:cs="Times New Roman"/>
                      <w:b w:val="0"/>
                      <w:bCs w:val="0"/>
                      <w:color w:val="auto"/>
                      <w:sz w:val="21"/>
                      <w:szCs w:val="21"/>
                      <w:highlight w:val="none"/>
                      <w:vertAlign w:val="baseline"/>
                      <w:lang w:val="en-US" w:eastAsia="zh-CN"/>
                    </w:rPr>
                    <w:t>/t</w:t>
                  </w:r>
                </w:p>
              </w:tc>
              <w:tc>
                <w:tcPr>
                  <w:tcW w:w="972" w:type="pct"/>
                  <w:noWrap w:val="0"/>
                  <w:vAlign w:val="center"/>
                </w:tcPr>
                <w:p w14:paraId="6338787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该种危险物质Q值</w:t>
                  </w:r>
                </w:p>
              </w:tc>
            </w:tr>
            <w:tr w14:paraId="61509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17" w:type="pct"/>
                  <w:noWrap w:val="0"/>
                  <w:vAlign w:val="center"/>
                </w:tcPr>
                <w:p w14:paraId="7F327CBA">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1</w:t>
                  </w:r>
                </w:p>
              </w:tc>
              <w:tc>
                <w:tcPr>
                  <w:tcW w:w="799" w:type="pct"/>
                  <w:noWrap w:val="0"/>
                  <w:vAlign w:val="center"/>
                </w:tcPr>
                <w:p w14:paraId="65BCE91C">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废机油</w:t>
                  </w:r>
                </w:p>
              </w:tc>
              <w:tc>
                <w:tcPr>
                  <w:tcW w:w="934" w:type="pct"/>
                  <w:noWrap w:val="0"/>
                  <w:vAlign w:val="center"/>
                </w:tcPr>
                <w:p w14:paraId="253A67C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油类物质</w:t>
                  </w:r>
                </w:p>
              </w:tc>
              <w:tc>
                <w:tcPr>
                  <w:tcW w:w="1246" w:type="pct"/>
                  <w:noWrap w:val="0"/>
                  <w:vAlign w:val="center"/>
                </w:tcPr>
                <w:p w14:paraId="44CB8269">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0.2</w:t>
                  </w:r>
                </w:p>
              </w:tc>
              <w:tc>
                <w:tcPr>
                  <w:tcW w:w="629" w:type="pct"/>
                  <w:noWrap w:val="0"/>
                  <w:vAlign w:val="center"/>
                </w:tcPr>
                <w:p w14:paraId="3DC4559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2500</w:t>
                  </w:r>
                </w:p>
              </w:tc>
              <w:tc>
                <w:tcPr>
                  <w:tcW w:w="972" w:type="pct"/>
                  <w:noWrap w:val="0"/>
                  <w:vAlign w:val="center"/>
                </w:tcPr>
                <w:p w14:paraId="14E54D6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0.00004</w:t>
                  </w:r>
                </w:p>
              </w:tc>
            </w:tr>
            <w:tr w14:paraId="63102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27" w:type="pct"/>
                  <w:gridSpan w:val="5"/>
                  <w:noWrap w:val="0"/>
                  <w:vAlign w:val="center"/>
                </w:tcPr>
                <w:p w14:paraId="676C38EF">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项目Q值∑</w:t>
                  </w:r>
                </w:p>
              </w:tc>
              <w:tc>
                <w:tcPr>
                  <w:tcW w:w="972" w:type="pct"/>
                  <w:noWrap w:val="0"/>
                  <w:vAlign w:val="center"/>
                </w:tcPr>
                <w:p w14:paraId="00AFA51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0.00004</w:t>
                  </w:r>
                </w:p>
              </w:tc>
            </w:tr>
          </w:tbl>
          <w:p w14:paraId="4D68E7F5">
            <w:pPr>
              <w:keepNext w:val="0"/>
              <w:keepLines w:val="0"/>
              <w:widowControl w:val="0"/>
              <w:suppressLineNumbers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kern w:val="2"/>
                <w:sz w:val="24"/>
                <w:szCs w:val="24"/>
                <w:highlight w:val="none"/>
                <w:lang w:val="en-US" w:eastAsia="zh-CN" w:bidi="ar"/>
              </w:rPr>
            </w:pPr>
            <w:r>
              <w:rPr>
                <w:rFonts w:hint="eastAsia" w:ascii="Times New Roman" w:hAnsi="Times New Roman" w:eastAsia="宋体" w:cs="Times New Roman"/>
                <w:color w:val="auto"/>
                <w:kern w:val="2"/>
                <w:sz w:val="24"/>
                <w:szCs w:val="24"/>
                <w:highlight w:val="none"/>
                <w:lang w:val="en-US" w:eastAsia="zh-CN" w:bidi="ar"/>
              </w:rPr>
              <w:t>本项目危险物质Q＜1，该项目环境风险潜势为Ⅰ。</w:t>
            </w:r>
          </w:p>
          <w:p w14:paraId="4CF7B722">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highlight w:val="none"/>
                <w:lang w:val="en-US" w:eastAsia="zh-CN" w:bidi="ar"/>
              </w:rPr>
            </w:pPr>
            <w:r>
              <w:rPr>
                <w:rFonts w:hint="eastAsia" w:ascii="Times New Roman" w:hAnsi="Times New Roman" w:eastAsia="宋体" w:cs="Times New Roman"/>
                <w:color w:val="auto"/>
                <w:kern w:val="2"/>
                <w:sz w:val="24"/>
                <w:szCs w:val="24"/>
                <w:highlight w:val="none"/>
                <w:lang w:val="en-US" w:eastAsia="zh-CN" w:bidi="ar"/>
              </w:rPr>
              <w:t>3</w:t>
            </w:r>
            <w:r>
              <w:rPr>
                <w:rFonts w:hint="default" w:ascii="Times New Roman" w:hAnsi="Times New Roman" w:eastAsia="宋体" w:cs="Times New Roman"/>
                <w:color w:val="auto"/>
                <w:kern w:val="2"/>
                <w:sz w:val="24"/>
                <w:szCs w:val="24"/>
                <w:highlight w:val="none"/>
                <w:lang w:val="en-US" w:eastAsia="zh-CN" w:bidi="ar"/>
              </w:rPr>
              <w:t>、评价工作等级判断</w:t>
            </w:r>
          </w:p>
          <w:p w14:paraId="2331387C">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0"/>
                <w:sz w:val="24"/>
                <w:szCs w:val="20"/>
                <w:highlight w:val="none"/>
                <w:lang w:val="en-US" w:eastAsia="zh-CN" w:bidi="ar"/>
              </w:rPr>
            </w:pPr>
            <w:r>
              <w:rPr>
                <w:rFonts w:hint="default" w:ascii="Times New Roman" w:hAnsi="Times New Roman" w:eastAsia="宋体" w:cs="Times New Roman"/>
                <w:color w:val="auto"/>
                <w:kern w:val="2"/>
                <w:sz w:val="24"/>
                <w:szCs w:val="24"/>
                <w:highlight w:val="none"/>
                <w:lang w:val="en-US" w:eastAsia="zh-CN" w:bidi="ar"/>
              </w:rPr>
              <w:t>根据</w:t>
            </w:r>
            <w:r>
              <w:rPr>
                <w:rFonts w:hint="default" w:ascii="Times New Roman" w:hAnsi="Times New Roman" w:eastAsia="宋体" w:cs="Times New Roman"/>
                <w:color w:val="auto"/>
                <w:kern w:val="0"/>
                <w:sz w:val="24"/>
                <w:szCs w:val="20"/>
                <w:highlight w:val="none"/>
                <w:lang w:val="en-US" w:eastAsia="zh-CN" w:bidi="ar"/>
              </w:rPr>
              <w:t>《建设项目环境风险评价技术</w:t>
            </w:r>
            <w:r>
              <w:rPr>
                <w:rFonts w:hint="eastAsia" w:cs="Times New Roman"/>
                <w:color w:val="auto"/>
                <w:kern w:val="0"/>
                <w:sz w:val="24"/>
                <w:szCs w:val="20"/>
                <w:highlight w:val="none"/>
                <w:lang w:val="en-US" w:eastAsia="zh-CN" w:bidi="ar"/>
              </w:rPr>
              <w:t>导则</w:t>
            </w:r>
            <w:r>
              <w:rPr>
                <w:rFonts w:hint="default" w:ascii="Times New Roman" w:hAnsi="Times New Roman" w:eastAsia="宋体" w:cs="Times New Roman"/>
                <w:color w:val="auto"/>
                <w:kern w:val="0"/>
                <w:sz w:val="24"/>
                <w:szCs w:val="20"/>
                <w:highlight w:val="none"/>
                <w:lang w:val="en-US" w:eastAsia="zh-CN" w:bidi="ar"/>
              </w:rPr>
              <w:t>》（HJ169-2018），需按照下表进行风险评价工作等级判断。</w:t>
            </w:r>
          </w:p>
          <w:p w14:paraId="7C6129F3">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color w:val="auto"/>
                <w:kern w:val="2"/>
                <w:sz w:val="24"/>
                <w:szCs w:val="24"/>
                <w:highlight w:val="none"/>
                <w:lang w:val="en-US" w:eastAsia="zh-CN" w:bidi="ar"/>
              </w:rPr>
            </w:pPr>
            <w:r>
              <w:rPr>
                <w:rFonts w:hint="default" w:ascii="Times New Roman" w:hAnsi="Times New Roman" w:eastAsia="宋体" w:cs="Times New Roman"/>
                <w:color w:val="auto"/>
                <w:sz w:val="24"/>
                <w:szCs w:val="24"/>
                <w:highlight w:val="none"/>
                <w:lang w:eastAsia="zh-CN"/>
              </w:rPr>
              <w:t>表</w:t>
            </w:r>
            <w:r>
              <w:rPr>
                <w:rFonts w:hint="eastAsia" w:ascii="Calibri" w:hAnsi="Calibri" w:cs="Times New Roman"/>
                <w:color w:val="auto"/>
                <w:sz w:val="24"/>
                <w:highlight w:val="none"/>
                <w:shd w:val="clear" w:color="auto" w:fill="auto"/>
                <w:lang w:val="en-US" w:eastAsia="zh-CN"/>
              </w:rPr>
              <w:t>4-22</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lang w:val="en-US" w:eastAsia="zh-CN"/>
              </w:rPr>
              <w:t xml:space="preserve"> 评价工作等级划分</w:t>
            </w:r>
          </w:p>
          <w:p w14:paraId="00D20BF6">
            <w:pPr>
              <w:keepNext w:val="0"/>
              <w:keepLines w:val="0"/>
              <w:widowControl w:val="0"/>
              <w:suppressLineNumbers w:val="0"/>
              <w:spacing w:before="0" w:beforeAutospacing="0" w:after="0" w:afterAutospacing="0" w:line="360" w:lineRule="auto"/>
              <w:ind w:left="0" w:leftChars="0" w:right="0" w:firstLine="0" w:firstLineChars="0"/>
              <w:jc w:val="center"/>
              <w:rPr>
                <w:rFonts w:hint="default" w:ascii="Times New Roman" w:hAnsi="Times New Roman" w:eastAsia="宋体" w:cs="Times New Roman"/>
                <w:color w:val="auto"/>
                <w:kern w:val="2"/>
                <w:sz w:val="24"/>
                <w:szCs w:val="24"/>
                <w:highlight w:val="none"/>
                <w:lang w:val="en-US" w:eastAsia="zh-CN" w:bidi="ar"/>
              </w:rPr>
            </w:pPr>
            <w:r>
              <w:rPr>
                <w:rFonts w:hint="default" w:ascii="Times New Roman" w:hAnsi="Times New Roman" w:eastAsia="宋体" w:cs="Times New Roman"/>
                <w:color w:val="auto"/>
                <w:highlight w:val="none"/>
              </w:rPr>
              <w:drawing>
                <wp:inline distT="0" distB="0" distL="114300" distR="114300">
                  <wp:extent cx="5034280" cy="1004570"/>
                  <wp:effectExtent l="0" t="0" r="13970" b="5080"/>
                  <wp:docPr id="133"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27"/>
                          <pic:cNvPicPr>
                            <a:picLocks noChangeAspect="1"/>
                          </pic:cNvPicPr>
                        </pic:nvPicPr>
                        <pic:blipFill>
                          <a:blip r:embed="rId27"/>
                          <a:stretch>
                            <a:fillRect/>
                          </a:stretch>
                        </pic:blipFill>
                        <pic:spPr>
                          <a:xfrm>
                            <a:off x="0" y="0"/>
                            <a:ext cx="5034280" cy="1004570"/>
                          </a:xfrm>
                          <a:prstGeom prst="rect">
                            <a:avLst/>
                          </a:prstGeom>
                          <a:noFill/>
                          <a:ln>
                            <a:noFill/>
                          </a:ln>
                        </pic:spPr>
                      </pic:pic>
                    </a:graphicData>
                  </a:graphic>
                </wp:inline>
              </w:drawing>
            </w:r>
          </w:p>
          <w:p w14:paraId="6B46EA84">
            <w:pPr>
              <w:pStyle w:val="57"/>
              <w:keepNext w:val="0"/>
              <w:keepLines w:val="0"/>
              <w:numPr>
                <w:ilvl w:val="0"/>
                <w:numId w:val="0"/>
              </w:numPr>
              <w:suppressLineNumbers w:val="0"/>
              <w:spacing w:before="0" w:beforeAutospacing="0" w:after="0" w:afterAutospacing="0"/>
              <w:ind w:left="0" w:right="0"/>
              <w:rPr>
                <w:rFonts w:hint="default" w:ascii="Times New Roman" w:hAnsi="Times New Roman" w:eastAsia="宋体" w:cs="Times New Roman"/>
                <w:color w:val="auto"/>
                <w:kern w:val="0"/>
                <w:sz w:val="24"/>
                <w:szCs w:val="20"/>
                <w:highlight w:val="none"/>
                <w:lang w:val="en-US" w:eastAsia="zh-CN" w:bidi="ar"/>
              </w:rPr>
            </w:pPr>
            <w:r>
              <w:rPr>
                <w:rFonts w:hint="default" w:ascii="Times New Roman" w:hAnsi="Times New Roman" w:eastAsia="宋体" w:cs="Times New Roman"/>
                <w:color w:val="auto"/>
                <w:kern w:val="0"/>
                <w:sz w:val="24"/>
                <w:szCs w:val="20"/>
                <w:highlight w:val="none"/>
                <w:lang w:val="en-US" w:eastAsia="zh-CN" w:bidi="ar"/>
              </w:rPr>
              <w:t>本项目</w:t>
            </w:r>
            <w:r>
              <w:rPr>
                <w:rFonts w:hint="default" w:ascii="Times New Roman" w:hAnsi="Times New Roman" w:eastAsia="宋体" w:cs="Times New Roman"/>
                <w:color w:val="auto"/>
                <w:kern w:val="2"/>
                <w:sz w:val="24"/>
                <w:szCs w:val="24"/>
                <w:highlight w:val="none"/>
                <w:lang w:val="en-US" w:eastAsia="zh-CN" w:bidi="ar"/>
              </w:rPr>
              <w:t>环境风险潜势为</w:t>
            </w:r>
            <w:r>
              <w:rPr>
                <w:rFonts w:hint="eastAsia" w:ascii="宋体" w:hAnsi="宋体" w:eastAsia="宋体" w:cs="宋体"/>
                <w:color w:val="auto"/>
                <w:kern w:val="0"/>
                <w:sz w:val="24"/>
                <w:szCs w:val="20"/>
                <w:highlight w:val="none"/>
                <w:lang w:val="en-US" w:eastAsia="zh-CN" w:bidi="ar"/>
              </w:rPr>
              <w:t>Ⅰ</w:t>
            </w:r>
            <w:r>
              <w:rPr>
                <w:rFonts w:hint="default" w:ascii="Times New Roman" w:hAnsi="Times New Roman" w:eastAsia="宋体" w:cs="Times New Roman"/>
                <w:color w:val="auto"/>
                <w:kern w:val="2"/>
                <w:sz w:val="24"/>
                <w:szCs w:val="24"/>
                <w:highlight w:val="none"/>
                <w:lang w:val="en-US" w:eastAsia="zh-CN" w:bidi="ar"/>
              </w:rPr>
              <w:t>，</w:t>
            </w:r>
            <w:r>
              <w:rPr>
                <w:rFonts w:hint="eastAsia" w:ascii="Times New Roman" w:hAnsi="Times New Roman" w:eastAsia="宋体" w:cs="Times New Roman"/>
                <w:color w:val="auto"/>
                <w:kern w:val="2"/>
                <w:sz w:val="24"/>
                <w:szCs w:val="24"/>
                <w:highlight w:val="none"/>
                <w:lang w:val="en-US" w:eastAsia="zh-CN" w:bidi="ar"/>
              </w:rPr>
              <w:t>环境风险进行简单分析</w:t>
            </w:r>
            <w:r>
              <w:rPr>
                <w:rFonts w:hint="default" w:ascii="Times New Roman" w:hAnsi="Times New Roman" w:eastAsia="宋体" w:cs="Times New Roman"/>
                <w:color w:val="auto"/>
                <w:kern w:val="0"/>
                <w:sz w:val="24"/>
                <w:szCs w:val="20"/>
                <w:highlight w:val="none"/>
                <w:lang w:val="en-US" w:eastAsia="zh-CN" w:bidi="ar"/>
              </w:rPr>
              <w:t>。</w:t>
            </w:r>
          </w:p>
          <w:p w14:paraId="47F3DBA9">
            <w:pPr>
              <w:keepNext w:val="0"/>
              <w:keepLines w:val="0"/>
              <w:suppressLineNumbers w:val="0"/>
              <w:spacing w:before="0" w:beforeAutospacing="0" w:after="0" w:afterAutospacing="0"/>
              <w:ind w:left="0" w:right="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表</w:t>
            </w:r>
            <w:r>
              <w:rPr>
                <w:rFonts w:hint="eastAsia" w:ascii="Calibri" w:hAnsi="Calibri" w:cs="Times New Roman"/>
                <w:color w:val="auto"/>
                <w:sz w:val="24"/>
                <w:highlight w:val="none"/>
                <w:shd w:val="clear" w:color="auto" w:fill="auto"/>
                <w:lang w:val="en-US" w:eastAsia="zh-CN"/>
              </w:rPr>
              <w:t>4-23</w:t>
            </w:r>
            <w:r>
              <w:rPr>
                <w:rFonts w:hint="eastAsia" w:ascii="宋体" w:hAnsi="宋体" w:eastAsia="宋体" w:cs="宋体"/>
                <w:b/>
                <w:bCs/>
                <w:color w:val="auto"/>
                <w:sz w:val="24"/>
                <w:highlight w:val="none"/>
              </w:rPr>
              <w:t xml:space="preserve">  建设项目环境风险简单分析表</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996"/>
              <w:gridCol w:w="1132"/>
              <w:gridCol w:w="1304"/>
              <w:gridCol w:w="811"/>
              <w:gridCol w:w="452"/>
              <w:gridCol w:w="398"/>
              <w:gridCol w:w="734"/>
              <w:gridCol w:w="1175"/>
            </w:tblGrid>
            <w:tr w14:paraId="6A7F89B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831" w:hRule="atLeast"/>
                <w:jc w:val="center"/>
              </w:trPr>
              <w:tc>
                <w:tcPr>
                  <w:tcW w:w="1996" w:type="dxa"/>
                  <w:noWrap w:val="0"/>
                  <w:vAlign w:val="center"/>
                </w:tcPr>
                <w:p w14:paraId="2568FB15">
                  <w:pPr>
                    <w:keepNext w:val="0"/>
                    <w:keepLines w:val="0"/>
                    <w:suppressLineNumbers w:val="0"/>
                    <w:spacing w:before="0" w:beforeAutospacing="0" w:after="0" w:afterAutospacing="0"/>
                    <w:ind w:left="0" w:right="0"/>
                    <w:jc w:val="center"/>
                    <w:rPr>
                      <w:rFonts w:hint="eastAsia" w:ascii="宋体" w:hAnsi="宋体" w:eastAsia="宋体" w:cs="宋体"/>
                      <w:color w:val="auto"/>
                      <w:kern w:val="0"/>
                      <w:szCs w:val="21"/>
                      <w:highlight w:val="none"/>
                      <w:lang w:eastAsia="zh-CN"/>
                    </w:rPr>
                  </w:pPr>
                  <w:r>
                    <w:rPr>
                      <w:rFonts w:hint="eastAsia" w:ascii="宋体" w:hAnsi="宋体" w:eastAsia="宋体" w:cs="宋体"/>
                      <w:color w:val="auto"/>
                      <w:kern w:val="0"/>
                      <w:szCs w:val="21"/>
                      <w:highlight w:val="none"/>
                      <w:lang w:eastAsia="zh-CN"/>
                    </w:rPr>
                    <w:t>建设项目名称</w:t>
                  </w:r>
                </w:p>
              </w:tc>
              <w:tc>
                <w:tcPr>
                  <w:tcW w:w="6006" w:type="dxa"/>
                  <w:gridSpan w:val="7"/>
                  <w:noWrap w:val="0"/>
                  <w:vAlign w:val="center"/>
                </w:tcPr>
                <w:p w14:paraId="7B3771AA">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cs="宋体"/>
                      <w:color w:val="auto"/>
                      <w:szCs w:val="21"/>
                      <w:highlight w:val="none"/>
                      <w:shd w:val="clear" w:color="auto" w:fill="auto"/>
                      <w:lang w:eastAsia="zh-CN"/>
                    </w:rPr>
                    <w:t>辽宁金仑矿产品有限责任公司</w:t>
                  </w:r>
                  <w:r>
                    <w:rPr>
                      <w:rFonts w:hint="eastAsia" w:cs="Times New Roman"/>
                      <w:color w:val="auto"/>
                      <w:highlight w:val="none"/>
                      <w:lang w:eastAsia="zh-CN"/>
                    </w:rPr>
                    <w:t>白云石加工</w:t>
                  </w:r>
                  <w:r>
                    <w:rPr>
                      <w:rFonts w:hint="eastAsia" w:ascii="宋体" w:hAnsi="宋体" w:cs="宋体"/>
                      <w:color w:val="auto"/>
                      <w:szCs w:val="21"/>
                      <w:highlight w:val="none"/>
                      <w:shd w:val="clear" w:color="auto" w:fill="auto"/>
                      <w:lang w:eastAsia="zh-CN"/>
                    </w:rPr>
                    <w:t>项目</w:t>
                  </w:r>
                </w:p>
              </w:tc>
            </w:tr>
            <w:tr w14:paraId="42C1049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831" w:hRule="atLeast"/>
                <w:jc w:val="center"/>
              </w:trPr>
              <w:tc>
                <w:tcPr>
                  <w:tcW w:w="1996" w:type="dxa"/>
                  <w:noWrap w:val="0"/>
                  <w:vAlign w:val="center"/>
                </w:tcPr>
                <w:p w14:paraId="32965F9C">
                  <w:pPr>
                    <w:keepNext w:val="0"/>
                    <w:keepLines w:val="0"/>
                    <w:suppressLineNumbers w:val="0"/>
                    <w:spacing w:before="0" w:beforeAutospacing="0" w:after="0" w:afterAutospacing="0"/>
                    <w:ind w:left="0" w:right="0"/>
                    <w:jc w:val="center"/>
                    <w:rPr>
                      <w:rFonts w:hint="eastAsia" w:ascii="宋体" w:hAnsi="宋体" w:eastAsia="宋体" w:cs="宋体"/>
                      <w:color w:val="auto"/>
                      <w:kern w:val="0"/>
                      <w:szCs w:val="21"/>
                      <w:highlight w:val="none"/>
                      <w:lang w:eastAsia="zh-CN"/>
                    </w:rPr>
                  </w:pPr>
                  <w:r>
                    <w:rPr>
                      <w:rFonts w:hint="eastAsia" w:ascii="宋体" w:hAnsi="宋体" w:eastAsia="宋体" w:cs="宋体"/>
                      <w:color w:val="auto"/>
                      <w:kern w:val="0"/>
                      <w:szCs w:val="21"/>
                      <w:highlight w:val="none"/>
                      <w:lang w:eastAsia="zh-CN"/>
                    </w:rPr>
                    <w:t>建设地点</w:t>
                  </w:r>
                </w:p>
              </w:tc>
              <w:tc>
                <w:tcPr>
                  <w:tcW w:w="1132" w:type="dxa"/>
                  <w:noWrap w:val="0"/>
                  <w:vAlign w:val="center"/>
                </w:tcPr>
                <w:p w14:paraId="701B0EB2">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shd w:val="clear" w:color="auto" w:fill="auto"/>
                      <w:lang w:eastAsia="zh-CN"/>
                    </w:rPr>
                  </w:pPr>
                  <w:r>
                    <w:rPr>
                      <w:rFonts w:hint="eastAsia" w:ascii="宋体" w:hAnsi="宋体" w:eastAsia="宋体" w:cs="宋体"/>
                      <w:color w:val="auto"/>
                      <w:szCs w:val="21"/>
                      <w:highlight w:val="none"/>
                      <w:shd w:val="clear" w:color="auto" w:fill="auto"/>
                      <w:lang w:eastAsia="zh-CN"/>
                    </w:rPr>
                    <w:t>辽宁省</w:t>
                  </w:r>
                </w:p>
              </w:tc>
              <w:tc>
                <w:tcPr>
                  <w:tcW w:w="1304" w:type="dxa"/>
                  <w:noWrap w:val="0"/>
                  <w:vAlign w:val="center"/>
                </w:tcPr>
                <w:p w14:paraId="50F48A8D">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shd w:val="clear" w:color="auto" w:fill="auto"/>
                      <w:lang w:eastAsia="zh-CN"/>
                    </w:rPr>
                  </w:pPr>
                  <w:r>
                    <w:rPr>
                      <w:rFonts w:hint="eastAsia" w:ascii="宋体" w:hAnsi="宋体" w:eastAsia="宋体" w:cs="宋体"/>
                      <w:color w:val="auto"/>
                      <w:szCs w:val="21"/>
                      <w:highlight w:val="none"/>
                      <w:shd w:val="clear" w:color="auto" w:fill="auto"/>
                      <w:lang w:eastAsia="zh-CN"/>
                    </w:rPr>
                    <w:t>鞍山市</w:t>
                  </w:r>
                </w:p>
              </w:tc>
              <w:tc>
                <w:tcPr>
                  <w:tcW w:w="1263" w:type="dxa"/>
                  <w:gridSpan w:val="2"/>
                  <w:noWrap w:val="0"/>
                  <w:vAlign w:val="center"/>
                </w:tcPr>
                <w:p w14:paraId="7DEDD859">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shd w:val="clear" w:color="auto" w:fill="auto"/>
                      <w:lang w:eastAsia="zh-CN"/>
                    </w:rPr>
                  </w:pPr>
                  <w:r>
                    <w:rPr>
                      <w:rFonts w:hint="eastAsia" w:ascii="宋体" w:hAnsi="宋体" w:eastAsia="宋体" w:cs="宋体"/>
                      <w:color w:val="auto"/>
                      <w:szCs w:val="21"/>
                      <w:highlight w:val="none"/>
                      <w:shd w:val="clear" w:color="auto" w:fill="auto"/>
                      <w:lang w:eastAsia="zh-CN"/>
                    </w:rPr>
                    <w:t>岫岩满族自治县</w:t>
                  </w:r>
                </w:p>
              </w:tc>
              <w:tc>
                <w:tcPr>
                  <w:tcW w:w="1132" w:type="dxa"/>
                  <w:gridSpan w:val="2"/>
                  <w:noWrap w:val="0"/>
                  <w:vAlign w:val="center"/>
                </w:tcPr>
                <w:p w14:paraId="0CD86BF2">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shd w:val="clear" w:color="auto" w:fill="auto"/>
                      <w:lang w:eastAsia="zh-CN"/>
                    </w:rPr>
                  </w:pPr>
                  <w:r>
                    <w:rPr>
                      <w:rFonts w:hint="eastAsia" w:ascii="宋体" w:hAnsi="宋体" w:cs="宋体"/>
                      <w:color w:val="auto"/>
                      <w:szCs w:val="21"/>
                      <w:highlight w:val="none"/>
                      <w:shd w:val="clear" w:color="auto" w:fill="auto"/>
                      <w:lang w:eastAsia="zh-CN"/>
                    </w:rPr>
                    <w:t>偏岭镇</w:t>
                  </w:r>
                </w:p>
              </w:tc>
              <w:tc>
                <w:tcPr>
                  <w:tcW w:w="1175" w:type="dxa"/>
                  <w:noWrap w:val="0"/>
                  <w:vAlign w:val="center"/>
                </w:tcPr>
                <w:p w14:paraId="0D884596">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shd w:val="clear" w:color="auto" w:fill="auto"/>
                      <w:lang w:eastAsia="zh-CN"/>
                    </w:rPr>
                  </w:pPr>
                  <w:r>
                    <w:rPr>
                      <w:rFonts w:hint="eastAsia" w:cs="Times New Roman"/>
                      <w:color w:val="auto"/>
                      <w:highlight w:val="none"/>
                      <w:lang w:eastAsia="zh-CN"/>
                    </w:rPr>
                    <w:t>王家堡</w:t>
                  </w:r>
                  <w:r>
                    <w:rPr>
                      <w:rFonts w:hint="eastAsia" w:ascii="Calibri" w:hAnsi="Calibri" w:eastAsia="宋体" w:cs="Times New Roman"/>
                      <w:color w:val="auto"/>
                      <w:sz w:val="21"/>
                      <w:szCs w:val="21"/>
                      <w:highlight w:val="none"/>
                      <w:shd w:val="clear" w:color="auto" w:fill="auto"/>
                      <w:lang w:eastAsia="zh-CN"/>
                    </w:rPr>
                    <w:t>村</w:t>
                  </w:r>
                </w:p>
              </w:tc>
            </w:tr>
            <w:tr w14:paraId="605CE70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831" w:hRule="atLeast"/>
                <w:jc w:val="center"/>
              </w:trPr>
              <w:tc>
                <w:tcPr>
                  <w:tcW w:w="1996" w:type="dxa"/>
                  <w:noWrap w:val="0"/>
                  <w:vAlign w:val="center"/>
                </w:tcPr>
                <w:p w14:paraId="7440E6F1">
                  <w:pPr>
                    <w:keepNext w:val="0"/>
                    <w:keepLines w:val="0"/>
                    <w:suppressLineNumbers w:val="0"/>
                    <w:spacing w:before="0" w:beforeAutospacing="0" w:after="0" w:afterAutospacing="0"/>
                    <w:ind w:left="0" w:right="0"/>
                    <w:jc w:val="center"/>
                    <w:rPr>
                      <w:rFonts w:hint="eastAsia" w:ascii="宋体" w:hAnsi="宋体" w:eastAsia="宋体" w:cs="宋体"/>
                      <w:color w:val="auto"/>
                      <w:kern w:val="0"/>
                      <w:szCs w:val="21"/>
                      <w:highlight w:val="none"/>
                      <w:lang w:eastAsia="zh-CN"/>
                    </w:rPr>
                  </w:pPr>
                  <w:r>
                    <w:rPr>
                      <w:rFonts w:hint="eastAsia" w:ascii="宋体" w:hAnsi="宋体" w:eastAsia="宋体" w:cs="宋体"/>
                      <w:color w:val="auto"/>
                      <w:kern w:val="0"/>
                      <w:szCs w:val="21"/>
                      <w:highlight w:val="none"/>
                      <w:lang w:eastAsia="zh-CN"/>
                    </w:rPr>
                    <w:t>地理坐标</w:t>
                  </w:r>
                </w:p>
              </w:tc>
              <w:tc>
                <w:tcPr>
                  <w:tcW w:w="1132" w:type="dxa"/>
                  <w:noWrap w:val="0"/>
                  <w:vAlign w:val="center"/>
                </w:tcPr>
                <w:p w14:paraId="6C27403E">
                  <w:pPr>
                    <w:keepNext w:val="0"/>
                    <w:keepLines w:val="0"/>
                    <w:suppressLineNumbers w:val="0"/>
                    <w:spacing w:before="0" w:beforeAutospacing="0" w:after="0" w:afterAutospacing="0"/>
                    <w:ind w:left="0" w:right="0"/>
                    <w:jc w:val="center"/>
                    <w:rPr>
                      <w:rFonts w:hint="eastAsia" w:ascii="宋体" w:hAnsi="宋体" w:eastAsia="宋体" w:cs="宋体"/>
                      <w:color w:val="auto"/>
                      <w:szCs w:val="21"/>
                      <w:highlight w:val="none"/>
                      <w:shd w:val="clear" w:color="auto" w:fill="auto"/>
                      <w:lang w:eastAsia="zh-CN"/>
                    </w:rPr>
                  </w:pPr>
                  <w:r>
                    <w:rPr>
                      <w:rFonts w:hint="eastAsia" w:ascii="宋体" w:hAnsi="宋体" w:eastAsia="宋体" w:cs="宋体"/>
                      <w:color w:val="auto"/>
                      <w:szCs w:val="21"/>
                      <w:highlight w:val="none"/>
                      <w:shd w:val="clear" w:color="auto" w:fill="auto"/>
                      <w:lang w:eastAsia="zh-CN"/>
                    </w:rPr>
                    <w:t>经度</w:t>
                  </w:r>
                </w:p>
              </w:tc>
              <w:tc>
                <w:tcPr>
                  <w:tcW w:w="2115" w:type="dxa"/>
                  <w:gridSpan w:val="2"/>
                  <w:noWrap w:val="0"/>
                  <w:vAlign w:val="center"/>
                </w:tcPr>
                <w:p w14:paraId="1ADE4F1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shd w:val="clear" w:color="auto" w:fill="auto"/>
                      <w:lang w:val="en-US" w:eastAsia="zh-CN"/>
                    </w:rPr>
                  </w:pPr>
                  <w:r>
                    <w:rPr>
                      <w:rFonts w:hint="default" w:ascii="Times New Roman" w:hAnsi="Times New Roman" w:eastAsia="宋体" w:cs="Times New Roman"/>
                      <w:color w:val="auto"/>
                      <w:szCs w:val="21"/>
                      <w:highlight w:val="none"/>
                      <w:shd w:val="clear" w:color="auto" w:fill="auto"/>
                      <w:lang w:val="en-US" w:eastAsia="zh-CN"/>
                    </w:rPr>
                    <w:t>123°</w:t>
                  </w:r>
                  <w:r>
                    <w:rPr>
                      <w:rFonts w:hint="default" w:ascii="Times New Roman" w:hAnsi="Times New Roman" w:cs="Times New Roman"/>
                      <w:color w:val="auto"/>
                      <w:szCs w:val="21"/>
                      <w:highlight w:val="none"/>
                      <w:u w:val="single"/>
                      <w:lang w:val="en-US" w:eastAsia="zh-CN" w:bidi="ar"/>
                    </w:rPr>
                    <w:t>9</w:t>
                  </w:r>
                  <w:r>
                    <w:rPr>
                      <w:rFonts w:hint="default" w:ascii="Times New Roman" w:hAnsi="Times New Roman" w:eastAsia="宋体" w:cs="Times New Roman"/>
                      <w:color w:val="auto"/>
                      <w:szCs w:val="21"/>
                      <w:highlight w:val="none"/>
                      <w:shd w:val="clear" w:color="auto" w:fill="auto"/>
                      <w:lang w:val="en-US" w:eastAsia="zh-CN"/>
                    </w:rPr>
                    <w:t>′</w:t>
                  </w:r>
                  <w:r>
                    <w:rPr>
                      <w:rFonts w:hint="default" w:ascii="Times New Roman" w:hAnsi="Times New Roman" w:cs="Times New Roman"/>
                      <w:color w:val="auto"/>
                      <w:szCs w:val="21"/>
                      <w:highlight w:val="none"/>
                      <w:shd w:val="clear" w:color="auto" w:fill="auto"/>
                      <w:lang w:val="en-US" w:eastAsia="zh-CN"/>
                    </w:rPr>
                    <w:t>47.659</w:t>
                  </w:r>
                  <w:r>
                    <w:rPr>
                      <w:rFonts w:hint="default" w:ascii="Times New Roman" w:hAnsi="Times New Roman" w:eastAsia="宋体" w:cs="Times New Roman"/>
                      <w:color w:val="auto"/>
                      <w:szCs w:val="21"/>
                      <w:highlight w:val="none"/>
                      <w:shd w:val="clear" w:color="auto" w:fill="auto"/>
                      <w:lang w:val="en-US" w:eastAsia="zh-CN"/>
                    </w:rPr>
                    <w:t>″</w:t>
                  </w:r>
                </w:p>
              </w:tc>
              <w:tc>
                <w:tcPr>
                  <w:tcW w:w="850" w:type="dxa"/>
                  <w:gridSpan w:val="2"/>
                  <w:noWrap w:val="0"/>
                  <w:vAlign w:val="center"/>
                </w:tcPr>
                <w:p w14:paraId="22B8F2A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shd w:val="clear" w:color="auto" w:fill="auto"/>
                    </w:rPr>
                  </w:pPr>
                  <w:r>
                    <w:rPr>
                      <w:rFonts w:hint="default" w:ascii="Times New Roman" w:hAnsi="Times New Roman" w:eastAsia="宋体" w:cs="Times New Roman"/>
                      <w:color w:val="auto"/>
                      <w:szCs w:val="21"/>
                      <w:highlight w:val="none"/>
                      <w:shd w:val="clear" w:color="auto" w:fill="auto"/>
                      <w:lang w:eastAsia="zh-CN"/>
                    </w:rPr>
                    <w:t>纬度</w:t>
                  </w:r>
                </w:p>
              </w:tc>
              <w:tc>
                <w:tcPr>
                  <w:tcW w:w="1909" w:type="dxa"/>
                  <w:gridSpan w:val="2"/>
                  <w:noWrap w:val="0"/>
                  <w:vAlign w:val="center"/>
                </w:tcPr>
                <w:p w14:paraId="123E687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shd w:val="clear" w:color="auto" w:fill="auto"/>
                      <w:lang w:val="en-US" w:eastAsia="zh-CN"/>
                    </w:rPr>
                  </w:pPr>
                  <w:r>
                    <w:rPr>
                      <w:rFonts w:hint="default" w:ascii="Times New Roman" w:hAnsi="Times New Roman" w:eastAsia="宋体" w:cs="Times New Roman"/>
                      <w:color w:val="auto"/>
                      <w:szCs w:val="21"/>
                      <w:highlight w:val="none"/>
                      <w:shd w:val="clear" w:color="auto" w:fill="auto"/>
                      <w:lang w:val="en-US" w:eastAsia="zh-CN"/>
                    </w:rPr>
                    <w:t>40°</w:t>
                  </w:r>
                  <w:r>
                    <w:rPr>
                      <w:rFonts w:hint="default" w:ascii="Times New Roman" w:hAnsi="Times New Roman" w:cs="Times New Roman"/>
                      <w:color w:val="auto"/>
                      <w:szCs w:val="21"/>
                      <w:highlight w:val="none"/>
                      <w:shd w:val="clear" w:color="auto" w:fill="auto"/>
                      <w:lang w:val="en-US" w:eastAsia="zh-CN"/>
                    </w:rPr>
                    <w:t>28</w:t>
                  </w:r>
                  <w:r>
                    <w:rPr>
                      <w:rFonts w:hint="default" w:ascii="Times New Roman" w:hAnsi="Times New Roman" w:eastAsia="宋体" w:cs="Times New Roman"/>
                      <w:color w:val="auto"/>
                      <w:szCs w:val="21"/>
                      <w:highlight w:val="none"/>
                      <w:shd w:val="clear" w:color="auto" w:fill="auto"/>
                      <w:lang w:val="en-US" w:eastAsia="zh-CN"/>
                    </w:rPr>
                    <w:t>′</w:t>
                  </w:r>
                  <w:r>
                    <w:rPr>
                      <w:rFonts w:hint="default" w:ascii="Times New Roman" w:hAnsi="Times New Roman" w:cs="Times New Roman"/>
                      <w:color w:val="auto"/>
                      <w:szCs w:val="21"/>
                      <w:highlight w:val="none"/>
                      <w:shd w:val="clear" w:color="auto" w:fill="auto"/>
                      <w:lang w:val="en-US" w:eastAsia="zh-CN"/>
                    </w:rPr>
                    <w:t>27.273</w:t>
                  </w:r>
                  <w:r>
                    <w:rPr>
                      <w:rFonts w:hint="default" w:ascii="Times New Roman" w:hAnsi="Times New Roman" w:eastAsia="宋体" w:cs="Times New Roman"/>
                      <w:color w:val="auto"/>
                      <w:szCs w:val="21"/>
                      <w:highlight w:val="none"/>
                      <w:shd w:val="clear" w:color="auto" w:fill="auto"/>
                      <w:lang w:val="en-US" w:eastAsia="zh-CN"/>
                    </w:rPr>
                    <w:t>″</w:t>
                  </w:r>
                </w:p>
              </w:tc>
            </w:tr>
            <w:tr w14:paraId="0EA0353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831" w:hRule="atLeast"/>
                <w:jc w:val="center"/>
              </w:trPr>
              <w:tc>
                <w:tcPr>
                  <w:tcW w:w="1996" w:type="dxa"/>
                  <w:noWrap w:val="0"/>
                  <w:vAlign w:val="center"/>
                </w:tcPr>
                <w:p w14:paraId="715B3254">
                  <w:pPr>
                    <w:keepNext w:val="0"/>
                    <w:keepLines w:val="0"/>
                    <w:suppressLineNumbers w:val="0"/>
                    <w:spacing w:before="0" w:beforeAutospacing="0" w:after="0" w:afterAutospacing="0"/>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主要危险物质及分布</w:t>
                  </w:r>
                </w:p>
              </w:tc>
              <w:tc>
                <w:tcPr>
                  <w:tcW w:w="6006" w:type="dxa"/>
                  <w:gridSpan w:val="7"/>
                  <w:noWrap w:val="0"/>
                  <w:vAlign w:val="center"/>
                </w:tcPr>
                <w:p w14:paraId="1FDE6C38">
                  <w:pPr>
                    <w:keepNext w:val="0"/>
                    <w:keepLines w:val="0"/>
                    <w:suppressLineNumbers w:val="0"/>
                    <w:spacing w:before="0" w:beforeAutospacing="0" w:after="0" w:afterAutospacing="0"/>
                    <w:ind w:left="0" w:right="0"/>
                    <w:jc w:val="left"/>
                    <w:rPr>
                      <w:rFonts w:hint="eastAsia" w:ascii="宋体" w:hAnsi="宋体" w:eastAsia="宋体" w:cs="宋体"/>
                      <w:color w:val="auto"/>
                      <w:kern w:val="0"/>
                      <w:szCs w:val="21"/>
                      <w:highlight w:val="none"/>
                      <w:lang w:eastAsia="zh-CN"/>
                    </w:rPr>
                  </w:pPr>
                  <w:r>
                    <w:rPr>
                      <w:rFonts w:hint="eastAsia" w:ascii="Times New Roman" w:hAnsi="Times New Roman" w:eastAsia="宋体" w:cs="Times New Roman"/>
                      <w:b w:val="0"/>
                      <w:bCs w:val="0"/>
                      <w:color w:val="auto"/>
                      <w:sz w:val="21"/>
                      <w:szCs w:val="21"/>
                      <w:highlight w:val="none"/>
                      <w:vertAlign w:val="baseline"/>
                      <w:lang w:val="en-US" w:eastAsia="zh-CN"/>
                    </w:rPr>
                    <w:t>废机油</w:t>
                  </w:r>
                  <w:r>
                    <w:rPr>
                      <w:rFonts w:hint="eastAsia" w:ascii="宋体" w:hAnsi="宋体" w:eastAsia="宋体" w:cs="宋体"/>
                      <w:color w:val="auto"/>
                      <w:kern w:val="0"/>
                      <w:szCs w:val="21"/>
                      <w:highlight w:val="none"/>
                      <w:lang w:eastAsia="zh-CN"/>
                    </w:rPr>
                    <w:t>，危险废物贮存点</w:t>
                  </w:r>
                </w:p>
              </w:tc>
            </w:tr>
            <w:tr w14:paraId="6FC5780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168" w:hRule="atLeast"/>
                <w:jc w:val="center"/>
              </w:trPr>
              <w:tc>
                <w:tcPr>
                  <w:tcW w:w="1996" w:type="dxa"/>
                  <w:noWrap w:val="0"/>
                  <w:vAlign w:val="center"/>
                </w:tcPr>
                <w:p w14:paraId="665384F6">
                  <w:pPr>
                    <w:keepNext w:val="0"/>
                    <w:keepLines w:val="0"/>
                    <w:suppressLineNumbers w:val="0"/>
                    <w:spacing w:before="0" w:beforeAutospacing="0" w:after="0" w:afterAutospacing="0"/>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环境影响途径及危害后果（大气、地表水、地下水等）</w:t>
                  </w:r>
                </w:p>
              </w:tc>
              <w:tc>
                <w:tcPr>
                  <w:tcW w:w="6006" w:type="dxa"/>
                  <w:gridSpan w:val="7"/>
                  <w:noWrap w:val="0"/>
                  <w:vAlign w:val="center"/>
                </w:tcPr>
                <w:p w14:paraId="13E00795">
                  <w:pPr>
                    <w:keepNext w:val="0"/>
                    <w:keepLines w:val="0"/>
                    <w:suppressLineNumbers w:val="0"/>
                    <w:spacing w:before="0" w:beforeAutospacing="0" w:after="0" w:afterAutospacing="0"/>
                    <w:ind w:left="0" w:right="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val="en-US" w:eastAsia="zh-CN"/>
                    </w:rPr>
                    <w:t>泄漏</w:t>
                  </w:r>
                  <w:r>
                    <w:rPr>
                      <w:rFonts w:hint="default" w:ascii="宋体" w:hAnsi="宋体" w:eastAsia="宋体" w:cs="宋体"/>
                      <w:color w:val="auto"/>
                      <w:kern w:val="0"/>
                      <w:szCs w:val="21"/>
                      <w:highlight w:val="none"/>
                      <w:lang w:val="en-US" w:eastAsia="zh-CN"/>
                    </w:rPr>
                    <w:t>对周围</w:t>
                  </w:r>
                  <w:r>
                    <w:rPr>
                      <w:rFonts w:hint="eastAsia" w:ascii="宋体" w:hAnsi="宋体" w:eastAsia="宋体" w:cs="宋体"/>
                      <w:color w:val="auto"/>
                      <w:kern w:val="0"/>
                      <w:szCs w:val="21"/>
                      <w:highlight w:val="none"/>
                      <w:lang w:val="en-US" w:eastAsia="zh-CN"/>
                    </w:rPr>
                    <w:t>水</w:t>
                  </w:r>
                  <w:r>
                    <w:rPr>
                      <w:rFonts w:hint="default" w:ascii="宋体" w:hAnsi="宋体" w:eastAsia="宋体" w:cs="宋体"/>
                      <w:color w:val="auto"/>
                      <w:kern w:val="0"/>
                      <w:szCs w:val="21"/>
                      <w:highlight w:val="none"/>
                      <w:lang w:val="en-US" w:eastAsia="zh-CN"/>
                    </w:rPr>
                    <w:t>环境</w:t>
                  </w:r>
                  <w:r>
                    <w:rPr>
                      <w:rFonts w:hint="eastAsia" w:ascii="宋体" w:hAnsi="宋体" w:eastAsia="宋体" w:cs="宋体"/>
                      <w:color w:val="auto"/>
                      <w:kern w:val="0"/>
                      <w:szCs w:val="21"/>
                      <w:highlight w:val="none"/>
                      <w:lang w:val="en-US" w:eastAsia="zh-CN"/>
                    </w:rPr>
                    <w:t>和土壤环境产生</w:t>
                  </w:r>
                  <w:r>
                    <w:rPr>
                      <w:rFonts w:hint="default" w:ascii="宋体" w:hAnsi="宋体" w:eastAsia="宋体" w:cs="宋体"/>
                      <w:color w:val="auto"/>
                      <w:kern w:val="0"/>
                      <w:szCs w:val="21"/>
                      <w:highlight w:val="none"/>
                      <w:lang w:val="en-US" w:eastAsia="zh-CN"/>
                    </w:rPr>
                    <w:t>影响</w:t>
                  </w:r>
                  <w:r>
                    <w:rPr>
                      <w:rFonts w:hint="eastAsia" w:ascii="宋体" w:hAnsi="宋体" w:eastAsia="宋体" w:cs="宋体"/>
                      <w:color w:val="auto"/>
                      <w:kern w:val="0"/>
                      <w:szCs w:val="21"/>
                      <w:highlight w:val="none"/>
                    </w:rPr>
                    <w:t>。</w:t>
                  </w:r>
                </w:p>
              </w:tc>
            </w:tr>
            <w:tr w14:paraId="4D0ED99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996" w:type="dxa"/>
                  <w:noWrap w:val="0"/>
                  <w:vAlign w:val="center"/>
                </w:tcPr>
                <w:p w14:paraId="015E7988">
                  <w:pPr>
                    <w:keepNext w:val="0"/>
                    <w:keepLines w:val="0"/>
                    <w:suppressLineNumbers w:val="0"/>
                    <w:spacing w:before="0" w:beforeAutospacing="0" w:after="0" w:afterAutospacing="0"/>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风险防范措施要求</w:t>
                  </w:r>
                </w:p>
              </w:tc>
              <w:tc>
                <w:tcPr>
                  <w:tcW w:w="6006" w:type="dxa"/>
                  <w:gridSpan w:val="7"/>
                  <w:noWrap w:val="0"/>
                  <w:vAlign w:val="center"/>
                </w:tcPr>
                <w:p w14:paraId="3F2EF02A">
                  <w:pPr>
                    <w:keepNext w:val="0"/>
                    <w:keepLines w:val="0"/>
                    <w:suppressLineNumbers w:val="0"/>
                    <w:spacing w:before="0" w:beforeAutospacing="0" w:after="0" w:afterAutospacing="0"/>
                    <w:ind w:left="0" w:right="0"/>
                    <w:jc w:val="both"/>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（1）</w:t>
                  </w:r>
                  <w:r>
                    <w:rPr>
                      <w:rFonts w:hint="eastAsia" w:ascii="Times New Roman" w:hAnsi="Times New Roman" w:cs="Times New Roman"/>
                      <w:b w:val="0"/>
                      <w:bCs w:val="0"/>
                      <w:color w:val="auto"/>
                      <w:sz w:val="21"/>
                      <w:szCs w:val="21"/>
                      <w:highlight w:val="none"/>
                      <w:vertAlign w:val="baseline"/>
                      <w:lang w:val="en-US" w:eastAsia="zh-CN"/>
                    </w:rPr>
                    <w:t>危废贮存点应按照《危险废物贮存污染控制标准》（GB18597-2023）的相关规定进行设置，各类危险废物应分类分开存放，并设置围堰。</w:t>
                  </w:r>
                </w:p>
                <w:p w14:paraId="675B7AB5">
                  <w:pPr>
                    <w:keepNext w:val="0"/>
                    <w:keepLines w:val="0"/>
                    <w:suppressLineNumbers w:val="0"/>
                    <w:spacing w:before="0" w:beforeAutospacing="0" w:after="0" w:afterAutospacing="0"/>
                    <w:ind w:left="0" w:right="0"/>
                    <w:jc w:val="both"/>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（2）废油储存应放入容器内，</w:t>
                  </w:r>
                  <w:r>
                    <w:rPr>
                      <w:rFonts w:hint="eastAsia" w:ascii="Times New Roman" w:hAnsi="Times New Roman" w:cs="Times New Roman"/>
                      <w:b w:val="0"/>
                      <w:bCs w:val="0"/>
                      <w:color w:val="auto"/>
                      <w:sz w:val="21"/>
                      <w:szCs w:val="21"/>
                      <w:highlight w:val="none"/>
                      <w:vertAlign w:val="baseline"/>
                      <w:lang w:val="en-US" w:eastAsia="zh-CN"/>
                    </w:rPr>
                    <w:t>危废贮存点地面做耐腐蚀、防渗漏处理，贮存设施地面与裙脚采取表面防渗措施</w:t>
                  </w:r>
                  <w:r>
                    <w:rPr>
                      <w:rFonts w:hint="eastAsia" w:ascii="Times New Roman" w:hAnsi="Times New Roman" w:eastAsia="宋体" w:cs="Times New Roman"/>
                      <w:b w:val="0"/>
                      <w:bCs w:val="0"/>
                      <w:color w:val="auto"/>
                      <w:sz w:val="21"/>
                      <w:szCs w:val="21"/>
                      <w:highlight w:val="none"/>
                      <w:vertAlign w:val="baseline"/>
                      <w:lang w:val="en-US" w:eastAsia="zh-CN"/>
                    </w:rPr>
                    <w:t>。</w:t>
                  </w:r>
                </w:p>
                <w:p w14:paraId="7D359898">
                  <w:pPr>
                    <w:keepNext w:val="0"/>
                    <w:keepLines w:val="0"/>
                    <w:suppressLineNumbers w:val="0"/>
                    <w:spacing w:before="0" w:beforeAutospacing="0" w:after="0" w:afterAutospacing="0"/>
                    <w:ind w:left="0" w:right="0"/>
                    <w:jc w:val="both"/>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（3）</w:t>
                  </w:r>
                  <w:r>
                    <w:rPr>
                      <w:rFonts w:hint="eastAsia" w:ascii="Calibri" w:hAnsi="Calibri" w:eastAsia="宋体" w:cs="Times New Roman"/>
                      <w:color w:val="auto"/>
                      <w:sz w:val="21"/>
                      <w:szCs w:val="21"/>
                      <w:highlight w:val="none"/>
                      <w:lang w:eastAsia="zh-CN"/>
                    </w:rPr>
                    <w:t>危废暂存设施要求设置危险废物标识，具备防风、防雨、防晒、防渗、防漏、防腐功能并做到危险废物分类隔离贮存，地面硬化并进行</w:t>
                  </w:r>
                  <w:r>
                    <w:rPr>
                      <w:rFonts w:hint="eastAsia" w:ascii="Calibri" w:hAnsi="Calibri" w:eastAsia="宋体" w:cs="Times New Roman"/>
                      <w:color w:val="auto"/>
                      <w:highlight w:val="none"/>
                      <w:lang w:eastAsia="zh-CN"/>
                    </w:rPr>
                    <w:t>重点</w:t>
                  </w:r>
                  <w:r>
                    <w:rPr>
                      <w:rFonts w:hint="eastAsia" w:ascii="Calibri" w:hAnsi="Calibri" w:eastAsia="宋体" w:cs="Times New Roman"/>
                      <w:color w:val="auto"/>
                      <w:sz w:val="21"/>
                      <w:szCs w:val="21"/>
                      <w:highlight w:val="none"/>
                      <w:lang w:eastAsia="zh-CN"/>
                    </w:rPr>
                    <w:t>防渗、防漏处理，避免由于雨水淋溶、渗透等原因对地下水、地表水产生不利影响</w:t>
                  </w:r>
                  <w:r>
                    <w:rPr>
                      <w:rFonts w:hint="default" w:ascii="Times New Roman" w:hAnsi="Times New Roman" w:eastAsia="宋体" w:cs="Times New Roman"/>
                      <w:b w:val="0"/>
                      <w:bCs w:val="0"/>
                      <w:color w:val="auto"/>
                      <w:sz w:val="21"/>
                      <w:szCs w:val="21"/>
                      <w:highlight w:val="none"/>
                      <w:vertAlign w:val="baseline"/>
                      <w:lang w:val="en-US" w:eastAsia="zh-CN"/>
                    </w:rPr>
                    <w:t>。</w:t>
                  </w:r>
                </w:p>
                <w:p w14:paraId="2B1DB52D">
                  <w:pPr>
                    <w:keepNext w:val="0"/>
                    <w:keepLines w:val="0"/>
                    <w:suppressLineNumbers w:val="0"/>
                    <w:spacing w:before="0" w:beforeAutospacing="0" w:after="0" w:afterAutospacing="0"/>
                    <w:ind w:left="0" w:right="0"/>
                    <w:jc w:val="both"/>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w:t>
                  </w:r>
                  <w:r>
                    <w:rPr>
                      <w:rFonts w:hint="eastAsia" w:cs="Times New Roman"/>
                      <w:b w:val="0"/>
                      <w:bCs w:val="0"/>
                      <w:color w:val="auto"/>
                      <w:sz w:val="21"/>
                      <w:szCs w:val="21"/>
                      <w:highlight w:val="none"/>
                      <w:vertAlign w:val="baseline"/>
                      <w:lang w:val="en-US" w:eastAsia="zh-CN"/>
                    </w:rPr>
                    <w:t>4</w:t>
                  </w:r>
                  <w:r>
                    <w:rPr>
                      <w:rFonts w:hint="eastAsia" w:ascii="Times New Roman" w:hAnsi="Times New Roman" w:eastAsia="宋体" w:cs="Times New Roman"/>
                      <w:b w:val="0"/>
                      <w:bCs w:val="0"/>
                      <w:color w:val="auto"/>
                      <w:sz w:val="21"/>
                      <w:szCs w:val="21"/>
                      <w:highlight w:val="none"/>
                      <w:vertAlign w:val="baseline"/>
                      <w:lang w:val="en-US" w:eastAsia="zh-CN"/>
                    </w:rPr>
                    <w:t>）</w:t>
                  </w:r>
                  <w:r>
                    <w:rPr>
                      <w:rFonts w:hint="default" w:ascii="Times New Roman" w:hAnsi="Times New Roman" w:eastAsia="宋体" w:cs="Times New Roman"/>
                      <w:b w:val="0"/>
                      <w:bCs w:val="0"/>
                      <w:color w:val="auto"/>
                      <w:sz w:val="21"/>
                      <w:szCs w:val="21"/>
                      <w:highlight w:val="none"/>
                      <w:vertAlign w:val="baseline"/>
                      <w:lang w:val="en-US" w:eastAsia="zh-CN"/>
                    </w:rPr>
                    <w:t>泄漏</w:t>
                  </w:r>
                  <w:r>
                    <w:rPr>
                      <w:rFonts w:hint="eastAsia" w:ascii="Times New Roman" w:hAnsi="Times New Roman" w:eastAsia="宋体" w:cs="Times New Roman"/>
                      <w:b w:val="0"/>
                      <w:bCs w:val="0"/>
                      <w:color w:val="auto"/>
                      <w:sz w:val="21"/>
                      <w:szCs w:val="21"/>
                      <w:highlight w:val="none"/>
                      <w:vertAlign w:val="baseline"/>
                      <w:lang w:val="en-US" w:eastAsia="zh-CN"/>
                    </w:rPr>
                    <w:t>：</w:t>
                  </w:r>
                  <w:r>
                    <w:rPr>
                      <w:rFonts w:ascii="Times New Roman" w:hAnsi="Times New Roman" w:eastAsia="宋体" w:cs="Times New Roman"/>
                      <w:color w:val="auto"/>
                      <w:sz w:val="21"/>
                      <w:szCs w:val="21"/>
                      <w:highlight w:val="none"/>
                    </w:rPr>
                    <w:t>用工业覆盖层或吸附/吸收剂盖住泄漏点附近的下水道等地方，</w:t>
                  </w:r>
                  <w:r>
                    <w:rPr>
                      <w:rFonts w:hint="eastAsia" w:ascii="Calibri" w:hAnsi="Calibri" w:eastAsia="宋体" w:cs="Times New Roman"/>
                      <w:color w:val="auto"/>
                      <w:highlight w:val="none"/>
                      <w:lang w:eastAsia="zh-CN"/>
                    </w:rPr>
                    <w:t>由专门的吸油材料或者砂土吸附，收集，存储</w:t>
                  </w:r>
                  <w:r>
                    <w:rPr>
                      <w:rFonts w:ascii="Times New Roman" w:hAnsi="Times New Roman" w:eastAsia="宋体" w:cs="Times New Roman"/>
                      <w:color w:val="auto"/>
                      <w:sz w:val="21"/>
                      <w:szCs w:val="21"/>
                      <w:highlight w:val="none"/>
                    </w:rPr>
                    <w:t>防止进入</w:t>
                  </w:r>
                  <w:r>
                    <w:rPr>
                      <w:rFonts w:hint="default" w:ascii="Times New Roman" w:hAnsi="Times New Roman" w:eastAsia="宋体" w:cs="Times New Roman"/>
                      <w:b w:val="0"/>
                      <w:bCs w:val="0"/>
                      <w:color w:val="auto"/>
                      <w:sz w:val="21"/>
                      <w:szCs w:val="21"/>
                      <w:highlight w:val="none"/>
                      <w:vertAlign w:val="baseline"/>
                      <w:lang w:val="en-US" w:eastAsia="zh-CN"/>
                    </w:rPr>
                    <w:t>。</w:t>
                  </w:r>
                </w:p>
                <w:p w14:paraId="4EC255F6">
                  <w:pPr>
                    <w:keepNext w:val="0"/>
                    <w:keepLines w:val="0"/>
                    <w:suppressLineNumbers w:val="0"/>
                    <w:spacing w:before="0" w:beforeAutospacing="0" w:after="0" w:afterAutospacing="0"/>
                    <w:ind w:left="0" w:right="0"/>
                    <w:jc w:val="both"/>
                    <w:rPr>
                      <w:rFonts w:hint="eastAsia" w:ascii="Times New Roman" w:hAnsi="Times New Roman"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w:t>
                  </w:r>
                  <w:r>
                    <w:rPr>
                      <w:rFonts w:hint="eastAsia" w:cs="Times New Roman"/>
                      <w:b w:val="0"/>
                      <w:bCs w:val="0"/>
                      <w:color w:val="auto"/>
                      <w:sz w:val="21"/>
                      <w:szCs w:val="21"/>
                      <w:highlight w:val="none"/>
                      <w:vertAlign w:val="baseline"/>
                      <w:lang w:val="en-US" w:eastAsia="zh-CN"/>
                    </w:rPr>
                    <w:t>5</w:t>
                  </w:r>
                  <w:r>
                    <w:rPr>
                      <w:rFonts w:hint="eastAsia" w:ascii="Times New Roman" w:hAnsi="Times New Roman" w:eastAsia="宋体" w:cs="Times New Roman"/>
                      <w:b w:val="0"/>
                      <w:bCs w:val="0"/>
                      <w:color w:val="auto"/>
                      <w:sz w:val="21"/>
                      <w:szCs w:val="21"/>
                      <w:highlight w:val="none"/>
                      <w:vertAlign w:val="baseline"/>
                      <w:lang w:val="en-US" w:eastAsia="zh-CN"/>
                    </w:rPr>
                    <w:t>）</w:t>
                  </w:r>
                  <w:r>
                    <w:rPr>
                      <w:rFonts w:hint="eastAsia" w:ascii="Times New Roman" w:hAnsi="Times New Roman" w:cs="Times New Roman"/>
                      <w:b w:val="0"/>
                      <w:bCs w:val="0"/>
                      <w:color w:val="auto"/>
                      <w:sz w:val="21"/>
                      <w:szCs w:val="21"/>
                      <w:highlight w:val="none"/>
                      <w:vertAlign w:val="baseline"/>
                      <w:lang w:val="en-US" w:eastAsia="zh-CN"/>
                    </w:rPr>
                    <w:t>必须组织专门人员每天每班多次进行周期性巡回检查，加强贮存区的安全运行管理，防患于未然。</w:t>
                  </w:r>
                </w:p>
                <w:p w14:paraId="4F4BBE68">
                  <w:pPr>
                    <w:keepNext w:val="0"/>
                    <w:keepLines w:val="0"/>
                    <w:suppressLineNumbers w:val="0"/>
                    <w:spacing w:before="0" w:beforeAutospacing="0" w:after="0" w:afterAutospacing="0"/>
                    <w:ind w:left="0" w:right="0"/>
                    <w:jc w:val="both"/>
                    <w:rPr>
                      <w:rFonts w:hint="eastAsia" w:ascii="Times New Roman" w:hAnsi="Times New Roman"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w:t>
                  </w:r>
                  <w:r>
                    <w:rPr>
                      <w:rFonts w:hint="eastAsia" w:cs="Times New Roman"/>
                      <w:b w:val="0"/>
                      <w:bCs w:val="0"/>
                      <w:color w:val="auto"/>
                      <w:sz w:val="21"/>
                      <w:szCs w:val="21"/>
                      <w:highlight w:val="none"/>
                      <w:vertAlign w:val="baseline"/>
                      <w:lang w:val="en-US" w:eastAsia="zh-CN"/>
                    </w:rPr>
                    <w:t>6</w:t>
                  </w:r>
                  <w:r>
                    <w:rPr>
                      <w:rFonts w:hint="eastAsia" w:ascii="Times New Roman" w:hAnsi="Times New Roman" w:eastAsia="宋体" w:cs="Times New Roman"/>
                      <w:b w:val="0"/>
                      <w:bCs w:val="0"/>
                      <w:color w:val="auto"/>
                      <w:sz w:val="21"/>
                      <w:szCs w:val="21"/>
                      <w:highlight w:val="none"/>
                      <w:vertAlign w:val="baseline"/>
                      <w:lang w:val="en-US" w:eastAsia="zh-CN"/>
                    </w:rPr>
                    <w:t>）</w:t>
                  </w:r>
                  <w:r>
                    <w:rPr>
                      <w:rFonts w:hint="eastAsia" w:ascii="Times New Roman" w:hAnsi="Times New Roman" w:cs="Times New Roman"/>
                      <w:b w:val="0"/>
                      <w:bCs w:val="0"/>
                      <w:color w:val="auto"/>
                      <w:sz w:val="21"/>
                      <w:szCs w:val="21"/>
                      <w:highlight w:val="none"/>
                      <w:vertAlign w:val="baseline"/>
                      <w:lang w:val="en-US" w:eastAsia="zh-CN"/>
                    </w:rPr>
                    <w:t>加强员工培训，安全操作，提高防范意识。</w:t>
                  </w:r>
                </w:p>
                <w:p w14:paraId="24B34B31">
                  <w:pPr>
                    <w:keepNext w:val="0"/>
                    <w:keepLines w:val="0"/>
                    <w:suppressLineNumbers w:val="0"/>
                    <w:spacing w:before="0" w:beforeAutospacing="0" w:after="0" w:afterAutospacing="0"/>
                    <w:ind w:left="0" w:right="0"/>
                    <w:jc w:val="both"/>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w:t>
                  </w:r>
                  <w:r>
                    <w:rPr>
                      <w:rFonts w:hint="eastAsia" w:cs="Times New Roman"/>
                      <w:b w:val="0"/>
                      <w:bCs w:val="0"/>
                      <w:color w:val="auto"/>
                      <w:sz w:val="21"/>
                      <w:szCs w:val="21"/>
                      <w:highlight w:val="none"/>
                      <w:vertAlign w:val="baseline"/>
                      <w:lang w:val="en-US" w:eastAsia="zh-CN"/>
                    </w:rPr>
                    <w:t>7</w:t>
                  </w:r>
                  <w:r>
                    <w:rPr>
                      <w:rFonts w:hint="eastAsia" w:ascii="Times New Roman" w:hAnsi="Times New Roman" w:eastAsia="宋体" w:cs="Times New Roman"/>
                      <w:b w:val="0"/>
                      <w:bCs w:val="0"/>
                      <w:color w:val="auto"/>
                      <w:sz w:val="21"/>
                      <w:szCs w:val="21"/>
                      <w:highlight w:val="none"/>
                      <w:vertAlign w:val="baseline"/>
                      <w:lang w:val="en-US" w:eastAsia="zh-CN"/>
                    </w:rPr>
                    <w:t>）</w:t>
                  </w:r>
                  <w:r>
                    <w:rPr>
                      <w:rFonts w:hint="eastAsia" w:ascii="Times New Roman" w:hAnsi="Times New Roman" w:cs="Times New Roman"/>
                      <w:b w:val="0"/>
                      <w:bCs w:val="0"/>
                      <w:color w:val="auto"/>
                      <w:sz w:val="21"/>
                      <w:szCs w:val="21"/>
                      <w:highlight w:val="none"/>
                      <w:vertAlign w:val="baseline"/>
                      <w:lang w:val="en-US" w:eastAsia="zh-CN"/>
                    </w:rPr>
                    <w:t>生产设备易发生危险的部位必须有安全标志。安全标志的图形、符号、文字、颜色等均须符合相关标准的规定。</w:t>
                  </w:r>
                </w:p>
              </w:tc>
            </w:tr>
            <w:tr w14:paraId="30D4845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823" w:hRule="atLeast"/>
                <w:jc w:val="center"/>
              </w:trPr>
              <w:tc>
                <w:tcPr>
                  <w:tcW w:w="1996" w:type="dxa"/>
                  <w:noWrap w:val="0"/>
                  <w:vAlign w:val="center"/>
                </w:tcPr>
                <w:p w14:paraId="6D8A0B6E">
                  <w:pPr>
                    <w:keepNext w:val="0"/>
                    <w:keepLines w:val="0"/>
                    <w:suppressLineNumbers w:val="0"/>
                    <w:spacing w:before="0" w:beforeAutospacing="0" w:after="0" w:afterAutospacing="0"/>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填表说明（列出项目相关信息及评价说明）</w:t>
                  </w:r>
                </w:p>
              </w:tc>
              <w:tc>
                <w:tcPr>
                  <w:tcW w:w="6006" w:type="dxa"/>
                  <w:gridSpan w:val="7"/>
                  <w:noWrap w:val="0"/>
                  <w:vAlign w:val="center"/>
                </w:tcPr>
                <w:p w14:paraId="76A14C97">
                  <w:pPr>
                    <w:keepNext w:val="0"/>
                    <w:keepLines w:val="0"/>
                    <w:suppressLineNumbers w:val="0"/>
                    <w:spacing w:before="0" w:beforeAutospacing="0" w:after="0" w:afterAutospacing="0"/>
                    <w:ind w:left="0" w:right="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本项目危险物质Q&lt;1，则该项目环境风险</w:t>
                  </w:r>
                  <w:r>
                    <w:rPr>
                      <w:rFonts w:hint="eastAsia" w:ascii="宋体" w:hAnsi="宋体" w:eastAsia="宋体" w:cs="宋体"/>
                      <w:color w:val="auto"/>
                      <w:szCs w:val="21"/>
                      <w:highlight w:val="none"/>
                    </w:rPr>
                    <w:t>潜势</w:t>
                  </w:r>
                  <w:r>
                    <w:rPr>
                      <w:rFonts w:hint="eastAsia" w:ascii="宋体" w:hAnsi="宋体" w:eastAsia="宋体" w:cs="宋体"/>
                      <w:color w:val="auto"/>
                      <w:kern w:val="0"/>
                      <w:szCs w:val="21"/>
                      <w:highlight w:val="none"/>
                    </w:rPr>
                    <w:t>为</w:t>
                  </w:r>
                  <w:r>
                    <w:rPr>
                      <w:rFonts w:hint="eastAsia" w:ascii="宋体" w:hAnsi="宋体" w:eastAsia="宋体" w:cs="宋体"/>
                      <w:color w:val="auto"/>
                      <w:kern w:val="0"/>
                      <w:szCs w:val="21"/>
                      <w:highlight w:val="none"/>
                    </w:rPr>
                    <w:fldChar w:fldCharType="begin"/>
                  </w:r>
                  <w:r>
                    <w:rPr>
                      <w:rFonts w:hint="eastAsia" w:ascii="宋体" w:hAnsi="宋体" w:eastAsia="宋体" w:cs="宋体"/>
                      <w:color w:val="auto"/>
                      <w:kern w:val="0"/>
                      <w:szCs w:val="21"/>
                      <w:highlight w:val="none"/>
                    </w:rPr>
                    <w:instrText xml:space="preserve"> = 1 \* ROMAN \* MERGEFORMAT </w:instrText>
                  </w:r>
                  <w:r>
                    <w:rPr>
                      <w:rFonts w:hint="eastAsia" w:ascii="宋体" w:hAnsi="宋体" w:eastAsia="宋体" w:cs="宋体"/>
                      <w:color w:val="auto"/>
                      <w:kern w:val="0"/>
                      <w:szCs w:val="21"/>
                      <w:highlight w:val="none"/>
                    </w:rPr>
                    <w:fldChar w:fldCharType="separate"/>
                  </w:r>
                  <w:r>
                    <w:rPr>
                      <w:rFonts w:hint="eastAsia" w:ascii="宋体" w:hAnsi="宋体" w:eastAsia="宋体" w:cs="宋体"/>
                      <w:color w:val="auto"/>
                      <w:kern w:val="0"/>
                      <w:szCs w:val="21"/>
                      <w:highlight w:val="none"/>
                    </w:rPr>
                    <w:t>I</w:t>
                  </w:r>
                  <w:r>
                    <w:rPr>
                      <w:rFonts w:hint="eastAsia" w:ascii="宋体" w:hAnsi="宋体" w:eastAsia="宋体" w:cs="宋体"/>
                      <w:color w:val="auto"/>
                      <w:kern w:val="0"/>
                      <w:szCs w:val="21"/>
                      <w:highlight w:val="none"/>
                    </w:rPr>
                    <w:fldChar w:fldCharType="end"/>
                  </w:r>
                  <w:r>
                    <w:rPr>
                      <w:rFonts w:hint="eastAsia" w:ascii="宋体" w:hAnsi="宋体" w:eastAsia="宋体" w:cs="宋体"/>
                      <w:color w:val="auto"/>
                      <w:kern w:val="0"/>
                      <w:szCs w:val="21"/>
                      <w:highlight w:val="none"/>
                    </w:rPr>
                    <w:t>，直接判断简单分析</w:t>
                  </w:r>
                </w:p>
              </w:tc>
            </w:tr>
          </w:tbl>
          <w:p w14:paraId="03108C52">
            <w:pPr>
              <w:keepNext w:val="0"/>
              <w:keepLines w:val="0"/>
              <w:suppressLineNumbers w:val="0"/>
              <w:spacing w:before="50" w:beforeAutospacing="0" w:after="50" w:afterAutospacing="0" w:line="360" w:lineRule="auto"/>
              <w:ind w:left="0" w:right="0" w:firstLine="482" w:firstLineChars="200"/>
              <w:rPr>
                <w:rFonts w:hint="eastAsia" w:ascii="宋体" w:hAnsi="宋体" w:eastAsia="宋体" w:cs="宋体"/>
                <w:b/>
                <w:color w:val="auto"/>
                <w:sz w:val="24"/>
                <w:highlight w:val="none"/>
                <w:shd w:val="clear" w:color="auto" w:fill="auto"/>
                <w:lang w:eastAsia="zh-CN"/>
              </w:rPr>
            </w:pPr>
            <w:r>
              <w:rPr>
                <w:rFonts w:hint="eastAsia" w:ascii="宋体" w:hAnsi="宋体" w:eastAsia="宋体" w:cs="宋体"/>
                <w:b/>
                <w:color w:val="auto"/>
                <w:sz w:val="24"/>
                <w:highlight w:val="none"/>
                <w:shd w:val="clear" w:color="auto" w:fill="auto"/>
                <w:lang w:eastAsia="zh-CN"/>
              </w:rPr>
              <w:t>八、环保投资分析</w:t>
            </w:r>
          </w:p>
          <w:p w14:paraId="37178A39">
            <w:pPr>
              <w:keepNext w:val="0"/>
              <w:keepLines w:val="0"/>
              <w:suppressLineNumbers w:val="0"/>
              <w:spacing w:before="0" w:beforeAutospacing="0" w:after="0" w:afterAutospacing="0" w:line="500" w:lineRule="exact"/>
              <w:ind w:left="0" w:right="0" w:firstLine="480" w:firstLineChars="200"/>
              <w:rPr>
                <w:rFonts w:ascii="Calibri" w:hAnsi="Calibri" w:eastAsia="宋体" w:cs="Times New Roman"/>
                <w:color w:val="auto"/>
                <w:sz w:val="24"/>
                <w:highlight w:val="none"/>
                <w:shd w:val="clear" w:color="auto" w:fill="auto"/>
              </w:rPr>
            </w:pPr>
            <w:r>
              <w:rPr>
                <w:rFonts w:ascii="Calibri" w:hAnsi="Calibri" w:eastAsia="宋体" w:cs="Times New Roman"/>
                <w:color w:val="auto"/>
                <w:sz w:val="24"/>
                <w:highlight w:val="none"/>
                <w:shd w:val="clear" w:color="auto" w:fill="auto"/>
              </w:rPr>
              <w:t>本项目总投资</w:t>
            </w:r>
            <w:r>
              <w:rPr>
                <w:rFonts w:hint="eastAsia" w:ascii="Calibri" w:hAnsi="Calibri" w:cs="Times New Roman"/>
                <w:color w:val="auto"/>
                <w:sz w:val="24"/>
                <w:highlight w:val="none"/>
                <w:shd w:val="clear" w:color="auto" w:fill="auto"/>
                <w:lang w:val="en-US" w:eastAsia="zh-CN"/>
              </w:rPr>
              <w:t>25</w:t>
            </w:r>
            <w:r>
              <w:rPr>
                <w:rFonts w:hint="eastAsia" w:ascii="Calibri" w:hAnsi="Calibri" w:eastAsia="宋体" w:cs="Times New Roman"/>
                <w:color w:val="auto"/>
                <w:sz w:val="24"/>
                <w:highlight w:val="none"/>
                <w:shd w:val="clear" w:color="auto" w:fill="auto"/>
                <w:lang w:val="en-US" w:eastAsia="zh-CN"/>
              </w:rPr>
              <w:t>0</w:t>
            </w:r>
            <w:r>
              <w:rPr>
                <w:rFonts w:hint="eastAsia" w:ascii="Calibri" w:hAnsi="Calibri" w:cs="Times New Roman"/>
                <w:color w:val="auto"/>
                <w:sz w:val="24"/>
                <w:highlight w:val="none"/>
                <w:shd w:val="clear" w:color="auto" w:fill="auto"/>
                <w:lang w:val="en-US" w:eastAsia="zh-CN"/>
              </w:rPr>
              <w:t>0</w:t>
            </w:r>
            <w:r>
              <w:rPr>
                <w:rFonts w:ascii="Calibri" w:hAnsi="Calibri" w:eastAsia="宋体" w:cs="Times New Roman"/>
                <w:color w:val="auto"/>
                <w:sz w:val="24"/>
                <w:highlight w:val="none"/>
                <w:shd w:val="clear" w:color="auto" w:fill="auto"/>
              </w:rPr>
              <w:t>万元，环保投资约</w:t>
            </w:r>
            <w:r>
              <w:rPr>
                <w:rFonts w:hint="eastAsia" w:ascii="Calibri" w:hAnsi="Calibri" w:cs="Times New Roman"/>
                <w:color w:val="auto"/>
                <w:sz w:val="24"/>
                <w:highlight w:val="none"/>
                <w:shd w:val="clear" w:color="auto" w:fill="auto"/>
                <w:lang w:val="en-US" w:eastAsia="zh-CN"/>
              </w:rPr>
              <w:t>100</w:t>
            </w:r>
            <w:r>
              <w:rPr>
                <w:rFonts w:ascii="Calibri" w:hAnsi="Calibri" w:eastAsia="宋体" w:cs="Times New Roman"/>
                <w:color w:val="auto"/>
                <w:sz w:val="24"/>
                <w:highlight w:val="none"/>
                <w:shd w:val="clear" w:color="auto" w:fill="auto"/>
              </w:rPr>
              <w:t>万元，占总投资的</w:t>
            </w:r>
            <w:r>
              <w:rPr>
                <w:rFonts w:hint="eastAsia" w:ascii="Calibri" w:hAnsi="Calibri" w:cs="Times New Roman"/>
                <w:color w:val="auto"/>
                <w:sz w:val="24"/>
                <w:highlight w:val="none"/>
                <w:shd w:val="clear" w:color="auto" w:fill="auto"/>
                <w:lang w:val="en-US" w:eastAsia="zh-CN"/>
              </w:rPr>
              <w:t>4</w:t>
            </w:r>
            <w:r>
              <w:rPr>
                <w:rFonts w:ascii="Calibri" w:hAnsi="Calibri" w:eastAsia="宋体" w:cs="Times New Roman"/>
                <w:color w:val="auto"/>
                <w:sz w:val="24"/>
                <w:highlight w:val="none"/>
                <w:shd w:val="clear" w:color="auto" w:fill="auto"/>
              </w:rPr>
              <w:t>%。详见表</w:t>
            </w:r>
            <w:r>
              <w:rPr>
                <w:rFonts w:hint="eastAsia" w:ascii="Calibri" w:hAnsi="Calibri" w:cs="Times New Roman"/>
                <w:color w:val="auto"/>
                <w:sz w:val="24"/>
                <w:highlight w:val="none"/>
                <w:shd w:val="clear" w:color="auto" w:fill="auto"/>
                <w:lang w:val="en-US" w:eastAsia="zh-CN"/>
              </w:rPr>
              <w:t>4-24</w:t>
            </w:r>
            <w:r>
              <w:rPr>
                <w:rFonts w:ascii="Calibri" w:hAnsi="Calibri" w:eastAsia="宋体" w:cs="Times New Roman"/>
                <w:color w:val="auto"/>
                <w:sz w:val="24"/>
                <w:highlight w:val="none"/>
                <w:shd w:val="clear" w:color="auto" w:fill="auto"/>
              </w:rPr>
              <w:t>。</w:t>
            </w:r>
          </w:p>
          <w:p w14:paraId="5B72549D">
            <w:pPr>
              <w:keepNext w:val="0"/>
              <w:keepLines w:val="0"/>
              <w:suppressLineNumbers w:val="0"/>
              <w:spacing w:before="0" w:beforeAutospacing="0" w:after="0" w:afterAutospacing="0" w:line="360" w:lineRule="auto"/>
              <w:ind w:left="0" w:right="0"/>
              <w:jc w:val="center"/>
              <w:rPr>
                <w:rFonts w:ascii="Calibri" w:hAnsi="Calibri" w:eastAsia="宋体" w:cs="Times New Roman"/>
                <w:b/>
                <w:color w:val="auto"/>
                <w:sz w:val="24"/>
                <w:highlight w:val="none"/>
                <w:shd w:val="clear" w:color="auto" w:fill="auto"/>
              </w:rPr>
            </w:pPr>
            <w:r>
              <w:rPr>
                <w:rFonts w:ascii="Calibri" w:hAnsi="Calibri" w:eastAsia="宋体" w:cs="Times New Roman"/>
                <w:color w:val="auto"/>
                <w:sz w:val="24"/>
                <w:highlight w:val="none"/>
                <w:shd w:val="clear" w:color="auto" w:fill="auto"/>
              </w:rPr>
              <w:t>表</w:t>
            </w:r>
            <w:r>
              <w:rPr>
                <w:rFonts w:hint="eastAsia" w:ascii="Calibri" w:hAnsi="Calibri" w:cs="Times New Roman"/>
                <w:color w:val="auto"/>
                <w:sz w:val="24"/>
                <w:highlight w:val="none"/>
                <w:shd w:val="clear" w:color="auto" w:fill="auto"/>
                <w:lang w:val="en-US" w:eastAsia="zh-CN"/>
              </w:rPr>
              <w:t>4-24</w:t>
            </w:r>
            <w:r>
              <w:rPr>
                <w:rFonts w:ascii="Calibri" w:hAnsi="Calibri" w:eastAsia="宋体" w:cs="Times New Roman"/>
                <w:color w:val="auto"/>
                <w:sz w:val="24"/>
                <w:highlight w:val="none"/>
                <w:shd w:val="clear" w:color="auto" w:fill="auto"/>
              </w:rPr>
              <w:t xml:space="preserve">    项目环保投资一览表</w:t>
            </w:r>
          </w:p>
          <w:tbl>
            <w:tblPr>
              <w:tblStyle w:val="25"/>
              <w:tblW w:w="84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7"/>
              <w:gridCol w:w="700"/>
              <w:gridCol w:w="3555"/>
              <w:gridCol w:w="1065"/>
              <w:gridCol w:w="1425"/>
              <w:gridCol w:w="1216"/>
            </w:tblGrid>
            <w:tr w14:paraId="4D49E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1237" w:type="dxa"/>
                  <w:gridSpan w:val="2"/>
                  <w:noWrap w:val="0"/>
                  <w:vAlign w:val="center"/>
                </w:tcPr>
                <w:p w14:paraId="452316D3">
                  <w:pPr>
                    <w:pStyle w:val="41"/>
                    <w:keepNext w:val="0"/>
                    <w:keepLines w:val="0"/>
                    <w:widowControl/>
                    <w:suppressLineNumbers w:val="0"/>
                    <w:topLinePunct w:val="0"/>
                    <w:autoSpaceDE/>
                    <w:autoSpaceDN/>
                    <w:snapToGrid w:val="0"/>
                    <w:spacing w:before="0" w:beforeAutospacing="0" w:after="0" w:afterAutospacing="0"/>
                    <w:ind w:left="0" w:right="0"/>
                    <w:textAlignment w:val="auto"/>
                    <w:rPr>
                      <w:rFonts w:ascii="Times New Roman" w:hAnsi="Times New Roman" w:eastAsia="宋体" w:cs="Times New Roman"/>
                      <w:color w:val="auto"/>
                      <w:szCs w:val="21"/>
                      <w:highlight w:val="none"/>
                      <w:shd w:val="clear" w:color="auto" w:fill="auto"/>
                    </w:rPr>
                  </w:pPr>
                  <w:r>
                    <w:rPr>
                      <w:rFonts w:ascii="Times New Roman" w:hAnsi="Times New Roman" w:eastAsia="宋体" w:cs="Times New Roman"/>
                      <w:color w:val="auto"/>
                      <w:szCs w:val="21"/>
                      <w:highlight w:val="none"/>
                      <w:shd w:val="clear" w:color="auto" w:fill="auto"/>
                    </w:rPr>
                    <w:t>控制项目</w:t>
                  </w:r>
                </w:p>
              </w:tc>
              <w:tc>
                <w:tcPr>
                  <w:tcW w:w="3555" w:type="dxa"/>
                  <w:noWrap w:val="0"/>
                  <w:vAlign w:val="center"/>
                </w:tcPr>
                <w:p w14:paraId="5132C3FA">
                  <w:pPr>
                    <w:pStyle w:val="41"/>
                    <w:keepNext w:val="0"/>
                    <w:keepLines w:val="0"/>
                    <w:widowControl/>
                    <w:suppressLineNumbers w:val="0"/>
                    <w:topLinePunct w:val="0"/>
                    <w:autoSpaceDE/>
                    <w:autoSpaceDN/>
                    <w:snapToGrid w:val="0"/>
                    <w:spacing w:before="0" w:beforeAutospacing="0" w:after="0" w:afterAutospacing="0"/>
                    <w:ind w:left="0" w:right="0"/>
                    <w:textAlignment w:val="auto"/>
                    <w:rPr>
                      <w:rFonts w:ascii="Times New Roman" w:hAnsi="Times New Roman" w:eastAsia="宋体" w:cs="Times New Roman"/>
                      <w:color w:val="auto"/>
                      <w:szCs w:val="21"/>
                      <w:highlight w:val="none"/>
                      <w:shd w:val="clear" w:color="auto" w:fill="auto"/>
                    </w:rPr>
                  </w:pPr>
                  <w:r>
                    <w:rPr>
                      <w:rFonts w:ascii="Times New Roman" w:hAnsi="Times New Roman" w:eastAsia="宋体" w:cs="Times New Roman"/>
                      <w:color w:val="auto"/>
                      <w:szCs w:val="21"/>
                      <w:highlight w:val="none"/>
                      <w:shd w:val="clear" w:color="auto" w:fill="auto"/>
                    </w:rPr>
                    <w:t>环保设施</w:t>
                  </w:r>
                </w:p>
              </w:tc>
              <w:tc>
                <w:tcPr>
                  <w:tcW w:w="1065" w:type="dxa"/>
                  <w:noWrap w:val="0"/>
                  <w:vAlign w:val="center"/>
                </w:tcPr>
                <w:p w14:paraId="25F11B5C">
                  <w:pPr>
                    <w:pStyle w:val="41"/>
                    <w:keepNext w:val="0"/>
                    <w:keepLines w:val="0"/>
                    <w:widowControl/>
                    <w:suppressLineNumbers w:val="0"/>
                    <w:topLinePunct w:val="0"/>
                    <w:autoSpaceDE/>
                    <w:autoSpaceDN/>
                    <w:snapToGrid w:val="0"/>
                    <w:spacing w:before="0" w:beforeAutospacing="0" w:after="0" w:afterAutospacing="0"/>
                    <w:ind w:left="0" w:right="0"/>
                    <w:textAlignment w:val="auto"/>
                    <w:rPr>
                      <w:rFonts w:hint="eastAsia" w:ascii="Times New Roman" w:hAnsi="Times New Roman" w:eastAsia="宋体" w:cs="Times New Roman"/>
                      <w:color w:val="auto"/>
                      <w:szCs w:val="21"/>
                      <w:highlight w:val="none"/>
                      <w:shd w:val="clear" w:color="auto" w:fill="auto"/>
                      <w:lang w:eastAsia="zh-CN"/>
                    </w:rPr>
                  </w:pPr>
                  <w:r>
                    <w:rPr>
                      <w:rFonts w:ascii="Times New Roman" w:hAnsi="Times New Roman" w:eastAsia="宋体" w:cs="Times New Roman"/>
                      <w:color w:val="auto"/>
                      <w:szCs w:val="21"/>
                      <w:highlight w:val="none"/>
                      <w:shd w:val="clear" w:color="auto" w:fill="auto"/>
                    </w:rPr>
                    <w:t>数量</w:t>
                  </w:r>
                </w:p>
              </w:tc>
              <w:tc>
                <w:tcPr>
                  <w:tcW w:w="1425" w:type="dxa"/>
                  <w:noWrap w:val="0"/>
                  <w:vAlign w:val="center"/>
                </w:tcPr>
                <w:p w14:paraId="216F1104">
                  <w:pPr>
                    <w:pStyle w:val="41"/>
                    <w:keepNext w:val="0"/>
                    <w:keepLines w:val="0"/>
                    <w:widowControl/>
                    <w:suppressLineNumbers w:val="0"/>
                    <w:topLinePunct w:val="0"/>
                    <w:autoSpaceDE/>
                    <w:autoSpaceDN/>
                    <w:snapToGrid w:val="0"/>
                    <w:spacing w:before="0" w:beforeAutospacing="0" w:after="0" w:afterAutospacing="0"/>
                    <w:ind w:left="0" w:right="0"/>
                    <w:textAlignment w:val="auto"/>
                    <w:rPr>
                      <w:rFonts w:ascii="Times New Roman" w:hAnsi="Times New Roman" w:eastAsia="宋体" w:cs="Times New Roman"/>
                      <w:color w:val="auto"/>
                      <w:szCs w:val="21"/>
                      <w:highlight w:val="none"/>
                      <w:shd w:val="clear" w:color="auto" w:fill="auto"/>
                    </w:rPr>
                  </w:pPr>
                  <w:r>
                    <w:rPr>
                      <w:rFonts w:ascii="Times New Roman" w:hAnsi="Times New Roman" w:eastAsia="宋体" w:cs="Times New Roman"/>
                      <w:color w:val="auto"/>
                      <w:szCs w:val="21"/>
                      <w:highlight w:val="none"/>
                      <w:shd w:val="clear" w:color="auto" w:fill="auto"/>
                    </w:rPr>
                    <w:t>投资（万元）</w:t>
                  </w:r>
                </w:p>
              </w:tc>
              <w:tc>
                <w:tcPr>
                  <w:tcW w:w="1216" w:type="dxa"/>
                  <w:noWrap w:val="0"/>
                  <w:vAlign w:val="center"/>
                </w:tcPr>
                <w:p w14:paraId="2776464D">
                  <w:pPr>
                    <w:pStyle w:val="41"/>
                    <w:keepNext w:val="0"/>
                    <w:keepLines w:val="0"/>
                    <w:widowControl/>
                    <w:suppressLineNumbers w:val="0"/>
                    <w:topLinePunct w:val="0"/>
                    <w:autoSpaceDE/>
                    <w:autoSpaceDN/>
                    <w:snapToGrid w:val="0"/>
                    <w:spacing w:before="0" w:beforeAutospacing="0" w:after="0" w:afterAutospacing="0"/>
                    <w:ind w:left="0" w:right="0"/>
                    <w:textAlignment w:val="auto"/>
                    <w:rPr>
                      <w:rFonts w:ascii="Times New Roman" w:hAnsi="Times New Roman" w:eastAsia="宋体" w:cs="Times New Roman"/>
                      <w:color w:val="auto"/>
                      <w:szCs w:val="21"/>
                      <w:highlight w:val="none"/>
                      <w:shd w:val="clear" w:color="auto" w:fill="auto"/>
                    </w:rPr>
                  </w:pPr>
                  <w:r>
                    <w:rPr>
                      <w:rFonts w:ascii="Times New Roman" w:hAnsi="Times New Roman" w:eastAsia="宋体" w:cs="Times New Roman"/>
                      <w:color w:val="auto"/>
                      <w:szCs w:val="21"/>
                      <w:highlight w:val="none"/>
                      <w:shd w:val="clear" w:color="auto" w:fill="auto"/>
                    </w:rPr>
                    <w:t>备注</w:t>
                  </w:r>
                </w:p>
              </w:tc>
            </w:tr>
            <w:tr w14:paraId="5F9A1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6" w:hRule="atLeast"/>
                <w:jc w:val="center"/>
              </w:trPr>
              <w:tc>
                <w:tcPr>
                  <w:tcW w:w="537" w:type="dxa"/>
                  <w:vMerge w:val="restart"/>
                  <w:noWrap w:val="0"/>
                  <w:vAlign w:val="center"/>
                </w:tcPr>
                <w:p w14:paraId="26E11B3F">
                  <w:pPr>
                    <w:pStyle w:val="41"/>
                    <w:keepNext w:val="0"/>
                    <w:keepLines w:val="0"/>
                    <w:widowControl/>
                    <w:suppressLineNumbers w:val="0"/>
                    <w:topLinePunct w:val="0"/>
                    <w:autoSpaceDE/>
                    <w:autoSpaceDN/>
                    <w:snapToGrid w:val="0"/>
                    <w:spacing w:before="0" w:beforeAutospacing="0" w:after="0" w:afterAutospacing="0"/>
                    <w:ind w:left="0" w:right="0"/>
                    <w:textAlignment w:val="auto"/>
                    <w:rPr>
                      <w:rFonts w:ascii="Times New Roman" w:hAnsi="Times New Roman" w:eastAsia="宋体" w:cs="Times New Roman"/>
                      <w:color w:val="auto"/>
                      <w:szCs w:val="21"/>
                      <w:highlight w:val="none"/>
                      <w:shd w:val="clear" w:color="auto" w:fill="auto"/>
                    </w:rPr>
                  </w:pPr>
                  <w:r>
                    <w:rPr>
                      <w:rFonts w:ascii="Times New Roman" w:hAnsi="Times New Roman" w:eastAsia="宋体" w:cs="Times New Roman"/>
                      <w:color w:val="auto"/>
                      <w:szCs w:val="21"/>
                      <w:highlight w:val="none"/>
                      <w:shd w:val="clear" w:color="auto" w:fill="auto"/>
                    </w:rPr>
                    <w:t>运营期</w:t>
                  </w:r>
                </w:p>
              </w:tc>
              <w:tc>
                <w:tcPr>
                  <w:tcW w:w="700" w:type="dxa"/>
                  <w:vMerge w:val="restart"/>
                  <w:noWrap w:val="0"/>
                  <w:vAlign w:val="center"/>
                </w:tcPr>
                <w:p w14:paraId="5195F463">
                  <w:pPr>
                    <w:pStyle w:val="41"/>
                    <w:keepNext w:val="0"/>
                    <w:keepLines w:val="0"/>
                    <w:suppressLineNumbers w:val="0"/>
                    <w:snapToGrid w:val="0"/>
                    <w:spacing w:before="0" w:beforeAutospacing="0" w:after="0" w:afterAutospacing="0"/>
                    <w:ind w:left="0" w:right="0"/>
                    <w:rPr>
                      <w:rFonts w:hint="eastAsia" w:ascii="Times New Roman" w:hAnsi="Times New Roman" w:eastAsia="宋体" w:cs="Times New Roman"/>
                      <w:color w:val="auto"/>
                      <w:szCs w:val="21"/>
                      <w:highlight w:val="none"/>
                      <w:shd w:val="clear" w:color="auto" w:fill="auto"/>
                      <w:lang w:eastAsia="zh-CN"/>
                    </w:rPr>
                  </w:pPr>
                  <w:r>
                    <w:rPr>
                      <w:rFonts w:hint="eastAsia" w:ascii="Times New Roman" w:hAnsi="Times New Roman" w:eastAsia="宋体" w:cs="Times New Roman"/>
                      <w:color w:val="auto"/>
                      <w:szCs w:val="21"/>
                      <w:highlight w:val="none"/>
                      <w:shd w:val="clear" w:color="auto" w:fill="auto"/>
                      <w:lang w:eastAsia="zh-CN"/>
                    </w:rPr>
                    <w:t>废气</w:t>
                  </w:r>
                </w:p>
              </w:tc>
              <w:tc>
                <w:tcPr>
                  <w:tcW w:w="3555" w:type="dxa"/>
                  <w:noWrap w:val="0"/>
                  <w:vAlign w:val="center"/>
                </w:tcPr>
                <w:p w14:paraId="02E46968">
                  <w:pPr>
                    <w:pStyle w:val="41"/>
                    <w:keepNext w:val="0"/>
                    <w:keepLines w:val="0"/>
                    <w:widowControl/>
                    <w:suppressLineNumbers w:val="0"/>
                    <w:topLinePunct w:val="0"/>
                    <w:autoSpaceDE/>
                    <w:autoSpaceDN/>
                    <w:snapToGrid w:val="0"/>
                    <w:spacing w:before="0" w:beforeAutospacing="0" w:after="0" w:afterAutospacing="0"/>
                    <w:ind w:left="0" w:right="0"/>
                    <w:textAlignment w:val="auto"/>
                    <w:rPr>
                      <w:rFonts w:hint="default" w:ascii="Times New Roman" w:hAnsi="Times New Roman" w:eastAsia="宋体" w:cs="Times New Roman"/>
                      <w:color w:val="auto"/>
                      <w:kern w:val="0"/>
                      <w:position w:val="0"/>
                      <w:szCs w:val="21"/>
                      <w:highlight w:val="none"/>
                      <w:shd w:val="clear" w:color="auto" w:fill="auto"/>
                      <w:lang w:val="en-US" w:eastAsia="zh-CN"/>
                    </w:rPr>
                  </w:pPr>
                  <w:r>
                    <w:rPr>
                      <w:rFonts w:hint="eastAsia" w:ascii="宋体" w:hAnsi="宋体" w:cs="Times New Roman"/>
                      <w:color w:val="auto"/>
                      <w:highlight w:val="none"/>
                      <w:shd w:val="clear" w:color="auto" w:fill="auto"/>
                      <w:lang w:val="en-US" w:eastAsia="zh-CN"/>
                    </w:rPr>
                    <w:t>1#原料库房、</w:t>
                  </w:r>
                  <w:r>
                    <w:rPr>
                      <w:rFonts w:hint="eastAsia" w:cs="Times New Roman"/>
                      <w:color w:val="auto"/>
                      <w:szCs w:val="21"/>
                      <w:highlight w:val="none"/>
                      <w:lang w:eastAsia="zh-CN"/>
                    </w:rPr>
                    <w:t>1#、</w:t>
                  </w:r>
                  <w:r>
                    <w:rPr>
                      <w:rFonts w:hint="eastAsia" w:cs="Times New Roman"/>
                      <w:color w:val="auto"/>
                      <w:szCs w:val="21"/>
                      <w:highlight w:val="none"/>
                      <w:lang w:val="en-US" w:eastAsia="zh-CN"/>
                    </w:rPr>
                    <w:t>2#</w:t>
                  </w:r>
                  <w:r>
                    <w:rPr>
                      <w:rFonts w:hint="eastAsia" w:cs="Times New Roman"/>
                      <w:color w:val="auto"/>
                      <w:szCs w:val="21"/>
                      <w:highlight w:val="none"/>
                      <w:lang w:eastAsia="zh-CN"/>
                    </w:rPr>
                    <w:t>生产线</w:t>
                  </w:r>
                  <w:r>
                    <w:rPr>
                      <w:rFonts w:hint="eastAsia" w:eastAsia="宋体" w:cs="Times New Roman"/>
                      <w:color w:val="auto"/>
                      <w:szCs w:val="21"/>
                      <w:highlight w:val="none"/>
                      <w:lang w:eastAsia="zh-CN"/>
                    </w:rPr>
                    <w:t>新增</w:t>
                  </w:r>
                  <w:r>
                    <w:rPr>
                      <w:rFonts w:hint="eastAsia" w:eastAsia="宋体" w:cs="Times New Roman"/>
                      <w:color w:val="auto"/>
                      <w:szCs w:val="21"/>
                      <w:highlight w:val="none"/>
                      <w:lang w:val="en-US" w:eastAsia="zh-CN"/>
                    </w:rPr>
                    <w:t>1套布袋除尘系统，新建15m高排气筒1根</w:t>
                  </w:r>
                  <w:r>
                    <w:rPr>
                      <w:rFonts w:hint="eastAsia" w:cs="Times New Roman"/>
                      <w:color w:val="auto"/>
                      <w:szCs w:val="21"/>
                      <w:highlight w:val="none"/>
                      <w:lang w:val="en-US" w:eastAsia="zh-CN"/>
                    </w:rPr>
                    <w:t>。在</w:t>
                  </w:r>
                  <w:r>
                    <w:rPr>
                      <w:rFonts w:hint="eastAsia" w:ascii="宋体" w:hAnsi="宋体" w:cs="Times New Roman"/>
                      <w:color w:val="auto"/>
                      <w:highlight w:val="none"/>
                      <w:shd w:val="clear" w:color="auto" w:fill="auto"/>
                      <w:lang w:val="en-US" w:eastAsia="zh-CN"/>
                    </w:rPr>
                    <w:t>1#原料库房</w:t>
                  </w:r>
                  <w:r>
                    <w:rPr>
                      <w:rFonts w:hint="eastAsia" w:hAnsi="宋体" w:cs="Times New Roman"/>
                      <w:color w:val="auto"/>
                      <w:highlight w:val="none"/>
                      <w:shd w:val="clear" w:color="auto" w:fill="auto"/>
                      <w:lang w:val="en-US" w:eastAsia="zh-CN"/>
                    </w:rPr>
                    <w:t>卸料</w:t>
                  </w:r>
                  <w:r>
                    <w:rPr>
                      <w:rFonts w:hint="eastAsia" w:ascii="宋体" w:hAnsi="宋体" w:cs="Times New Roman"/>
                      <w:color w:val="auto"/>
                      <w:highlight w:val="none"/>
                      <w:shd w:val="clear" w:color="auto" w:fill="auto"/>
                      <w:lang w:val="en-US" w:eastAsia="zh-CN"/>
                    </w:rPr>
                    <w:t>、</w:t>
                  </w:r>
                  <w:r>
                    <w:rPr>
                      <w:rFonts w:hint="eastAsia" w:cs="Times New Roman"/>
                      <w:color w:val="auto"/>
                      <w:szCs w:val="21"/>
                      <w:highlight w:val="none"/>
                      <w:lang w:val="en-US" w:eastAsia="zh-CN"/>
                    </w:rPr>
                    <w:t>1#生产线上料；2#生产线上料、颚破、中间仓、锤破、筛分、产品仓、包装工序各设置一个集气罩（共9个）废气统一经由布袋除尘器处理；雷蒙自带除尘器一台，处理后的废气统一经由15m高排气筒DA001排放.</w:t>
                  </w:r>
                </w:p>
              </w:tc>
              <w:tc>
                <w:tcPr>
                  <w:tcW w:w="1065" w:type="dxa"/>
                  <w:noWrap w:val="0"/>
                  <w:vAlign w:val="center"/>
                </w:tcPr>
                <w:p w14:paraId="3048D5D1">
                  <w:pPr>
                    <w:keepNext w:val="0"/>
                    <w:keepLines w:val="0"/>
                    <w:suppressLineNumbers w:val="0"/>
                    <w:spacing w:before="0" w:beforeAutospacing="0" w:after="0" w:afterAutospacing="0"/>
                    <w:ind w:left="0" w:right="0"/>
                    <w:jc w:val="center"/>
                    <w:rPr>
                      <w:rFonts w:hint="eastAsia" w:ascii="Calibri" w:hAnsi="Calibri" w:eastAsia="宋体" w:cs="Times New Roman"/>
                      <w:color w:val="auto"/>
                      <w:sz w:val="21"/>
                      <w:szCs w:val="21"/>
                      <w:highlight w:val="none"/>
                      <w:shd w:val="clear" w:color="auto" w:fill="auto"/>
                      <w:lang w:eastAsia="zh-CN"/>
                    </w:rPr>
                  </w:pPr>
                  <w:r>
                    <w:rPr>
                      <w:rFonts w:hint="eastAsia" w:ascii="Calibri" w:hAnsi="Calibri" w:cs="Times New Roman"/>
                      <w:color w:val="auto"/>
                      <w:sz w:val="21"/>
                      <w:szCs w:val="21"/>
                      <w:highlight w:val="none"/>
                      <w:shd w:val="clear" w:color="auto" w:fill="auto"/>
                      <w:lang w:val="en-US" w:eastAsia="zh-CN"/>
                    </w:rPr>
                    <w:t>1</w:t>
                  </w:r>
                  <w:r>
                    <w:rPr>
                      <w:rFonts w:hint="eastAsia" w:ascii="Calibri" w:hAnsi="Calibri" w:eastAsia="宋体" w:cs="Times New Roman"/>
                      <w:color w:val="auto"/>
                      <w:sz w:val="21"/>
                      <w:szCs w:val="21"/>
                      <w:highlight w:val="none"/>
                      <w:shd w:val="clear" w:color="auto" w:fill="auto"/>
                      <w:lang w:eastAsia="zh-CN"/>
                    </w:rPr>
                    <w:t>套</w:t>
                  </w:r>
                </w:p>
              </w:tc>
              <w:tc>
                <w:tcPr>
                  <w:tcW w:w="1425" w:type="dxa"/>
                  <w:noWrap w:val="0"/>
                  <w:vAlign w:val="center"/>
                </w:tcPr>
                <w:p w14:paraId="4FEDFB32">
                  <w:pPr>
                    <w:keepNext w:val="0"/>
                    <w:keepLines w:val="0"/>
                    <w:suppressLineNumbers w:val="0"/>
                    <w:adjustRightInd w:val="0"/>
                    <w:snapToGrid w:val="0"/>
                    <w:spacing w:before="0" w:beforeAutospacing="0" w:after="0" w:afterAutospacing="0"/>
                    <w:ind w:left="0" w:right="0"/>
                    <w:jc w:val="center"/>
                    <w:rPr>
                      <w:rFonts w:hint="default" w:ascii="Calibri" w:hAnsi="Calibri" w:eastAsia="宋体" w:cs="Times New Roman"/>
                      <w:color w:val="auto"/>
                      <w:sz w:val="21"/>
                      <w:szCs w:val="21"/>
                      <w:highlight w:val="none"/>
                      <w:shd w:val="clear" w:color="auto" w:fill="auto"/>
                      <w:vertAlign w:val="baseline"/>
                      <w:lang w:val="en-US" w:eastAsia="zh-CN"/>
                    </w:rPr>
                  </w:pPr>
                  <w:r>
                    <w:rPr>
                      <w:rFonts w:hint="eastAsia" w:ascii="Calibri" w:hAnsi="Calibri" w:cs="Times New Roman"/>
                      <w:color w:val="auto"/>
                      <w:kern w:val="24"/>
                      <w:position w:val="-28"/>
                      <w:sz w:val="21"/>
                      <w:szCs w:val="21"/>
                      <w:highlight w:val="none"/>
                      <w:shd w:val="clear" w:color="auto" w:fill="auto"/>
                      <w:lang w:val="en-US" w:eastAsia="zh-CN"/>
                    </w:rPr>
                    <w:t>2</w:t>
                  </w:r>
                  <w:r>
                    <w:rPr>
                      <w:rFonts w:hint="eastAsia" w:ascii="Calibri" w:hAnsi="Calibri" w:eastAsia="宋体" w:cs="Times New Roman"/>
                      <w:color w:val="auto"/>
                      <w:kern w:val="24"/>
                      <w:position w:val="-28"/>
                      <w:sz w:val="21"/>
                      <w:szCs w:val="21"/>
                      <w:highlight w:val="none"/>
                      <w:shd w:val="clear" w:color="auto" w:fill="auto"/>
                      <w:lang w:val="en-US" w:eastAsia="zh-CN"/>
                    </w:rPr>
                    <w:t>0</w:t>
                  </w:r>
                </w:p>
              </w:tc>
              <w:tc>
                <w:tcPr>
                  <w:tcW w:w="1216" w:type="dxa"/>
                  <w:noWrap w:val="0"/>
                  <w:vAlign w:val="center"/>
                </w:tcPr>
                <w:p w14:paraId="46CC244F">
                  <w:pPr>
                    <w:keepNext w:val="0"/>
                    <w:keepLines w:val="0"/>
                    <w:suppressLineNumbers w:val="0"/>
                    <w:adjustRightInd w:val="0"/>
                    <w:snapToGrid w:val="0"/>
                    <w:spacing w:before="0" w:beforeAutospacing="0" w:after="0" w:afterAutospacing="0"/>
                    <w:ind w:left="0" w:right="0"/>
                    <w:jc w:val="center"/>
                    <w:rPr>
                      <w:rFonts w:hint="eastAsia" w:ascii="Calibri" w:hAnsi="Calibri" w:eastAsia="宋体" w:cs="Times New Roman"/>
                      <w:color w:val="auto"/>
                      <w:sz w:val="21"/>
                      <w:szCs w:val="21"/>
                      <w:highlight w:val="none"/>
                      <w:shd w:val="clear" w:color="auto" w:fill="auto"/>
                      <w:lang w:eastAsia="zh-CN"/>
                    </w:rPr>
                  </w:pPr>
                  <w:r>
                    <w:rPr>
                      <w:rFonts w:hint="eastAsia"/>
                      <w:color w:val="auto"/>
                      <w:highlight w:val="none"/>
                      <w:lang w:eastAsia="zh-CN"/>
                    </w:rPr>
                    <w:t>项目设计</w:t>
                  </w:r>
                </w:p>
              </w:tc>
            </w:tr>
            <w:tr w14:paraId="28781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6" w:hRule="atLeast"/>
                <w:jc w:val="center"/>
              </w:trPr>
              <w:tc>
                <w:tcPr>
                  <w:tcW w:w="537" w:type="dxa"/>
                  <w:vMerge w:val="continue"/>
                  <w:noWrap w:val="0"/>
                  <w:vAlign w:val="center"/>
                </w:tcPr>
                <w:p w14:paraId="4E0433E6">
                  <w:pPr>
                    <w:pStyle w:val="41"/>
                    <w:keepNext w:val="0"/>
                    <w:keepLines w:val="0"/>
                    <w:widowControl/>
                    <w:suppressLineNumbers w:val="0"/>
                    <w:topLinePunct w:val="0"/>
                    <w:autoSpaceDE/>
                    <w:autoSpaceDN/>
                    <w:snapToGrid w:val="0"/>
                    <w:spacing w:before="0" w:beforeAutospacing="0" w:after="0" w:afterAutospacing="0"/>
                    <w:ind w:left="0" w:right="0"/>
                    <w:textAlignment w:val="auto"/>
                    <w:rPr>
                      <w:rFonts w:ascii="Times New Roman" w:hAnsi="Times New Roman" w:eastAsia="宋体" w:cs="Times New Roman"/>
                      <w:color w:val="auto"/>
                      <w:szCs w:val="21"/>
                      <w:highlight w:val="none"/>
                      <w:shd w:val="clear" w:color="auto" w:fill="auto"/>
                    </w:rPr>
                  </w:pPr>
                </w:p>
              </w:tc>
              <w:tc>
                <w:tcPr>
                  <w:tcW w:w="700" w:type="dxa"/>
                  <w:vMerge w:val="continue"/>
                  <w:noWrap w:val="0"/>
                  <w:vAlign w:val="center"/>
                </w:tcPr>
                <w:p w14:paraId="4D2623A9">
                  <w:pPr>
                    <w:pStyle w:val="41"/>
                    <w:keepNext w:val="0"/>
                    <w:keepLines w:val="0"/>
                    <w:suppressLineNumbers w:val="0"/>
                    <w:snapToGrid w:val="0"/>
                    <w:spacing w:before="0" w:beforeAutospacing="0" w:after="0" w:afterAutospacing="0"/>
                    <w:ind w:left="0" w:right="0"/>
                    <w:rPr>
                      <w:rFonts w:hint="eastAsia" w:ascii="Times New Roman" w:hAnsi="Times New Roman" w:eastAsia="宋体" w:cs="Times New Roman"/>
                      <w:color w:val="auto"/>
                      <w:szCs w:val="21"/>
                      <w:highlight w:val="none"/>
                      <w:shd w:val="clear" w:color="auto" w:fill="auto"/>
                      <w:lang w:eastAsia="zh-CN"/>
                    </w:rPr>
                  </w:pPr>
                </w:p>
              </w:tc>
              <w:tc>
                <w:tcPr>
                  <w:tcW w:w="3555" w:type="dxa"/>
                  <w:shd w:val="clear" w:color="auto" w:fill="auto"/>
                  <w:noWrap w:val="0"/>
                  <w:vAlign w:val="center"/>
                </w:tcPr>
                <w:p w14:paraId="7A13A5D6">
                  <w:pPr>
                    <w:pStyle w:val="41"/>
                    <w:keepNext w:val="0"/>
                    <w:keepLines w:val="0"/>
                    <w:widowControl/>
                    <w:suppressLineNumbers w:val="0"/>
                    <w:topLinePunct w:val="0"/>
                    <w:autoSpaceDE/>
                    <w:autoSpaceDN/>
                    <w:snapToGrid w:val="0"/>
                    <w:spacing w:before="0" w:beforeAutospacing="0" w:after="0" w:afterAutospacing="0"/>
                    <w:ind w:left="0" w:leftChars="0" w:right="0" w:rightChars="0"/>
                    <w:textAlignment w:val="auto"/>
                    <w:rPr>
                      <w:rFonts w:hint="eastAsia" w:ascii="Times New Roman" w:hAnsi="Times New Roman" w:eastAsia="宋体" w:cs="Times New Roman"/>
                      <w:color w:val="auto"/>
                      <w:kern w:val="0"/>
                      <w:position w:val="0"/>
                      <w:sz w:val="21"/>
                      <w:szCs w:val="21"/>
                      <w:highlight w:val="none"/>
                      <w:shd w:val="clear" w:color="auto" w:fill="auto"/>
                      <w:lang w:val="en-US" w:eastAsia="zh-CN" w:bidi="ar-SA"/>
                    </w:rPr>
                  </w:pPr>
                  <w:r>
                    <w:rPr>
                      <w:rFonts w:hint="eastAsia" w:cs="Times New Roman"/>
                      <w:color w:val="auto"/>
                      <w:szCs w:val="21"/>
                      <w:highlight w:val="none"/>
                      <w:lang w:val="en-US" w:eastAsia="zh-CN"/>
                    </w:rPr>
                    <w:t>3</w:t>
                  </w:r>
                  <w:r>
                    <w:rPr>
                      <w:rFonts w:hint="eastAsia" w:cs="Times New Roman"/>
                      <w:color w:val="auto"/>
                      <w:szCs w:val="21"/>
                      <w:highlight w:val="none"/>
                      <w:lang w:eastAsia="zh-CN"/>
                    </w:rPr>
                    <w:t>#生产线</w:t>
                  </w:r>
                  <w:r>
                    <w:rPr>
                      <w:rFonts w:hint="eastAsia" w:eastAsia="宋体" w:cs="Times New Roman"/>
                      <w:color w:val="auto"/>
                      <w:szCs w:val="21"/>
                      <w:highlight w:val="none"/>
                      <w:lang w:eastAsia="zh-CN"/>
                    </w:rPr>
                    <w:t>新增</w:t>
                  </w:r>
                  <w:r>
                    <w:rPr>
                      <w:rFonts w:hint="eastAsia" w:eastAsia="宋体" w:cs="Times New Roman"/>
                      <w:color w:val="auto"/>
                      <w:szCs w:val="21"/>
                      <w:highlight w:val="none"/>
                      <w:lang w:val="en-US" w:eastAsia="zh-CN"/>
                    </w:rPr>
                    <w:t>1套布袋除尘系统，新建15m高排气筒1根</w:t>
                  </w:r>
                  <w:r>
                    <w:rPr>
                      <w:rFonts w:hint="eastAsia" w:cs="Times New Roman"/>
                      <w:color w:val="auto"/>
                      <w:szCs w:val="21"/>
                      <w:highlight w:val="none"/>
                      <w:lang w:val="en-US" w:eastAsia="zh-CN"/>
                    </w:rPr>
                    <w:t>。3#生产线上料、颚破、中间仓、锤破、筛分、产品仓、包装工序各设置一个集气罩（共7个）废气统一经由布袋除尘器处理；雷蒙自带除尘器一台，处理后的废气统一经由15m高排气筒DA002排放.</w:t>
                  </w:r>
                </w:p>
              </w:tc>
              <w:tc>
                <w:tcPr>
                  <w:tcW w:w="1065" w:type="dxa"/>
                  <w:shd w:val="clear" w:color="auto" w:fill="auto"/>
                  <w:noWrap w:val="0"/>
                  <w:vAlign w:val="center"/>
                </w:tcPr>
                <w:p w14:paraId="035EBEAC">
                  <w:pPr>
                    <w:keepNext w:val="0"/>
                    <w:keepLines w:val="0"/>
                    <w:suppressLineNumbers w:val="0"/>
                    <w:spacing w:before="0" w:beforeAutospacing="0" w:after="0" w:afterAutospacing="0"/>
                    <w:ind w:left="0" w:leftChars="0" w:right="0" w:rightChars="0"/>
                    <w:jc w:val="center"/>
                    <w:rPr>
                      <w:rFonts w:hint="eastAsia" w:ascii="Calibri" w:hAnsi="Calibri" w:eastAsia="宋体" w:cs="Times New Roman"/>
                      <w:color w:val="auto"/>
                      <w:kern w:val="2"/>
                      <w:sz w:val="21"/>
                      <w:szCs w:val="21"/>
                      <w:highlight w:val="none"/>
                      <w:shd w:val="clear" w:color="auto" w:fill="auto"/>
                      <w:lang w:val="en-US" w:eastAsia="zh-CN" w:bidi="ar-SA"/>
                    </w:rPr>
                  </w:pPr>
                  <w:r>
                    <w:rPr>
                      <w:rFonts w:hint="eastAsia" w:ascii="Calibri" w:hAnsi="Calibri" w:cs="Times New Roman"/>
                      <w:color w:val="auto"/>
                      <w:sz w:val="21"/>
                      <w:szCs w:val="21"/>
                      <w:highlight w:val="none"/>
                      <w:shd w:val="clear" w:color="auto" w:fill="auto"/>
                      <w:lang w:val="en-US" w:eastAsia="zh-CN"/>
                    </w:rPr>
                    <w:t>1</w:t>
                  </w:r>
                  <w:r>
                    <w:rPr>
                      <w:rFonts w:hint="eastAsia" w:ascii="Calibri" w:hAnsi="Calibri" w:eastAsia="宋体" w:cs="Times New Roman"/>
                      <w:color w:val="auto"/>
                      <w:sz w:val="21"/>
                      <w:szCs w:val="21"/>
                      <w:highlight w:val="none"/>
                      <w:shd w:val="clear" w:color="auto" w:fill="auto"/>
                      <w:lang w:eastAsia="zh-CN"/>
                    </w:rPr>
                    <w:t>套</w:t>
                  </w:r>
                </w:p>
              </w:tc>
              <w:tc>
                <w:tcPr>
                  <w:tcW w:w="1425" w:type="dxa"/>
                  <w:shd w:val="clear" w:color="auto" w:fill="auto"/>
                  <w:noWrap w:val="0"/>
                  <w:vAlign w:val="center"/>
                </w:tcPr>
                <w:p w14:paraId="70214043">
                  <w:pPr>
                    <w:keepNext w:val="0"/>
                    <w:keepLines w:val="0"/>
                    <w:suppressLineNumbers w:val="0"/>
                    <w:adjustRightInd w:val="0"/>
                    <w:snapToGrid w:val="0"/>
                    <w:spacing w:before="0" w:beforeAutospacing="0" w:after="0" w:afterAutospacing="0"/>
                    <w:ind w:left="0" w:leftChars="0" w:right="0" w:rightChars="0"/>
                    <w:jc w:val="center"/>
                    <w:rPr>
                      <w:rFonts w:hint="eastAsia" w:ascii="Calibri" w:hAnsi="Calibri" w:eastAsia="宋体" w:cs="Times New Roman"/>
                      <w:color w:val="auto"/>
                      <w:kern w:val="2"/>
                      <w:sz w:val="21"/>
                      <w:szCs w:val="21"/>
                      <w:highlight w:val="none"/>
                      <w:shd w:val="clear" w:color="auto" w:fill="auto"/>
                      <w:vertAlign w:val="baseline"/>
                      <w:lang w:val="en-US" w:eastAsia="zh-CN" w:bidi="ar-SA"/>
                    </w:rPr>
                  </w:pPr>
                  <w:r>
                    <w:rPr>
                      <w:rFonts w:hint="eastAsia" w:ascii="Calibri" w:hAnsi="Calibri" w:cs="Times New Roman"/>
                      <w:color w:val="auto"/>
                      <w:kern w:val="24"/>
                      <w:position w:val="-28"/>
                      <w:sz w:val="21"/>
                      <w:szCs w:val="21"/>
                      <w:highlight w:val="none"/>
                      <w:shd w:val="clear" w:color="auto" w:fill="auto"/>
                      <w:lang w:val="en-US" w:eastAsia="zh-CN"/>
                    </w:rPr>
                    <w:t>2</w:t>
                  </w:r>
                  <w:r>
                    <w:rPr>
                      <w:rFonts w:hint="eastAsia" w:ascii="Calibri" w:hAnsi="Calibri" w:eastAsia="宋体" w:cs="Times New Roman"/>
                      <w:color w:val="auto"/>
                      <w:kern w:val="24"/>
                      <w:position w:val="-28"/>
                      <w:sz w:val="21"/>
                      <w:szCs w:val="21"/>
                      <w:highlight w:val="none"/>
                      <w:shd w:val="clear" w:color="auto" w:fill="auto"/>
                      <w:lang w:val="en-US" w:eastAsia="zh-CN"/>
                    </w:rPr>
                    <w:t>0</w:t>
                  </w:r>
                </w:p>
              </w:tc>
              <w:tc>
                <w:tcPr>
                  <w:tcW w:w="1216" w:type="dxa"/>
                  <w:shd w:val="clear" w:color="auto" w:fill="auto"/>
                  <w:noWrap w:val="0"/>
                  <w:vAlign w:val="center"/>
                </w:tcPr>
                <w:p w14:paraId="0503177D">
                  <w:pPr>
                    <w:keepNext w:val="0"/>
                    <w:keepLines w:val="0"/>
                    <w:suppressLineNumbers w:val="0"/>
                    <w:adjustRightInd w:val="0"/>
                    <w:snapToGrid w:val="0"/>
                    <w:spacing w:before="0" w:beforeAutospacing="0" w:after="0" w:afterAutospacing="0"/>
                    <w:ind w:left="0" w:leftChars="0" w:right="0" w:rightChars="0"/>
                    <w:jc w:val="center"/>
                    <w:rPr>
                      <w:rFonts w:hint="eastAsia" w:ascii="Calibri" w:hAnsi="Calibri" w:eastAsia="宋体" w:cs="Times New Roman"/>
                      <w:color w:val="auto"/>
                      <w:kern w:val="2"/>
                      <w:sz w:val="21"/>
                      <w:szCs w:val="21"/>
                      <w:highlight w:val="none"/>
                      <w:shd w:val="clear" w:color="auto" w:fill="auto"/>
                      <w:lang w:val="en-US" w:eastAsia="zh-CN" w:bidi="ar-SA"/>
                    </w:rPr>
                  </w:pPr>
                  <w:r>
                    <w:rPr>
                      <w:rFonts w:hint="eastAsia"/>
                      <w:color w:val="auto"/>
                      <w:highlight w:val="none"/>
                      <w:lang w:eastAsia="zh-CN"/>
                    </w:rPr>
                    <w:t>项目设计</w:t>
                  </w:r>
                </w:p>
              </w:tc>
            </w:tr>
            <w:tr w14:paraId="4467C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6" w:hRule="atLeast"/>
                <w:jc w:val="center"/>
              </w:trPr>
              <w:tc>
                <w:tcPr>
                  <w:tcW w:w="537" w:type="dxa"/>
                  <w:vMerge w:val="continue"/>
                  <w:noWrap w:val="0"/>
                  <w:vAlign w:val="center"/>
                </w:tcPr>
                <w:p w14:paraId="6E3E1539">
                  <w:pPr>
                    <w:pStyle w:val="41"/>
                    <w:keepNext w:val="0"/>
                    <w:keepLines w:val="0"/>
                    <w:widowControl/>
                    <w:suppressLineNumbers w:val="0"/>
                    <w:topLinePunct w:val="0"/>
                    <w:autoSpaceDE/>
                    <w:autoSpaceDN/>
                    <w:snapToGrid w:val="0"/>
                    <w:spacing w:before="0" w:beforeAutospacing="0" w:after="0" w:afterAutospacing="0"/>
                    <w:ind w:left="0" w:right="0"/>
                    <w:textAlignment w:val="auto"/>
                    <w:rPr>
                      <w:rFonts w:ascii="Times New Roman" w:hAnsi="Times New Roman" w:eastAsia="宋体" w:cs="Times New Roman"/>
                      <w:color w:val="auto"/>
                      <w:szCs w:val="21"/>
                      <w:highlight w:val="none"/>
                      <w:shd w:val="clear" w:color="auto" w:fill="auto"/>
                    </w:rPr>
                  </w:pPr>
                </w:p>
              </w:tc>
              <w:tc>
                <w:tcPr>
                  <w:tcW w:w="700" w:type="dxa"/>
                  <w:vMerge w:val="continue"/>
                  <w:noWrap w:val="0"/>
                  <w:vAlign w:val="center"/>
                </w:tcPr>
                <w:p w14:paraId="7E491EB7">
                  <w:pPr>
                    <w:pStyle w:val="41"/>
                    <w:keepNext w:val="0"/>
                    <w:keepLines w:val="0"/>
                    <w:suppressLineNumbers w:val="0"/>
                    <w:snapToGrid w:val="0"/>
                    <w:spacing w:before="0" w:beforeAutospacing="0" w:after="0" w:afterAutospacing="0"/>
                    <w:ind w:left="0" w:right="0"/>
                    <w:rPr>
                      <w:rFonts w:hint="eastAsia" w:ascii="Times New Roman" w:hAnsi="Times New Roman" w:eastAsia="宋体" w:cs="Times New Roman"/>
                      <w:color w:val="auto"/>
                      <w:szCs w:val="21"/>
                      <w:highlight w:val="none"/>
                      <w:shd w:val="clear" w:color="auto" w:fill="auto"/>
                      <w:lang w:eastAsia="zh-CN"/>
                    </w:rPr>
                  </w:pPr>
                </w:p>
              </w:tc>
              <w:tc>
                <w:tcPr>
                  <w:tcW w:w="3555" w:type="dxa"/>
                  <w:shd w:val="clear" w:color="auto" w:fill="auto"/>
                  <w:noWrap w:val="0"/>
                  <w:vAlign w:val="center"/>
                </w:tcPr>
                <w:p w14:paraId="1B945DBF">
                  <w:pPr>
                    <w:pStyle w:val="41"/>
                    <w:keepNext w:val="0"/>
                    <w:keepLines w:val="0"/>
                    <w:widowControl/>
                    <w:suppressLineNumbers w:val="0"/>
                    <w:topLinePunct w:val="0"/>
                    <w:autoSpaceDE/>
                    <w:autoSpaceDN/>
                    <w:snapToGrid w:val="0"/>
                    <w:spacing w:before="0" w:beforeAutospacing="0" w:after="0" w:afterAutospacing="0"/>
                    <w:ind w:left="0" w:leftChars="0" w:right="0" w:rightChars="0"/>
                    <w:textAlignment w:val="auto"/>
                    <w:rPr>
                      <w:rFonts w:hint="eastAsia" w:cs="Times New Roman"/>
                      <w:color w:val="auto"/>
                      <w:szCs w:val="21"/>
                      <w:highlight w:val="none"/>
                      <w:lang w:val="en-US" w:eastAsia="zh-CN"/>
                    </w:rPr>
                  </w:pPr>
                  <w:r>
                    <w:rPr>
                      <w:rFonts w:hint="eastAsia" w:cs="Times New Roman"/>
                      <w:color w:val="auto"/>
                      <w:szCs w:val="21"/>
                      <w:highlight w:val="none"/>
                      <w:lang w:val="en-US" w:eastAsia="zh-CN"/>
                    </w:rPr>
                    <w:t>4</w:t>
                  </w:r>
                  <w:r>
                    <w:rPr>
                      <w:rFonts w:hint="eastAsia" w:cs="Times New Roman"/>
                      <w:color w:val="auto"/>
                      <w:szCs w:val="21"/>
                      <w:highlight w:val="none"/>
                      <w:lang w:eastAsia="zh-CN"/>
                    </w:rPr>
                    <w:t>#生产线</w:t>
                  </w:r>
                  <w:r>
                    <w:rPr>
                      <w:rFonts w:hint="eastAsia" w:eastAsia="宋体" w:cs="Times New Roman"/>
                      <w:color w:val="auto"/>
                      <w:szCs w:val="21"/>
                      <w:highlight w:val="none"/>
                      <w:lang w:eastAsia="zh-CN"/>
                    </w:rPr>
                    <w:t>新增</w:t>
                  </w:r>
                  <w:r>
                    <w:rPr>
                      <w:rFonts w:hint="eastAsia" w:eastAsia="宋体" w:cs="Times New Roman"/>
                      <w:color w:val="auto"/>
                      <w:szCs w:val="21"/>
                      <w:highlight w:val="none"/>
                      <w:lang w:val="en-US" w:eastAsia="zh-CN"/>
                    </w:rPr>
                    <w:t>1套布袋除尘系统，新建15m高排气筒1根</w:t>
                  </w:r>
                  <w:r>
                    <w:rPr>
                      <w:rFonts w:hint="eastAsia" w:cs="Times New Roman"/>
                      <w:color w:val="auto"/>
                      <w:szCs w:val="21"/>
                      <w:highlight w:val="none"/>
                      <w:lang w:val="en-US" w:eastAsia="zh-CN"/>
                    </w:rPr>
                    <w:t>。4#生产上料、颚破、中间仓、锤破、筛分、产品仓、包装工序各设置一个集气罩（共7个）废气统一经由布袋除尘器处理；环辊磨自带除尘器一台，处理后的废气统一经由15m高排气筒DA003排放.</w:t>
                  </w:r>
                </w:p>
              </w:tc>
              <w:tc>
                <w:tcPr>
                  <w:tcW w:w="1065" w:type="dxa"/>
                  <w:shd w:val="clear" w:color="auto" w:fill="auto"/>
                  <w:noWrap w:val="0"/>
                  <w:vAlign w:val="center"/>
                </w:tcPr>
                <w:p w14:paraId="5AB58A99">
                  <w:pPr>
                    <w:keepNext w:val="0"/>
                    <w:keepLines w:val="0"/>
                    <w:suppressLineNumbers w:val="0"/>
                    <w:spacing w:before="0" w:beforeAutospacing="0" w:after="0" w:afterAutospacing="0"/>
                    <w:ind w:left="0" w:leftChars="0" w:right="0" w:rightChars="0"/>
                    <w:jc w:val="center"/>
                    <w:rPr>
                      <w:rFonts w:hint="eastAsia" w:ascii="Calibri" w:hAnsi="Calibri" w:cs="Times New Roman"/>
                      <w:color w:val="auto"/>
                      <w:sz w:val="21"/>
                      <w:szCs w:val="21"/>
                      <w:highlight w:val="none"/>
                      <w:shd w:val="clear" w:color="auto" w:fill="auto"/>
                      <w:lang w:val="en-US" w:eastAsia="zh-CN"/>
                    </w:rPr>
                  </w:pPr>
                  <w:r>
                    <w:rPr>
                      <w:rFonts w:hint="eastAsia" w:ascii="Calibri" w:hAnsi="Calibri" w:cs="Times New Roman"/>
                      <w:color w:val="auto"/>
                      <w:sz w:val="21"/>
                      <w:szCs w:val="21"/>
                      <w:highlight w:val="none"/>
                      <w:shd w:val="clear" w:color="auto" w:fill="auto"/>
                      <w:lang w:val="en-US" w:eastAsia="zh-CN"/>
                    </w:rPr>
                    <w:t>1</w:t>
                  </w:r>
                  <w:r>
                    <w:rPr>
                      <w:rFonts w:hint="eastAsia" w:ascii="Calibri" w:hAnsi="Calibri" w:eastAsia="宋体" w:cs="Times New Roman"/>
                      <w:color w:val="auto"/>
                      <w:sz w:val="21"/>
                      <w:szCs w:val="21"/>
                      <w:highlight w:val="none"/>
                      <w:shd w:val="clear" w:color="auto" w:fill="auto"/>
                      <w:lang w:eastAsia="zh-CN"/>
                    </w:rPr>
                    <w:t>套</w:t>
                  </w:r>
                </w:p>
              </w:tc>
              <w:tc>
                <w:tcPr>
                  <w:tcW w:w="1425" w:type="dxa"/>
                  <w:shd w:val="clear" w:color="auto" w:fill="auto"/>
                  <w:noWrap w:val="0"/>
                  <w:vAlign w:val="center"/>
                </w:tcPr>
                <w:p w14:paraId="086F838A">
                  <w:pPr>
                    <w:keepNext w:val="0"/>
                    <w:keepLines w:val="0"/>
                    <w:suppressLineNumbers w:val="0"/>
                    <w:adjustRightInd w:val="0"/>
                    <w:snapToGrid w:val="0"/>
                    <w:spacing w:before="0" w:beforeAutospacing="0" w:after="0" w:afterAutospacing="0"/>
                    <w:ind w:left="0" w:leftChars="0" w:right="0" w:rightChars="0"/>
                    <w:jc w:val="center"/>
                    <w:rPr>
                      <w:rFonts w:hint="eastAsia" w:ascii="Calibri" w:hAnsi="Calibri" w:cs="Times New Roman"/>
                      <w:color w:val="auto"/>
                      <w:kern w:val="24"/>
                      <w:position w:val="-28"/>
                      <w:sz w:val="21"/>
                      <w:szCs w:val="21"/>
                      <w:highlight w:val="none"/>
                      <w:shd w:val="clear" w:color="auto" w:fill="auto"/>
                      <w:lang w:val="en-US" w:eastAsia="zh-CN"/>
                    </w:rPr>
                  </w:pPr>
                  <w:r>
                    <w:rPr>
                      <w:rFonts w:hint="eastAsia" w:ascii="Calibri" w:hAnsi="Calibri" w:cs="Times New Roman"/>
                      <w:color w:val="auto"/>
                      <w:kern w:val="24"/>
                      <w:position w:val="-28"/>
                      <w:sz w:val="21"/>
                      <w:szCs w:val="21"/>
                      <w:highlight w:val="none"/>
                      <w:shd w:val="clear" w:color="auto" w:fill="auto"/>
                      <w:lang w:val="en-US" w:eastAsia="zh-CN"/>
                    </w:rPr>
                    <w:t>2</w:t>
                  </w:r>
                  <w:r>
                    <w:rPr>
                      <w:rFonts w:hint="eastAsia" w:ascii="Calibri" w:hAnsi="Calibri" w:eastAsia="宋体" w:cs="Times New Roman"/>
                      <w:color w:val="auto"/>
                      <w:kern w:val="24"/>
                      <w:position w:val="-28"/>
                      <w:sz w:val="21"/>
                      <w:szCs w:val="21"/>
                      <w:highlight w:val="none"/>
                      <w:shd w:val="clear" w:color="auto" w:fill="auto"/>
                      <w:lang w:val="en-US" w:eastAsia="zh-CN"/>
                    </w:rPr>
                    <w:t>0</w:t>
                  </w:r>
                </w:p>
              </w:tc>
              <w:tc>
                <w:tcPr>
                  <w:tcW w:w="1216" w:type="dxa"/>
                  <w:shd w:val="clear" w:color="auto" w:fill="auto"/>
                  <w:noWrap w:val="0"/>
                  <w:vAlign w:val="center"/>
                </w:tcPr>
                <w:p w14:paraId="5369ABD0">
                  <w:pPr>
                    <w:keepNext w:val="0"/>
                    <w:keepLines w:val="0"/>
                    <w:suppressLineNumbers w:val="0"/>
                    <w:adjustRightInd w:val="0"/>
                    <w:snapToGrid w:val="0"/>
                    <w:spacing w:before="0" w:beforeAutospacing="0" w:after="0" w:afterAutospacing="0"/>
                    <w:ind w:left="0" w:leftChars="0" w:right="0" w:rightChars="0"/>
                    <w:jc w:val="center"/>
                    <w:rPr>
                      <w:rFonts w:hint="eastAsia"/>
                      <w:color w:val="auto"/>
                      <w:highlight w:val="none"/>
                      <w:lang w:eastAsia="zh-CN"/>
                    </w:rPr>
                  </w:pPr>
                  <w:r>
                    <w:rPr>
                      <w:rFonts w:hint="eastAsia"/>
                      <w:color w:val="auto"/>
                      <w:highlight w:val="none"/>
                      <w:lang w:eastAsia="zh-CN"/>
                    </w:rPr>
                    <w:t>项目设计</w:t>
                  </w:r>
                </w:p>
              </w:tc>
            </w:tr>
            <w:tr w14:paraId="0E55E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6" w:hRule="atLeast"/>
                <w:jc w:val="center"/>
              </w:trPr>
              <w:tc>
                <w:tcPr>
                  <w:tcW w:w="537" w:type="dxa"/>
                  <w:vMerge w:val="continue"/>
                  <w:noWrap w:val="0"/>
                  <w:vAlign w:val="center"/>
                </w:tcPr>
                <w:p w14:paraId="232466DF">
                  <w:pPr>
                    <w:pStyle w:val="41"/>
                    <w:keepNext w:val="0"/>
                    <w:keepLines w:val="0"/>
                    <w:widowControl/>
                    <w:suppressLineNumbers w:val="0"/>
                    <w:topLinePunct w:val="0"/>
                    <w:autoSpaceDE/>
                    <w:autoSpaceDN/>
                    <w:snapToGrid w:val="0"/>
                    <w:spacing w:before="0" w:beforeAutospacing="0" w:after="0" w:afterAutospacing="0"/>
                    <w:ind w:left="0" w:right="0"/>
                    <w:textAlignment w:val="auto"/>
                    <w:rPr>
                      <w:rFonts w:ascii="Times New Roman" w:hAnsi="Times New Roman" w:eastAsia="宋体" w:cs="Times New Roman"/>
                      <w:color w:val="auto"/>
                      <w:szCs w:val="21"/>
                      <w:highlight w:val="none"/>
                      <w:shd w:val="clear" w:color="auto" w:fill="auto"/>
                    </w:rPr>
                  </w:pPr>
                </w:p>
              </w:tc>
              <w:tc>
                <w:tcPr>
                  <w:tcW w:w="700" w:type="dxa"/>
                  <w:vMerge w:val="continue"/>
                  <w:noWrap w:val="0"/>
                  <w:vAlign w:val="center"/>
                </w:tcPr>
                <w:p w14:paraId="1F9835A2">
                  <w:pPr>
                    <w:pStyle w:val="41"/>
                    <w:keepNext w:val="0"/>
                    <w:keepLines w:val="0"/>
                    <w:suppressLineNumbers w:val="0"/>
                    <w:snapToGrid w:val="0"/>
                    <w:spacing w:before="0" w:beforeAutospacing="0" w:after="0" w:afterAutospacing="0"/>
                    <w:ind w:left="0" w:right="0"/>
                    <w:rPr>
                      <w:rFonts w:hint="eastAsia" w:ascii="Times New Roman" w:hAnsi="Times New Roman" w:eastAsia="宋体" w:cs="Times New Roman"/>
                      <w:color w:val="auto"/>
                      <w:szCs w:val="21"/>
                      <w:highlight w:val="none"/>
                      <w:shd w:val="clear" w:color="auto" w:fill="auto"/>
                      <w:lang w:eastAsia="zh-CN"/>
                    </w:rPr>
                  </w:pPr>
                </w:p>
              </w:tc>
              <w:tc>
                <w:tcPr>
                  <w:tcW w:w="3555" w:type="dxa"/>
                  <w:shd w:val="clear" w:color="auto" w:fill="auto"/>
                  <w:noWrap w:val="0"/>
                  <w:vAlign w:val="center"/>
                </w:tcPr>
                <w:p w14:paraId="72E61B13">
                  <w:pPr>
                    <w:pStyle w:val="41"/>
                    <w:keepNext w:val="0"/>
                    <w:keepLines w:val="0"/>
                    <w:widowControl/>
                    <w:suppressLineNumbers w:val="0"/>
                    <w:topLinePunct w:val="0"/>
                    <w:autoSpaceDE/>
                    <w:autoSpaceDN/>
                    <w:snapToGrid w:val="0"/>
                    <w:spacing w:before="0" w:beforeAutospacing="0" w:after="0" w:afterAutospacing="0"/>
                    <w:ind w:left="0" w:leftChars="0" w:right="0" w:rightChars="0"/>
                    <w:textAlignment w:val="auto"/>
                    <w:rPr>
                      <w:rFonts w:hint="eastAsia" w:cs="Times New Roman"/>
                      <w:color w:val="auto"/>
                      <w:szCs w:val="21"/>
                      <w:highlight w:val="none"/>
                      <w:lang w:val="en-US" w:eastAsia="zh-CN"/>
                    </w:rPr>
                  </w:pPr>
                  <w:r>
                    <w:rPr>
                      <w:rFonts w:hint="eastAsia" w:hAnsi="宋体" w:cs="Times New Roman"/>
                      <w:color w:val="auto"/>
                      <w:highlight w:val="none"/>
                      <w:shd w:val="clear" w:color="auto" w:fill="auto"/>
                      <w:lang w:val="en-US" w:eastAsia="zh-CN"/>
                    </w:rPr>
                    <w:t>2</w:t>
                  </w:r>
                  <w:r>
                    <w:rPr>
                      <w:rFonts w:hint="eastAsia" w:ascii="宋体" w:hAnsi="宋体" w:cs="Times New Roman"/>
                      <w:color w:val="auto"/>
                      <w:highlight w:val="none"/>
                      <w:shd w:val="clear" w:color="auto" w:fill="auto"/>
                      <w:lang w:val="en-US" w:eastAsia="zh-CN"/>
                    </w:rPr>
                    <w:t>#原料库房、</w:t>
                  </w:r>
                  <w:r>
                    <w:rPr>
                      <w:rFonts w:hint="eastAsia" w:cs="Times New Roman"/>
                      <w:color w:val="auto"/>
                      <w:szCs w:val="21"/>
                      <w:highlight w:val="none"/>
                      <w:lang w:val="en-US" w:eastAsia="zh-CN"/>
                    </w:rPr>
                    <w:t>5</w:t>
                  </w:r>
                  <w:r>
                    <w:rPr>
                      <w:rFonts w:hint="eastAsia" w:cs="Times New Roman"/>
                      <w:color w:val="auto"/>
                      <w:szCs w:val="21"/>
                      <w:highlight w:val="none"/>
                      <w:lang w:eastAsia="zh-CN"/>
                    </w:rPr>
                    <w:t>#生产线</w:t>
                  </w:r>
                  <w:r>
                    <w:rPr>
                      <w:rFonts w:hint="eastAsia" w:eastAsia="宋体" w:cs="Times New Roman"/>
                      <w:color w:val="auto"/>
                      <w:szCs w:val="21"/>
                      <w:highlight w:val="none"/>
                      <w:lang w:eastAsia="zh-CN"/>
                    </w:rPr>
                    <w:t>新增</w:t>
                  </w:r>
                  <w:r>
                    <w:rPr>
                      <w:rFonts w:hint="eastAsia" w:eastAsia="宋体" w:cs="Times New Roman"/>
                      <w:color w:val="auto"/>
                      <w:szCs w:val="21"/>
                      <w:highlight w:val="none"/>
                      <w:lang w:val="en-US" w:eastAsia="zh-CN"/>
                    </w:rPr>
                    <w:t>1套布袋除尘系统，新建15m高排气筒1根</w:t>
                  </w:r>
                  <w:r>
                    <w:rPr>
                      <w:rFonts w:hint="eastAsia" w:cs="Times New Roman"/>
                      <w:color w:val="auto"/>
                      <w:szCs w:val="21"/>
                      <w:highlight w:val="none"/>
                      <w:lang w:val="en-US" w:eastAsia="zh-CN"/>
                    </w:rPr>
                    <w:t>。5#生产线上料、颚破、中间仓、锤破、筛分、色选、产品仓、包装工序各设置一个集气罩（共15个）废气统一经由布袋除尘器处理，处理后的废气统一经由15m高排气筒DA004排放.</w:t>
                  </w:r>
                </w:p>
              </w:tc>
              <w:tc>
                <w:tcPr>
                  <w:tcW w:w="1065" w:type="dxa"/>
                  <w:shd w:val="clear" w:color="auto" w:fill="auto"/>
                  <w:noWrap w:val="0"/>
                  <w:vAlign w:val="center"/>
                </w:tcPr>
                <w:p w14:paraId="375E7D39">
                  <w:pPr>
                    <w:keepNext w:val="0"/>
                    <w:keepLines w:val="0"/>
                    <w:suppressLineNumbers w:val="0"/>
                    <w:spacing w:before="0" w:beforeAutospacing="0" w:after="0" w:afterAutospacing="0"/>
                    <w:ind w:left="0" w:leftChars="0" w:right="0" w:rightChars="0"/>
                    <w:jc w:val="center"/>
                    <w:rPr>
                      <w:rFonts w:hint="eastAsia" w:ascii="Calibri" w:hAnsi="Calibri" w:cs="Times New Roman"/>
                      <w:color w:val="auto"/>
                      <w:sz w:val="21"/>
                      <w:szCs w:val="21"/>
                      <w:highlight w:val="none"/>
                      <w:shd w:val="clear" w:color="auto" w:fill="auto"/>
                      <w:lang w:val="en-US" w:eastAsia="zh-CN"/>
                    </w:rPr>
                  </w:pPr>
                  <w:r>
                    <w:rPr>
                      <w:rFonts w:hint="eastAsia" w:ascii="Calibri" w:hAnsi="Calibri" w:cs="Times New Roman"/>
                      <w:color w:val="auto"/>
                      <w:sz w:val="21"/>
                      <w:szCs w:val="21"/>
                      <w:highlight w:val="none"/>
                      <w:shd w:val="clear" w:color="auto" w:fill="auto"/>
                      <w:lang w:val="en-US" w:eastAsia="zh-CN"/>
                    </w:rPr>
                    <w:t>1</w:t>
                  </w:r>
                  <w:r>
                    <w:rPr>
                      <w:rFonts w:hint="eastAsia" w:ascii="Calibri" w:hAnsi="Calibri" w:eastAsia="宋体" w:cs="Times New Roman"/>
                      <w:color w:val="auto"/>
                      <w:sz w:val="21"/>
                      <w:szCs w:val="21"/>
                      <w:highlight w:val="none"/>
                      <w:shd w:val="clear" w:color="auto" w:fill="auto"/>
                      <w:lang w:eastAsia="zh-CN"/>
                    </w:rPr>
                    <w:t>套</w:t>
                  </w:r>
                </w:p>
              </w:tc>
              <w:tc>
                <w:tcPr>
                  <w:tcW w:w="1425" w:type="dxa"/>
                  <w:shd w:val="clear" w:color="auto" w:fill="auto"/>
                  <w:noWrap w:val="0"/>
                  <w:vAlign w:val="center"/>
                </w:tcPr>
                <w:p w14:paraId="15B4F4BF">
                  <w:pPr>
                    <w:keepNext w:val="0"/>
                    <w:keepLines w:val="0"/>
                    <w:suppressLineNumbers w:val="0"/>
                    <w:adjustRightInd w:val="0"/>
                    <w:snapToGrid w:val="0"/>
                    <w:spacing w:before="0" w:beforeAutospacing="0" w:after="0" w:afterAutospacing="0"/>
                    <w:ind w:left="0" w:leftChars="0" w:right="0" w:rightChars="0"/>
                    <w:jc w:val="center"/>
                    <w:rPr>
                      <w:rFonts w:hint="eastAsia" w:ascii="Calibri" w:hAnsi="Calibri" w:cs="Times New Roman"/>
                      <w:color w:val="auto"/>
                      <w:kern w:val="24"/>
                      <w:position w:val="-28"/>
                      <w:sz w:val="21"/>
                      <w:szCs w:val="21"/>
                      <w:highlight w:val="none"/>
                      <w:shd w:val="clear" w:color="auto" w:fill="auto"/>
                      <w:lang w:val="en-US" w:eastAsia="zh-CN"/>
                    </w:rPr>
                  </w:pPr>
                  <w:r>
                    <w:rPr>
                      <w:rFonts w:hint="eastAsia" w:ascii="Calibri" w:hAnsi="Calibri" w:cs="Times New Roman"/>
                      <w:color w:val="auto"/>
                      <w:kern w:val="24"/>
                      <w:position w:val="-28"/>
                      <w:sz w:val="21"/>
                      <w:szCs w:val="21"/>
                      <w:highlight w:val="none"/>
                      <w:shd w:val="clear" w:color="auto" w:fill="auto"/>
                      <w:lang w:val="en-US" w:eastAsia="zh-CN"/>
                    </w:rPr>
                    <w:t>2</w:t>
                  </w:r>
                  <w:r>
                    <w:rPr>
                      <w:rFonts w:hint="eastAsia" w:ascii="Calibri" w:hAnsi="Calibri" w:eastAsia="宋体" w:cs="Times New Roman"/>
                      <w:color w:val="auto"/>
                      <w:kern w:val="24"/>
                      <w:position w:val="-28"/>
                      <w:sz w:val="21"/>
                      <w:szCs w:val="21"/>
                      <w:highlight w:val="none"/>
                      <w:shd w:val="clear" w:color="auto" w:fill="auto"/>
                      <w:lang w:val="en-US" w:eastAsia="zh-CN"/>
                    </w:rPr>
                    <w:t>0</w:t>
                  </w:r>
                </w:p>
              </w:tc>
              <w:tc>
                <w:tcPr>
                  <w:tcW w:w="1216" w:type="dxa"/>
                  <w:shd w:val="clear" w:color="auto" w:fill="auto"/>
                  <w:noWrap w:val="0"/>
                  <w:vAlign w:val="center"/>
                </w:tcPr>
                <w:p w14:paraId="496B5A02">
                  <w:pPr>
                    <w:keepNext w:val="0"/>
                    <w:keepLines w:val="0"/>
                    <w:suppressLineNumbers w:val="0"/>
                    <w:adjustRightInd w:val="0"/>
                    <w:snapToGrid w:val="0"/>
                    <w:spacing w:before="0" w:beforeAutospacing="0" w:after="0" w:afterAutospacing="0"/>
                    <w:ind w:left="0" w:leftChars="0" w:right="0" w:rightChars="0"/>
                    <w:jc w:val="center"/>
                    <w:rPr>
                      <w:rFonts w:hint="eastAsia"/>
                      <w:color w:val="auto"/>
                      <w:highlight w:val="none"/>
                      <w:lang w:eastAsia="zh-CN"/>
                    </w:rPr>
                  </w:pPr>
                  <w:r>
                    <w:rPr>
                      <w:rFonts w:hint="eastAsia"/>
                      <w:color w:val="auto"/>
                      <w:highlight w:val="none"/>
                      <w:lang w:eastAsia="zh-CN"/>
                    </w:rPr>
                    <w:t>项目设计</w:t>
                  </w:r>
                </w:p>
              </w:tc>
            </w:tr>
            <w:tr w14:paraId="64927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537" w:type="dxa"/>
                  <w:vMerge w:val="continue"/>
                  <w:noWrap w:val="0"/>
                  <w:vAlign w:val="center"/>
                </w:tcPr>
                <w:p w14:paraId="7CDCED1F">
                  <w:pPr>
                    <w:pStyle w:val="41"/>
                    <w:keepNext w:val="0"/>
                    <w:keepLines w:val="0"/>
                    <w:widowControl/>
                    <w:suppressLineNumbers w:val="0"/>
                    <w:topLinePunct w:val="0"/>
                    <w:autoSpaceDE/>
                    <w:autoSpaceDN/>
                    <w:snapToGrid w:val="0"/>
                    <w:spacing w:before="0" w:beforeAutospacing="0" w:after="0" w:afterAutospacing="0"/>
                    <w:ind w:left="0" w:right="0"/>
                    <w:textAlignment w:val="auto"/>
                    <w:rPr>
                      <w:rFonts w:ascii="Times New Roman" w:hAnsi="Times New Roman" w:eastAsia="宋体" w:cs="Times New Roman"/>
                      <w:color w:val="auto"/>
                      <w:szCs w:val="21"/>
                      <w:highlight w:val="none"/>
                      <w:shd w:val="clear" w:color="auto" w:fill="auto"/>
                    </w:rPr>
                  </w:pPr>
                </w:p>
              </w:tc>
              <w:tc>
                <w:tcPr>
                  <w:tcW w:w="700" w:type="dxa"/>
                  <w:vMerge w:val="continue"/>
                  <w:noWrap w:val="0"/>
                  <w:vAlign w:val="center"/>
                </w:tcPr>
                <w:p w14:paraId="762F45A7">
                  <w:pPr>
                    <w:pStyle w:val="41"/>
                    <w:keepNext w:val="0"/>
                    <w:keepLines w:val="0"/>
                    <w:suppressLineNumbers w:val="0"/>
                    <w:snapToGrid w:val="0"/>
                    <w:spacing w:before="0" w:beforeAutospacing="0" w:after="0" w:afterAutospacing="0"/>
                    <w:ind w:left="0" w:right="0"/>
                    <w:rPr>
                      <w:rFonts w:hint="eastAsia" w:ascii="Times New Roman" w:hAnsi="Times New Roman" w:eastAsia="宋体" w:cs="Times New Roman"/>
                      <w:color w:val="auto"/>
                      <w:szCs w:val="21"/>
                      <w:highlight w:val="none"/>
                      <w:shd w:val="clear" w:color="auto" w:fill="auto"/>
                      <w:lang w:eastAsia="zh-CN"/>
                    </w:rPr>
                  </w:pPr>
                </w:p>
              </w:tc>
              <w:tc>
                <w:tcPr>
                  <w:tcW w:w="3555" w:type="dxa"/>
                  <w:noWrap w:val="0"/>
                  <w:vAlign w:val="center"/>
                </w:tcPr>
                <w:p w14:paraId="2B1DBE81">
                  <w:pPr>
                    <w:keepNext w:val="0"/>
                    <w:keepLines w:val="0"/>
                    <w:suppressLineNumbers w:val="0"/>
                    <w:adjustRightInd w:val="0"/>
                    <w:snapToGrid w:val="0"/>
                    <w:spacing w:before="0" w:beforeAutospacing="0" w:after="0" w:afterAutospacing="0"/>
                    <w:ind w:left="0" w:leftChars="0" w:right="0" w:rightChars="0"/>
                    <w:jc w:val="center"/>
                    <w:rPr>
                      <w:rFonts w:hint="eastAsia" w:cs="Times New Roman"/>
                      <w:color w:val="auto"/>
                      <w:szCs w:val="21"/>
                      <w:highlight w:val="none"/>
                      <w:lang w:eastAsia="zh-CN"/>
                    </w:rPr>
                  </w:pPr>
                  <w:r>
                    <w:rPr>
                      <w:rFonts w:hint="eastAsia" w:cs="Times New Roman"/>
                      <w:color w:val="auto"/>
                      <w:szCs w:val="21"/>
                      <w:highlight w:val="none"/>
                      <w:lang w:eastAsia="zh-CN"/>
                    </w:rPr>
                    <w:t>排气筒标准化采样口</w:t>
                  </w:r>
                </w:p>
              </w:tc>
              <w:tc>
                <w:tcPr>
                  <w:tcW w:w="1065" w:type="dxa"/>
                  <w:noWrap w:val="0"/>
                  <w:vAlign w:val="center"/>
                </w:tcPr>
                <w:p w14:paraId="50C896A2">
                  <w:pPr>
                    <w:keepNext w:val="0"/>
                    <w:keepLines w:val="0"/>
                    <w:suppressLineNumbers w:val="0"/>
                    <w:adjustRightInd w:val="0"/>
                    <w:snapToGrid w:val="0"/>
                    <w:spacing w:before="0" w:beforeAutospacing="0" w:after="0" w:afterAutospacing="0"/>
                    <w:ind w:left="0" w:leftChars="0" w:right="0" w:right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4个</w:t>
                  </w:r>
                </w:p>
              </w:tc>
              <w:tc>
                <w:tcPr>
                  <w:tcW w:w="1425" w:type="dxa"/>
                  <w:noWrap w:val="0"/>
                  <w:vAlign w:val="center"/>
                </w:tcPr>
                <w:p w14:paraId="24C326E5">
                  <w:pPr>
                    <w:keepNext w:val="0"/>
                    <w:keepLines w:val="0"/>
                    <w:suppressLineNumbers w:val="0"/>
                    <w:adjustRightInd w:val="0"/>
                    <w:snapToGrid w:val="0"/>
                    <w:spacing w:before="0" w:beforeAutospacing="0" w:after="0" w:afterAutospacing="0"/>
                    <w:ind w:left="0" w:leftChars="0" w:right="0" w:right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4</w:t>
                  </w:r>
                </w:p>
              </w:tc>
              <w:tc>
                <w:tcPr>
                  <w:tcW w:w="1216" w:type="dxa"/>
                  <w:noWrap w:val="0"/>
                  <w:vAlign w:val="center"/>
                </w:tcPr>
                <w:p w14:paraId="41677FA3">
                  <w:pPr>
                    <w:keepNext w:val="0"/>
                    <w:keepLines w:val="0"/>
                    <w:suppressLineNumbers w:val="0"/>
                    <w:adjustRightInd w:val="0"/>
                    <w:snapToGrid w:val="0"/>
                    <w:spacing w:before="0" w:beforeAutospacing="0" w:after="0" w:afterAutospacing="0"/>
                    <w:ind w:left="0" w:leftChars="0" w:right="0" w:rightChars="0"/>
                    <w:jc w:val="center"/>
                    <w:rPr>
                      <w:rFonts w:hint="eastAsia"/>
                      <w:color w:val="auto"/>
                      <w:highlight w:val="none"/>
                      <w:lang w:eastAsia="zh-CN"/>
                    </w:rPr>
                  </w:pPr>
                  <w:r>
                    <w:rPr>
                      <w:rFonts w:hint="eastAsia"/>
                      <w:color w:val="auto"/>
                      <w:highlight w:val="none"/>
                      <w:lang w:eastAsia="zh-CN"/>
                    </w:rPr>
                    <w:t>项目设计</w:t>
                  </w:r>
                </w:p>
              </w:tc>
            </w:tr>
            <w:tr w14:paraId="34CC3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537" w:type="dxa"/>
                  <w:vMerge w:val="continue"/>
                  <w:noWrap w:val="0"/>
                  <w:vAlign w:val="center"/>
                </w:tcPr>
                <w:p w14:paraId="3332F2A5">
                  <w:pPr>
                    <w:pStyle w:val="41"/>
                    <w:keepNext w:val="0"/>
                    <w:keepLines w:val="0"/>
                    <w:widowControl/>
                    <w:suppressLineNumbers w:val="0"/>
                    <w:topLinePunct w:val="0"/>
                    <w:autoSpaceDE/>
                    <w:autoSpaceDN/>
                    <w:snapToGrid w:val="0"/>
                    <w:spacing w:before="0" w:beforeAutospacing="0" w:after="0" w:afterAutospacing="0"/>
                    <w:ind w:left="0" w:right="0"/>
                    <w:textAlignment w:val="auto"/>
                    <w:rPr>
                      <w:rFonts w:ascii="Times New Roman" w:hAnsi="Times New Roman" w:eastAsia="宋体" w:cs="Times New Roman"/>
                      <w:color w:val="auto"/>
                      <w:szCs w:val="21"/>
                      <w:highlight w:val="none"/>
                      <w:shd w:val="clear" w:color="auto" w:fill="auto"/>
                    </w:rPr>
                  </w:pPr>
                </w:p>
              </w:tc>
              <w:tc>
                <w:tcPr>
                  <w:tcW w:w="700" w:type="dxa"/>
                  <w:vMerge w:val="continue"/>
                  <w:noWrap w:val="0"/>
                  <w:vAlign w:val="center"/>
                </w:tcPr>
                <w:p w14:paraId="113AF179">
                  <w:pPr>
                    <w:pStyle w:val="41"/>
                    <w:keepNext w:val="0"/>
                    <w:keepLines w:val="0"/>
                    <w:suppressLineNumbers w:val="0"/>
                    <w:snapToGrid w:val="0"/>
                    <w:spacing w:before="0" w:beforeAutospacing="0" w:after="0" w:afterAutospacing="0"/>
                    <w:ind w:left="0" w:right="0"/>
                    <w:rPr>
                      <w:rFonts w:hint="eastAsia" w:ascii="Times New Roman" w:hAnsi="Times New Roman" w:eastAsia="宋体" w:cs="Times New Roman"/>
                      <w:color w:val="auto"/>
                      <w:szCs w:val="21"/>
                      <w:highlight w:val="none"/>
                      <w:shd w:val="clear" w:color="auto" w:fill="auto"/>
                      <w:lang w:eastAsia="zh-CN"/>
                    </w:rPr>
                  </w:pPr>
                </w:p>
              </w:tc>
              <w:tc>
                <w:tcPr>
                  <w:tcW w:w="3555" w:type="dxa"/>
                  <w:noWrap w:val="0"/>
                  <w:vAlign w:val="center"/>
                </w:tcPr>
                <w:p w14:paraId="46A73161">
                  <w:pPr>
                    <w:keepNext w:val="0"/>
                    <w:keepLines w:val="0"/>
                    <w:suppressLineNumbers w:val="0"/>
                    <w:adjustRightInd w:val="0"/>
                    <w:snapToGrid w:val="0"/>
                    <w:spacing w:before="0" w:beforeAutospacing="0" w:after="0" w:afterAutospacing="0"/>
                    <w:ind w:left="0" w:leftChars="0" w:right="0" w:rightChars="0"/>
                    <w:jc w:val="center"/>
                    <w:rPr>
                      <w:rFonts w:hint="eastAsia" w:cs="Times New Roman"/>
                      <w:color w:val="auto"/>
                      <w:szCs w:val="21"/>
                      <w:highlight w:val="none"/>
                      <w:lang w:eastAsia="zh-CN"/>
                    </w:rPr>
                  </w:pPr>
                  <w:r>
                    <w:rPr>
                      <w:rFonts w:hint="eastAsia" w:cs="Times New Roman"/>
                      <w:color w:val="auto"/>
                      <w:szCs w:val="21"/>
                      <w:highlight w:val="none"/>
                      <w:lang w:eastAsia="zh-CN"/>
                    </w:rPr>
                    <w:t>洒水车、吸尘车</w:t>
                  </w:r>
                </w:p>
              </w:tc>
              <w:tc>
                <w:tcPr>
                  <w:tcW w:w="1065" w:type="dxa"/>
                  <w:noWrap w:val="0"/>
                  <w:vAlign w:val="center"/>
                </w:tcPr>
                <w:p w14:paraId="4C8B18E1">
                  <w:pPr>
                    <w:keepNext w:val="0"/>
                    <w:keepLines w:val="0"/>
                    <w:suppressLineNumbers w:val="0"/>
                    <w:adjustRightInd w:val="0"/>
                    <w:snapToGrid w:val="0"/>
                    <w:spacing w:before="0" w:beforeAutospacing="0" w:after="0" w:afterAutospacing="0"/>
                    <w:ind w:left="0" w:leftChars="0" w:right="0" w:rightChars="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4台</w:t>
                  </w:r>
                </w:p>
              </w:tc>
              <w:tc>
                <w:tcPr>
                  <w:tcW w:w="1425" w:type="dxa"/>
                  <w:noWrap w:val="0"/>
                  <w:vAlign w:val="center"/>
                </w:tcPr>
                <w:p w14:paraId="667DA163">
                  <w:pPr>
                    <w:keepNext w:val="0"/>
                    <w:keepLines w:val="0"/>
                    <w:suppressLineNumbers w:val="0"/>
                    <w:adjustRightInd w:val="0"/>
                    <w:snapToGrid w:val="0"/>
                    <w:spacing w:before="0" w:beforeAutospacing="0" w:after="0" w:afterAutospacing="0"/>
                    <w:ind w:left="0" w:leftChars="0" w:right="0" w:rightChars="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4</w:t>
                  </w:r>
                </w:p>
              </w:tc>
              <w:tc>
                <w:tcPr>
                  <w:tcW w:w="1216" w:type="dxa"/>
                  <w:noWrap w:val="0"/>
                  <w:vAlign w:val="center"/>
                </w:tcPr>
                <w:p w14:paraId="0B9AD590">
                  <w:pPr>
                    <w:keepNext w:val="0"/>
                    <w:keepLines w:val="0"/>
                    <w:suppressLineNumbers w:val="0"/>
                    <w:adjustRightInd w:val="0"/>
                    <w:snapToGrid w:val="0"/>
                    <w:spacing w:before="0" w:beforeAutospacing="0" w:after="0" w:afterAutospacing="0"/>
                    <w:ind w:left="0" w:right="0"/>
                    <w:jc w:val="center"/>
                    <w:rPr>
                      <w:rFonts w:hint="eastAsia"/>
                      <w:color w:val="auto"/>
                      <w:highlight w:val="none"/>
                      <w:lang w:eastAsia="zh-CN"/>
                    </w:rPr>
                  </w:pPr>
                  <w:r>
                    <w:rPr>
                      <w:rFonts w:hint="eastAsia"/>
                      <w:color w:val="auto"/>
                      <w:highlight w:val="none"/>
                      <w:lang w:eastAsia="zh-CN"/>
                    </w:rPr>
                    <w:t>项目设计</w:t>
                  </w:r>
                </w:p>
              </w:tc>
            </w:tr>
            <w:tr w14:paraId="5BB79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537" w:type="dxa"/>
                  <w:vMerge w:val="continue"/>
                  <w:noWrap w:val="0"/>
                  <w:vAlign w:val="center"/>
                </w:tcPr>
                <w:p w14:paraId="1F443AF0">
                  <w:pPr>
                    <w:pStyle w:val="41"/>
                    <w:keepNext w:val="0"/>
                    <w:keepLines w:val="0"/>
                    <w:widowControl/>
                    <w:suppressLineNumbers w:val="0"/>
                    <w:topLinePunct w:val="0"/>
                    <w:autoSpaceDE/>
                    <w:autoSpaceDN/>
                    <w:snapToGrid w:val="0"/>
                    <w:spacing w:before="0" w:beforeAutospacing="0" w:after="0" w:afterAutospacing="0"/>
                    <w:ind w:left="0" w:right="0"/>
                    <w:textAlignment w:val="auto"/>
                    <w:rPr>
                      <w:rFonts w:ascii="Times New Roman" w:hAnsi="Times New Roman" w:eastAsia="宋体" w:cs="Times New Roman"/>
                      <w:color w:val="auto"/>
                      <w:szCs w:val="21"/>
                      <w:highlight w:val="none"/>
                      <w:shd w:val="clear" w:color="auto" w:fill="auto"/>
                    </w:rPr>
                  </w:pPr>
                </w:p>
              </w:tc>
              <w:tc>
                <w:tcPr>
                  <w:tcW w:w="700" w:type="dxa"/>
                  <w:vMerge w:val="continue"/>
                  <w:noWrap w:val="0"/>
                  <w:vAlign w:val="center"/>
                </w:tcPr>
                <w:p w14:paraId="2B88104F">
                  <w:pPr>
                    <w:pStyle w:val="41"/>
                    <w:keepNext w:val="0"/>
                    <w:keepLines w:val="0"/>
                    <w:suppressLineNumbers w:val="0"/>
                    <w:snapToGrid w:val="0"/>
                    <w:spacing w:before="0" w:beforeAutospacing="0" w:after="0" w:afterAutospacing="0"/>
                    <w:ind w:left="0" w:right="0"/>
                    <w:rPr>
                      <w:rFonts w:hint="eastAsia" w:ascii="Times New Roman" w:hAnsi="Times New Roman" w:eastAsia="宋体" w:cs="Times New Roman"/>
                      <w:color w:val="auto"/>
                      <w:szCs w:val="21"/>
                      <w:highlight w:val="none"/>
                      <w:shd w:val="clear" w:color="auto" w:fill="auto"/>
                      <w:lang w:eastAsia="zh-CN"/>
                    </w:rPr>
                  </w:pPr>
                </w:p>
              </w:tc>
              <w:tc>
                <w:tcPr>
                  <w:tcW w:w="3555" w:type="dxa"/>
                  <w:noWrap w:val="0"/>
                  <w:vAlign w:val="center"/>
                </w:tcPr>
                <w:p w14:paraId="40B1D823">
                  <w:pPr>
                    <w:keepNext w:val="0"/>
                    <w:keepLines w:val="0"/>
                    <w:suppressLineNumbers w:val="0"/>
                    <w:adjustRightInd w:val="0"/>
                    <w:snapToGrid w:val="0"/>
                    <w:spacing w:before="0" w:beforeAutospacing="0" w:after="0" w:afterAutospacing="0"/>
                    <w:ind w:left="0" w:leftChars="0" w:right="0" w:rightChars="0"/>
                    <w:jc w:val="center"/>
                    <w:rPr>
                      <w:rFonts w:hint="eastAsia" w:eastAsia="宋体" w:cs="Times New Roman"/>
                      <w:color w:val="auto"/>
                      <w:szCs w:val="21"/>
                      <w:highlight w:val="none"/>
                      <w:lang w:eastAsia="zh-CN"/>
                    </w:rPr>
                  </w:pPr>
                  <w:r>
                    <w:rPr>
                      <w:rFonts w:hint="eastAsia" w:cs="Times New Roman"/>
                      <w:color w:val="auto"/>
                      <w:szCs w:val="21"/>
                      <w:highlight w:val="none"/>
                      <w:lang w:eastAsia="zh-CN"/>
                    </w:rPr>
                    <w:t>粉尘在线监测；视频监控</w:t>
                  </w:r>
                </w:p>
              </w:tc>
              <w:tc>
                <w:tcPr>
                  <w:tcW w:w="1065" w:type="dxa"/>
                  <w:noWrap w:val="0"/>
                  <w:vAlign w:val="center"/>
                </w:tcPr>
                <w:p w14:paraId="20BDACA5">
                  <w:pPr>
                    <w:keepNext w:val="0"/>
                    <w:keepLines w:val="0"/>
                    <w:suppressLineNumbers w:val="0"/>
                    <w:adjustRightInd w:val="0"/>
                    <w:snapToGrid w:val="0"/>
                    <w:spacing w:before="0" w:beforeAutospacing="0" w:after="0" w:afterAutospacing="0"/>
                    <w:ind w:left="0" w:leftChars="0" w:right="0" w:rightChars="0"/>
                    <w:jc w:val="center"/>
                    <w:rPr>
                      <w:rFonts w:hint="eastAsia" w:ascii="Calibri" w:hAnsi="Calibri" w:eastAsia="宋体" w:cs="Times New Roman"/>
                      <w:color w:val="auto"/>
                      <w:sz w:val="21"/>
                      <w:szCs w:val="21"/>
                      <w:highlight w:val="none"/>
                      <w:shd w:val="clear" w:color="auto" w:fill="auto"/>
                      <w:lang w:val="en-US" w:eastAsia="zh-CN"/>
                    </w:rPr>
                  </w:pPr>
                  <w:r>
                    <w:rPr>
                      <w:rFonts w:hint="eastAsia" w:cs="Times New Roman"/>
                      <w:color w:val="auto"/>
                      <w:szCs w:val="21"/>
                      <w:highlight w:val="none"/>
                      <w:lang w:val="en-US" w:eastAsia="zh-CN"/>
                    </w:rPr>
                    <w:t>1套</w:t>
                  </w:r>
                </w:p>
              </w:tc>
              <w:tc>
                <w:tcPr>
                  <w:tcW w:w="1425" w:type="dxa"/>
                  <w:noWrap w:val="0"/>
                  <w:vAlign w:val="center"/>
                </w:tcPr>
                <w:p w14:paraId="0228AF68">
                  <w:pPr>
                    <w:keepNext w:val="0"/>
                    <w:keepLines w:val="0"/>
                    <w:suppressLineNumbers w:val="0"/>
                    <w:adjustRightInd w:val="0"/>
                    <w:snapToGrid w:val="0"/>
                    <w:spacing w:before="0" w:beforeAutospacing="0" w:after="0" w:afterAutospacing="0"/>
                    <w:ind w:left="0" w:leftChars="0" w:right="0" w:rightChars="0"/>
                    <w:jc w:val="center"/>
                    <w:rPr>
                      <w:rFonts w:hint="eastAsia" w:ascii="Calibri" w:hAnsi="Calibri" w:eastAsia="宋体" w:cs="Times New Roman"/>
                      <w:color w:val="auto"/>
                      <w:kern w:val="24"/>
                      <w:position w:val="-28"/>
                      <w:sz w:val="21"/>
                      <w:szCs w:val="21"/>
                      <w:highlight w:val="none"/>
                      <w:shd w:val="clear" w:color="auto" w:fill="auto"/>
                      <w:lang w:val="en-US" w:eastAsia="zh-CN"/>
                    </w:rPr>
                  </w:pPr>
                  <w:r>
                    <w:rPr>
                      <w:rFonts w:hint="eastAsia" w:cs="Times New Roman"/>
                      <w:color w:val="auto"/>
                      <w:szCs w:val="21"/>
                      <w:highlight w:val="none"/>
                      <w:lang w:val="en-US" w:eastAsia="zh-CN"/>
                    </w:rPr>
                    <w:t>2</w:t>
                  </w:r>
                </w:p>
              </w:tc>
              <w:tc>
                <w:tcPr>
                  <w:tcW w:w="1216" w:type="dxa"/>
                  <w:noWrap w:val="0"/>
                  <w:vAlign w:val="center"/>
                </w:tcPr>
                <w:p w14:paraId="3A2A040F">
                  <w:pPr>
                    <w:keepNext w:val="0"/>
                    <w:keepLines w:val="0"/>
                    <w:suppressLineNumbers w:val="0"/>
                    <w:adjustRightInd w:val="0"/>
                    <w:snapToGrid w:val="0"/>
                    <w:spacing w:before="0" w:beforeAutospacing="0" w:after="0" w:afterAutospacing="0"/>
                    <w:ind w:left="0" w:right="0"/>
                    <w:jc w:val="center"/>
                    <w:rPr>
                      <w:rFonts w:hint="eastAsia" w:ascii="Calibri" w:hAnsi="Calibri" w:eastAsia="宋体" w:cs="Times New Roman"/>
                      <w:color w:val="auto"/>
                      <w:sz w:val="21"/>
                      <w:szCs w:val="21"/>
                      <w:highlight w:val="none"/>
                      <w:shd w:val="clear" w:color="auto" w:fill="auto"/>
                      <w:lang w:eastAsia="zh-CN"/>
                    </w:rPr>
                  </w:pPr>
                  <w:r>
                    <w:rPr>
                      <w:rFonts w:hint="eastAsia"/>
                      <w:color w:val="auto"/>
                      <w:highlight w:val="none"/>
                      <w:lang w:eastAsia="zh-CN"/>
                    </w:rPr>
                    <w:t>项目设计</w:t>
                  </w:r>
                </w:p>
              </w:tc>
            </w:tr>
            <w:tr w14:paraId="111CB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537" w:type="dxa"/>
                  <w:vMerge w:val="continue"/>
                  <w:noWrap w:val="0"/>
                  <w:vAlign w:val="center"/>
                </w:tcPr>
                <w:p w14:paraId="53AC3348">
                  <w:pPr>
                    <w:keepNext w:val="0"/>
                    <w:keepLines w:val="0"/>
                    <w:suppressLineNumbers w:val="0"/>
                    <w:adjustRightInd w:val="0"/>
                    <w:snapToGrid w:val="0"/>
                    <w:spacing w:before="0" w:beforeAutospacing="0" w:after="0" w:afterAutospacing="0"/>
                    <w:ind w:left="0" w:right="0"/>
                    <w:jc w:val="center"/>
                    <w:rPr>
                      <w:color w:val="auto"/>
                      <w:highlight w:val="none"/>
                    </w:rPr>
                  </w:pPr>
                </w:p>
              </w:tc>
              <w:tc>
                <w:tcPr>
                  <w:tcW w:w="700" w:type="dxa"/>
                  <w:vMerge w:val="restart"/>
                  <w:noWrap w:val="0"/>
                  <w:vAlign w:val="center"/>
                </w:tcPr>
                <w:p w14:paraId="2D7458B8">
                  <w:pPr>
                    <w:keepNext w:val="0"/>
                    <w:keepLines w:val="0"/>
                    <w:suppressLineNumbers w:val="0"/>
                    <w:adjustRightInd w:val="0"/>
                    <w:snapToGrid w:val="0"/>
                    <w:spacing w:before="0" w:beforeAutospacing="0" w:after="0" w:afterAutospacing="0"/>
                    <w:ind w:left="0" w:right="0"/>
                    <w:jc w:val="center"/>
                    <w:rPr>
                      <w:rFonts w:hint="eastAsia" w:eastAsia="宋体"/>
                      <w:color w:val="auto"/>
                      <w:highlight w:val="none"/>
                      <w:lang w:eastAsia="zh-CN"/>
                    </w:rPr>
                  </w:pPr>
                  <w:r>
                    <w:rPr>
                      <w:rFonts w:hint="eastAsia"/>
                      <w:color w:val="auto"/>
                      <w:highlight w:val="none"/>
                      <w:lang w:eastAsia="zh-CN"/>
                    </w:rPr>
                    <w:t>废水</w:t>
                  </w:r>
                </w:p>
              </w:tc>
              <w:tc>
                <w:tcPr>
                  <w:tcW w:w="3555" w:type="dxa"/>
                  <w:noWrap w:val="0"/>
                  <w:vAlign w:val="center"/>
                </w:tcPr>
                <w:p w14:paraId="792A63C7">
                  <w:pPr>
                    <w:keepNext w:val="0"/>
                    <w:keepLines w:val="0"/>
                    <w:suppressLineNumbers w:val="0"/>
                    <w:adjustRightInd w:val="0"/>
                    <w:snapToGrid w:val="0"/>
                    <w:spacing w:before="0" w:beforeAutospacing="0" w:after="0" w:afterAutospacing="0"/>
                    <w:ind w:left="0" w:right="0"/>
                    <w:jc w:val="center"/>
                    <w:rPr>
                      <w:rFonts w:hint="eastAsia" w:cs="Times New Roman"/>
                      <w:color w:val="auto"/>
                      <w:szCs w:val="21"/>
                      <w:highlight w:val="none"/>
                      <w:lang w:eastAsia="zh-CN"/>
                    </w:rPr>
                  </w:pPr>
                  <w:r>
                    <w:rPr>
                      <w:rFonts w:hint="eastAsia" w:cs="Times New Roman"/>
                      <w:color w:val="auto"/>
                      <w:szCs w:val="21"/>
                      <w:highlight w:val="none"/>
                      <w:lang w:eastAsia="zh-CN"/>
                    </w:rPr>
                    <w:t>化粪池</w:t>
                  </w:r>
                  <w:r>
                    <w:rPr>
                      <w:rFonts w:hint="eastAsia" w:ascii="Times New Roman" w:hAnsi="Times New Roman" w:eastAsia="宋体" w:cs="Times New Roman"/>
                      <w:color w:val="auto"/>
                      <w:szCs w:val="21"/>
                      <w:highlight w:val="none"/>
                      <w:shd w:val="clear" w:color="auto" w:fill="auto"/>
                      <w:lang w:eastAsia="zh-CN"/>
                    </w:rPr>
                    <w:t>防渗</w:t>
                  </w:r>
                </w:p>
              </w:tc>
              <w:tc>
                <w:tcPr>
                  <w:tcW w:w="1065" w:type="dxa"/>
                  <w:noWrap w:val="0"/>
                  <w:vAlign w:val="center"/>
                </w:tcPr>
                <w:p w14:paraId="2AFC8D89">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1座</w:t>
                  </w:r>
                </w:p>
              </w:tc>
              <w:tc>
                <w:tcPr>
                  <w:tcW w:w="1425" w:type="dxa"/>
                  <w:noWrap w:val="0"/>
                  <w:vAlign w:val="center"/>
                </w:tcPr>
                <w:p w14:paraId="54A09BC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0.5</w:t>
                  </w:r>
                </w:p>
              </w:tc>
              <w:tc>
                <w:tcPr>
                  <w:tcW w:w="1216" w:type="dxa"/>
                  <w:noWrap w:val="0"/>
                  <w:vAlign w:val="center"/>
                </w:tcPr>
                <w:p w14:paraId="2B3C39A3">
                  <w:pPr>
                    <w:keepNext w:val="0"/>
                    <w:keepLines w:val="0"/>
                    <w:suppressLineNumbers w:val="0"/>
                    <w:adjustRightInd w:val="0"/>
                    <w:snapToGrid w:val="0"/>
                    <w:spacing w:before="0" w:beforeAutospacing="0" w:after="0" w:afterAutospacing="0"/>
                    <w:ind w:left="0" w:right="0"/>
                    <w:jc w:val="center"/>
                    <w:rPr>
                      <w:rFonts w:hint="eastAsia" w:cs="Times New Roman"/>
                      <w:color w:val="auto"/>
                      <w:szCs w:val="21"/>
                      <w:highlight w:val="none"/>
                      <w:lang w:eastAsia="zh-CN"/>
                    </w:rPr>
                  </w:pPr>
                  <w:r>
                    <w:rPr>
                      <w:rFonts w:hint="eastAsia"/>
                      <w:color w:val="auto"/>
                      <w:highlight w:val="none"/>
                      <w:lang w:eastAsia="zh-CN"/>
                    </w:rPr>
                    <w:t>改造</w:t>
                  </w:r>
                </w:p>
              </w:tc>
            </w:tr>
            <w:tr w14:paraId="3EDFC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537" w:type="dxa"/>
                  <w:vMerge w:val="continue"/>
                  <w:noWrap w:val="0"/>
                  <w:vAlign w:val="center"/>
                </w:tcPr>
                <w:p w14:paraId="61D9AF83">
                  <w:pPr>
                    <w:keepNext w:val="0"/>
                    <w:keepLines w:val="0"/>
                    <w:suppressLineNumbers w:val="0"/>
                    <w:adjustRightInd w:val="0"/>
                    <w:snapToGrid w:val="0"/>
                    <w:spacing w:before="0" w:beforeAutospacing="0" w:after="0" w:afterAutospacing="0"/>
                    <w:ind w:left="0" w:right="0"/>
                    <w:jc w:val="center"/>
                    <w:rPr>
                      <w:color w:val="auto"/>
                      <w:highlight w:val="none"/>
                    </w:rPr>
                  </w:pPr>
                </w:p>
              </w:tc>
              <w:tc>
                <w:tcPr>
                  <w:tcW w:w="700" w:type="dxa"/>
                  <w:vMerge w:val="continue"/>
                  <w:noWrap w:val="0"/>
                  <w:vAlign w:val="center"/>
                </w:tcPr>
                <w:p w14:paraId="485BFAD4">
                  <w:pPr>
                    <w:keepNext w:val="0"/>
                    <w:keepLines w:val="0"/>
                    <w:suppressLineNumbers w:val="0"/>
                    <w:adjustRightInd w:val="0"/>
                    <w:snapToGrid w:val="0"/>
                    <w:spacing w:before="0" w:beforeAutospacing="0" w:after="0" w:afterAutospacing="0"/>
                    <w:ind w:left="0" w:right="0"/>
                    <w:jc w:val="center"/>
                    <w:rPr>
                      <w:color w:val="auto"/>
                      <w:highlight w:val="none"/>
                    </w:rPr>
                  </w:pPr>
                </w:p>
              </w:tc>
              <w:tc>
                <w:tcPr>
                  <w:tcW w:w="3555" w:type="dxa"/>
                  <w:noWrap w:val="0"/>
                  <w:vAlign w:val="center"/>
                </w:tcPr>
                <w:p w14:paraId="5363E3E1">
                  <w:pPr>
                    <w:keepNext w:val="0"/>
                    <w:keepLines w:val="0"/>
                    <w:suppressLineNumbers w:val="0"/>
                    <w:adjustRightInd w:val="0"/>
                    <w:snapToGrid w:val="0"/>
                    <w:spacing w:before="0" w:beforeAutospacing="0" w:after="0" w:afterAutospacing="0"/>
                    <w:ind w:left="0" w:right="0"/>
                    <w:jc w:val="center"/>
                    <w:rPr>
                      <w:rFonts w:hint="eastAsia" w:cs="Times New Roman"/>
                      <w:color w:val="auto"/>
                      <w:szCs w:val="21"/>
                      <w:highlight w:val="none"/>
                      <w:lang w:eastAsia="zh-CN"/>
                    </w:rPr>
                  </w:pPr>
                  <w:r>
                    <w:rPr>
                      <w:rFonts w:hint="eastAsia" w:cs="Times New Roman"/>
                      <w:color w:val="auto"/>
                      <w:szCs w:val="21"/>
                      <w:highlight w:val="none"/>
                      <w:lang w:eastAsia="zh-CN"/>
                    </w:rPr>
                    <w:t>水洗白云石沉淀池重点防渗</w:t>
                  </w:r>
                </w:p>
              </w:tc>
              <w:tc>
                <w:tcPr>
                  <w:tcW w:w="1065" w:type="dxa"/>
                  <w:noWrap w:val="0"/>
                  <w:vAlign w:val="center"/>
                </w:tcPr>
                <w:p w14:paraId="2C41A104">
                  <w:pPr>
                    <w:keepNext w:val="0"/>
                    <w:keepLines w:val="0"/>
                    <w:suppressLineNumbers w:val="0"/>
                    <w:adjustRightInd w:val="0"/>
                    <w:snapToGrid w:val="0"/>
                    <w:spacing w:before="0" w:beforeAutospacing="0" w:after="0" w:afterAutospacing="0"/>
                    <w:ind w:left="0" w:right="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1座</w:t>
                  </w:r>
                </w:p>
              </w:tc>
              <w:tc>
                <w:tcPr>
                  <w:tcW w:w="1425" w:type="dxa"/>
                  <w:noWrap w:val="0"/>
                  <w:vAlign w:val="center"/>
                </w:tcPr>
                <w:p w14:paraId="7235C28E">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shd w:val="clear" w:color="auto" w:fill="auto"/>
                      <w:lang w:val="en-US" w:eastAsia="zh-CN"/>
                    </w:rPr>
                    <w:t>0.5</w:t>
                  </w:r>
                </w:p>
              </w:tc>
              <w:tc>
                <w:tcPr>
                  <w:tcW w:w="1216" w:type="dxa"/>
                  <w:noWrap w:val="0"/>
                  <w:vAlign w:val="center"/>
                </w:tcPr>
                <w:p w14:paraId="30693EAD">
                  <w:pPr>
                    <w:keepNext w:val="0"/>
                    <w:keepLines w:val="0"/>
                    <w:suppressLineNumbers w:val="0"/>
                    <w:adjustRightInd w:val="0"/>
                    <w:snapToGrid w:val="0"/>
                    <w:spacing w:before="0" w:beforeAutospacing="0" w:after="0" w:afterAutospacing="0"/>
                    <w:ind w:left="0" w:leftChars="0" w:right="0" w:rightChars="0"/>
                    <w:jc w:val="center"/>
                    <w:rPr>
                      <w:rFonts w:hint="eastAsia"/>
                      <w:color w:val="auto"/>
                      <w:highlight w:val="none"/>
                      <w:lang w:eastAsia="zh-CN"/>
                    </w:rPr>
                  </w:pPr>
                  <w:r>
                    <w:rPr>
                      <w:rFonts w:hint="eastAsia"/>
                      <w:color w:val="auto"/>
                      <w:highlight w:val="none"/>
                      <w:lang w:eastAsia="zh-CN"/>
                    </w:rPr>
                    <w:t>改造</w:t>
                  </w:r>
                </w:p>
              </w:tc>
            </w:tr>
            <w:tr w14:paraId="1F384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537" w:type="dxa"/>
                  <w:vMerge w:val="continue"/>
                  <w:noWrap w:val="0"/>
                  <w:vAlign w:val="center"/>
                </w:tcPr>
                <w:p w14:paraId="19CDDDD5">
                  <w:pPr>
                    <w:keepNext w:val="0"/>
                    <w:keepLines w:val="0"/>
                    <w:suppressLineNumbers w:val="0"/>
                    <w:adjustRightInd w:val="0"/>
                    <w:snapToGrid w:val="0"/>
                    <w:spacing w:before="0" w:beforeAutospacing="0" w:after="0" w:afterAutospacing="0"/>
                    <w:ind w:left="0" w:right="0"/>
                    <w:jc w:val="center"/>
                    <w:rPr>
                      <w:color w:val="auto"/>
                      <w:highlight w:val="none"/>
                    </w:rPr>
                  </w:pPr>
                </w:p>
              </w:tc>
              <w:tc>
                <w:tcPr>
                  <w:tcW w:w="700" w:type="dxa"/>
                  <w:vMerge w:val="continue"/>
                  <w:noWrap w:val="0"/>
                  <w:vAlign w:val="center"/>
                </w:tcPr>
                <w:p w14:paraId="3FAAF10C">
                  <w:pPr>
                    <w:keepNext w:val="0"/>
                    <w:keepLines w:val="0"/>
                    <w:suppressLineNumbers w:val="0"/>
                    <w:adjustRightInd w:val="0"/>
                    <w:snapToGrid w:val="0"/>
                    <w:spacing w:before="0" w:beforeAutospacing="0" w:after="0" w:afterAutospacing="0"/>
                    <w:ind w:left="0" w:right="0"/>
                    <w:jc w:val="center"/>
                    <w:rPr>
                      <w:color w:val="auto"/>
                      <w:highlight w:val="none"/>
                    </w:rPr>
                  </w:pPr>
                </w:p>
              </w:tc>
              <w:tc>
                <w:tcPr>
                  <w:tcW w:w="3555" w:type="dxa"/>
                  <w:noWrap w:val="0"/>
                  <w:vAlign w:val="center"/>
                </w:tcPr>
                <w:p w14:paraId="4238FD96">
                  <w:pPr>
                    <w:keepNext w:val="0"/>
                    <w:keepLines w:val="0"/>
                    <w:suppressLineNumbers w:val="0"/>
                    <w:adjustRightInd w:val="0"/>
                    <w:snapToGrid w:val="0"/>
                    <w:spacing w:before="0" w:beforeAutospacing="0" w:after="0" w:afterAutospacing="0"/>
                    <w:ind w:left="0" w:right="0"/>
                    <w:jc w:val="center"/>
                    <w:rPr>
                      <w:rFonts w:hint="eastAsia" w:cs="Times New Roman"/>
                      <w:color w:val="auto"/>
                      <w:szCs w:val="21"/>
                      <w:highlight w:val="none"/>
                      <w:lang w:eastAsia="zh-CN"/>
                    </w:rPr>
                  </w:pPr>
                  <w:r>
                    <w:rPr>
                      <w:rFonts w:hint="eastAsia" w:cs="Times New Roman"/>
                      <w:color w:val="auto"/>
                      <w:szCs w:val="21"/>
                      <w:highlight w:val="none"/>
                      <w:lang w:eastAsia="zh-CN"/>
                    </w:rPr>
                    <w:t>洗车平台沉淀池</w:t>
                  </w:r>
                </w:p>
              </w:tc>
              <w:tc>
                <w:tcPr>
                  <w:tcW w:w="1065" w:type="dxa"/>
                  <w:noWrap w:val="0"/>
                  <w:vAlign w:val="center"/>
                </w:tcPr>
                <w:p w14:paraId="1ECB99C1">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1座</w:t>
                  </w:r>
                </w:p>
              </w:tc>
              <w:tc>
                <w:tcPr>
                  <w:tcW w:w="1425" w:type="dxa"/>
                  <w:noWrap w:val="0"/>
                  <w:vAlign w:val="center"/>
                </w:tcPr>
                <w:p w14:paraId="5D12B09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1216" w:type="dxa"/>
                  <w:noWrap w:val="0"/>
                  <w:vAlign w:val="center"/>
                </w:tcPr>
                <w:p w14:paraId="1FCD07DA">
                  <w:pPr>
                    <w:keepNext w:val="0"/>
                    <w:keepLines w:val="0"/>
                    <w:suppressLineNumbers w:val="0"/>
                    <w:adjustRightInd w:val="0"/>
                    <w:snapToGrid w:val="0"/>
                    <w:spacing w:before="0" w:beforeAutospacing="0" w:after="0" w:afterAutospacing="0"/>
                    <w:ind w:left="0" w:right="0"/>
                    <w:jc w:val="center"/>
                    <w:rPr>
                      <w:rFonts w:hint="eastAsia" w:cs="Times New Roman"/>
                      <w:color w:val="auto"/>
                      <w:szCs w:val="21"/>
                      <w:highlight w:val="none"/>
                      <w:lang w:eastAsia="zh-CN"/>
                    </w:rPr>
                  </w:pPr>
                  <w:r>
                    <w:rPr>
                      <w:rFonts w:hint="eastAsia"/>
                      <w:color w:val="auto"/>
                      <w:highlight w:val="none"/>
                      <w:lang w:eastAsia="zh-CN"/>
                    </w:rPr>
                    <w:t>项目设计</w:t>
                  </w:r>
                </w:p>
              </w:tc>
            </w:tr>
            <w:tr w14:paraId="2ED3C2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37" w:type="dxa"/>
                  <w:vMerge w:val="continue"/>
                  <w:noWrap w:val="0"/>
                  <w:vAlign w:val="center"/>
                </w:tcPr>
                <w:p w14:paraId="523371F2">
                  <w:pPr>
                    <w:pStyle w:val="41"/>
                    <w:keepNext w:val="0"/>
                    <w:keepLines w:val="0"/>
                    <w:suppressLineNumbers w:val="0"/>
                    <w:snapToGrid w:val="0"/>
                    <w:spacing w:before="0" w:beforeAutospacing="0" w:after="0" w:afterAutospacing="0"/>
                    <w:ind w:left="0" w:right="0"/>
                    <w:rPr>
                      <w:rFonts w:ascii="Times New Roman" w:hAnsi="Times New Roman" w:eastAsia="宋体" w:cs="Times New Roman"/>
                      <w:color w:val="auto"/>
                      <w:szCs w:val="21"/>
                      <w:highlight w:val="none"/>
                      <w:shd w:val="clear" w:color="auto" w:fill="auto"/>
                    </w:rPr>
                  </w:pPr>
                </w:p>
              </w:tc>
              <w:tc>
                <w:tcPr>
                  <w:tcW w:w="700" w:type="dxa"/>
                  <w:noWrap w:val="0"/>
                  <w:vAlign w:val="center"/>
                </w:tcPr>
                <w:p w14:paraId="1EB18EC5">
                  <w:pPr>
                    <w:pStyle w:val="41"/>
                    <w:keepNext w:val="0"/>
                    <w:keepLines w:val="0"/>
                    <w:suppressLineNumbers w:val="0"/>
                    <w:snapToGrid w:val="0"/>
                    <w:spacing w:before="0" w:beforeAutospacing="0" w:after="0" w:afterAutospacing="0"/>
                    <w:ind w:left="0" w:right="0"/>
                    <w:rPr>
                      <w:rFonts w:ascii="Times New Roman" w:hAnsi="Times New Roman" w:eastAsia="宋体" w:cs="Times New Roman"/>
                      <w:color w:val="auto"/>
                      <w:szCs w:val="21"/>
                      <w:highlight w:val="none"/>
                      <w:shd w:val="clear" w:color="auto" w:fill="auto"/>
                    </w:rPr>
                  </w:pPr>
                  <w:r>
                    <w:rPr>
                      <w:rFonts w:ascii="Times New Roman" w:hAnsi="Times New Roman" w:eastAsia="宋体" w:cs="Times New Roman"/>
                      <w:color w:val="auto"/>
                      <w:szCs w:val="21"/>
                      <w:highlight w:val="none"/>
                      <w:shd w:val="clear" w:color="auto" w:fill="auto"/>
                    </w:rPr>
                    <w:t>噪声</w:t>
                  </w:r>
                </w:p>
              </w:tc>
              <w:tc>
                <w:tcPr>
                  <w:tcW w:w="3555" w:type="dxa"/>
                  <w:noWrap w:val="0"/>
                  <w:vAlign w:val="center"/>
                </w:tcPr>
                <w:p w14:paraId="0F3FB233">
                  <w:pPr>
                    <w:pStyle w:val="41"/>
                    <w:keepNext w:val="0"/>
                    <w:keepLines w:val="0"/>
                    <w:widowControl/>
                    <w:suppressLineNumbers w:val="0"/>
                    <w:topLinePunct w:val="0"/>
                    <w:autoSpaceDE/>
                    <w:autoSpaceDN/>
                    <w:snapToGrid w:val="0"/>
                    <w:spacing w:before="0" w:beforeAutospacing="0" w:after="0" w:afterAutospacing="0"/>
                    <w:ind w:left="0" w:right="0"/>
                    <w:textAlignment w:val="auto"/>
                    <w:rPr>
                      <w:rFonts w:ascii="Times New Roman" w:hAnsi="Times New Roman" w:eastAsia="宋体" w:cs="Times New Roman"/>
                      <w:color w:val="auto"/>
                      <w:kern w:val="0"/>
                      <w:position w:val="0"/>
                      <w:szCs w:val="21"/>
                      <w:highlight w:val="none"/>
                      <w:shd w:val="clear" w:color="auto" w:fill="auto"/>
                    </w:rPr>
                  </w:pPr>
                  <w:r>
                    <w:rPr>
                      <w:rFonts w:ascii="Times New Roman" w:hAnsi="Times New Roman" w:eastAsia="宋体" w:cs="Times New Roman"/>
                      <w:color w:val="auto"/>
                      <w:szCs w:val="21"/>
                      <w:highlight w:val="none"/>
                      <w:shd w:val="clear" w:color="auto" w:fill="auto"/>
                    </w:rPr>
                    <w:t>设备减振</w:t>
                  </w:r>
                  <w:r>
                    <w:rPr>
                      <w:rFonts w:hint="eastAsia" w:ascii="Times New Roman" w:hAnsi="Times New Roman" w:eastAsia="宋体" w:cs="Times New Roman"/>
                      <w:color w:val="auto"/>
                      <w:szCs w:val="21"/>
                      <w:highlight w:val="none"/>
                      <w:shd w:val="clear" w:color="auto" w:fill="auto"/>
                      <w:lang w:eastAsia="zh-CN"/>
                    </w:rPr>
                    <w:t>基础</w:t>
                  </w:r>
                  <w:r>
                    <w:rPr>
                      <w:rFonts w:hint="eastAsia" w:ascii="Times New Roman" w:hAnsi="Times New Roman" w:eastAsia="宋体" w:cs="Times New Roman"/>
                      <w:color w:val="auto"/>
                      <w:szCs w:val="21"/>
                      <w:highlight w:val="none"/>
                      <w:shd w:val="clear" w:color="auto" w:fill="auto"/>
                    </w:rPr>
                    <w:t>、</w:t>
                  </w:r>
                  <w:r>
                    <w:rPr>
                      <w:rFonts w:hint="eastAsia" w:ascii="Times New Roman" w:hAnsi="Times New Roman" w:eastAsia="宋体" w:cs="Times New Roman"/>
                      <w:color w:val="auto"/>
                      <w:szCs w:val="21"/>
                      <w:highlight w:val="none"/>
                      <w:shd w:val="clear" w:color="auto" w:fill="auto"/>
                      <w:lang w:eastAsia="zh-CN"/>
                    </w:rPr>
                    <w:t>隔声罩</w:t>
                  </w:r>
                  <w:r>
                    <w:rPr>
                      <w:rFonts w:hint="eastAsia" w:ascii="Times New Roman" w:hAnsi="Times New Roman" w:cs="Times New Roman"/>
                      <w:color w:val="auto"/>
                      <w:szCs w:val="21"/>
                      <w:highlight w:val="none"/>
                      <w:shd w:val="clear" w:color="auto" w:fill="auto"/>
                      <w:lang w:eastAsia="zh-CN"/>
                    </w:rPr>
                    <w:t>、</w:t>
                  </w:r>
                  <w:r>
                    <w:rPr>
                      <w:rFonts w:hint="eastAsia" w:ascii="Times New Roman" w:hAnsi="Times New Roman" w:eastAsia="宋体" w:cs="Times New Roman"/>
                      <w:color w:val="auto"/>
                      <w:szCs w:val="21"/>
                      <w:highlight w:val="none"/>
                      <w:shd w:val="clear" w:color="auto" w:fill="auto"/>
                    </w:rPr>
                    <w:t>风机连接处设置软连接</w:t>
                  </w:r>
                </w:p>
              </w:tc>
              <w:tc>
                <w:tcPr>
                  <w:tcW w:w="1065" w:type="dxa"/>
                  <w:noWrap w:val="0"/>
                  <w:vAlign w:val="center"/>
                </w:tcPr>
                <w:p w14:paraId="56386119">
                  <w:pPr>
                    <w:keepNext w:val="0"/>
                    <w:keepLines w:val="0"/>
                    <w:suppressLineNumbers w:val="0"/>
                    <w:spacing w:before="0" w:beforeAutospacing="0" w:after="0" w:afterAutospacing="0"/>
                    <w:ind w:left="0" w:right="0"/>
                    <w:jc w:val="center"/>
                    <w:rPr>
                      <w:rFonts w:ascii="Calibri" w:hAnsi="Calibri" w:eastAsia="宋体" w:cs="Times New Roman"/>
                      <w:color w:val="auto"/>
                      <w:sz w:val="21"/>
                      <w:szCs w:val="21"/>
                      <w:highlight w:val="none"/>
                      <w:shd w:val="clear" w:color="auto" w:fill="auto"/>
                    </w:rPr>
                  </w:pPr>
                  <w:r>
                    <w:rPr>
                      <w:rFonts w:ascii="Calibri" w:hAnsi="Calibri" w:eastAsia="宋体" w:cs="Times New Roman"/>
                      <w:color w:val="auto"/>
                      <w:sz w:val="21"/>
                      <w:szCs w:val="21"/>
                      <w:highlight w:val="none"/>
                      <w:shd w:val="clear" w:color="auto" w:fill="auto"/>
                    </w:rPr>
                    <w:t>—</w:t>
                  </w:r>
                </w:p>
              </w:tc>
              <w:tc>
                <w:tcPr>
                  <w:tcW w:w="1425" w:type="dxa"/>
                  <w:noWrap w:val="0"/>
                  <w:vAlign w:val="center"/>
                </w:tcPr>
                <w:p w14:paraId="04E4E6E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lang w:eastAsia="zh-CN"/>
                    </w:rPr>
                  </w:pPr>
                  <w:r>
                    <w:rPr>
                      <w:rFonts w:hint="default" w:ascii="Times New Roman" w:hAnsi="Times New Roman" w:eastAsia="宋体" w:cs="Times New Roman"/>
                      <w:color w:val="auto"/>
                      <w:sz w:val="21"/>
                      <w:szCs w:val="21"/>
                      <w:highlight w:val="none"/>
                      <w:shd w:val="clear" w:color="auto" w:fill="auto"/>
                      <w:lang w:val="en-US" w:eastAsia="zh-CN"/>
                    </w:rPr>
                    <w:t>4</w:t>
                  </w:r>
                </w:p>
              </w:tc>
              <w:tc>
                <w:tcPr>
                  <w:tcW w:w="1216" w:type="dxa"/>
                  <w:noWrap w:val="0"/>
                  <w:vAlign w:val="center"/>
                </w:tcPr>
                <w:p w14:paraId="5106A74C">
                  <w:pPr>
                    <w:keepNext w:val="0"/>
                    <w:keepLines w:val="0"/>
                    <w:suppressLineNumbers w:val="0"/>
                    <w:adjustRightInd w:val="0"/>
                    <w:snapToGrid w:val="0"/>
                    <w:spacing w:before="0" w:beforeAutospacing="0" w:after="0" w:afterAutospacing="0"/>
                    <w:ind w:left="0" w:right="0"/>
                    <w:jc w:val="center"/>
                    <w:rPr>
                      <w:rFonts w:hint="eastAsia" w:ascii="Calibri" w:hAnsi="Calibri" w:eastAsia="宋体" w:cs="Times New Roman"/>
                      <w:color w:val="auto"/>
                      <w:sz w:val="21"/>
                      <w:szCs w:val="21"/>
                      <w:highlight w:val="none"/>
                      <w:shd w:val="clear" w:color="auto" w:fill="auto"/>
                      <w:lang w:eastAsia="zh-CN"/>
                    </w:rPr>
                  </w:pPr>
                  <w:r>
                    <w:rPr>
                      <w:rFonts w:hint="eastAsia"/>
                      <w:color w:val="auto"/>
                      <w:highlight w:val="none"/>
                      <w:lang w:eastAsia="zh-CN"/>
                    </w:rPr>
                    <w:t>项目设计</w:t>
                  </w:r>
                </w:p>
              </w:tc>
            </w:tr>
            <w:tr w14:paraId="632E7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537" w:type="dxa"/>
                  <w:vMerge w:val="continue"/>
                  <w:noWrap w:val="0"/>
                  <w:vAlign w:val="center"/>
                </w:tcPr>
                <w:p w14:paraId="764FA134">
                  <w:pPr>
                    <w:pStyle w:val="41"/>
                    <w:keepNext w:val="0"/>
                    <w:keepLines w:val="0"/>
                    <w:suppressLineNumbers w:val="0"/>
                    <w:snapToGrid w:val="0"/>
                    <w:spacing w:before="0" w:beforeAutospacing="0" w:after="0" w:afterAutospacing="0"/>
                    <w:ind w:left="0" w:right="0"/>
                    <w:rPr>
                      <w:rFonts w:ascii="Times New Roman" w:hAnsi="Times New Roman" w:eastAsia="宋体" w:cs="Times New Roman"/>
                      <w:color w:val="auto"/>
                      <w:szCs w:val="21"/>
                      <w:highlight w:val="none"/>
                      <w:shd w:val="clear" w:color="auto" w:fill="auto"/>
                    </w:rPr>
                  </w:pPr>
                </w:p>
              </w:tc>
              <w:tc>
                <w:tcPr>
                  <w:tcW w:w="700" w:type="dxa"/>
                  <w:noWrap w:val="0"/>
                  <w:vAlign w:val="center"/>
                </w:tcPr>
                <w:p w14:paraId="73D1D1F2">
                  <w:pPr>
                    <w:pStyle w:val="41"/>
                    <w:keepNext w:val="0"/>
                    <w:keepLines w:val="0"/>
                    <w:suppressLineNumbers w:val="0"/>
                    <w:snapToGrid w:val="0"/>
                    <w:spacing w:before="0" w:beforeAutospacing="0" w:after="0" w:afterAutospacing="0"/>
                    <w:ind w:left="0" w:right="0"/>
                    <w:rPr>
                      <w:rFonts w:hint="eastAsia" w:ascii="Times New Roman" w:hAnsi="Times New Roman" w:eastAsia="宋体" w:cs="Times New Roman"/>
                      <w:color w:val="auto"/>
                      <w:szCs w:val="21"/>
                      <w:highlight w:val="none"/>
                      <w:shd w:val="clear" w:color="auto" w:fill="auto"/>
                      <w:lang w:eastAsia="zh-CN"/>
                    </w:rPr>
                  </w:pPr>
                  <w:r>
                    <w:rPr>
                      <w:rFonts w:hint="eastAsia" w:ascii="Times New Roman" w:hAnsi="Times New Roman" w:cs="Times New Roman"/>
                      <w:color w:val="auto"/>
                      <w:szCs w:val="21"/>
                      <w:highlight w:val="none"/>
                      <w:shd w:val="clear" w:color="auto" w:fill="auto"/>
                      <w:lang w:eastAsia="zh-CN"/>
                    </w:rPr>
                    <w:t>固废</w:t>
                  </w:r>
                </w:p>
              </w:tc>
              <w:tc>
                <w:tcPr>
                  <w:tcW w:w="3555" w:type="dxa"/>
                  <w:noWrap w:val="0"/>
                  <w:vAlign w:val="center"/>
                </w:tcPr>
                <w:p w14:paraId="0344D527">
                  <w:pPr>
                    <w:pStyle w:val="41"/>
                    <w:keepNext w:val="0"/>
                    <w:keepLines w:val="0"/>
                    <w:widowControl/>
                    <w:suppressLineNumbers w:val="0"/>
                    <w:topLinePunct w:val="0"/>
                    <w:autoSpaceDE/>
                    <w:autoSpaceDN/>
                    <w:snapToGrid w:val="0"/>
                    <w:spacing w:before="0" w:beforeAutospacing="0" w:after="0" w:afterAutospacing="0"/>
                    <w:ind w:left="0" w:right="0"/>
                    <w:textAlignment w:val="auto"/>
                    <w:rPr>
                      <w:rFonts w:hint="eastAsia" w:ascii="Times New Roman" w:hAnsi="Times New Roman" w:eastAsia="宋体" w:cs="Times New Roman"/>
                      <w:color w:val="auto"/>
                      <w:szCs w:val="21"/>
                      <w:highlight w:val="none"/>
                      <w:shd w:val="clear" w:color="auto" w:fill="auto"/>
                      <w:lang w:eastAsia="zh-CN"/>
                    </w:rPr>
                  </w:pPr>
                  <w:r>
                    <w:rPr>
                      <w:rFonts w:hint="eastAsia" w:ascii="Times New Roman" w:hAnsi="Times New Roman" w:cs="Times New Roman"/>
                      <w:color w:val="auto"/>
                      <w:szCs w:val="21"/>
                      <w:highlight w:val="none"/>
                      <w:shd w:val="clear" w:color="auto" w:fill="auto"/>
                      <w:lang w:eastAsia="zh-CN"/>
                    </w:rPr>
                    <w:t>危险废物贮存点</w:t>
                  </w:r>
                </w:p>
              </w:tc>
              <w:tc>
                <w:tcPr>
                  <w:tcW w:w="1065" w:type="dxa"/>
                  <w:noWrap w:val="0"/>
                  <w:vAlign w:val="center"/>
                </w:tcPr>
                <w:p w14:paraId="0937ABE5">
                  <w:pPr>
                    <w:keepNext w:val="0"/>
                    <w:keepLines w:val="0"/>
                    <w:suppressLineNumbers w:val="0"/>
                    <w:spacing w:before="0" w:beforeAutospacing="0" w:after="0" w:afterAutospacing="0"/>
                    <w:ind w:left="0" w:right="0"/>
                    <w:jc w:val="center"/>
                    <w:rPr>
                      <w:rFonts w:hint="eastAsia" w:ascii="Calibri" w:hAnsi="Calibri" w:eastAsia="宋体" w:cs="Times New Roman"/>
                      <w:color w:val="auto"/>
                      <w:sz w:val="21"/>
                      <w:szCs w:val="21"/>
                      <w:highlight w:val="none"/>
                      <w:shd w:val="clear" w:color="auto" w:fill="auto"/>
                      <w:lang w:val="en-US" w:eastAsia="zh-CN"/>
                    </w:rPr>
                  </w:pPr>
                  <w:r>
                    <w:rPr>
                      <w:rFonts w:hint="eastAsia" w:ascii="Calibri" w:hAnsi="Calibri" w:cs="Times New Roman"/>
                      <w:color w:val="auto"/>
                      <w:sz w:val="21"/>
                      <w:szCs w:val="21"/>
                      <w:highlight w:val="none"/>
                      <w:shd w:val="clear" w:color="auto" w:fill="auto"/>
                      <w:lang w:val="en-US" w:eastAsia="zh-CN"/>
                    </w:rPr>
                    <w:t>6㎡</w:t>
                  </w:r>
                </w:p>
              </w:tc>
              <w:tc>
                <w:tcPr>
                  <w:tcW w:w="1425" w:type="dxa"/>
                  <w:noWrap w:val="0"/>
                  <w:vAlign w:val="center"/>
                </w:tcPr>
                <w:p w14:paraId="6A49FB3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1</w:t>
                  </w:r>
                </w:p>
              </w:tc>
              <w:tc>
                <w:tcPr>
                  <w:tcW w:w="1216" w:type="dxa"/>
                  <w:noWrap w:val="0"/>
                  <w:vAlign w:val="center"/>
                </w:tcPr>
                <w:p w14:paraId="526D6D62">
                  <w:pPr>
                    <w:keepNext w:val="0"/>
                    <w:keepLines w:val="0"/>
                    <w:suppressLineNumbers w:val="0"/>
                    <w:adjustRightInd w:val="0"/>
                    <w:snapToGrid w:val="0"/>
                    <w:spacing w:before="0" w:beforeAutospacing="0" w:after="0" w:afterAutospacing="0"/>
                    <w:ind w:left="0" w:right="0"/>
                    <w:jc w:val="center"/>
                    <w:rPr>
                      <w:rFonts w:hint="eastAsia" w:ascii="Calibri" w:hAnsi="Calibri" w:eastAsia="宋体" w:cs="Times New Roman"/>
                      <w:color w:val="auto"/>
                      <w:sz w:val="21"/>
                      <w:szCs w:val="21"/>
                      <w:highlight w:val="none"/>
                      <w:shd w:val="clear" w:color="auto" w:fill="auto"/>
                      <w:lang w:eastAsia="zh-CN"/>
                    </w:rPr>
                  </w:pPr>
                  <w:r>
                    <w:rPr>
                      <w:rFonts w:hint="eastAsia"/>
                      <w:color w:val="auto"/>
                      <w:highlight w:val="none"/>
                      <w:lang w:eastAsia="zh-CN"/>
                    </w:rPr>
                    <w:t>项目设计</w:t>
                  </w:r>
                </w:p>
              </w:tc>
            </w:tr>
            <w:tr w14:paraId="523F90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37" w:type="dxa"/>
                  <w:vMerge w:val="continue"/>
                  <w:noWrap w:val="0"/>
                  <w:vAlign w:val="center"/>
                </w:tcPr>
                <w:p w14:paraId="55A9D7E9">
                  <w:pPr>
                    <w:pStyle w:val="41"/>
                    <w:keepNext w:val="0"/>
                    <w:keepLines w:val="0"/>
                    <w:suppressLineNumbers w:val="0"/>
                    <w:snapToGrid w:val="0"/>
                    <w:spacing w:before="0" w:beforeAutospacing="0" w:after="0" w:afterAutospacing="0"/>
                    <w:ind w:left="0" w:right="0"/>
                    <w:rPr>
                      <w:rFonts w:ascii="Times New Roman" w:hAnsi="Times New Roman" w:eastAsia="宋体" w:cs="Times New Roman"/>
                      <w:color w:val="auto"/>
                      <w:szCs w:val="21"/>
                      <w:highlight w:val="none"/>
                      <w:shd w:val="clear" w:color="auto" w:fill="auto"/>
                    </w:rPr>
                  </w:pPr>
                </w:p>
              </w:tc>
              <w:tc>
                <w:tcPr>
                  <w:tcW w:w="700" w:type="dxa"/>
                  <w:noWrap w:val="0"/>
                  <w:vAlign w:val="center"/>
                </w:tcPr>
                <w:p w14:paraId="19731BD1">
                  <w:pPr>
                    <w:pStyle w:val="41"/>
                    <w:keepNext w:val="0"/>
                    <w:keepLines w:val="0"/>
                    <w:suppressLineNumbers w:val="0"/>
                    <w:snapToGrid w:val="0"/>
                    <w:spacing w:before="0" w:beforeAutospacing="0" w:after="0" w:afterAutospacing="0"/>
                    <w:ind w:left="0" w:right="0"/>
                    <w:rPr>
                      <w:rFonts w:hint="eastAsia" w:ascii="Times New Roman" w:hAnsi="Times New Roman" w:eastAsia="宋体" w:cs="Times New Roman"/>
                      <w:color w:val="auto"/>
                      <w:szCs w:val="21"/>
                      <w:highlight w:val="none"/>
                      <w:shd w:val="clear" w:color="auto" w:fill="auto"/>
                      <w:lang w:eastAsia="zh-CN"/>
                    </w:rPr>
                  </w:pPr>
                  <w:r>
                    <w:rPr>
                      <w:rFonts w:hint="eastAsia" w:ascii="Times New Roman" w:hAnsi="Times New Roman" w:cs="Times New Roman"/>
                      <w:color w:val="auto"/>
                      <w:szCs w:val="21"/>
                      <w:highlight w:val="none"/>
                      <w:shd w:val="clear" w:color="auto" w:fill="auto"/>
                      <w:lang w:eastAsia="zh-CN"/>
                    </w:rPr>
                    <w:t>风险</w:t>
                  </w:r>
                </w:p>
              </w:tc>
              <w:tc>
                <w:tcPr>
                  <w:tcW w:w="3555" w:type="dxa"/>
                  <w:noWrap w:val="0"/>
                  <w:vAlign w:val="center"/>
                </w:tcPr>
                <w:p w14:paraId="7AC6C6BB">
                  <w:pPr>
                    <w:pStyle w:val="41"/>
                    <w:keepNext w:val="0"/>
                    <w:keepLines w:val="0"/>
                    <w:widowControl/>
                    <w:suppressLineNumbers w:val="0"/>
                    <w:topLinePunct w:val="0"/>
                    <w:autoSpaceDE/>
                    <w:autoSpaceDN/>
                    <w:snapToGrid w:val="0"/>
                    <w:spacing w:before="0" w:beforeAutospacing="0" w:after="0" w:afterAutospacing="0"/>
                    <w:ind w:left="0" w:right="0"/>
                    <w:textAlignment w:val="auto"/>
                    <w:rPr>
                      <w:rFonts w:ascii="Times New Roman" w:hAnsi="Times New Roman" w:eastAsia="宋体" w:cs="Times New Roman"/>
                      <w:color w:val="auto"/>
                      <w:szCs w:val="21"/>
                      <w:highlight w:val="none"/>
                      <w:shd w:val="clear" w:color="auto" w:fill="auto"/>
                    </w:rPr>
                  </w:pPr>
                  <w:r>
                    <w:rPr>
                      <w:rFonts w:hint="eastAsia" w:ascii="Times New Roman" w:hAnsi="Times New Roman" w:eastAsia="宋体" w:cs="Times New Roman"/>
                      <w:color w:val="auto"/>
                      <w:szCs w:val="21"/>
                      <w:highlight w:val="none"/>
                      <w:shd w:val="clear" w:color="auto" w:fill="auto"/>
                      <w:lang w:val="en-US" w:eastAsia="zh-CN"/>
                    </w:rPr>
                    <w:t>危险废物贮存点</w:t>
                  </w:r>
                  <w:r>
                    <w:rPr>
                      <w:rFonts w:hint="eastAsia" w:ascii="Times New Roman" w:hAnsi="Times New Roman" w:cs="Times New Roman"/>
                      <w:color w:val="auto"/>
                      <w:szCs w:val="21"/>
                      <w:highlight w:val="none"/>
                      <w:shd w:val="clear" w:color="auto" w:fill="auto"/>
                      <w:lang w:val="en-US" w:eastAsia="zh-CN"/>
                    </w:rPr>
                    <w:t>、</w:t>
                  </w:r>
                  <w:r>
                    <w:rPr>
                      <w:rFonts w:hint="eastAsia" w:cs="Times New Roman"/>
                      <w:color w:val="auto"/>
                      <w:szCs w:val="21"/>
                      <w:highlight w:val="none"/>
                      <w:lang w:eastAsia="zh-CN"/>
                    </w:rPr>
                    <w:t>化粪池、水洗白云石沉淀池</w:t>
                  </w:r>
                  <w:r>
                    <w:rPr>
                      <w:rFonts w:hint="eastAsia" w:ascii="Times New Roman" w:hAnsi="Times New Roman" w:cs="Times New Roman"/>
                      <w:color w:val="auto"/>
                      <w:szCs w:val="21"/>
                      <w:highlight w:val="none"/>
                      <w:shd w:val="clear" w:color="auto" w:fill="auto"/>
                      <w:lang w:val="en-US" w:eastAsia="zh-CN"/>
                    </w:rPr>
                    <w:t>、洗车平台沉淀池</w:t>
                  </w:r>
                  <w:r>
                    <w:rPr>
                      <w:rFonts w:hint="default" w:ascii="Times New Roman" w:hAnsi="Times New Roman" w:eastAsia="宋体" w:cs="Times New Roman"/>
                      <w:color w:val="auto"/>
                      <w:szCs w:val="21"/>
                      <w:highlight w:val="none"/>
                      <w:shd w:val="clear" w:color="auto" w:fill="auto"/>
                    </w:rPr>
                    <w:t>为</w:t>
                  </w:r>
                  <w:r>
                    <w:rPr>
                      <w:rFonts w:hint="default" w:ascii="Times New Roman" w:hAnsi="Times New Roman" w:eastAsia="宋体" w:cs="Times New Roman"/>
                      <w:color w:val="auto"/>
                      <w:szCs w:val="21"/>
                      <w:highlight w:val="none"/>
                      <w:shd w:val="clear" w:color="auto" w:fill="auto"/>
                      <w:lang w:eastAsia="zh-CN"/>
                    </w:rPr>
                    <w:t>重点</w:t>
                  </w:r>
                  <w:r>
                    <w:rPr>
                      <w:rFonts w:hint="default" w:ascii="Times New Roman" w:hAnsi="Times New Roman" w:eastAsia="宋体" w:cs="Times New Roman"/>
                      <w:color w:val="auto"/>
                      <w:szCs w:val="21"/>
                      <w:highlight w:val="none"/>
                      <w:shd w:val="clear" w:color="auto" w:fill="auto"/>
                    </w:rPr>
                    <w:t>污染防渗区，等效黏土防渗层Mb≥</w:t>
                  </w:r>
                  <w:r>
                    <w:rPr>
                      <w:rFonts w:hint="default" w:ascii="Times New Roman" w:hAnsi="Times New Roman" w:eastAsia="宋体" w:cs="Times New Roman"/>
                      <w:color w:val="auto"/>
                      <w:szCs w:val="21"/>
                      <w:highlight w:val="none"/>
                      <w:shd w:val="clear" w:color="auto" w:fill="auto"/>
                      <w:lang w:val="en-US" w:eastAsia="zh-CN"/>
                    </w:rPr>
                    <w:t>6.0</w:t>
                  </w:r>
                  <w:r>
                    <w:rPr>
                      <w:rFonts w:hint="default" w:ascii="Times New Roman" w:hAnsi="Times New Roman" w:eastAsia="宋体" w:cs="Times New Roman"/>
                      <w:color w:val="auto"/>
                      <w:szCs w:val="21"/>
                      <w:highlight w:val="none"/>
                      <w:shd w:val="clear" w:color="auto" w:fill="auto"/>
                    </w:rPr>
                    <w:t>m，K≤1×10</w:t>
                  </w:r>
                  <w:r>
                    <w:rPr>
                      <w:rFonts w:hint="default" w:ascii="Times New Roman" w:hAnsi="Times New Roman" w:eastAsia="宋体" w:cs="Times New Roman"/>
                      <w:color w:val="auto"/>
                      <w:szCs w:val="21"/>
                      <w:highlight w:val="none"/>
                      <w:shd w:val="clear" w:color="auto" w:fill="auto"/>
                      <w:vertAlign w:val="superscript"/>
                    </w:rPr>
                    <w:t>-7</w:t>
                  </w:r>
                  <w:r>
                    <w:rPr>
                      <w:rFonts w:hint="default" w:ascii="Times New Roman" w:hAnsi="Times New Roman" w:eastAsia="宋体" w:cs="Times New Roman"/>
                      <w:color w:val="auto"/>
                      <w:szCs w:val="21"/>
                      <w:highlight w:val="none"/>
                      <w:shd w:val="clear" w:color="auto" w:fill="auto"/>
                    </w:rPr>
                    <w:t>cm/s</w:t>
                  </w:r>
                  <w:r>
                    <w:rPr>
                      <w:rFonts w:hint="default" w:ascii="Times New Roman" w:hAnsi="Times New Roman" w:eastAsia="宋体" w:cs="Times New Roman"/>
                      <w:color w:val="auto"/>
                      <w:szCs w:val="21"/>
                      <w:highlight w:val="none"/>
                      <w:shd w:val="clear" w:color="auto" w:fill="auto"/>
                      <w:lang w:eastAsia="zh-CN"/>
                    </w:rPr>
                    <w:t>；</w:t>
                  </w:r>
                  <w:r>
                    <w:rPr>
                      <w:rFonts w:hint="eastAsia" w:ascii="Times New Roman" w:hAnsi="Times New Roman" w:cs="Times New Roman"/>
                      <w:color w:val="auto"/>
                      <w:szCs w:val="21"/>
                      <w:highlight w:val="none"/>
                      <w:shd w:val="clear" w:color="auto" w:fill="auto"/>
                      <w:lang w:val="en-US" w:eastAsia="zh-CN"/>
                    </w:rPr>
                    <w:t>原料库房，生产车间、产品库房</w:t>
                  </w:r>
                  <w:r>
                    <w:rPr>
                      <w:rFonts w:hint="default" w:ascii="Times New Roman" w:hAnsi="Times New Roman" w:eastAsia="宋体" w:cs="Times New Roman"/>
                      <w:color w:val="auto"/>
                      <w:szCs w:val="21"/>
                      <w:highlight w:val="none"/>
                      <w:shd w:val="clear" w:color="auto" w:fill="auto"/>
                    </w:rPr>
                    <w:t>防渗为一般污染防渗区，等效黏土防渗层Mb≥1.5m，K≤1×10</w:t>
                  </w:r>
                  <w:r>
                    <w:rPr>
                      <w:rFonts w:hint="default" w:ascii="Times New Roman" w:hAnsi="Times New Roman" w:eastAsia="宋体" w:cs="Times New Roman"/>
                      <w:color w:val="auto"/>
                      <w:szCs w:val="21"/>
                      <w:highlight w:val="none"/>
                      <w:shd w:val="clear" w:color="auto" w:fill="auto"/>
                      <w:vertAlign w:val="superscript"/>
                    </w:rPr>
                    <w:t>-7</w:t>
                  </w:r>
                  <w:r>
                    <w:rPr>
                      <w:rFonts w:hint="default" w:ascii="Times New Roman" w:hAnsi="Times New Roman" w:eastAsia="宋体" w:cs="Times New Roman"/>
                      <w:color w:val="auto"/>
                      <w:szCs w:val="21"/>
                      <w:highlight w:val="none"/>
                      <w:shd w:val="clear" w:color="auto" w:fill="auto"/>
                    </w:rPr>
                    <w:t>cm/s</w:t>
                  </w:r>
                  <w:r>
                    <w:rPr>
                      <w:rFonts w:hint="default" w:ascii="Times New Roman" w:hAnsi="Times New Roman" w:eastAsia="宋体" w:cs="Times New Roman"/>
                      <w:color w:val="auto"/>
                      <w:szCs w:val="21"/>
                      <w:highlight w:val="none"/>
                      <w:shd w:val="clear" w:color="auto" w:fill="auto"/>
                      <w:lang w:eastAsia="zh-CN"/>
                    </w:rPr>
                    <w:t>；</w:t>
                  </w:r>
                  <w:r>
                    <w:rPr>
                      <w:rFonts w:hint="default" w:ascii="Times New Roman" w:hAnsi="Times New Roman" w:eastAsia="宋体" w:cs="Times New Roman"/>
                      <w:color w:val="auto"/>
                      <w:szCs w:val="21"/>
                      <w:highlight w:val="none"/>
                      <w:shd w:val="clear" w:color="auto" w:fill="auto"/>
                      <w:lang w:val="en-US" w:eastAsia="zh-CN"/>
                    </w:rPr>
                    <w:t>厂区地坪硬化</w:t>
                  </w:r>
                  <w:r>
                    <w:rPr>
                      <w:rFonts w:hint="eastAsia" w:ascii="Times New Roman" w:hAnsi="Times New Roman" w:cs="Times New Roman"/>
                      <w:color w:val="auto"/>
                      <w:szCs w:val="21"/>
                      <w:highlight w:val="none"/>
                      <w:shd w:val="clear" w:color="auto" w:fill="auto"/>
                      <w:lang w:val="en-US" w:eastAsia="zh-CN"/>
                    </w:rPr>
                    <w:t>，</w:t>
                  </w:r>
                  <w:r>
                    <w:rPr>
                      <w:rFonts w:hint="default" w:ascii="Times New Roman" w:hAnsi="Times New Roman" w:eastAsia="宋体" w:cs="Times New Roman"/>
                      <w:color w:val="auto"/>
                      <w:szCs w:val="21"/>
                      <w:highlight w:val="none"/>
                      <w:shd w:val="clear" w:color="auto" w:fill="auto"/>
                      <w:lang w:val="en-US" w:eastAsia="zh-CN"/>
                    </w:rPr>
                    <w:t>简单防渗</w:t>
                  </w:r>
                  <w:r>
                    <w:rPr>
                      <w:rFonts w:hint="default" w:ascii="Times New Roman" w:hAnsi="Times New Roman" w:eastAsia="宋体" w:cs="Times New Roman"/>
                      <w:color w:val="auto"/>
                      <w:szCs w:val="21"/>
                      <w:highlight w:val="none"/>
                      <w:shd w:val="clear" w:color="auto" w:fill="auto"/>
                    </w:rPr>
                    <w:t>。</w:t>
                  </w:r>
                </w:p>
              </w:tc>
              <w:tc>
                <w:tcPr>
                  <w:tcW w:w="1065" w:type="dxa"/>
                  <w:noWrap w:val="0"/>
                  <w:vAlign w:val="center"/>
                </w:tcPr>
                <w:p w14:paraId="56035EC6">
                  <w:pPr>
                    <w:keepNext w:val="0"/>
                    <w:keepLines w:val="0"/>
                    <w:suppressLineNumbers w:val="0"/>
                    <w:spacing w:before="0" w:beforeAutospacing="0" w:after="0" w:afterAutospacing="0"/>
                    <w:ind w:left="0" w:right="0"/>
                    <w:jc w:val="center"/>
                    <w:rPr>
                      <w:rFonts w:hint="eastAsia" w:ascii="Calibri" w:hAnsi="Calibri" w:eastAsia="宋体" w:cs="Times New Roman"/>
                      <w:color w:val="auto"/>
                      <w:sz w:val="21"/>
                      <w:szCs w:val="21"/>
                      <w:highlight w:val="none"/>
                      <w:shd w:val="clear" w:color="auto" w:fill="auto"/>
                      <w:lang w:val="en-US" w:eastAsia="zh-CN"/>
                    </w:rPr>
                  </w:pPr>
                  <w:r>
                    <w:rPr>
                      <w:rFonts w:hint="eastAsia" w:ascii="Calibri" w:hAnsi="Calibri" w:eastAsia="宋体" w:cs="Times New Roman"/>
                      <w:color w:val="auto"/>
                      <w:sz w:val="21"/>
                      <w:szCs w:val="21"/>
                      <w:highlight w:val="none"/>
                      <w:shd w:val="clear" w:color="auto" w:fill="auto"/>
                      <w:lang w:val="en-US" w:eastAsia="zh-CN"/>
                    </w:rPr>
                    <w:t>1</w:t>
                  </w:r>
                  <w:r>
                    <w:rPr>
                      <w:rFonts w:hint="eastAsia" w:ascii="Calibri" w:hAnsi="Calibri" w:eastAsia="宋体" w:cs="Times New Roman"/>
                      <w:color w:val="auto"/>
                      <w:sz w:val="21"/>
                      <w:szCs w:val="21"/>
                      <w:highlight w:val="none"/>
                      <w:shd w:val="clear" w:color="auto" w:fill="auto"/>
                      <w:lang w:eastAsia="zh-CN"/>
                    </w:rPr>
                    <w:t>套</w:t>
                  </w:r>
                </w:p>
              </w:tc>
              <w:tc>
                <w:tcPr>
                  <w:tcW w:w="1425" w:type="dxa"/>
                  <w:noWrap w:val="0"/>
                  <w:vAlign w:val="center"/>
                </w:tcPr>
                <w:p w14:paraId="6E1BBCC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3</w:t>
                  </w:r>
                </w:p>
              </w:tc>
              <w:tc>
                <w:tcPr>
                  <w:tcW w:w="1216" w:type="dxa"/>
                  <w:noWrap w:val="0"/>
                  <w:vAlign w:val="center"/>
                </w:tcPr>
                <w:p w14:paraId="0B582F6D">
                  <w:pPr>
                    <w:keepNext w:val="0"/>
                    <w:keepLines w:val="0"/>
                    <w:suppressLineNumbers w:val="0"/>
                    <w:adjustRightInd w:val="0"/>
                    <w:snapToGrid w:val="0"/>
                    <w:spacing w:before="0" w:beforeAutospacing="0" w:after="0" w:afterAutospacing="0"/>
                    <w:ind w:left="0" w:right="0"/>
                    <w:jc w:val="center"/>
                    <w:rPr>
                      <w:rFonts w:hint="default" w:ascii="Calibri" w:hAnsi="Calibri" w:eastAsia="宋体" w:cs="Times New Roman"/>
                      <w:color w:val="auto"/>
                      <w:sz w:val="21"/>
                      <w:szCs w:val="21"/>
                      <w:highlight w:val="none"/>
                      <w:shd w:val="clear" w:color="auto" w:fill="auto"/>
                      <w:lang w:val="en-US" w:eastAsia="zh-CN"/>
                    </w:rPr>
                  </w:pPr>
                  <w:r>
                    <w:rPr>
                      <w:rFonts w:hint="eastAsia"/>
                      <w:color w:val="auto"/>
                      <w:highlight w:val="none"/>
                      <w:lang w:eastAsia="zh-CN"/>
                    </w:rPr>
                    <w:t>依托</w:t>
                  </w:r>
                </w:p>
              </w:tc>
            </w:tr>
            <w:tr w14:paraId="18ACC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 w:hRule="atLeast"/>
                <w:jc w:val="center"/>
              </w:trPr>
              <w:tc>
                <w:tcPr>
                  <w:tcW w:w="4792" w:type="dxa"/>
                  <w:gridSpan w:val="3"/>
                  <w:noWrap w:val="0"/>
                  <w:vAlign w:val="center"/>
                </w:tcPr>
                <w:p w14:paraId="074714F3">
                  <w:pPr>
                    <w:pStyle w:val="41"/>
                    <w:keepNext w:val="0"/>
                    <w:keepLines w:val="0"/>
                    <w:widowControl/>
                    <w:suppressLineNumbers w:val="0"/>
                    <w:topLinePunct w:val="0"/>
                    <w:autoSpaceDE/>
                    <w:autoSpaceDN/>
                    <w:snapToGrid w:val="0"/>
                    <w:spacing w:before="0" w:beforeAutospacing="0" w:after="0" w:afterAutospacing="0"/>
                    <w:ind w:left="0" w:right="0"/>
                    <w:jc w:val="center"/>
                    <w:textAlignment w:val="auto"/>
                    <w:rPr>
                      <w:rFonts w:ascii="Times New Roman" w:hAnsi="Times New Roman" w:eastAsia="宋体" w:cs="Times New Roman"/>
                      <w:color w:val="auto"/>
                      <w:kern w:val="0"/>
                      <w:position w:val="0"/>
                      <w:szCs w:val="21"/>
                      <w:highlight w:val="none"/>
                      <w:shd w:val="clear" w:color="auto" w:fill="auto"/>
                    </w:rPr>
                  </w:pPr>
                  <w:r>
                    <w:rPr>
                      <w:rFonts w:ascii="Times New Roman" w:hAnsi="Times New Roman" w:eastAsia="宋体" w:cs="Times New Roman"/>
                      <w:color w:val="auto"/>
                      <w:szCs w:val="21"/>
                      <w:highlight w:val="none"/>
                      <w:shd w:val="clear" w:color="auto" w:fill="auto"/>
                    </w:rPr>
                    <w:t>环保投资合计</w:t>
                  </w:r>
                </w:p>
              </w:tc>
              <w:tc>
                <w:tcPr>
                  <w:tcW w:w="1065" w:type="dxa"/>
                  <w:noWrap w:val="0"/>
                  <w:vAlign w:val="center"/>
                </w:tcPr>
                <w:p w14:paraId="3CA760DC">
                  <w:pPr>
                    <w:pStyle w:val="9"/>
                    <w:keepNext w:val="0"/>
                    <w:keepLines w:val="0"/>
                    <w:suppressLineNumbers w:val="0"/>
                    <w:spacing w:before="0" w:beforeAutospacing="0" w:after="0" w:afterAutospacing="0"/>
                    <w:ind w:left="0" w:right="0"/>
                    <w:jc w:val="center"/>
                    <w:rPr>
                      <w:rFonts w:ascii="Times New Roman" w:hAnsi="Times New Roman" w:eastAsia="宋体" w:cs="Times New Roman"/>
                      <w:color w:val="auto"/>
                      <w:szCs w:val="21"/>
                      <w:highlight w:val="none"/>
                      <w:shd w:val="clear" w:color="auto" w:fill="auto"/>
                    </w:rPr>
                  </w:pPr>
                  <w:r>
                    <w:rPr>
                      <w:rFonts w:hint="eastAsia"/>
                      <w:color w:val="auto"/>
                      <w:highlight w:val="none"/>
                      <w:lang w:val="en-US" w:eastAsia="zh-CN"/>
                    </w:rPr>
                    <w:t>/</w:t>
                  </w:r>
                </w:p>
              </w:tc>
              <w:tc>
                <w:tcPr>
                  <w:tcW w:w="1425" w:type="dxa"/>
                  <w:noWrap w:val="0"/>
                  <w:vAlign w:val="center"/>
                </w:tcPr>
                <w:p w14:paraId="332824A9">
                  <w:pPr>
                    <w:keepNext w:val="0"/>
                    <w:keepLines w:val="0"/>
                    <w:suppressLineNumbers w:val="0"/>
                    <w:autoSpaceDN w:val="0"/>
                    <w:spacing w:before="0" w:beforeAutospacing="0" w:after="0" w:afterAutospacing="0"/>
                    <w:ind w:left="0" w:right="0"/>
                    <w:jc w:val="center"/>
                    <w:textAlignment w:val="center"/>
                    <w:rPr>
                      <w:rFonts w:hint="default" w:ascii="Calibri" w:hAnsi="Calibri" w:eastAsia="宋体" w:cs="Times New Roman"/>
                      <w:color w:val="auto"/>
                      <w:sz w:val="21"/>
                      <w:szCs w:val="21"/>
                      <w:highlight w:val="none"/>
                      <w:shd w:val="clear" w:color="auto" w:fill="auto"/>
                      <w:lang w:val="en-US" w:eastAsia="zh-CN"/>
                    </w:rPr>
                  </w:pPr>
                  <w:r>
                    <w:rPr>
                      <w:rFonts w:hint="eastAsia" w:ascii="Calibri" w:hAnsi="Calibri" w:cs="Times New Roman"/>
                      <w:color w:val="auto"/>
                      <w:sz w:val="21"/>
                      <w:szCs w:val="21"/>
                      <w:highlight w:val="none"/>
                      <w:shd w:val="clear" w:color="auto" w:fill="auto"/>
                      <w:lang w:val="en-US" w:eastAsia="zh-CN"/>
                    </w:rPr>
                    <w:t>100</w:t>
                  </w:r>
                </w:p>
              </w:tc>
              <w:tc>
                <w:tcPr>
                  <w:tcW w:w="1216" w:type="dxa"/>
                  <w:noWrap w:val="0"/>
                  <w:vAlign w:val="center"/>
                </w:tcPr>
                <w:p w14:paraId="04C88EB8">
                  <w:pPr>
                    <w:keepNext w:val="0"/>
                    <w:keepLines w:val="0"/>
                    <w:suppressLineNumbers w:val="0"/>
                    <w:adjustRightInd w:val="0"/>
                    <w:snapToGrid w:val="0"/>
                    <w:spacing w:before="0" w:beforeAutospacing="0" w:after="0" w:afterAutospacing="0"/>
                    <w:ind w:left="0" w:right="0"/>
                    <w:jc w:val="center"/>
                    <w:rPr>
                      <w:rFonts w:ascii="Calibri" w:hAnsi="Calibri" w:eastAsia="宋体" w:cs="Times New Roman"/>
                      <w:color w:val="auto"/>
                      <w:sz w:val="21"/>
                      <w:szCs w:val="21"/>
                      <w:highlight w:val="none"/>
                      <w:shd w:val="clear" w:color="auto" w:fill="auto"/>
                    </w:rPr>
                  </w:pPr>
                </w:p>
              </w:tc>
            </w:tr>
            <w:tr w14:paraId="4AC0E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4792" w:type="dxa"/>
                  <w:gridSpan w:val="3"/>
                  <w:noWrap w:val="0"/>
                  <w:vAlign w:val="center"/>
                </w:tcPr>
                <w:p w14:paraId="59B0A925">
                  <w:pPr>
                    <w:pStyle w:val="41"/>
                    <w:keepNext w:val="0"/>
                    <w:keepLines w:val="0"/>
                    <w:widowControl/>
                    <w:suppressLineNumbers w:val="0"/>
                    <w:topLinePunct w:val="0"/>
                    <w:autoSpaceDE/>
                    <w:autoSpaceDN/>
                    <w:snapToGrid w:val="0"/>
                    <w:spacing w:before="0" w:beforeAutospacing="0" w:after="0" w:afterAutospacing="0"/>
                    <w:ind w:left="0" w:right="0"/>
                    <w:textAlignment w:val="auto"/>
                    <w:rPr>
                      <w:rFonts w:ascii="Times New Roman" w:hAnsi="Times New Roman" w:eastAsia="宋体" w:cs="Times New Roman"/>
                      <w:color w:val="auto"/>
                      <w:kern w:val="0"/>
                      <w:position w:val="0"/>
                      <w:szCs w:val="21"/>
                      <w:highlight w:val="none"/>
                      <w:shd w:val="clear" w:color="auto" w:fill="auto"/>
                    </w:rPr>
                  </w:pPr>
                  <w:r>
                    <w:rPr>
                      <w:rFonts w:ascii="Times New Roman" w:hAnsi="Times New Roman" w:eastAsia="宋体" w:cs="Times New Roman"/>
                      <w:color w:val="auto"/>
                      <w:szCs w:val="21"/>
                      <w:highlight w:val="none"/>
                      <w:shd w:val="clear" w:color="auto" w:fill="auto"/>
                    </w:rPr>
                    <w:t>占总投资比例</w:t>
                  </w:r>
                </w:p>
              </w:tc>
              <w:tc>
                <w:tcPr>
                  <w:tcW w:w="1065" w:type="dxa"/>
                  <w:noWrap w:val="0"/>
                  <w:vAlign w:val="center"/>
                </w:tcPr>
                <w:p w14:paraId="58CE8B88">
                  <w:pPr>
                    <w:pStyle w:val="41"/>
                    <w:keepNext w:val="0"/>
                    <w:keepLines w:val="0"/>
                    <w:widowControl/>
                    <w:suppressLineNumbers w:val="0"/>
                    <w:topLinePunct w:val="0"/>
                    <w:autoSpaceDE/>
                    <w:autoSpaceDN/>
                    <w:snapToGrid w:val="0"/>
                    <w:spacing w:before="0" w:beforeAutospacing="0" w:after="0" w:afterAutospacing="0"/>
                    <w:ind w:left="0" w:right="0"/>
                    <w:textAlignment w:val="auto"/>
                    <w:rPr>
                      <w:rFonts w:ascii="Times New Roman" w:hAnsi="Times New Roman" w:eastAsia="宋体" w:cs="Times New Roman"/>
                      <w:color w:val="auto"/>
                      <w:szCs w:val="21"/>
                      <w:highlight w:val="none"/>
                      <w:shd w:val="clear" w:color="auto" w:fill="auto"/>
                    </w:rPr>
                  </w:pPr>
                  <w:r>
                    <w:rPr>
                      <w:rFonts w:hint="eastAsia"/>
                      <w:color w:val="auto"/>
                      <w:highlight w:val="none"/>
                      <w:lang w:val="en-US" w:eastAsia="zh-CN"/>
                    </w:rPr>
                    <w:t>/</w:t>
                  </w:r>
                </w:p>
              </w:tc>
              <w:tc>
                <w:tcPr>
                  <w:tcW w:w="1425" w:type="dxa"/>
                  <w:noWrap w:val="0"/>
                  <w:vAlign w:val="center"/>
                </w:tcPr>
                <w:p w14:paraId="1BFE0F9D">
                  <w:pPr>
                    <w:keepNext w:val="0"/>
                    <w:keepLines w:val="0"/>
                    <w:suppressLineNumbers w:val="0"/>
                    <w:autoSpaceDN w:val="0"/>
                    <w:spacing w:before="0" w:beforeAutospacing="0" w:after="0" w:afterAutospacing="0"/>
                    <w:ind w:left="0" w:right="0"/>
                    <w:jc w:val="center"/>
                    <w:textAlignment w:val="center"/>
                    <w:rPr>
                      <w:rFonts w:hint="default" w:ascii="Calibri" w:hAnsi="Calibri" w:eastAsia="宋体" w:cs="Times New Roman"/>
                      <w:color w:val="auto"/>
                      <w:sz w:val="21"/>
                      <w:szCs w:val="21"/>
                      <w:highlight w:val="none"/>
                      <w:shd w:val="clear" w:color="auto" w:fill="auto"/>
                      <w:lang w:val="en-US" w:eastAsia="zh-CN"/>
                    </w:rPr>
                  </w:pPr>
                  <w:r>
                    <w:rPr>
                      <w:rFonts w:hint="eastAsia" w:ascii="Calibri" w:hAnsi="Calibri" w:cs="Times New Roman"/>
                      <w:color w:val="auto"/>
                      <w:sz w:val="21"/>
                      <w:szCs w:val="21"/>
                      <w:highlight w:val="none"/>
                      <w:shd w:val="clear" w:color="auto" w:fill="auto"/>
                      <w:lang w:val="en-US" w:eastAsia="zh-CN"/>
                    </w:rPr>
                    <w:t>4</w:t>
                  </w:r>
                  <w:r>
                    <w:rPr>
                      <w:rFonts w:hint="eastAsia" w:ascii="Calibri" w:hAnsi="Calibri" w:eastAsia="宋体" w:cs="Times New Roman"/>
                      <w:color w:val="auto"/>
                      <w:sz w:val="21"/>
                      <w:szCs w:val="21"/>
                      <w:highlight w:val="none"/>
                      <w:shd w:val="clear" w:color="auto" w:fill="auto"/>
                      <w:lang w:val="en-US" w:eastAsia="zh-CN"/>
                    </w:rPr>
                    <w:t>%</w:t>
                  </w:r>
                </w:p>
              </w:tc>
              <w:tc>
                <w:tcPr>
                  <w:tcW w:w="1216" w:type="dxa"/>
                  <w:noWrap w:val="0"/>
                  <w:vAlign w:val="center"/>
                </w:tcPr>
                <w:p w14:paraId="4CAFCF1D">
                  <w:pPr>
                    <w:keepNext w:val="0"/>
                    <w:keepLines w:val="0"/>
                    <w:suppressLineNumbers w:val="0"/>
                    <w:adjustRightInd w:val="0"/>
                    <w:snapToGrid w:val="0"/>
                    <w:spacing w:before="0" w:beforeAutospacing="0" w:after="0" w:afterAutospacing="0"/>
                    <w:ind w:left="0" w:right="0"/>
                    <w:jc w:val="center"/>
                    <w:rPr>
                      <w:rFonts w:ascii="Calibri" w:hAnsi="Calibri" w:eastAsia="宋体" w:cs="Times New Roman"/>
                      <w:color w:val="auto"/>
                      <w:sz w:val="21"/>
                      <w:szCs w:val="21"/>
                      <w:highlight w:val="none"/>
                      <w:shd w:val="clear" w:color="auto" w:fill="auto"/>
                    </w:rPr>
                  </w:pPr>
                </w:p>
              </w:tc>
            </w:tr>
          </w:tbl>
          <w:p w14:paraId="5927F09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50" w:beforeAutospacing="0" w:after="50" w:afterAutospacing="0" w:line="360" w:lineRule="auto"/>
              <w:ind w:left="0" w:right="0" w:firstLine="482" w:firstLineChars="200"/>
              <w:textAlignment w:val="auto"/>
              <w:rPr>
                <w:rFonts w:hint="eastAsia" w:ascii="Calibri" w:hAnsi="Calibri" w:eastAsia="宋体" w:cs="Times New Roman"/>
                <w:b/>
                <w:bCs/>
                <w:color w:val="auto"/>
                <w:sz w:val="24"/>
                <w:highlight w:val="none"/>
              </w:rPr>
            </w:pPr>
            <w:r>
              <w:rPr>
                <w:rFonts w:hint="eastAsia" w:ascii="Calibri" w:hAnsi="Calibri" w:eastAsia="宋体" w:cs="Times New Roman"/>
                <w:b/>
                <w:bCs/>
                <w:color w:val="auto"/>
                <w:sz w:val="24"/>
                <w:highlight w:val="none"/>
                <w:lang w:eastAsia="zh-CN"/>
              </w:rPr>
              <w:t>九、</w:t>
            </w:r>
            <w:r>
              <w:rPr>
                <w:rFonts w:hint="eastAsia" w:ascii="Calibri" w:hAnsi="Calibri" w:eastAsia="宋体" w:cs="Times New Roman"/>
                <w:b/>
                <w:bCs/>
                <w:color w:val="auto"/>
                <w:sz w:val="24"/>
                <w:highlight w:val="none"/>
              </w:rPr>
              <w:t>电磁辐射</w:t>
            </w:r>
          </w:p>
          <w:p w14:paraId="2AD4C9C1">
            <w:pPr>
              <w:pStyle w:val="17"/>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本项目不涉及广播电台、差转台、电视塔台、卫星地球上行站、雷达等电磁辐射类项目，无需进行电磁辐射影响分析。</w:t>
            </w:r>
          </w:p>
          <w:p w14:paraId="54AE631C">
            <w:pPr>
              <w:keepNext w:val="0"/>
              <w:keepLines w:val="0"/>
              <w:numPr>
                <w:ilvl w:val="0"/>
                <w:numId w:val="0"/>
              </w:numPr>
              <w:suppressLineNumbers w:val="0"/>
              <w:spacing w:before="0" w:beforeAutospacing="0" w:after="0" w:afterAutospacing="0" w:line="360" w:lineRule="auto"/>
              <w:ind w:left="0" w:right="0" w:firstLine="482" w:firstLineChars="200"/>
              <w:rPr>
                <w:rFonts w:ascii="Calibri" w:hAnsi="Calibri" w:eastAsia="宋体" w:cs="Times New Roman"/>
                <w:b/>
                <w:color w:val="auto"/>
                <w:sz w:val="24"/>
                <w:highlight w:val="none"/>
              </w:rPr>
            </w:pPr>
            <w:r>
              <w:rPr>
                <w:rFonts w:hint="eastAsia" w:ascii="Calibri" w:hAnsi="Calibri" w:eastAsia="宋体" w:cs="Times New Roman"/>
                <w:b/>
                <w:color w:val="auto"/>
                <w:sz w:val="24"/>
                <w:highlight w:val="none"/>
                <w:lang w:eastAsia="zh-CN"/>
              </w:rPr>
              <w:t>十、</w:t>
            </w:r>
            <w:r>
              <w:rPr>
                <w:rFonts w:ascii="Calibri" w:hAnsi="Calibri" w:eastAsia="宋体" w:cs="Times New Roman"/>
                <w:b/>
                <w:color w:val="auto"/>
                <w:sz w:val="24"/>
                <w:highlight w:val="none"/>
              </w:rPr>
              <w:t>环境管理</w:t>
            </w:r>
          </w:p>
          <w:p w14:paraId="3472C9B5">
            <w:pPr>
              <w:keepNext w:val="0"/>
              <w:keepLines w:val="0"/>
              <w:suppressLineNumbers w:val="0"/>
              <w:spacing w:before="0" w:beforeAutospacing="0" w:after="0" w:afterAutospacing="0" w:line="360" w:lineRule="auto"/>
              <w:ind w:left="0" w:right="0" w:firstLine="482" w:firstLineChars="200"/>
              <w:rPr>
                <w:rFonts w:ascii="Calibri" w:hAnsi="Calibri" w:eastAsia="宋体" w:cs="Times New Roman"/>
                <w:b/>
                <w:color w:val="auto"/>
                <w:sz w:val="24"/>
                <w:highlight w:val="none"/>
              </w:rPr>
            </w:pPr>
            <w:r>
              <w:rPr>
                <w:rFonts w:hint="eastAsia" w:ascii="Calibri" w:hAnsi="Calibri" w:eastAsia="宋体" w:cs="Times New Roman"/>
                <w:b/>
                <w:color w:val="auto"/>
                <w:sz w:val="24"/>
                <w:highlight w:val="none"/>
                <w:lang w:val="en-US" w:eastAsia="zh-CN"/>
              </w:rPr>
              <w:t>1、</w:t>
            </w:r>
            <w:r>
              <w:rPr>
                <w:rFonts w:ascii="Calibri" w:hAnsi="Calibri" w:eastAsia="宋体" w:cs="Times New Roman"/>
                <w:b/>
                <w:color w:val="auto"/>
                <w:sz w:val="24"/>
                <w:highlight w:val="none"/>
              </w:rPr>
              <w:t>环境管理目标</w:t>
            </w:r>
          </w:p>
          <w:p w14:paraId="2C691292">
            <w:pPr>
              <w:keepNext w:val="0"/>
              <w:keepLines w:val="0"/>
              <w:suppressLineNumbers w:val="0"/>
              <w:spacing w:before="0" w:beforeAutospacing="0" w:after="0" w:afterAutospacing="0" w:line="360" w:lineRule="auto"/>
              <w:ind w:left="0" w:right="0" w:firstLine="480" w:firstLineChars="200"/>
              <w:rPr>
                <w:rFonts w:ascii="Calibri" w:hAnsi="Calibri" w:eastAsia="宋体" w:cs="Times New Roman"/>
                <w:color w:val="auto"/>
                <w:sz w:val="24"/>
                <w:highlight w:val="none"/>
              </w:rPr>
            </w:pPr>
            <w:r>
              <w:rPr>
                <w:rFonts w:ascii="Calibri" w:hAnsi="Calibri" w:eastAsia="宋体" w:cs="Times New Roman"/>
                <w:color w:val="auto"/>
                <w:sz w:val="24"/>
                <w:highlight w:val="none"/>
              </w:rPr>
              <w:t>（1）严格控制污染源和污染物的排放，并对生产废气、设备运行噪声等进行全面处理和全面达标控制。</w:t>
            </w:r>
          </w:p>
          <w:p w14:paraId="470FC05C">
            <w:pPr>
              <w:keepNext w:val="0"/>
              <w:keepLines w:val="0"/>
              <w:suppressLineNumbers w:val="0"/>
              <w:spacing w:before="0" w:beforeAutospacing="0" w:after="0" w:afterAutospacing="0" w:line="360" w:lineRule="auto"/>
              <w:ind w:left="0" w:right="0" w:firstLine="480" w:firstLineChars="200"/>
              <w:rPr>
                <w:rFonts w:ascii="Calibri" w:hAnsi="Calibri" w:eastAsia="宋体" w:cs="Times New Roman"/>
                <w:color w:val="auto"/>
                <w:sz w:val="24"/>
                <w:highlight w:val="none"/>
              </w:rPr>
            </w:pPr>
            <w:r>
              <w:rPr>
                <w:rFonts w:ascii="Calibri" w:hAnsi="Calibri" w:eastAsia="宋体" w:cs="Times New Roman"/>
                <w:color w:val="auto"/>
                <w:sz w:val="24"/>
                <w:highlight w:val="none"/>
              </w:rPr>
              <w:t>（2）全面推行清洁生产技术，对员工进行清洁生产培训，所有的生产行为都必须符合清洁生产要求。</w:t>
            </w:r>
          </w:p>
          <w:p w14:paraId="79BFD0E7">
            <w:pPr>
              <w:keepNext w:val="0"/>
              <w:keepLines w:val="0"/>
              <w:suppressLineNumbers w:val="0"/>
              <w:spacing w:before="0" w:beforeAutospacing="0" w:after="0" w:afterAutospacing="0" w:line="360" w:lineRule="auto"/>
              <w:ind w:left="0" w:right="0" w:firstLine="480" w:firstLineChars="200"/>
              <w:rPr>
                <w:rFonts w:ascii="Calibri" w:hAnsi="Calibri" w:eastAsia="宋体" w:cs="Times New Roman"/>
                <w:color w:val="auto"/>
                <w:sz w:val="24"/>
                <w:highlight w:val="none"/>
              </w:rPr>
            </w:pPr>
            <w:r>
              <w:rPr>
                <w:rFonts w:ascii="Calibri" w:hAnsi="Calibri" w:eastAsia="宋体" w:cs="Times New Roman"/>
                <w:color w:val="auto"/>
                <w:sz w:val="24"/>
                <w:highlight w:val="none"/>
              </w:rPr>
              <w:t>（3）加强环境管理能力建设，提高企业环境管理水平。</w:t>
            </w:r>
          </w:p>
          <w:p w14:paraId="1FFF3113">
            <w:pPr>
              <w:keepNext w:val="0"/>
              <w:keepLines w:val="0"/>
              <w:suppressLineNumbers w:val="0"/>
              <w:spacing w:before="0" w:beforeAutospacing="0" w:after="0" w:afterAutospacing="0" w:line="360" w:lineRule="auto"/>
              <w:ind w:left="0" w:right="0" w:firstLine="482" w:firstLineChars="200"/>
              <w:rPr>
                <w:rFonts w:ascii="Calibri" w:hAnsi="Calibri" w:eastAsia="宋体" w:cs="Times New Roman"/>
                <w:b/>
                <w:color w:val="auto"/>
                <w:sz w:val="24"/>
                <w:highlight w:val="none"/>
              </w:rPr>
            </w:pPr>
            <w:r>
              <w:rPr>
                <w:rFonts w:hint="eastAsia" w:ascii="Calibri" w:hAnsi="Calibri" w:eastAsia="宋体" w:cs="Times New Roman"/>
                <w:b/>
                <w:color w:val="auto"/>
                <w:sz w:val="24"/>
                <w:highlight w:val="none"/>
                <w:lang w:val="en-US" w:eastAsia="zh-CN"/>
              </w:rPr>
              <w:t>2、</w:t>
            </w:r>
            <w:r>
              <w:rPr>
                <w:rFonts w:ascii="Calibri" w:hAnsi="Calibri" w:eastAsia="宋体" w:cs="Times New Roman"/>
                <w:b/>
                <w:color w:val="auto"/>
                <w:sz w:val="24"/>
                <w:highlight w:val="none"/>
              </w:rPr>
              <w:t>环境管理机构和职责</w:t>
            </w:r>
          </w:p>
          <w:p w14:paraId="2E39D1A2">
            <w:pPr>
              <w:keepNext w:val="0"/>
              <w:keepLines w:val="0"/>
              <w:suppressLineNumbers w:val="0"/>
              <w:spacing w:before="0" w:beforeAutospacing="0" w:after="0" w:afterAutospacing="0" w:line="360" w:lineRule="auto"/>
              <w:ind w:left="0" w:right="0" w:firstLine="480" w:firstLineChars="200"/>
              <w:rPr>
                <w:rFonts w:ascii="Calibri" w:hAnsi="Calibri" w:eastAsia="宋体" w:cs="Times New Roman"/>
                <w:color w:val="auto"/>
                <w:sz w:val="24"/>
                <w:highlight w:val="none"/>
              </w:rPr>
            </w:pPr>
            <w:r>
              <w:rPr>
                <w:rFonts w:ascii="Calibri" w:hAnsi="Calibri" w:eastAsia="宋体" w:cs="Times New Roman"/>
                <w:color w:val="auto"/>
                <w:sz w:val="24"/>
                <w:highlight w:val="none"/>
              </w:rPr>
              <w:t>企业环境管理机构应全面履行国家和地方的环保法规、政策，监督企业环保措施落实情况，有效保护区域环境质量和满足区域环境保护的要求，并不断改善区内环境，达到发展经济，保护环境的目的。</w:t>
            </w:r>
          </w:p>
          <w:p w14:paraId="2397C685">
            <w:pPr>
              <w:keepNext w:val="0"/>
              <w:keepLines w:val="0"/>
              <w:suppressLineNumbers w:val="0"/>
              <w:spacing w:before="0" w:beforeAutospacing="0" w:after="0" w:afterAutospacing="0" w:line="360" w:lineRule="auto"/>
              <w:ind w:left="0" w:right="0" w:firstLine="480" w:firstLineChars="200"/>
              <w:rPr>
                <w:rFonts w:ascii="Calibri" w:hAnsi="Calibri" w:eastAsia="宋体" w:cs="Times New Roman"/>
                <w:color w:val="auto"/>
                <w:sz w:val="24"/>
                <w:highlight w:val="none"/>
              </w:rPr>
            </w:pPr>
            <w:r>
              <w:rPr>
                <w:rFonts w:ascii="Calibri" w:hAnsi="Calibri" w:eastAsia="宋体" w:cs="Times New Roman"/>
                <w:color w:val="auto"/>
                <w:sz w:val="24"/>
                <w:highlight w:val="none"/>
              </w:rPr>
              <w:t>实行“分级管理、分工负责、归口管理”的管理体制。</w:t>
            </w:r>
          </w:p>
          <w:p w14:paraId="511E4A0C">
            <w:pPr>
              <w:keepNext w:val="0"/>
              <w:keepLines w:val="0"/>
              <w:suppressLineNumbers w:val="0"/>
              <w:spacing w:before="0" w:beforeAutospacing="0" w:after="0" w:afterAutospacing="0" w:line="360" w:lineRule="auto"/>
              <w:ind w:left="0" w:right="0" w:firstLine="482" w:firstLineChars="200"/>
              <w:rPr>
                <w:rFonts w:ascii="Calibri" w:hAnsi="Calibri" w:eastAsia="宋体" w:cs="Times New Roman"/>
                <w:b/>
                <w:color w:val="auto"/>
                <w:sz w:val="24"/>
                <w:highlight w:val="none"/>
              </w:rPr>
            </w:pPr>
            <w:r>
              <w:rPr>
                <w:rFonts w:hint="eastAsia" w:ascii="Calibri" w:hAnsi="Calibri" w:eastAsia="宋体" w:cs="Times New Roman"/>
                <w:b/>
                <w:color w:val="auto"/>
                <w:sz w:val="24"/>
                <w:highlight w:val="none"/>
                <w:lang w:val="en-US" w:eastAsia="zh-CN"/>
              </w:rPr>
              <w:t>3、</w:t>
            </w:r>
            <w:r>
              <w:rPr>
                <w:rFonts w:ascii="Calibri" w:hAnsi="Calibri" w:eastAsia="宋体" w:cs="Times New Roman"/>
                <w:b/>
                <w:color w:val="auto"/>
                <w:sz w:val="24"/>
                <w:highlight w:val="none"/>
              </w:rPr>
              <w:t>环境管理计划</w:t>
            </w:r>
          </w:p>
          <w:p w14:paraId="302AEBB1">
            <w:pPr>
              <w:keepNext w:val="0"/>
              <w:keepLines w:val="0"/>
              <w:suppressLineNumbers w:val="0"/>
              <w:spacing w:before="0" w:beforeAutospacing="0" w:after="0" w:afterAutospacing="0" w:line="500" w:lineRule="exact"/>
              <w:ind w:left="0" w:right="0" w:firstLine="480" w:firstLineChars="200"/>
              <w:rPr>
                <w:rFonts w:ascii="Calibri" w:hAnsi="Calibri" w:eastAsia="宋体" w:cs="Times New Roman"/>
                <w:color w:val="auto"/>
                <w:sz w:val="24"/>
                <w:highlight w:val="none"/>
              </w:rPr>
            </w:pPr>
            <w:r>
              <w:rPr>
                <w:rFonts w:ascii="Calibri" w:hAnsi="Calibri" w:eastAsia="宋体" w:cs="Times New Roman"/>
                <w:color w:val="auto"/>
                <w:sz w:val="24"/>
                <w:highlight w:val="none"/>
              </w:rPr>
              <w:t>按照《</w:t>
            </w:r>
            <w:r>
              <w:rPr>
                <w:rFonts w:ascii="Calibri" w:hAnsi="Calibri" w:eastAsia="宋体" w:cs="Times New Roman"/>
                <w:bCs/>
                <w:color w:val="auto"/>
                <w:sz w:val="24"/>
                <w:highlight w:val="none"/>
              </w:rPr>
              <w:t>国家环境保护总局关于修改开展排放口规范化整治工作的通知的决定</w:t>
            </w:r>
            <w:r>
              <w:rPr>
                <w:rFonts w:ascii="Calibri" w:hAnsi="Calibri" w:eastAsia="宋体" w:cs="Times New Roman"/>
                <w:color w:val="auto"/>
                <w:sz w:val="24"/>
                <w:highlight w:val="none"/>
              </w:rPr>
              <w:t>》(2006年6月5日，</w:t>
            </w:r>
            <w:r>
              <w:rPr>
                <w:rFonts w:ascii="Calibri" w:hAnsi="Calibri" w:eastAsia="宋体" w:cs="Times New Roman"/>
                <w:bCs/>
                <w:color w:val="auto"/>
                <w:sz w:val="24"/>
                <w:highlight w:val="none"/>
              </w:rPr>
              <w:t>国家环境保护总局令第33号</w:t>
            </w:r>
            <w:r>
              <w:rPr>
                <w:rFonts w:ascii="Calibri" w:hAnsi="Calibri" w:eastAsia="宋体" w:cs="Times New Roman"/>
                <w:color w:val="auto"/>
                <w:sz w:val="24"/>
                <w:highlight w:val="none"/>
              </w:rPr>
              <w:t>)，该项目排气筒必须进行规范化设置，应在排气筒所在场所挂牌标识，做到排污口(源)的环保标志明显，便于企业管理和公众监督。规范化整治具体如下：</w:t>
            </w:r>
          </w:p>
          <w:p w14:paraId="2712E715">
            <w:pPr>
              <w:keepNext w:val="0"/>
              <w:keepLines w:val="0"/>
              <w:suppressLineNumbers w:val="0"/>
              <w:spacing w:before="0" w:beforeAutospacing="0" w:after="0" w:afterAutospacing="0" w:line="500" w:lineRule="exact"/>
              <w:ind w:left="0" w:right="0" w:firstLine="480" w:firstLineChars="200"/>
              <w:rPr>
                <w:rFonts w:ascii="Calibri" w:hAnsi="Calibri" w:eastAsia="宋体" w:cs="Times New Roman"/>
                <w:color w:val="auto"/>
                <w:sz w:val="24"/>
                <w:highlight w:val="none"/>
              </w:rPr>
            </w:pPr>
            <w:r>
              <w:rPr>
                <w:rFonts w:ascii="Calibri" w:hAnsi="Calibri" w:eastAsia="宋体" w:cs="Times New Roman"/>
                <w:color w:val="auto"/>
                <w:sz w:val="24"/>
                <w:highlight w:val="none"/>
              </w:rPr>
              <w:t>（1）必须符合国家标准《环境保护图形标志》(GB15562.1-1995)</w:t>
            </w:r>
            <w:r>
              <w:rPr>
                <w:rFonts w:hint="eastAsia" w:ascii="Calibri" w:hAnsi="Calibri" w:eastAsia="宋体" w:cs="Times New Roman"/>
                <w:color w:val="auto"/>
                <w:sz w:val="24"/>
                <w:highlight w:val="none"/>
              </w:rPr>
              <w:t>及《环境保护图形标志》(GB15562.2-1995)修改单</w:t>
            </w:r>
            <w:r>
              <w:rPr>
                <w:rFonts w:ascii="Calibri" w:hAnsi="Calibri" w:eastAsia="宋体" w:cs="Times New Roman"/>
                <w:color w:val="auto"/>
                <w:sz w:val="24"/>
                <w:highlight w:val="none"/>
              </w:rPr>
              <w:t>规定的排放口标志牌，排放口标志牌由国家环境保护总局统一定点监制，有专用的防伪标志。</w:t>
            </w:r>
          </w:p>
          <w:p w14:paraId="15C11E81">
            <w:pPr>
              <w:keepNext w:val="0"/>
              <w:keepLines w:val="0"/>
              <w:suppressLineNumbers w:val="0"/>
              <w:spacing w:before="0" w:beforeAutospacing="0" w:after="0" w:afterAutospacing="0" w:line="500" w:lineRule="exact"/>
              <w:ind w:left="0" w:right="0" w:firstLine="480" w:firstLineChars="200"/>
              <w:rPr>
                <w:rFonts w:ascii="Calibri" w:hAnsi="Calibri" w:eastAsia="宋体" w:cs="Times New Roman"/>
                <w:color w:val="auto"/>
                <w:sz w:val="24"/>
                <w:highlight w:val="none"/>
              </w:rPr>
            </w:pPr>
            <w:r>
              <w:rPr>
                <w:rFonts w:ascii="Calibri" w:hAnsi="Calibri" w:eastAsia="宋体" w:cs="Times New Roman"/>
                <w:color w:val="auto"/>
                <w:sz w:val="24"/>
                <w:highlight w:val="none"/>
              </w:rPr>
              <w:t>（2）标志牌设置在采样、监测点附近且醒目处，并能长久保留。可根据情况分别选择设置立式或平面固定式标志牌，在地面设置标志牌上缘距离地面2米。</w:t>
            </w:r>
          </w:p>
          <w:p w14:paraId="441D4C24">
            <w:pPr>
              <w:keepNext w:val="0"/>
              <w:keepLines w:val="0"/>
              <w:suppressLineNumbers w:val="0"/>
              <w:spacing w:before="0" w:beforeAutospacing="0" w:after="0" w:afterAutospacing="0" w:line="500" w:lineRule="exact"/>
              <w:ind w:left="0" w:right="0" w:firstLine="480" w:firstLineChars="200"/>
              <w:rPr>
                <w:rFonts w:ascii="Calibri" w:hAnsi="Calibri" w:eastAsia="宋体" w:cs="Times New Roman"/>
                <w:color w:val="auto"/>
                <w:sz w:val="24"/>
                <w:highlight w:val="none"/>
              </w:rPr>
            </w:pPr>
            <w:r>
              <w:rPr>
                <w:rFonts w:ascii="Calibri" w:hAnsi="Calibri" w:eastAsia="宋体" w:cs="Times New Roman"/>
                <w:color w:val="auto"/>
                <w:sz w:val="24"/>
                <w:highlight w:val="none"/>
              </w:rPr>
              <w:t>（3）标志牌辅助标志上需要填写的栏目，应由环境保护部门统一组织填写，要求字迹工整，字的颜色与标志牌颜色总体协调。</w:t>
            </w:r>
          </w:p>
          <w:p w14:paraId="0CE49886">
            <w:pPr>
              <w:keepNext w:val="0"/>
              <w:keepLines w:val="0"/>
              <w:suppressLineNumbers w:val="0"/>
              <w:spacing w:before="0" w:beforeAutospacing="0" w:after="0" w:afterAutospacing="0" w:line="500" w:lineRule="exact"/>
              <w:ind w:left="0" w:right="0" w:firstLine="480" w:firstLineChars="200"/>
              <w:rPr>
                <w:rFonts w:ascii="Calibri" w:hAnsi="Calibri" w:eastAsia="宋体" w:cs="Times New Roman"/>
                <w:color w:val="auto"/>
                <w:sz w:val="24"/>
                <w:highlight w:val="none"/>
              </w:rPr>
            </w:pPr>
            <w:r>
              <w:rPr>
                <w:rFonts w:ascii="Calibri" w:hAnsi="Calibri" w:eastAsia="宋体" w:cs="Times New Roman"/>
                <w:color w:val="auto"/>
                <w:sz w:val="24"/>
                <w:highlight w:val="none"/>
              </w:rPr>
              <w:t>（4）企业应按照环境监测管理规定和技术规范的要求，设计、建设、维护永久性采样口和采样测试平台。</w:t>
            </w:r>
          </w:p>
          <w:p w14:paraId="0F7BC4B3">
            <w:pPr>
              <w:keepNext w:val="0"/>
              <w:keepLines w:val="0"/>
              <w:suppressLineNumbers w:val="0"/>
              <w:adjustRightInd w:val="0"/>
              <w:snapToGrid w:val="0"/>
              <w:spacing w:before="0" w:beforeAutospacing="0" w:after="0" w:afterAutospacing="0" w:line="500" w:lineRule="exact"/>
              <w:ind w:left="0" w:right="0" w:firstLine="480" w:firstLineChars="200"/>
              <w:rPr>
                <w:rFonts w:ascii="Calibri" w:hAnsi="Calibri" w:eastAsia="宋体" w:cs="Times New Roman"/>
                <w:bCs/>
                <w:color w:val="auto"/>
                <w:sz w:val="24"/>
                <w:highlight w:val="none"/>
              </w:rPr>
            </w:pPr>
            <w:r>
              <w:rPr>
                <w:rFonts w:ascii="Calibri" w:hAnsi="Calibri" w:eastAsia="宋体" w:cs="Times New Roman"/>
                <w:bCs/>
                <w:color w:val="auto"/>
                <w:sz w:val="24"/>
                <w:highlight w:val="none"/>
              </w:rPr>
              <w:t>废气排放口、噪声排放源及固体废物贮存标志见表</w:t>
            </w:r>
            <w:r>
              <w:rPr>
                <w:rFonts w:hint="eastAsia" w:ascii="Calibri" w:hAnsi="Calibri" w:cs="Times New Roman"/>
                <w:bCs/>
                <w:color w:val="auto"/>
                <w:sz w:val="24"/>
                <w:highlight w:val="none"/>
                <w:lang w:val="en-US" w:eastAsia="zh-CN"/>
              </w:rPr>
              <w:t>4-25</w:t>
            </w:r>
            <w:r>
              <w:rPr>
                <w:rFonts w:ascii="Calibri" w:hAnsi="Calibri" w:eastAsia="宋体" w:cs="Times New Roman"/>
                <w:bCs/>
                <w:color w:val="auto"/>
                <w:sz w:val="24"/>
                <w:highlight w:val="none"/>
              </w:rPr>
              <w:t>。</w:t>
            </w:r>
          </w:p>
          <w:p w14:paraId="19AA8954">
            <w:pPr>
              <w:keepNext w:val="0"/>
              <w:keepLines w:val="0"/>
              <w:suppressLineNumbers w:val="0"/>
              <w:adjustRightInd w:val="0"/>
              <w:snapToGrid w:val="0"/>
              <w:spacing w:before="0" w:beforeAutospacing="0" w:after="0" w:afterAutospacing="0" w:line="500" w:lineRule="exact"/>
              <w:ind w:left="0" w:right="0"/>
              <w:jc w:val="center"/>
              <w:rPr>
                <w:rFonts w:ascii="Calibri" w:hAnsi="Calibri" w:eastAsia="宋体" w:cs="Times New Roman"/>
                <w:bCs/>
                <w:color w:val="auto"/>
                <w:sz w:val="24"/>
                <w:highlight w:val="none"/>
              </w:rPr>
            </w:pPr>
            <w:r>
              <w:rPr>
                <w:rFonts w:ascii="Calibri" w:hAnsi="Calibri" w:eastAsia="宋体" w:cs="Times New Roman"/>
                <w:b/>
                <w:color w:val="auto"/>
                <w:sz w:val="24"/>
                <w:highlight w:val="none"/>
              </w:rPr>
              <w:t>表</w:t>
            </w:r>
            <w:r>
              <w:rPr>
                <w:rFonts w:hint="eastAsia" w:ascii="Calibri" w:hAnsi="Calibri" w:eastAsia="宋体" w:cs="Times New Roman"/>
                <w:b/>
                <w:color w:val="auto"/>
                <w:sz w:val="24"/>
                <w:highlight w:val="none"/>
                <w:lang w:val="en-US" w:eastAsia="zh-CN"/>
              </w:rPr>
              <w:t>4-25</w:t>
            </w:r>
            <w:r>
              <w:rPr>
                <w:rFonts w:ascii="Calibri" w:hAnsi="Calibri" w:eastAsia="宋体" w:cs="Times New Roman"/>
                <w:b/>
                <w:color w:val="auto"/>
                <w:sz w:val="24"/>
                <w:highlight w:val="none"/>
              </w:rPr>
              <w:t xml:space="preserve">  环境保护图形标志-排放口（源）</w:t>
            </w:r>
          </w:p>
          <w:tbl>
            <w:tblPr>
              <w:tblStyle w:val="25"/>
              <w:tblW w:w="67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6"/>
              <w:gridCol w:w="1511"/>
              <w:gridCol w:w="1549"/>
              <w:gridCol w:w="1083"/>
              <w:gridCol w:w="1949"/>
            </w:tblGrid>
            <w:tr w14:paraId="6FE3E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646" w:type="dxa"/>
                  <w:noWrap/>
                  <w:vAlign w:val="center"/>
                </w:tcPr>
                <w:p w14:paraId="07ED05FC">
                  <w:pPr>
                    <w:pStyle w:val="22"/>
                    <w:spacing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序号</w:t>
                  </w:r>
                </w:p>
              </w:tc>
              <w:tc>
                <w:tcPr>
                  <w:tcW w:w="1511" w:type="dxa"/>
                  <w:noWrap/>
                  <w:vAlign w:val="center"/>
                </w:tcPr>
                <w:p w14:paraId="114FB003">
                  <w:pPr>
                    <w:pStyle w:val="22"/>
                    <w:spacing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提示图形符号</w:t>
                  </w:r>
                </w:p>
              </w:tc>
              <w:tc>
                <w:tcPr>
                  <w:tcW w:w="1549" w:type="dxa"/>
                  <w:noWrap/>
                  <w:vAlign w:val="center"/>
                </w:tcPr>
                <w:p w14:paraId="0E4E834B">
                  <w:pPr>
                    <w:pStyle w:val="22"/>
                    <w:spacing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警告图形符号</w:t>
                  </w:r>
                </w:p>
              </w:tc>
              <w:tc>
                <w:tcPr>
                  <w:tcW w:w="1083" w:type="dxa"/>
                  <w:noWrap/>
                  <w:vAlign w:val="center"/>
                </w:tcPr>
                <w:p w14:paraId="500A680F">
                  <w:pPr>
                    <w:pStyle w:val="22"/>
                    <w:spacing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名称</w:t>
                  </w:r>
                </w:p>
              </w:tc>
              <w:tc>
                <w:tcPr>
                  <w:tcW w:w="1949" w:type="dxa"/>
                  <w:noWrap/>
                  <w:vAlign w:val="center"/>
                </w:tcPr>
                <w:p w14:paraId="57DE85F6">
                  <w:pPr>
                    <w:pStyle w:val="22"/>
                    <w:spacing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功能</w:t>
                  </w:r>
                </w:p>
              </w:tc>
            </w:tr>
            <w:tr w14:paraId="04F0B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646" w:type="dxa"/>
                  <w:noWrap/>
                  <w:vAlign w:val="center"/>
                </w:tcPr>
                <w:p w14:paraId="75537262">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1511" w:type="dxa"/>
                  <w:noWrap/>
                  <w:vAlign w:val="center"/>
                </w:tcPr>
                <w:p w14:paraId="29BFA43C">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fldChar w:fldCharType="begin"/>
                  </w:r>
                  <w:r>
                    <w:rPr>
                      <w:rFonts w:hint="default" w:ascii="Times New Roman" w:hAnsi="Times New Roman" w:cs="Times New Roman"/>
                      <w:color w:val="auto"/>
                      <w:szCs w:val="21"/>
                      <w:highlight w:val="none"/>
                    </w:rPr>
                    <w:instrText xml:space="preserve"> INCLUDEPICTURE "http://www.jjj999.com/anquanbiaozhi/images/13003.gif" \* MERGEFORMATINET </w:instrText>
                  </w:r>
                  <w:r>
                    <w:rPr>
                      <w:rFonts w:hint="default" w:ascii="Times New Roman" w:hAnsi="Times New Roman" w:cs="Times New Roman"/>
                      <w:color w:val="auto"/>
                      <w:szCs w:val="21"/>
                      <w:highlight w:val="none"/>
                    </w:rPr>
                    <w:fldChar w:fldCharType="separate"/>
                  </w:r>
                  <w:r>
                    <w:rPr>
                      <w:rFonts w:hint="default" w:ascii="Times New Roman" w:hAnsi="Times New Roman" w:cs="Times New Roman"/>
                      <w:color w:val="auto"/>
                      <w:szCs w:val="21"/>
                      <w:highlight w:val="none"/>
                    </w:rPr>
                    <w:drawing>
                      <wp:inline distT="0" distB="0" distL="114300" distR="114300">
                        <wp:extent cx="739140" cy="652145"/>
                        <wp:effectExtent l="0" t="0" r="3810" b="14605"/>
                        <wp:docPr id="49" name="图片 9" descr="1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9" descr="13003"/>
                                <pic:cNvPicPr>
                                  <a:picLocks noChangeAspect="1"/>
                                </pic:cNvPicPr>
                              </pic:nvPicPr>
                              <pic:blipFill>
                                <a:blip r:embed="rId28"/>
                                <a:stretch>
                                  <a:fillRect/>
                                </a:stretch>
                              </pic:blipFill>
                              <pic:spPr>
                                <a:xfrm>
                                  <a:off x="0" y="0"/>
                                  <a:ext cx="739140" cy="652145"/>
                                </a:xfrm>
                                <a:prstGeom prst="rect">
                                  <a:avLst/>
                                </a:prstGeom>
                                <a:noFill/>
                                <a:ln>
                                  <a:noFill/>
                                </a:ln>
                              </pic:spPr>
                            </pic:pic>
                          </a:graphicData>
                        </a:graphic>
                      </wp:inline>
                    </w:drawing>
                  </w:r>
                  <w:r>
                    <w:rPr>
                      <w:rFonts w:hint="default" w:ascii="Times New Roman" w:hAnsi="Times New Roman" w:cs="Times New Roman"/>
                      <w:color w:val="auto"/>
                      <w:szCs w:val="21"/>
                      <w:highlight w:val="none"/>
                    </w:rPr>
                    <w:fldChar w:fldCharType="end"/>
                  </w:r>
                </w:p>
              </w:tc>
              <w:tc>
                <w:tcPr>
                  <w:tcW w:w="1549" w:type="dxa"/>
                  <w:noWrap/>
                  <w:vAlign w:val="center"/>
                </w:tcPr>
                <w:p w14:paraId="6A064C47">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drawing>
                      <wp:inline distT="0" distB="0" distL="114300" distR="114300">
                        <wp:extent cx="814070" cy="784225"/>
                        <wp:effectExtent l="0" t="0" r="5080" b="15875"/>
                        <wp:docPr id="6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0"/>
                                <pic:cNvPicPr>
                                  <a:picLocks noChangeAspect="1"/>
                                </pic:cNvPicPr>
                              </pic:nvPicPr>
                              <pic:blipFill>
                                <a:blip r:embed="rId29"/>
                                <a:stretch>
                                  <a:fillRect/>
                                </a:stretch>
                              </pic:blipFill>
                              <pic:spPr>
                                <a:xfrm>
                                  <a:off x="0" y="0"/>
                                  <a:ext cx="814070" cy="784225"/>
                                </a:xfrm>
                                <a:prstGeom prst="rect">
                                  <a:avLst/>
                                </a:prstGeom>
                                <a:noFill/>
                                <a:ln>
                                  <a:noFill/>
                                </a:ln>
                              </pic:spPr>
                            </pic:pic>
                          </a:graphicData>
                        </a:graphic>
                      </wp:inline>
                    </w:drawing>
                  </w:r>
                </w:p>
              </w:tc>
              <w:tc>
                <w:tcPr>
                  <w:tcW w:w="1083" w:type="dxa"/>
                  <w:noWrap/>
                  <w:vAlign w:val="center"/>
                </w:tcPr>
                <w:p w14:paraId="4E5208E6">
                  <w:pPr>
                    <w:pStyle w:val="22"/>
                    <w:spacing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废气排放口</w:t>
                  </w:r>
                </w:p>
              </w:tc>
              <w:tc>
                <w:tcPr>
                  <w:tcW w:w="1949" w:type="dxa"/>
                  <w:noWrap/>
                  <w:vAlign w:val="center"/>
                </w:tcPr>
                <w:p w14:paraId="3515D4C9">
                  <w:pPr>
                    <w:pStyle w:val="22"/>
                    <w:spacing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表示废气向大气环境排放</w:t>
                  </w:r>
                </w:p>
              </w:tc>
            </w:tr>
            <w:tr w14:paraId="07C45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646" w:type="dxa"/>
                  <w:noWrap/>
                  <w:vAlign w:val="center"/>
                </w:tcPr>
                <w:p w14:paraId="2F65A2E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val="en-US" w:eastAsia="zh-CN"/>
                    </w:rPr>
                    <w:t>2</w:t>
                  </w:r>
                </w:p>
              </w:tc>
              <w:tc>
                <w:tcPr>
                  <w:tcW w:w="1511" w:type="dxa"/>
                  <w:noWrap/>
                  <w:vAlign w:val="center"/>
                </w:tcPr>
                <w:p w14:paraId="520BCE29">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fldChar w:fldCharType="begin"/>
                  </w:r>
                  <w:r>
                    <w:rPr>
                      <w:rFonts w:hint="default" w:ascii="Times New Roman" w:hAnsi="Times New Roman" w:cs="Times New Roman"/>
                      <w:color w:val="auto"/>
                      <w:szCs w:val="21"/>
                      <w:highlight w:val="none"/>
                    </w:rPr>
                    <w:instrText xml:space="preserve"> INCLUDEPICTURE "http://www.gzbdl.cn/huibian/html/F049.files/image011.jpg" \* MERGEFORMATINET </w:instrText>
                  </w:r>
                  <w:r>
                    <w:rPr>
                      <w:rFonts w:hint="default" w:ascii="Times New Roman" w:hAnsi="Times New Roman" w:cs="Times New Roman"/>
                      <w:color w:val="auto"/>
                      <w:szCs w:val="21"/>
                      <w:highlight w:val="none"/>
                    </w:rPr>
                    <w:fldChar w:fldCharType="separate"/>
                  </w:r>
                  <w:r>
                    <w:rPr>
                      <w:rFonts w:hint="default" w:ascii="Times New Roman" w:hAnsi="Times New Roman" w:cs="Times New Roman"/>
                      <w:color w:val="auto"/>
                      <w:szCs w:val="21"/>
                      <w:highlight w:val="none"/>
                    </w:rPr>
                    <w:drawing>
                      <wp:inline distT="0" distB="0" distL="114300" distR="114300">
                        <wp:extent cx="716280" cy="617220"/>
                        <wp:effectExtent l="0" t="0" r="7620" b="11430"/>
                        <wp:docPr id="29" name="图片 13" descr="image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3" descr="image011"/>
                                <pic:cNvPicPr>
                                  <a:picLocks noChangeAspect="1"/>
                                </pic:cNvPicPr>
                              </pic:nvPicPr>
                              <pic:blipFill>
                                <a:blip r:embed="rId30"/>
                                <a:stretch>
                                  <a:fillRect/>
                                </a:stretch>
                              </pic:blipFill>
                              <pic:spPr>
                                <a:xfrm>
                                  <a:off x="0" y="0"/>
                                  <a:ext cx="716280" cy="617220"/>
                                </a:xfrm>
                                <a:prstGeom prst="rect">
                                  <a:avLst/>
                                </a:prstGeom>
                                <a:noFill/>
                                <a:ln>
                                  <a:noFill/>
                                </a:ln>
                              </pic:spPr>
                            </pic:pic>
                          </a:graphicData>
                        </a:graphic>
                      </wp:inline>
                    </w:drawing>
                  </w:r>
                  <w:r>
                    <w:rPr>
                      <w:rFonts w:hint="default" w:ascii="Times New Roman" w:hAnsi="Times New Roman" w:cs="Times New Roman"/>
                      <w:color w:val="auto"/>
                      <w:szCs w:val="21"/>
                      <w:highlight w:val="none"/>
                    </w:rPr>
                    <w:fldChar w:fldCharType="end"/>
                  </w:r>
                </w:p>
              </w:tc>
              <w:tc>
                <w:tcPr>
                  <w:tcW w:w="1549" w:type="dxa"/>
                  <w:noWrap/>
                  <w:vAlign w:val="center"/>
                </w:tcPr>
                <w:p w14:paraId="601397FB">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drawing>
                      <wp:inline distT="0" distB="0" distL="114300" distR="114300">
                        <wp:extent cx="846455" cy="753110"/>
                        <wp:effectExtent l="0" t="0" r="10795" b="8890"/>
                        <wp:docPr id="3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4"/>
                                <pic:cNvPicPr>
                                  <a:picLocks noChangeAspect="1"/>
                                </pic:cNvPicPr>
                              </pic:nvPicPr>
                              <pic:blipFill>
                                <a:blip r:embed="rId31"/>
                                <a:stretch>
                                  <a:fillRect/>
                                </a:stretch>
                              </pic:blipFill>
                              <pic:spPr>
                                <a:xfrm>
                                  <a:off x="0" y="0"/>
                                  <a:ext cx="846455" cy="753110"/>
                                </a:xfrm>
                                <a:prstGeom prst="rect">
                                  <a:avLst/>
                                </a:prstGeom>
                                <a:noFill/>
                                <a:ln>
                                  <a:noFill/>
                                </a:ln>
                              </pic:spPr>
                            </pic:pic>
                          </a:graphicData>
                        </a:graphic>
                      </wp:inline>
                    </w:drawing>
                  </w:r>
                </w:p>
              </w:tc>
              <w:tc>
                <w:tcPr>
                  <w:tcW w:w="1083" w:type="dxa"/>
                  <w:noWrap/>
                  <w:vAlign w:val="center"/>
                </w:tcPr>
                <w:p w14:paraId="25F0AAC1">
                  <w:pPr>
                    <w:pStyle w:val="22"/>
                    <w:spacing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噪声排放源</w:t>
                  </w:r>
                </w:p>
              </w:tc>
              <w:tc>
                <w:tcPr>
                  <w:tcW w:w="1949" w:type="dxa"/>
                  <w:noWrap/>
                  <w:vAlign w:val="center"/>
                </w:tcPr>
                <w:p w14:paraId="062A0AF9">
                  <w:pPr>
                    <w:pStyle w:val="22"/>
                    <w:spacing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表示噪声向外环境排放</w:t>
                  </w:r>
                </w:p>
              </w:tc>
            </w:tr>
            <w:tr w14:paraId="00BF83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2" w:hRule="atLeast"/>
                <w:jc w:val="center"/>
              </w:trPr>
              <w:tc>
                <w:tcPr>
                  <w:tcW w:w="646" w:type="dxa"/>
                  <w:noWrap/>
                  <w:vAlign w:val="center"/>
                </w:tcPr>
                <w:p w14:paraId="66AC4CCF">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val="en-US" w:eastAsia="zh-CN"/>
                    </w:rPr>
                    <w:t>3</w:t>
                  </w:r>
                </w:p>
              </w:tc>
              <w:tc>
                <w:tcPr>
                  <w:tcW w:w="1511" w:type="dxa"/>
                  <w:noWrap/>
                  <w:vAlign w:val="center"/>
                </w:tcPr>
                <w:p w14:paraId="42886377">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drawing>
                      <wp:inline distT="0" distB="0" distL="114300" distR="114300">
                        <wp:extent cx="818515" cy="818515"/>
                        <wp:effectExtent l="0" t="0" r="635" b="635"/>
                        <wp:docPr id="4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7"/>
                                <pic:cNvPicPr>
                                  <a:picLocks noChangeAspect="1"/>
                                </pic:cNvPicPr>
                              </pic:nvPicPr>
                              <pic:blipFill>
                                <a:blip r:embed="rId32"/>
                                <a:stretch>
                                  <a:fillRect/>
                                </a:stretch>
                              </pic:blipFill>
                              <pic:spPr>
                                <a:xfrm>
                                  <a:off x="0" y="0"/>
                                  <a:ext cx="818515" cy="818515"/>
                                </a:xfrm>
                                <a:prstGeom prst="rect">
                                  <a:avLst/>
                                </a:prstGeom>
                                <a:noFill/>
                                <a:ln>
                                  <a:noFill/>
                                </a:ln>
                              </pic:spPr>
                            </pic:pic>
                          </a:graphicData>
                        </a:graphic>
                      </wp:inline>
                    </w:drawing>
                  </w:r>
                </w:p>
              </w:tc>
              <w:tc>
                <w:tcPr>
                  <w:tcW w:w="1549" w:type="dxa"/>
                  <w:noWrap/>
                  <w:vAlign w:val="center"/>
                </w:tcPr>
                <w:p w14:paraId="7D352A03">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drawing>
                      <wp:inline distT="0" distB="0" distL="114300" distR="114300">
                        <wp:extent cx="881380" cy="554990"/>
                        <wp:effectExtent l="0" t="0" r="13970" b="16510"/>
                        <wp:docPr id="4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8"/>
                                <pic:cNvPicPr>
                                  <a:picLocks noChangeAspect="1"/>
                                </pic:cNvPicPr>
                              </pic:nvPicPr>
                              <pic:blipFill>
                                <a:blip r:embed="rId33"/>
                                <a:stretch>
                                  <a:fillRect/>
                                </a:stretch>
                              </pic:blipFill>
                              <pic:spPr>
                                <a:xfrm>
                                  <a:off x="0" y="0"/>
                                  <a:ext cx="881380" cy="554990"/>
                                </a:xfrm>
                                <a:prstGeom prst="rect">
                                  <a:avLst/>
                                </a:prstGeom>
                                <a:noFill/>
                                <a:ln>
                                  <a:noFill/>
                                </a:ln>
                              </pic:spPr>
                            </pic:pic>
                          </a:graphicData>
                        </a:graphic>
                      </wp:inline>
                    </w:drawing>
                  </w:r>
                </w:p>
              </w:tc>
              <w:tc>
                <w:tcPr>
                  <w:tcW w:w="1083" w:type="dxa"/>
                  <w:noWrap/>
                  <w:vAlign w:val="center"/>
                </w:tcPr>
                <w:p w14:paraId="671BF023">
                  <w:pPr>
                    <w:pStyle w:val="22"/>
                    <w:spacing w:beforeAutospacing="0" w:after="0" w:afterAutospacing="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危险废物</w:t>
                  </w:r>
                </w:p>
              </w:tc>
              <w:tc>
                <w:tcPr>
                  <w:tcW w:w="1949" w:type="dxa"/>
                  <w:noWrap/>
                  <w:vAlign w:val="center"/>
                </w:tcPr>
                <w:p w14:paraId="4D6931A9">
                  <w:pPr>
                    <w:pStyle w:val="22"/>
                    <w:spacing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表示危险废物贮存、处置场</w:t>
                  </w:r>
                </w:p>
              </w:tc>
            </w:tr>
          </w:tbl>
          <w:p w14:paraId="6ADB3409">
            <w:pPr>
              <w:keepNext w:val="0"/>
              <w:keepLines w:val="0"/>
              <w:suppressLineNumbers w:val="0"/>
              <w:spacing w:before="0" w:beforeAutospacing="0" w:after="0" w:afterAutospacing="0" w:line="500" w:lineRule="exact"/>
              <w:ind w:left="0" w:right="0"/>
              <w:rPr>
                <w:rFonts w:ascii="Calibri" w:hAnsi="Calibri" w:eastAsia="宋体" w:cs="Times New Roman"/>
                <w:color w:val="auto"/>
                <w:sz w:val="24"/>
                <w:highlight w:val="none"/>
              </w:rPr>
            </w:pPr>
          </w:p>
          <w:p w14:paraId="5DC41C48">
            <w:pPr>
              <w:keepNext w:val="0"/>
              <w:keepLines w:val="0"/>
              <w:suppressLineNumbers w:val="0"/>
              <w:spacing w:before="0" w:beforeAutospacing="0" w:after="0" w:afterAutospacing="0" w:line="500" w:lineRule="exact"/>
              <w:ind w:left="0" w:right="0" w:firstLine="480" w:firstLineChars="200"/>
              <w:rPr>
                <w:rFonts w:ascii="Calibri" w:hAnsi="Calibri" w:eastAsia="宋体" w:cs="Times New Roman"/>
                <w:color w:val="auto"/>
                <w:sz w:val="24"/>
                <w:highlight w:val="none"/>
              </w:rPr>
            </w:pPr>
            <w:r>
              <w:rPr>
                <w:rFonts w:ascii="Calibri" w:hAnsi="Calibri" w:eastAsia="宋体" w:cs="Times New Roman"/>
                <w:color w:val="auto"/>
                <w:sz w:val="24"/>
                <w:highlight w:val="none"/>
              </w:rPr>
              <w:t>环境保护图形标志—排放口（源）的形状及颜色说明见表</w:t>
            </w:r>
            <w:r>
              <w:rPr>
                <w:rFonts w:hint="eastAsia" w:ascii="Calibri" w:hAnsi="Calibri" w:cs="Times New Roman"/>
                <w:bCs/>
                <w:color w:val="auto"/>
                <w:sz w:val="24"/>
                <w:highlight w:val="none"/>
                <w:lang w:val="en-US" w:eastAsia="zh-CN"/>
              </w:rPr>
              <w:t>4-26</w:t>
            </w:r>
            <w:r>
              <w:rPr>
                <w:rFonts w:ascii="Calibri" w:hAnsi="Calibri" w:eastAsia="宋体" w:cs="Times New Roman"/>
                <w:color w:val="auto"/>
                <w:sz w:val="24"/>
                <w:highlight w:val="none"/>
              </w:rPr>
              <w:t>。</w:t>
            </w:r>
          </w:p>
          <w:p w14:paraId="065654C2">
            <w:pPr>
              <w:keepNext w:val="0"/>
              <w:keepLines w:val="0"/>
              <w:suppressLineNumbers w:val="0"/>
              <w:adjustRightInd w:val="0"/>
              <w:snapToGrid w:val="0"/>
              <w:spacing w:before="0" w:beforeAutospacing="0" w:after="0" w:afterAutospacing="0" w:line="500" w:lineRule="exact"/>
              <w:ind w:left="0" w:right="0"/>
              <w:jc w:val="center"/>
              <w:rPr>
                <w:rFonts w:ascii="Calibri" w:hAnsi="Calibri" w:eastAsia="宋体" w:cs="Times New Roman"/>
                <w:b/>
                <w:color w:val="auto"/>
                <w:sz w:val="24"/>
                <w:highlight w:val="none"/>
              </w:rPr>
            </w:pPr>
            <w:r>
              <w:rPr>
                <w:rFonts w:ascii="Calibri" w:hAnsi="Calibri" w:eastAsia="宋体" w:cs="Times New Roman"/>
                <w:b/>
                <w:color w:val="auto"/>
                <w:sz w:val="24"/>
                <w:highlight w:val="none"/>
              </w:rPr>
              <w:t>表</w:t>
            </w:r>
            <w:r>
              <w:rPr>
                <w:rFonts w:hint="eastAsia" w:ascii="Calibri" w:hAnsi="Calibri" w:eastAsia="宋体" w:cs="Times New Roman"/>
                <w:b/>
                <w:color w:val="auto"/>
                <w:sz w:val="24"/>
                <w:highlight w:val="none"/>
                <w:lang w:val="en-US" w:eastAsia="zh-CN"/>
              </w:rPr>
              <w:t>4-2</w:t>
            </w:r>
            <w:r>
              <w:rPr>
                <w:rFonts w:hint="eastAsia" w:ascii="Calibri" w:hAnsi="Calibri" w:cs="Times New Roman"/>
                <w:b/>
                <w:color w:val="auto"/>
                <w:sz w:val="24"/>
                <w:highlight w:val="none"/>
                <w:lang w:val="en-US" w:eastAsia="zh-CN"/>
              </w:rPr>
              <w:t>6</w:t>
            </w:r>
            <w:r>
              <w:rPr>
                <w:rFonts w:ascii="Calibri" w:hAnsi="Calibri" w:eastAsia="宋体" w:cs="Times New Roman"/>
                <w:b/>
                <w:color w:val="auto"/>
                <w:sz w:val="24"/>
                <w:highlight w:val="none"/>
              </w:rPr>
              <w:t xml:space="preserve">  环境保护图形标志的形状及颜色表</w:t>
            </w:r>
          </w:p>
          <w:tbl>
            <w:tblPr>
              <w:tblStyle w:val="2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97"/>
              <w:gridCol w:w="1998"/>
              <w:gridCol w:w="1998"/>
              <w:gridCol w:w="2367"/>
            </w:tblGrid>
            <w:tr w14:paraId="79BCE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94" w:type="pct"/>
                  <w:noWrap w:val="0"/>
                  <w:vAlign w:val="center"/>
                </w:tcPr>
                <w:p w14:paraId="0A08E51C">
                  <w:pPr>
                    <w:keepNext w:val="0"/>
                    <w:keepLines w:val="0"/>
                    <w:suppressLineNumbers w:val="0"/>
                    <w:adjustRightInd w:val="0"/>
                    <w:snapToGrid w:val="0"/>
                    <w:spacing w:before="0" w:beforeAutospacing="0" w:after="0" w:afterAutospacing="0" w:line="400" w:lineRule="exact"/>
                    <w:ind w:left="0" w:right="0"/>
                    <w:jc w:val="center"/>
                    <w:rPr>
                      <w:rFonts w:ascii="Calibri" w:hAnsi="Calibri" w:eastAsia="宋体" w:cs="Times New Roman"/>
                      <w:color w:val="auto"/>
                      <w:sz w:val="21"/>
                      <w:szCs w:val="18"/>
                      <w:highlight w:val="none"/>
                    </w:rPr>
                  </w:pPr>
                  <w:r>
                    <w:rPr>
                      <w:rFonts w:ascii="Calibri" w:hAnsi="Calibri" w:eastAsia="宋体" w:cs="Times New Roman"/>
                      <w:color w:val="auto"/>
                      <w:sz w:val="21"/>
                      <w:szCs w:val="18"/>
                      <w:highlight w:val="none"/>
                    </w:rPr>
                    <w:t>项目</w:t>
                  </w:r>
                </w:p>
              </w:tc>
              <w:tc>
                <w:tcPr>
                  <w:tcW w:w="1194" w:type="pct"/>
                  <w:noWrap w:val="0"/>
                  <w:vAlign w:val="center"/>
                </w:tcPr>
                <w:p w14:paraId="401562F3">
                  <w:pPr>
                    <w:keepNext w:val="0"/>
                    <w:keepLines w:val="0"/>
                    <w:suppressLineNumbers w:val="0"/>
                    <w:adjustRightInd w:val="0"/>
                    <w:snapToGrid w:val="0"/>
                    <w:spacing w:before="0" w:beforeAutospacing="0" w:after="0" w:afterAutospacing="0" w:line="400" w:lineRule="exact"/>
                    <w:ind w:left="0" w:right="0"/>
                    <w:jc w:val="center"/>
                    <w:rPr>
                      <w:rFonts w:ascii="Calibri" w:hAnsi="Calibri" w:eastAsia="宋体" w:cs="Times New Roman"/>
                      <w:color w:val="auto"/>
                      <w:sz w:val="21"/>
                      <w:highlight w:val="none"/>
                    </w:rPr>
                  </w:pPr>
                  <w:r>
                    <w:rPr>
                      <w:rFonts w:ascii="Calibri" w:hAnsi="Calibri" w:eastAsia="宋体" w:cs="Times New Roman"/>
                      <w:color w:val="auto"/>
                      <w:sz w:val="21"/>
                      <w:highlight w:val="none"/>
                    </w:rPr>
                    <w:t>形 状</w:t>
                  </w:r>
                </w:p>
              </w:tc>
              <w:tc>
                <w:tcPr>
                  <w:tcW w:w="1194" w:type="pct"/>
                  <w:noWrap w:val="0"/>
                  <w:vAlign w:val="center"/>
                </w:tcPr>
                <w:p w14:paraId="70FEB98E">
                  <w:pPr>
                    <w:keepNext w:val="0"/>
                    <w:keepLines w:val="0"/>
                    <w:suppressLineNumbers w:val="0"/>
                    <w:adjustRightInd w:val="0"/>
                    <w:snapToGrid w:val="0"/>
                    <w:spacing w:before="0" w:beforeAutospacing="0" w:after="0" w:afterAutospacing="0" w:line="400" w:lineRule="exact"/>
                    <w:ind w:left="0" w:right="0"/>
                    <w:jc w:val="center"/>
                    <w:rPr>
                      <w:rFonts w:ascii="Calibri" w:hAnsi="Calibri" w:eastAsia="宋体" w:cs="Times New Roman"/>
                      <w:color w:val="auto"/>
                      <w:sz w:val="21"/>
                      <w:highlight w:val="none"/>
                    </w:rPr>
                  </w:pPr>
                  <w:r>
                    <w:rPr>
                      <w:rFonts w:ascii="Calibri" w:hAnsi="Calibri" w:eastAsia="宋体" w:cs="Times New Roman"/>
                      <w:color w:val="auto"/>
                      <w:sz w:val="21"/>
                      <w:highlight w:val="none"/>
                    </w:rPr>
                    <w:t>背景颜色</w:t>
                  </w:r>
                </w:p>
              </w:tc>
              <w:tc>
                <w:tcPr>
                  <w:tcW w:w="1415" w:type="pct"/>
                  <w:noWrap w:val="0"/>
                  <w:vAlign w:val="center"/>
                </w:tcPr>
                <w:p w14:paraId="268FC9AE">
                  <w:pPr>
                    <w:keepNext w:val="0"/>
                    <w:keepLines w:val="0"/>
                    <w:suppressLineNumbers w:val="0"/>
                    <w:adjustRightInd w:val="0"/>
                    <w:snapToGrid w:val="0"/>
                    <w:spacing w:before="0" w:beforeAutospacing="0" w:after="0" w:afterAutospacing="0" w:line="400" w:lineRule="exact"/>
                    <w:ind w:left="0" w:right="0"/>
                    <w:jc w:val="center"/>
                    <w:rPr>
                      <w:rFonts w:ascii="Calibri" w:hAnsi="Calibri" w:eastAsia="宋体" w:cs="Times New Roman"/>
                      <w:color w:val="auto"/>
                      <w:sz w:val="21"/>
                      <w:highlight w:val="none"/>
                    </w:rPr>
                  </w:pPr>
                  <w:r>
                    <w:rPr>
                      <w:rFonts w:ascii="Calibri" w:hAnsi="Calibri" w:eastAsia="宋体" w:cs="Times New Roman"/>
                      <w:color w:val="auto"/>
                      <w:sz w:val="21"/>
                      <w:highlight w:val="none"/>
                    </w:rPr>
                    <w:t>图形颜色</w:t>
                  </w:r>
                </w:p>
              </w:tc>
            </w:tr>
            <w:tr w14:paraId="31C40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94" w:type="pct"/>
                  <w:noWrap w:val="0"/>
                  <w:vAlign w:val="center"/>
                </w:tcPr>
                <w:p w14:paraId="3BD86B72">
                  <w:pPr>
                    <w:keepNext w:val="0"/>
                    <w:keepLines w:val="0"/>
                    <w:suppressLineNumbers w:val="0"/>
                    <w:adjustRightInd w:val="0"/>
                    <w:snapToGrid w:val="0"/>
                    <w:spacing w:before="0" w:beforeAutospacing="0" w:after="0" w:afterAutospacing="0" w:line="400" w:lineRule="exact"/>
                    <w:ind w:left="0" w:right="0"/>
                    <w:jc w:val="center"/>
                    <w:rPr>
                      <w:rFonts w:ascii="Calibri" w:hAnsi="Calibri" w:eastAsia="宋体" w:cs="Times New Roman"/>
                      <w:color w:val="auto"/>
                      <w:sz w:val="21"/>
                      <w:highlight w:val="none"/>
                    </w:rPr>
                  </w:pPr>
                  <w:r>
                    <w:rPr>
                      <w:rFonts w:ascii="Calibri" w:hAnsi="Calibri" w:eastAsia="宋体" w:cs="Times New Roman"/>
                      <w:color w:val="auto"/>
                      <w:sz w:val="21"/>
                      <w:highlight w:val="none"/>
                    </w:rPr>
                    <w:t>警告标志</w:t>
                  </w:r>
                </w:p>
              </w:tc>
              <w:tc>
                <w:tcPr>
                  <w:tcW w:w="1194" w:type="pct"/>
                  <w:noWrap w:val="0"/>
                  <w:vAlign w:val="center"/>
                </w:tcPr>
                <w:p w14:paraId="72A5BE12">
                  <w:pPr>
                    <w:keepNext w:val="0"/>
                    <w:keepLines w:val="0"/>
                    <w:suppressLineNumbers w:val="0"/>
                    <w:adjustRightInd w:val="0"/>
                    <w:snapToGrid w:val="0"/>
                    <w:spacing w:before="0" w:beforeAutospacing="0" w:after="0" w:afterAutospacing="0" w:line="400" w:lineRule="exact"/>
                    <w:ind w:left="0" w:right="0"/>
                    <w:jc w:val="center"/>
                    <w:rPr>
                      <w:rFonts w:ascii="Calibri" w:hAnsi="Calibri" w:eastAsia="宋体" w:cs="Times New Roman"/>
                      <w:color w:val="auto"/>
                      <w:sz w:val="21"/>
                      <w:highlight w:val="none"/>
                    </w:rPr>
                  </w:pPr>
                  <w:r>
                    <w:rPr>
                      <w:rFonts w:ascii="Calibri" w:hAnsi="Calibri" w:eastAsia="宋体" w:cs="Times New Roman"/>
                      <w:color w:val="auto"/>
                      <w:sz w:val="21"/>
                      <w:highlight w:val="none"/>
                    </w:rPr>
                    <w:t>三角形边框</w:t>
                  </w:r>
                </w:p>
              </w:tc>
              <w:tc>
                <w:tcPr>
                  <w:tcW w:w="1194" w:type="pct"/>
                  <w:noWrap w:val="0"/>
                  <w:vAlign w:val="center"/>
                </w:tcPr>
                <w:p w14:paraId="5F63A9AC">
                  <w:pPr>
                    <w:keepNext w:val="0"/>
                    <w:keepLines w:val="0"/>
                    <w:suppressLineNumbers w:val="0"/>
                    <w:adjustRightInd w:val="0"/>
                    <w:snapToGrid w:val="0"/>
                    <w:spacing w:before="0" w:beforeAutospacing="0" w:after="0" w:afterAutospacing="0" w:line="400" w:lineRule="exact"/>
                    <w:ind w:left="0" w:right="0"/>
                    <w:jc w:val="center"/>
                    <w:rPr>
                      <w:rFonts w:ascii="Calibri" w:hAnsi="Calibri" w:eastAsia="宋体" w:cs="Times New Roman"/>
                      <w:color w:val="auto"/>
                      <w:sz w:val="21"/>
                      <w:highlight w:val="none"/>
                    </w:rPr>
                  </w:pPr>
                  <w:r>
                    <w:rPr>
                      <w:rFonts w:ascii="Calibri" w:hAnsi="Calibri" w:eastAsia="宋体" w:cs="Times New Roman"/>
                      <w:color w:val="auto"/>
                      <w:sz w:val="21"/>
                      <w:highlight w:val="none"/>
                    </w:rPr>
                    <w:t>黄色</w:t>
                  </w:r>
                </w:p>
              </w:tc>
              <w:tc>
                <w:tcPr>
                  <w:tcW w:w="1415" w:type="pct"/>
                  <w:noWrap w:val="0"/>
                  <w:vAlign w:val="center"/>
                </w:tcPr>
                <w:p w14:paraId="223326F9">
                  <w:pPr>
                    <w:keepNext w:val="0"/>
                    <w:keepLines w:val="0"/>
                    <w:suppressLineNumbers w:val="0"/>
                    <w:adjustRightInd w:val="0"/>
                    <w:snapToGrid w:val="0"/>
                    <w:spacing w:before="0" w:beforeAutospacing="0" w:after="0" w:afterAutospacing="0" w:line="400" w:lineRule="exact"/>
                    <w:ind w:left="0" w:right="0"/>
                    <w:jc w:val="center"/>
                    <w:rPr>
                      <w:rFonts w:ascii="Calibri" w:hAnsi="Calibri" w:eastAsia="宋体" w:cs="Times New Roman"/>
                      <w:color w:val="auto"/>
                      <w:sz w:val="21"/>
                      <w:highlight w:val="none"/>
                    </w:rPr>
                  </w:pPr>
                  <w:r>
                    <w:rPr>
                      <w:rFonts w:ascii="Calibri" w:hAnsi="Calibri" w:eastAsia="宋体" w:cs="Times New Roman"/>
                      <w:color w:val="auto"/>
                      <w:sz w:val="21"/>
                      <w:highlight w:val="none"/>
                    </w:rPr>
                    <w:t>黑色</w:t>
                  </w:r>
                </w:p>
              </w:tc>
            </w:tr>
            <w:tr w14:paraId="7A30B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94" w:type="pct"/>
                  <w:noWrap w:val="0"/>
                  <w:vAlign w:val="center"/>
                </w:tcPr>
                <w:p w14:paraId="4B591F2F">
                  <w:pPr>
                    <w:keepNext w:val="0"/>
                    <w:keepLines w:val="0"/>
                    <w:suppressLineNumbers w:val="0"/>
                    <w:adjustRightInd w:val="0"/>
                    <w:snapToGrid w:val="0"/>
                    <w:spacing w:before="0" w:beforeAutospacing="0" w:after="0" w:afterAutospacing="0" w:line="400" w:lineRule="exact"/>
                    <w:ind w:left="0" w:right="0"/>
                    <w:jc w:val="center"/>
                    <w:rPr>
                      <w:rFonts w:ascii="Calibri" w:hAnsi="Calibri" w:eastAsia="宋体" w:cs="Times New Roman"/>
                      <w:color w:val="auto"/>
                      <w:sz w:val="21"/>
                      <w:highlight w:val="none"/>
                    </w:rPr>
                  </w:pPr>
                  <w:r>
                    <w:rPr>
                      <w:rFonts w:ascii="Calibri" w:hAnsi="Calibri" w:eastAsia="宋体" w:cs="Times New Roman"/>
                      <w:color w:val="auto"/>
                      <w:sz w:val="21"/>
                      <w:highlight w:val="none"/>
                    </w:rPr>
                    <w:t>提示标志</w:t>
                  </w:r>
                </w:p>
              </w:tc>
              <w:tc>
                <w:tcPr>
                  <w:tcW w:w="1194" w:type="pct"/>
                  <w:noWrap w:val="0"/>
                  <w:vAlign w:val="center"/>
                </w:tcPr>
                <w:p w14:paraId="4A22EABA">
                  <w:pPr>
                    <w:keepNext w:val="0"/>
                    <w:keepLines w:val="0"/>
                    <w:suppressLineNumbers w:val="0"/>
                    <w:adjustRightInd w:val="0"/>
                    <w:snapToGrid w:val="0"/>
                    <w:spacing w:before="0" w:beforeAutospacing="0" w:after="0" w:afterAutospacing="0" w:line="400" w:lineRule="exact"/>
                    <w:ind w:left="0" w:right="0"/>
                    <w:jc w:val="center"/>
                    <w:rPr>
                      <w:rFonts w:ascii="Calibri" w:hAnsi="Calibri" w:eastAsia="宋体" w:cs="Times New Roman"/>
                      <w:color w:val="auto"/>
                      <w:sz w:val="21"/>
                      <w:highlight w:val="none"/>
                    </w:rPr>
                  </w:pPr>
                  <w:r>
                    <w:rPr>
                      <w:rFonts w:ascii="Calibri" w:hAnsi="Calibri" w:eastAsia="宋体" w:cs="Times New Roman"/>
                      <w:color w:val="auto"/>
                      <w:sz w:val="21"/>
                      <w:highlight w:val="none"/>
                    </w:rPr>
                    <w:t>正方形边框</w:t>
                  </w:r>
                </w:p>
              </w:tc>
              <w:tc>
                <w:tcPr>
                  <w:tcW w:w="1194" w:type="pct"/>
                  <w:noWrap w:val="0"/>
                  <w:vAlign w:val="center"/>
                </w:tcPr>
                <w:p w14:paraId="1354C722">
                  <w:pPr>
                    <w:keepNext w:val="0"/>
                    <w:keepLines w:val="0"/>
                    <w:suppressLineNumbers w:val="0"/>
                    <w:adjustRightInd w:val="0"/>
                    <w:snapToGrid w:val="0"/>
                    <w:spacing w:before="0" w:beforeAutospacing="0" w:after="0" w:afterAutospacing="0" w:line="400" w:lineRule="exact"/>
                    <w:ind w:left="0" w:right="0"/>
                    <w:jc w:val="center"/>
                    <w:rPr>
                      <w:rFonts w:ascii="Calibri" w:hAnsi="Calibri" w:eastAsia="宋体" w:cs="Times New Roman"/>
                      <w:color w:val="auto"/>
                      <w:sz w:val="21"/>
                      <w:highlight w:val="none"/>
                    </w:rPr>
                  </w:pPr>
                  <w:r>
                    <w:rPr>
                      <w:rFonts w:ascii="Calibri" w:hAnsi="Calibri" w:eastAsia="宋体" w:cs="Times New Roman"/>
                      <w:color w:val="auto"/>
                      <w:sz w:val="21"/>
                      <w:highlight w:val="none"/>
                    </w:rPr>
                    <w:t>绿色</w:t>
                  </w:r>
                </w:p>
              </w:tc>
              <w:tc>
                <w:tcPr>
                  <w:tcW w:w="1415" w:type="pct"/>
                  <w:noWrap w:val="0"/>
                  <w:vAlign w:val="center"/>
                </w:tcPr>
                <w:p w14:paraId="22EAD22E">
                  <w:pPr>
                    <w:keepNext w:val="0"/>
                    <w:keepLines w:val="0"/>
                    <w:suppressLineNumbers w:val="0"/>
                    <w:adjustRightInd w:val="0"/>
                    <w:snapToGrid w:val="0"/>
                    <w:spacing w:before="0" w:beforeAutospacing="0" w:after="0" w:afterAutospacing="0" w:line="400" w:lineRule="exact"/>
                    <w:ind w:left="0" w:right="0"/>
                    <w:jc w:val="center"/>
                    <w:rPr>
                      <w:rFonts w:ascii="Calibri" w:hAnsi="Calibri" w:eastAsia="宋体" w:cs="Times New Roman"/>
                      <w:color w:val="auto"/>
                      <w:sz w:val="21"/>
                      <w:highlight w:val="none"/>
                    </w:rPr>
                  </w:pPr>
                  <w:r>
                    <w:rPr>
                      <w:rFonts w:ascii="Calibri" w:hAnsi="Calibri" w:eastAsia="宋体" w:cs="Times New Roman"/>
                      <w:color w:val="auto"/>
                      <w:sz w:val="21"/>
                      <w:highlight w:val="none"/>
                    </w:rPr>
                    <w:t>白色</w:t>
                  </w:r>
                </w:p>
              </w:tc>
            </w:tr>
          </w:tbl>
          <w:p w14:paraId="1CAC3536">
            <w:pPr>
              <w:keepNext w:val="0"/>
              <w:keepLines w:val="0"/>
              <w:suppressLineNumbers w:val="0"/>
              <w:spacing w:before="0" w:beforeAutospacing="0" w:after="0" w:afterAutospacing="0" w:line="360" w:lineRule="auto"/>
              <w:ind w:left="0" w:right="0" w:firstLine="480" w:firstLineChars="200"/>
              <w:rPr>
                <w:rFonts w:ascii="Calibri" w:hAnsi="Calibri" w:eastAsia="宋体" w:cs="Times New Roman"/>
                <w:color w:val="auto"/>
                <w:sz w:val="24"/>
                <w:highlight w:val="none"/>
              </w:rPr>
            </w:pPr>
            <w:r>
              <w:rPr>
                <w:rFonts w:ascii="Calibri" w:hAnsi="Calibri" w:eastAsia="宋体" w:cs="Times New Roman"/>
                <w:color w:val="auto"/>
                <w:sz w:val="24"/>
                <w:highlight w:val="none"/>
              </w:rPr>
              <w:t>本项目对污染源的控制措施，如：建设单位的环境监测制度等，建设单位需制定环境管理计划，以全面管理项目营运期的有关环境问题，满足区域环境保护的要求。</w:t>
            </w:r>
          </w:p>
          <w:p w14:paraId="6BC2C9E3">
            <w:pPr>
              <w:keepNext w:val="0"/>
              <w:keepLines w:val="0"/>
              <w:suppressLineNumbers w:val="0"/>
              <w:spacing w:before="0" w:beforeAutospacing="0" w:after="0" w:afterAutospacing="0" w:line="360" w:lineRule="auto"/>
              <w:ind w:left="0" w:right="0" w:firstLine="480" w:firstLineChars="200"/>
              <w:rPr>
                <w:rFonts w:hint="eastAsia" w:ascii="Calibri" w:hAnsi="Calibri" w:eastAsia="宋体" w:cs="Times New Roman"/>
                <w:color w:val="auto"/>
                <w:sz w:val="24"/>
                <w:highlight w:val="none"/>
              </w:rPr>
            </w:pPr>
            <w:r>
              <w:rPr>
                <w:rFonts w:ascii="Calibri" w:hAnsi="Calibri" w:eastAsia="宋体" w:cs="Times New Roman"/>
                <w:color w:val="auto"/>
                <w:sz w:val="24"/>
                <w:highlight w:val="none"/>
              </w:rPr>
              <w:t>建议本项目的环境监督管理计划见表</w:t>
            </w:r>
            <w:r>
              <w:rPr>
                <w:rFonts w:hint="eastAsia" w:ascii="Calibri" w:hAnsi="Calibri" w:cs="Times New Roman"/>
                <w:bCs/>
                <w:color w:val="auto"/>
                <w:sz w:val="24"/>
                <w:highlight w:val="none"/>
                <w:lang w:val="en-US" w:eastAsia="zh-CN"/>
              </w:rPr>
              <w:t>4-27</w:t>
            </w:r>
            <w:r>
              <w:rPr>
                <w:rFonts w:ascii="Calibri" w:hAnsi="Calibri" w:eastAsia="宋体" w:cs="Times New Roman"/>
                <w:color w:val="auto"/>
                <w:sz w:val="24"/>
                <w:highlight w:val="none"/>
              </w:rPr>
              <w:t>。</w:t>
            </w:r>
          </w:p>
          <w:p w14:paraId="5408C828">
            <w:pPr>
              <w:keepNext w:val="0"/>
              <w:keepLines w:val="0"/>
              <w:suppressLineNumbers w:val="0"/>
              <w:snapToGrid w:val="0"/>
              <w:spacing w:before="0" w:beforeAutospacing="0" w:after="0" w:afterAutospacing="0" w:line="240" w:lineRule="auto"/>
              <w:ind w:left="0" w:right="0" w:firstLine="0"/>
              <w:jc w:val="center"/>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表</w:t>
            </w:r>
            <w:r>
              <w:rPr>
                <w:rFonts w:hint="eastAsia" w:ascii="Calibri" w:hAnsi="Calibri" w:cs="Times New Roman"/>
                <w:bCs/>
                <w:color w:val="auto"/>
                <w:sz w:val="24"/>
                <w:highlight w:val="none"/>
                <w:lang w:val="en-US" w:eastAsia="zh-CN"/>
              </w:rPr>
              <w:t>4-27</w:t>
            </w:r>
            <w:r>
              <w:rPr>
                <w:rFonts w:hint="default" w:ascii="Times New Roman" w:hAnsi="Times New Roman" w:eastAsia="宋体" w:cs="Times New Roman"/>
                <w:b w:val="0"/>
                <w:bCs w:val="0"/>
                <w:color w:val="auto"/>
                <w:sz w:val="24"/>
                <w:szCs w:val="24"/>
                <w:highlight w:val="none"/>
              </w:rPr>
              <w:t xml:space="preserve">  </w:t>
            </w:r>
            <w:r>
              <w:rPr>
                <w:rFonts w:hint="eastAsia" w:ascii="Times New Roman" w:hAnsi="Times New Roman" w:eastAsia="宋体" w:cs="Times New Roman"/>
                <w:b w:val="0"/>
                <w:bCs w:val="0"/>
                <w:color w:val="auto"/>
                <w:sz w:val="24"/>
                <w:szCs w:val="24"/>
                <w:highlight w:val="none"/>
              </w:rPr>
              <w:t xml:space="preserve"> </w:t>
            </w:r>
            <w:r>
              <w:rPr>
                <w:rFonts w:hint="default" w:ascii="Times New Roman" w:hAnsi="Times New Roman" w:eastAsia="宋体" w:cs="Times New Roman"/>
                <w:b w:val="0"/>
                <w:bCs w:val="0"/>
                <w:color w:val="auto"/>
                <w:sz w:val="24"/>
                <w:szCs w:val="24"/>
                <w:highlight w:val="none"/>
              </w:rPr>
              <w:t>项目环境监督管理计划</w:t>
            </w:r>
          </w:p>
          <w:tbl>
            <w:tblPr>
              <w:tblStyle w:val="25"/>
              <w:tblW w:w="4998" w:type="pct"/>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108" w:type="dxa"/>
                <w:bottom w:w="0" w:type="dxa"/>
                <w:right w:w="108" w:type="dxa"/>
              </w:tblCellMar>
            </w:tblPr>
            <w:tblGrid>
              <w:gridCol w:w="547"/>
              <w:gridCol w:w="1273"/>
              <w:gridCol w:w="5116"/>
              <w:gridCol w:w="667"/>
              <w:gridCol w:w="756"/>
            </w:tblGrid>
            <w:tr w14:paraId="1A196485">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700" w:hRule="atLeast"/>
                <w:tblHeader/>
                <w:jc w:val="center"/>
              </w:trPr>
              <w:tc>
                <w:tcPr>
                  <w:tcW w:w="327" w:type="pct"/>
                  <w:tcBorders>
                    <w:tl2br w:val="nil"/>
                    <w:tr2bl w:val="nil"/>
                  </w:tcBorders>
                  <w:noWrap w:val="0"/>
                  <w:vAlign w:val="center"/>
                </w:tcPr>
                <w:p w14:paraId="0AB6A4F6">
                  <w:pPr>
                    <w:pStyle w:val="67"/>
                    <w:suppressLineNumbers w:val="0"/>
                    <w:spacing w:beforeAutospacing="0" w:after="0" w:afterAutospacing="0" w:line="240" w:lineRule="auto"/>
                    <w:ind w:left="0" w:right="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阶段</w:t>
                  </w:r>
                </w:p>
              </w:tc>
              <w:tc>
                <w:tcPr>
                  <w:tcW w:w="3820" w:type="pct"/>
                  <w:gridSpan w:val="2"/>
                  <w:tcBorders>
                    <w:tl2br w:val="nil"/>
                    <w:tr2bl w:val="nil"/>
                  </w:tcBorders>
                  <w:noWrap w:val="0"/>
                  <w:vAlign w:val="center"/>
                </w:tcPr>
                <w:p w14:paraId="42F024A5">
                  <w:pPr>
                    <w:pStyle w:val="67"/>
                    <w:suppressLineNumbers w:val="0"/>
                    <w:spacing w:beforeAutospacing="0" w:after="0" w:afterAutospacing="0" w:line="240" w:lineRule="auto"/>
                    <w:ind w:left="0" w:right="0" w:firstLine="42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环保措施</w:t>
                  </w:r>
                </w:p>
              </w:tc>
              <w:tc>
                <w:tcPr>
                  <w:tcW w:w="399" w:type="pct"/>
                  <w:tcBorders>
                    <w:tl2br w:val="nil"/>
                    <w:tr2bl w:val="nil"/>
                  </w:tcBorders>
                  <w:noWrap w:val="0"/>
                  <w:vAlign w:val="center"/>
                </w:tcPr>
                <w:p w14:paraId="2F65D8FD">
                  <w:pPr>
                    <w:pStyle w:val="67"/>
                    <w:suppressLineNumbers w:val="0"/>
                    <w:spacing w:beforeAutospacing="0" w:after="0" w:afterAutospacing="0" w:line="240" w:lineRule="auto"/>
                    <w:ind w:left="0" w:right="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实施</w:t>
                  </w:r>
                </w:p>
                <w:p w14:paraId="2B8C1D6C">
                  <w:pPr>
                    <w:pStyle w:val="67"/>
                    <w:suppressLineNumbers w:val="0"/>
                    <w:spacing w:beforeAutospacing="0" w:after="0" w:afterAutospacing="0" w:line="240" w:lineRule="auto"/>
                    <w:ind w:left="0" w:right="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机构</w:t>
                  </w:r>
                </w:p>
              </w:tc>
              <w:tc>
                <w:tcPr>
                  <w:tcW w:w="452" w:type="pct"/>
                  <w:tcBorders>
                    <w:tl2br w:val="nil"/>
                    <w:tr2bl w:val="nil"/>
                  </w:tcBorders>
                  <w:noWrap w:val="0"/>
                  <w:vAlign w:val="center"/>
                </w:tcPr>
                <w:p w14:paraId="1B2B3450">
                  <w:pPr>
                    <w:pStyle w:val="67"/>
                    <w:suppressLineNumbers w:val="0"/>
                    <w:spacing w:beforeAutospacing="0" w:after="0" w:afterAutospacing="0" w:line="240" w:lineRule="auto"/>
                    <w:ind w:left="0" w:right="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监督</w:t>
                  </w:r>
                </w:p>
                <w:p w14:paraId="6671D357">
                  <w:pPr>
                    <w:pStyle w:val="67"/>
                    <w:suppressLineNumbers w:val="0"/>
                    <w:spacing w:beforeAutospacing="0" w:after="0" w:afterAutospacing="0" w:line="240" w:lineRule="auto"/>
                    <w:ind w:left="0" w:right="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机构</w:t>
                  </w:r>
                </w:p>
              </w:tc>
            </w:tr>
            <w:tr w14:paraId="2ADA900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440" w:hRule="atLeast"/>
                <w:tblHeader/>
                <w:jc w:val="center"/>
              </w:trPr>
              <w:tc>
                <w:tcPr>
                  <w:tcW w:w="327" w:type="pct"/>
                  <w:vMerge w:val="restart"/>
                  <w:tcBorders>
                    <w:tl2br w:val="nil"/>
                    <w:tr2bl w:val="nil"/>
                  </w:tcBorders>
                  <w:noWrap w:val="0"/>
                  <w:vAlign w:val="center"/>
                </w:tcPr>
                <w:p w14:paraId="29195E6F">
                  <w:pPr>
                    <w:pStyle w:val="67"/>
                    <w:suppressLineNumbers w:val="0"/>
                    <w:spacing w:beforeAutospacing="0" w:after="0" w:afterAutospacing="0" w:line="240" w:lineRule="auto"/>
                    <w:ind w:left="0" w:right="0"/>
                    <w:jc w:val="both"/>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营运期</w:t>
                  </w:r>
                </w:p>
              </w:tc>
              <w:tc>
                <w:tcPr>
                  <w:tcW w:w="761" w:type="pct"/>
                  <w:tcBorders>
                    <w:tl2br w:val="nil"/>
                    <w:tr2bl w:val="nil"/>
                  </w:tcBorders>
                  <w:noWrap w:val="0"/>
                  <w:vAlign w:val="center"/>
                </w:tcPr>
                <w:p w14:paraId="7E8AAD9D">
                  <w:pPr>
                    <w:pStyle w:val="67"/>
                    <w:suppressLineNumbers w:val="0"/>
                    <w:spacing w:before="0" w:beforeAutospacing="0" w:after="0" w:afterAutospacing="0" w:line="240" w:lineRule="auto"/>
                    <w:ind w:left="0" w:right="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大气环境</w:t>
                  </w:r>
                </w:p>
              </w:tc>
              <w:tc>
                <w:tcPr>
                  <w:tcW w:w="3058" w:type="pct"/>
                  <w:tcBorders>
                    <w:tl2br w:val="nil"/>
                    <w:tr2bl w:val="nil"/>
                  </w:tcBorders>
                  <w:noWrap w:val="0"/>
                  <w:vAlign w:val="center"/>
                </w:tcPr>
                <w:p w14:paraId="3ABC1D66">
                  <w:pPr>
                    <w:pStyle w:val="67"/>
                    <w:suppressLineNumbers w:val="0"/>
                    <w:spacing w:before="0" w:beforeAutospacing="0" w:after="0" w:afterAutospacing="0" w:line="240" w:lineRule="auto"/>
                    <w:ind w:left="0" w:right="0"/>
                    <w:jc w:val="both"/>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确保本项目</w:t>
                  </w:r>
                  <w:r>
                    <w:rPr>
                      <w:rFonts w:hint="default" w:ascii="Times New Roman" w:hAnsi="Times New Roman" w:eastAsia="宋体" w:cs="Times New Roman"/>
                      <w:snapToGrid w:val="0"/>
                      <w:color w:val="auto"/>
                      <w:sz w:val="21"/>
                      <w:szCs w:val="21"/>
                      <w:highlight w:val="none"/>
                      <w:lang w:eastAsia="zh-CN"/>
                    </w:rPr>
                    <w:t>污染治理设施</w:t>
                  </w:r>
                  <w:r>
                    <w:rPr>
                      <w:rFonts w:hint="default" w:ascii="Times New Roman" w:hAnsi="Times New Roman" w:eastAsia="宋体" w:cs="Times New Roman"/>
                      <w:snapToGrid w:val="0"/>
                      <w:color w:val="auto"/>
                      <w:sz w:val="21"/>
                      <w:szCs w:val="21"/>
                      <w:highlight w:val="none"/>
                    </w:rPr>
                    <w:t>正常运行。</w:t>
                  </w:r>
                </w:p>
              </w:tc>
              <w:tc>
                <w:tcPr>
                  <w:tcW w:w="399" w:type="pct"/>
                  <w:vMerge w:val="restart"/>
                  <w:tcBorders>
                    <w:tl2br w:val="nil"/>
                    <w:tr2bl w:val="nil"/>
                  </w:tcBorders>
                  <w:noWrap w:val="0"/>
                  <w:vAlign w:val="center"/>
                </w:tcPr>
                <w:p w14:paraId="12C4CF1D">
                  <w:pPr>
                    <w:pStyle w:val="67"/>
                    <w:suppressLineNumbers w:val="0"/>
                    <w:spacing w:beforeAutospacing="0" w:after="0" w:afterAutospacing="0" w:line="240" w:lineRule="auto"/>
                    <w:ind w:left="0" w:right="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建设单位</w:t>
                  </w:r>
                </w:p>
              </w:tc>
              <w:tc>
                <w:tcPr>
                  <w:tcW w:w="452" w:type="pct"/>
                  <w:vMerge w:val="restart"/>
                  <w:tcBorders>
                    <w:tl2br w:val="nil"/>
                    <w:tr2bl w:val="nil"/>
                  </w:tcBorders>
                  <w:noWrap w:val="0"/>
                  <w:vAlign w:val="center"/>
                </w:tcPr>
                <w:p w14:paraId="416A9B6F">
                  <w:pPr>
                    <w:pStyle w:val="67"/>
                    <w:suppressLineNumbers w:val="0"/>
                    <w:spacing w:beforeAutospacing="0" w:after="0" w:afterAutospacing="0" w:line="240" w:lineRule="auto"/>
                    <w:ind w:left="0" w:right="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环保主管部门</w:t>
                  </w:r>
                </w:p>
              </w:tc>
            </w:tr>
            <w:tr w14:paraId="4A58138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440" w:hRule="atLeast"/>
                <w:tblHeader/>
                <w:jc w:val="center"/>
              </w:trPr>
              <w:tc>
                <w:tcPr>
                  <w:tcW w:w="327" w:type="pct"/>
                  <w:vMerge w:val="continue"/>
                  <w:tcBorders>
                    <w:tl2br w:val="nil"/>
                    <w:tr2bl w:val="nil"/>
                  </w:tcBorders>
                  <w:noWrap w:val="0"/>
                  <w:vAlign w:val="center"/>
                </w:tcPr>
                <w:p w14:paraId="72DA7209">
                  <w:pPr>
                    <w:pStyle w:val="67"/>
                    <w:suppressLineNumbers w:val="0"/>
                    <w:spacing w:beforeAutospacing="0" w:after="0" w:afterAutospacing="0" w:line="240" w:lineRule="auto"/>
                    <w:ind w:left="0" w:right="0" w:firstLine="420"/>
                    <w:rPr>
                      <w:rFonts w:hint="default" w:ascii="Times New Roman" w:hAnsi="Times New Roman" w:eastAsia="宋体" w:cs="Times New Roman"/>
                      <w:snapToGrid w:val="0"/>
                      <w:color w:val="auto"/>
                      <w:sz w:val="21"/>
                      <w:szCs w:val="21"/>
                      <w:highlight w:val="none"/>
                    </w:rPr>
                  </w:pPr>
                </w:p>
              </w:tc>
              <w:tc>
                <w:tcPr>
                  <w:tcW w:w="761" w:type="pct"/>
                  <w:tcBorders>
                    <w:tl2br w:val="nil"/>
                    <w:tr2bl w:val="nil"/>
                  </w:tcBorders>
                  <w:noWrap w:val="0"/>
                  <w:vAlign w:val="center"/>
                </w:tcPr>
                <w:p w14:paraId="6B7813CF">
                  <w:pPr>
                    <w:pStyle w:val="67"/>
                    <w:suppressLineNumbers w:val="0"/>
                    <w:spacing w:before="0" w:beforeAutospacing="0" w:after="0" w:afterAutospacing="0" w:line="240" w:lineRule="auto"/>
                    <w:ind w:left="0" w:right="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声环境</w:t>
                  </w:r>
                </w:p>
              </w:tc>
              <w:tc>
                <w:tcPr>
                  <w:tcW w:w="3058" w:type="pct"/>
                  <w:tcBorders>
                    <w:tl2br w:val="nil"/>
                    <w:tr2bl w:val="nil"/>
                  </w:tcBorders>
                  <w:noWrap w:val="0"/>
                  <w:vAlign w:val="center"/>
                </w:tcPr>
                <w:p w14:paraId="618B1410">
                  <w:pPr>
                    <w:pStyle w:val="67"/>
                    <w:suppressLineNumbers w:val="0"/>
                    <w:spacing w:before="0" w:beforeAutospacing="0" w:after="0" w:afterAutospacing="0" w:line="240" w:lineRule="auto"/>
                    <w:ind w:left="0" w:right="0"/>
                    <w:jc w:val="both"/>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pacing w:val="-8"/>
                      <w:sz w:val="21"/>
                      <w:szCs w:val="21"/>
                      <w:highlight w:val="none"/>
                    </w:rPr>
                    <w:t>切实落实生产设备隔声等噪声污染防治措施。</w:t>
                  </w:r>
                </w:p>
              </w:tc>
              <w:tc>
                <w:tcPr>
                  <w:tcW w:w="399" w:type="pct"/>
                  <w:vMerge w:val="continue"/>
                  <w:tcBorders>
                    <w:tl2br w:val="nil"/>
                    <w:tr2bl w:val="nil"/>
                  </w:tcBorders>
                  <w:noWrap w:val="0"/>
                  <w:vAlign w:val="center"/>
                </w:tcPr>
                <w:p w14:paraId="563F5375">
                  <w:pPr>
                    <w:pStyle w:val="67"/>
                    <w:suppressLineNumbers w:val="0"/>
                    <w:spacing w:beforeAutospacing="0" w:after="0" w:afterAutospacing="0" w:line="240" w:lineRule="auto"/>
                    <w:ind w:left="0" w:right="0"/>
                    <w:rPr>
                      <w:rFonts w:hint="default" w:ascii="Times New Roman" w:hAnsi="Times New Roman" w:eastAsia="宋体" w:cs="Times New Roman"/>
                      <w:snapToGrid w:val="0"/>
                      <w:color w:val="auto"/>
                      <w:sz w:val="21"/>
                      <w:szCs w:val="21"/>
                      <w:highlight w:val="none"/>
                    </w:rPr>
                  </w:pPr>
                </w:p>
              </w:tc>
              <w:tc>
                <w:tcPr>
                  <w:tcW w:w="452" w:type="pct"/>
                  <w:vMerge w:val="continue"/>
                  <w:tcBorders>
                    <w:tl2br w:val="nil"/>
                    <w:tr2bl w:val="nil"/>
                  </w:tcBorders>
                  <w:noWrap w:val="0"/>
                  <w:vAlign w:val="center"/>
                </w:tcPr>
                <w:p w14:paraId="1F225B37">
                  <w:pPr>
                    <w:pStyle w:val="67"/>
                    <w:suppressLineNumbers w:val="0"/>
                    <w:spacing w:beforeAutospacing="0" w:after="0" w:afterAutospacing="0" w:line="240" w:lineRule="auto"/>
                    <w:ind w:left="0" w:right="0"/>
                    <w:rPr>
                      <w:rFonts w:hint="default" w:ascii="Times New Roman" w:hAnsi="Times New Roman" w:eastAsia="宋体" w:cs="Times New Roman"/>
                      <w:snapToGrid w:val="0"/>
                      <w:color w:val="auto"/>
                      <w:sz w:val="21"/>
                      <w:szCs w:val="21"/>
                      <w:highlight w:val="none"/>
                    </w:rPr>
                  </w:pPr>
                </w:p>
              </w:tc>
            </w:tr>
            <w:tr w14:paraId="7184851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440" w:hRule="atLeast"/>
                <w:tblHeader/>
                <w:jc w:val="center"/>
              </w:trPr>
              <w:tc>
                <w:tcPr>
                  <w:tcW w:w="327" w:type="pct"/>
                  <w:vMerge w:val="continue"/>
                  <w:tcBorders>
                    <w:tl2br w:val="nil"/>
                    <w:tr2bl w:val="nil"/>
                  </w:tcBorders>
                  <w:noWrap w:val="0"/>
                  <w:vAlign w:val="center"/>
                </w:tcPr>
                <w:p w14:paraId="42BD9860">
                  <w:pPr>
                    <w:pStyle w:val="67"/>
                    <w:suppressLineNumbers w:val="0"/>
                    <w:spacing w:beforeAutospacing="0" w:after="0" w:afterAutospacing="0" w:line="240" w:lineRule="auto"/>
                    <w:ind w:left="0" w:right="0" w:firstLine="420"/>
                    <w:rPr>
                      <w:rFonts w:hint="default" w:ascii="Times New Roman" w:hAnsi="Times New Roman" w:eastAsia="宋体" w:cs="Times New Roman"/>
                      <w:snapToGrid w:val="0"/>
                      <w:color w:val="auto"/>
                      <w:sz w:val="21"/>
                      <w:szCs w:val="21"/>
                      <w:highlight w:val="none"/>
                    </w:rPr>
                  </w:pPr>
                </w:p>
              </w:tc>
              <w:tc>
                <w:tcPr>
                  <w:tcW w:w="761" w:type="pct"/>
                  <w:tcBorders>
                    <w:tl2br w:val="nil"/>
                    <w:tr2bl w:val="nil"/>
                  </w:tcBorders>
                  <w:noWrap w:val="0"/>
                  <w:vAlign w:val="center"/>
                </w:tcPr>
                <w:p w14:paraId="12F14B00">
                  <w:pPr>
                    <w:pStyle w:val="67"/>
                    <w:suppressLineNumbers w:val="0"/>
                    <w:spacing w:before="0" w:beforeAutospacing="0" w:after="0" w:afterAutospacing="0" w:line="240" w:lineRule="auto"/>
                    <w:ind w:left="0" w:right="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固体废物</w:t>
                  </w:r>
                </w:p>
              </w:tc>
              <w:tc>
                <w:tcPr>
                  <w:tcW w:w="3058" w:type="pct"/>
                  <w:tcBorders>
                    <w:tl2br w:val="nil"/>
                    <w:tr2bl w:val="nil"/>
                  </w:tcBorders>
                  <w:noWrap w:val="0"/>
                  <w:vAlign w:val="center"/>
                </w:tcPr>
                <w:p w14:paraId="24AD4574">
                  <w:pPr>
                    <w:pStyle w:val="67"/>
                    <w:suppressLineNumbers w:val="0"/>
                    <w:spacing w:before="0" w:beforeAutospacing="0" w:after="0" w:afterAutospacing="0" w:line="240" w:lineRule="auto"/>
                    <w:ind w:left="0" w:right="0"/>
                    <w:jc w:val="both"/>
                    <w:rPr>
                      <w:rFonts w:hint="eastAsia"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sz w:val="21"/>
                      <w:szCs w:val="21"/>
                      <w:highlight w:val="none"/>
                    </w:rPr>
                    <w:t>妥善收集各一般性固体废物，并实现全部综合利用；危险废物存于</w:t>
                  </w:r>
                  <w:r>
                    <w:rPr>
                      <w:rFonts w:hint="eastAsia" w:ascii="Times New Roman" w:hAnsi="Times New Roman" w:eastAsia="宋体" w:cs="Times New Roman"/>
                      <w:snapToGrid w:val="0"/>
                      <w:color w:val="auto"/>
                      <w:sz w:val="21"/>
                      <w:szCs w:val="21"/>
                      <w:highlight w:val="none"/>
                      <w:lang w:eastAsia="zh-CN"/>
                    </w:rPr>
                    <w:t>危险废物贮存点</w:t>
                  </w:r>
                  <w:r>
                    <w:rPr>
                      <w:rFonts w:hint="default" w:ascii="Times New Roman" w:hAnsi="Times New Roman" w:eastAsia="宋体" w:cs="Times New Roman"/>
                      <w:snapToGrid w:val="0"/>
                      <w:color w:val="auto"/>
                      <w:sz w:val="21"/>
                      <w:szCs w:val="21"/>
                      <w:highlight w:val="none"/>
                    </w:rPr>
                    <w:t>，并</w:t>
                  </w:r>
                  <w:r>
                    <w:rPr>
                      <w:rFonts w:hint="eastAsia" w:ascii="Times New Roman" w:hAnsi="Times New Roman" w:cs="Times New Roman"/>
                      <w:snapToGrid w:val="0"/>
                      <w:color w:val="auto"/>
                      <w:sz w:val="21"/>
                      <w:szCs w:val="21"/>
                      <w:highlight w:val="none"/>
                      <w:lang w:eastAsia="zh-CN"/>
                    </w:rPr>
                    <w:t>交予</w:t>
                  </w:r>
                  <w:r>
                    <w:rPr>
                      <w:rFonts w:hint="default" w:ascii="Times New Roman" w:hAnsi="Times New Roman" w:eastAsia="宋体" w:cs="Times New Roman"/>
                      <w:snapToGrid w:val="0"/>
                      <w:color w:val="auto"/>
                      <w:sz w:val="21"/>
                      <w:szCs w:val="21"/>
                      <w:highlight w:val="none"/>
                    </w:rPr>
                    <w:t>有资质单位进行处置。</w:t>
                  </w:r>
                  <w:r>
                    <w:rPr>
                      <w:rFonts w:hint="eastAsia" w:ascii="Times New Roman" w:hAnsi="Times New Roman" w:eastAsia="宋体" w:cs="Times New Roman"/>
                      <w:snapToGrid w:val="0"/>
                      <w:color w:val="auto"/>
                      <w:sz w:val="21"/>
                      <w:szCs w:val="21"/>
                      <w:highlight w:val="none"/>
                      <w:lang w:eastAsia="zh-CN"/>
                    </w:rPr>
                    <w:t>生活垃圾由环卫部门定期清运。</w:t>
                  </w:r>
                </w:p>
              </w:tc>
              <w:tc>
                <w:tcPr>
                  <w:tcW w:w="399" w:type="pct"/>
                  <w:vMerge w:val="continue"/>
                  <w:tcBorders>
                    <w:tl2br w:val="nil"/>
                    <w:tr2bl w:val="nil"/>
                  </w:tcBorders>
                  <w:noWrap w:val="0"/>
                  <w:vAlign w:val="center"/>
                </w:tcPr>
                <w:p w14:paraId="72C8322B">
                  <w:pPr>
                    <w:pStyle w:val="67"/>
                    <w:suppressLineNumbers w:val="0"/>
                    <w:spacing w:beforeAutospacing="0" w:after="0" w:afterAutospacing="0" w:line="240" w:lineRule="auto"/>
                    <w:ind w:left="0" w:right="0"/>
                    <w:rPr>
                      <w:rFonts w:hint="default" w:ascii="Times New Roman" w:hAnsi="Times New Roman" w:eastAsia="宋体" w:cs="Times New Roman"/>
                      <w:snapToGrid w:val="0"/>
                      <w:color w:val="auto"/>
                      <w:sz w:val="21"/>
                      <w:szCs w:val="21"/>
                      <w:highlight w:val="none"/>
                    </w:rPr>
                  </w:pPr>
                </w:p>
              </w:tc>
              <w:tc>
                <w:tcPr>
                  <w:tcW w:w="452" w:type="pct"/>
                  <w:vMerge w:val="continue"/>
                  <w:tcBorders>
                    <w:tl2br w:val="nil"/>
                    <w:tr2bl w:val="nil"/>
                  </w:tcBorders>
                  <w:noWrap w:val="0"/>
                  <w:vAlign w:val="center"/>
                </w:tcPr>
                <w:p w14:paraId="7EE61592">
                  <w:pPr>
                    <w:pStyle w:val="67"/>
                    <w:suppressLineNumbers w:val="0"/>
                    <w:spacing w:beforeAutospacing="0" w:after="0" w:afterAutospacing="0" w:line="240" w:lineRule="auto"/>
                    <w:ind w:left="0" w:right="0"/>
                    <w:rPr>
                      <w:rFonts w:hint="default" w:ascii="Times New Roman" w:hAnsi="Times New Roman" w:eastAsia="宋体" w:cs="Times New Roman"/>
                      <w:snapToGrid w:val="0"/>
                      <w:color w:val="auto"/>
                      <w:sz w:val="21"/>
                      <w:szCs w:val="21"/>
                      <w:highlight w:val="none"/>
                    </w:rPr>
                  </w:pPr>
                </w:p>
              </w:tc>
            </w:tr>
            <w:tr w14:paraId="7CF38A67">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5092" w:hRule="atLeast"/>
                <w:tblHeader/>
                <w:jc w:val="center"/>
              </w:trPr>
              <w:tc>
                <w:tcPr>
                  <w:tcW w:w="327" w:type="pct"/>
                  <w:vMerge w:val="continue"/>
                  <w:tcBorders>
                    <w:tl2br w:val="nil"/>
                    <w:tr2bl w:val="nil"/>
                  </w:tcBorders>
                  <w:noWrap w:val="0"/>
                  <w:vAlign w:val="center"/>
                </w:tcPr>
                <w:p w14:paraId="617CF4BE">
                  <w:pPr>
                    <w:pStyle w:val="67"/>
                    <w:suppressLineNumbers w:val="0"/>
                    <w:spacing w:beforeAutospacing="0" w:after="0" w:afterAutospacing="0" w:line="240" w:lineRule="auto"/>
                    <w:ind w:left="0" w:right="0" w:firstLine="420"/>
                    <w:rPr>
                      <w:rFonts w:hint="default" w:ascii="Times New Roman" w:hAnsi="Times New Roman" w:eastAsia="宋体" w:cs="Times New Roman"/>
                      <w:snapToGrid w:val="0"/>
                      <w:color w:val="auto"/>
                      <w:sz w:val="21"/>
                      <w:szCs w:val="21"/>
                      <w:highlight w:val="none"/>
                    </w:rPr>
                  </w:pPr>
                </w:p>
              </w:tc>
              <w:tc>
                <w:tcPr>
                  <w:tcW w:w="761" w:type="pct"/>
                  <w:tcBorders>
                    <w:tl2br w:val="nil"/>
                    <w:tr2bl w:val="nil"/>
                  </w:tcBorders>
                  <w:noWrap w:val="0"/>
                  <w:vAlign w:val="center"/>
                </w:tcPr>
                <w:p w14:paraId="31F8C53E">
                  <w:pPr>
                    <w:pStyle w:val="67"/>
                    <w:suppressLineNumbers w:val="0"/>
                    <w:spacing w:before="0" w:beforeAutospacing="0" w:after="0" w:afterAutospacing="0" w:line="240" w:lineRule="auto"/>
                    <w:ind w:left="0" w:right="0"/>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snapToGrid w:val="0"/>
                      <w:color w:val="auto"/>
                      <w:sz w:val="21"/>
                      <w:szCs w:val="21"/>
                      <w:highlight w:val="none"/>
                      <w:lang w:eastAsia="zh-CN"/>
                    </w:rPr>
                    <w:t>其他</w:t>
                  </w:r>
                </w:p>
              </w:tc>
              <w:tc>
                <w:tcPr>
                  <w:tcW w:w="3058" w:type="pct"/>
                  <w:tcBorders>
                    <w:tl2br w:val="nil"/>
                    <w:tr2bl w:val="nil"/>
                  </w:tcBorders>
                  <w:noWrap w:val="0"/>
                  <w:vAlign w:val="center"/>
                </w:tcPr>
                <w:p w14:paraId="4D2F1AF3">
                  <w:pPr>
                    <w:pStyle w:val="67"/>
                    <w:suppressLineNumbers w:val="0"/>
                    <w:spacing w:before="0" w:beforeAutospacing="0" w:after="0" w:afterAutospacing="0" w:line="240" w:lineRule="auto"/>
                    <w:ind w:left="0" w:right="0"/>
                    <w:jc w:val="both"/>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（1）明确生产及污染防治设施运行的工艺条件，建立严格的岗位操作制度，对环保设施运行状况进行经常性的监督和检查。</w:t>
                  </w:r>
                </w:p>
                <w:p w14:paraId="4B57151D">
                  <w:pPr>
                    <w:pStyle w:val="67"/>
                    <w:suppressLineNumbers w:val="0"/>
                    <w:spacing w:before="0" w:beforeAutospacing="0" w:after="0" w:afterAutospacing="0" w:line="240" w:lineRule="auto"/>
                    <w:ind w:left="0" w:right="0"/>
                    <w:jc w:val="both"/>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（2）根据国家和地方环境标准，结合本工程的污染源和周围敏感点的环境质量，开展日常例行的监测工作，了解污染物是否达标排放和对环境产生的影响。</w:t>
                  </w:r>
                </w:p>
                <w:p w14:paraId="27138B40">
                  <w:pPr>
                    <w:pStyle w:val="67"/>
                    <w:suppressLineNumbers w:val="0"/>
                    <w:spacing w:before="0" w:beforeAutospacing="0" w:after="0" w:afterAutospacing="0" w:line="240" w:lineRule="auto"/>
                    <w:ind w:left="0" w:right="0"/>
                    <w:jc w:val="both"/>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（3）形成污染源、环境监测结果向环保管理部门的定期上报制度。</w:t>
                  </w:r>
                </w:p>
                <w:p w14:paraId="61891A87">
                  <w:pPr>
                    <w:pStyle w:val="67"/>
                    <w:suppressLineNumbers w:val="0"/>
                    <w:spacing w:before="0" w:beforeAutospacing="0" w:after="0" w:afterAutospacing="0" w:line="240" w:lineRule="auto"/>
                    <w:ind w:left="0" w:right="0"/>
                    <w:jc w:val="both"/>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（4）建立监测数据档案，并及时对监测数据进行整理汇总分析，总结污染物排放规律，以指导环境保护设施的运行。</w:t>
                  </w:r>
                </w:p>
                <w:p w14:paraId="25823816">
                  <w:pPr>
                    <w:pStyle w:val="67"/>
                    <w:suppressLineNumbers w:val="0"/>
                    <w:spacing w:before="0" w:beforeAutospacing="0" w:after="0" w:afterAutospacing="0" w:line="240" w:lineRule="auto"/>
                    <w:ind w:left="0" w:right="0"/>
                    <w:jc w:val="both"/>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（5）应建立环境保护工作中的各类档案资料，包括环评报告、环保工程验收报告、环境监测报告、环保设施运行记录以及有关的污染物排放标准、环保法规等。</w:t>
                  </w:r>
                </w:p>
                <w:p w14:paraId="2675E9C8">
                  <w:pPr>
                    <w:pStyle w:val="67"/>
                    <w:suppressLineNumbers w:val="0"/>
                    <w:spacing w:before="0" w:beforeAutospacing="0" w:after="0" w:afterAutospacing="0" w:line="240" w:lineRule="auto"/>
                    <w:ind w:left="0" w:right="0"/>
                    <w:jc w:val="both"/>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（6）制定岗位责任制度和赏罚制度。</w:t>
                  </w:r>
                </w:p>
                <w:p w14:paraId="2CDAA87B">
                  <w:pPr>
                    <w:pStyle w:val="67"/>
                    <w:suppressLineNumbers w:val="0"/>
                    <w:spacing w:before="0" w:beforeAutospacing="0" w:after="0" w:afterAutospacing="0" w:line="240" w:lineRule="auto"/>
                    <w:ind w:left="0" w:right="0"/>
                    <w:jc w:val="both"/>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（7）将环境保护列入岗位责任制，纳入生产管理工作中。</w:t>
                  </w:r>
                </w:p>
              </w:tc>
              <w:tc>
                <w:tcPr>
                  <w:tcW w:w="399" w:type="pct"/>
                  <w:vMerge w:val="continue"/>
                  <w:tcBorders>
                    <w:tl2br w:val="nil"/>
                    <w:tr2bl w:val="nil"/>
                  </w:tcBorders>
                  <w:noWrap w:val="0"/>
                  <w:vAlign w:val="center"/>
                </w:tcPr>
                <w:p w14:paraId="2D41273C">
                  <w:pPr>
                    <w:pStyle w:val="67"/>
                    <w:suppressLineNumbers w:val="0"/>
                    <w:spacing w:beforeAutospacing="0" w:after="0" w:afterAutospacing="0" w:line="240" w:lineRule="auto"/>
                    <w:ind w:left="0" w:right="0"/>
                    <w:rPr>
                      <w:rFonts w:hint="default" w:ascii="Times New Roman" w:hAnsi="Times New Roman" w:eastAsia="宋体" w:cs="Times New Roman"/>
                      <w:snapToGrid w:val="0"/>
                      <w:color w:val="auto"/>
                      <w:sz w:val="21"/>
                      <w:szCs w:val="21"/>
                      <w:highlight w:val="none"/>
                    </w:rPr>
                  </w:pPr>
                </w:p>
              </w:tc>
              <w:tc>
                <w:tcPr>
                  <w:tcW w:w="452" w:type="pct"/>
                  <w:vMerge w:val="continue"/>
                  <w:tcBorders>
                    <w:tl2br w:val="nil"/>
                    <w:tr2bl w:val="nil"/>
                  </w:tcBorders>
                  <w:noWrap w:val="0"/>
                  <w:vAlign w:val="center"/>
                </w:tcPr>
                <w:p w14:paraId="3CFD119B">
                  <w:pPr>
                    <w:pStyle w:val="67"/>
                    <w:suppressLineNumbers w:val="0"/>
                    <w:spacing w:beforeAutospacing="0" w:after="0" w:afterAutospacing="0" w:line="240" w:lineRule="auto"/>
                    <w:ind w:left="0" w:right="0"/>
                    <w:rPr>
                      <w:rFonts w:hint="default" w:ascii="Times New Roman" w:hAnsi="Times New Roman" w:eastAsia="宋体" w:cs="Times New Roman"/>
                      <w:snapToGrid w:val="0"/>
                      <w:color w:val="auto"/>
                      <w:sz w:val="21"/>
                      <w:szCs w:val="21"/>
                      <w:highlight w:val="none"/>
                    </w:rPr>
                  </w:pPr>
                </w:p>
              </w:tc>
            </w:tr>
          </w:tbl>
          <w:p w14:paraId="0CC14A5F">
            <w:pPr>
              <w:keepNext w:val="0"/>
              <w:keepLines w:val="0"/>
              <w:suppressLineNumbers w:val="0"/>
              <w:spacing w:before="0" w:beforeAutospacing="0" w:after="0" w:afterAutospacing="0" w:line="500" w:lineRule="exact"/>
              <w:ind w:left="0" w:right="0"/>
              <w:rPr>
                <w:rFonts w:hint="eastAsia" w:ascii="宋体" w:hAnsi="宋体" w:eastAsia="宋体" w:cs="宋体"/>
                <w:color w:val="auto"/>
                <w:sz w:val="24"/>
                <w:highlight w:val="none"/>
                <w:shd w:val="clear" w:color="auto" w:fill="auto"/>
              </w:rPr>
            </w:pPr>
          </w:p>
        </w:tc>
      </w:tr>
    </w:tbl>
    <w:p w14:paraId="4E16DF7B">
      <w:pPr>
        <w:spacing w:line="360" w:lineRule="auto"/>
        <w:rPr>
          <w:rFonts w:hint="eastAsia" w:ascii="宋体" w:hAnsi="Times New Roman" w:cs="宋体"/>
          <w:b/>
          <w:color w:val="auto"/>
          <w:sz w:val="28"/>
          <w:szCs w:val="28"/>
          <w:highlight w:val="none"/>
          <w:shd w:val="clear" w:color="auto" w:fill="auto"/>
          <w:lang w:bidi="ar"/>
        </w:rPr>
        <w:sectPr>
          <w:pgSz w:w="11915" w:h="16840"/>
          <w:pgMar w:top="1702" w:right="1531" w:bottom="2127" w:left="1531" w:header="851" w:footer="851" w:gutter="0"/>
          <w:pgNumType w:fmt="decimal"/>
          <w:cols w:space="720" w:num="1"/>
          <w:docGrid w:type="lines" w:linePitch="312" w:charSpace="0"/>
        </w:sectPr>
      </w:pPr>
    </w:p>
    <w:p w14:paraId="3DE59617">
      <w:pPr>
        <w:pStyle w:val="22"/>
        <w:jc w:val="center"/>
        <w:outlineLvl w:val="0"/>
        <w:rPr>
          <w:rFonts w:ascii="黑体" w:eastAsia="黑体" w:cs="黑体"/>
          <w:color w:val="auto"/>
          <w:sz w:val="30"/>
          <w:szCs w:val="30"/>
          <w:highlight w:val="none"/>
          <w:shd w:val="clear" w:color="auto" w:fill="auto"/>
        </w:rPr>
      </w:pPr>
      <w:r>
        <w:rPr>
          <w:rFonts w:ascii="黑体" w:eastAsia="黑体" w:cs="黑体"/>
          <w:snapToGrid w:val="0"/>
          <w:color w:val="auto"/>
          <w:sz w:val="30"/>
          <w:szCs w:val="30"/>
          <w:highlight w:val="none"/>
          <w:shd w:val="clear" w:color="auto" w:fill="auto"/>
        </w:rPr>
        <w:t>五、环境保护措施监督检查清单</w:t>
      </w:r>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1755"/>
        <w:gridCol w:w="1597"/>
        <w:gridCol w:w="1913"/>
        <w:gridCol w:w="1757"/>
      </w:tblGrid>
      <w:tr w14:paraId="32B62F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tcBorders>
              <w:top w:val="single" w:color="auto" w:sz="8" w:space="0"/>
              <w:left w:val="single" w:color="auto" w:sz="8" w:space="0"/>
              <w:bottom w:val="single" w:color="auto" w:sz="4" w:space="0"/>
              <w:right w:val="single" w:color="auto" w:sz="4" w:space="0"/>
              <w:tl2br w:val="single" w:color="auto" w:sz="4" w:space="0"/>
            </w:tcBorders>
            <w:noWrap w:val="0"/>
            <w:vAlign w:val="top"/>
          </w:tcPr>
          <w:p w14:paraId="15A7AAB5">
            <w:pPr>
              <w:keepNext w:val="0"/>
              <w:keepLines w:val="0"/>
              <w:suppressLineNumbers w:val="0"/>
              <w:adjustRightInd w:val="0"/>
              <w:snapToGrid w:val="0"/>
              <w:spacing w:before="0" w:beforeAutospacing="0" w:after="0" w:afterAutospacing="0"/>
              <w:ind w:left="0" w:right="0" w:firstLine="840"/>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lang w:bidi="ar"/>
              </w:rPr>
              <w:t>内容</w:t>
            </w:r>
          </w:p>
          <w:p w14:paraId="50161284">
            <w:pPr>
              <w:keepNext w:val="0"/>
              <w:keepLines w:val="0"/>
              <w:suppressLineNumbers w:val="0"/>
              <w:adjustRightInd w:val="0"/>
              <w:snapToGrid w:val="0"/>
              <w:spacing w:before="0" w:beforeAutospacing="0" w:after="0" w:afterAutospacing="0"/>
              <w:ind w:left="0" w:right="0"/>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lang w:bidi="ar"/>
              </w:rPr>
              <w:t>要素</w:t>
            </w:r>
          </w:p>
        </w:tc>
        <w:tc>
          <w:tcPr>
            <w:tcW w:w="1755" w:type="dxa"/>
            <w:tcBorders>
              <w:top w:val="single" w:color="auto" w:sz="8" w:space="0"/>
              <w:left w:val="single" w:color="auto" w:sz="4" w:space="0"/>
              <w:bottom w:val="single" w:color="auto" w:sz="4" w:space="0"/>
              <w:right w:val="single" w:color="auto" w:sz="4" w:space="0"/>
            </w:tcBorders>
            <w:noWrap w:val="0"/>
            <w:vAlign w:val="center"/>
          </w:tcPr>
          <w:p w14:paraId="196078EF">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lang w:bidi="ar"/>
              </w:rPr>
              <w:t>排放口(编号、</w:t>
            </w:r>
          </w:p>
          <w:p w14:paraId="02BAAC7E">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lang w:bidi="ar"/>
              </w:rPr>
              <w:t>名称)/污染源</w:t>
            </w:r>
          </w:p>
        </w:tc>
        <w:tc>
          <w:tcPr>
            <w:tcW w:w="1597" w:type="dxa"/>
            <w:tcBorders>
              <w:top w:val="single" w:color="auto" w:sz="8" w:space="0"/>
              <w:left w:val="single" w:color="auto" w:sz="4" w:space="0"/>
              <w:bottom w:val="single" w:color="auto" w:sz="4" w:space="0"/>
              <w:right w:val="single" w:color="auto" w:sz="4" w:space="0"/>
            </w:tcBorders>
            <w:noWrap w:val="0"/>
            <w:vAlign w:val="center"/>
          </w:tcPr>
          <w:p w14:paraId="61C8B810">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lang w:bidi="ar"/>
              </w:rPr>
              <w:t>污染物项目</w:t>
            </w:r>
          </w:p>
        </w:tc>
        <w:tc>
          <w:tcPr>
            <w:tcW w:w="1913" w:type="dxa"/>
            <w:tcBorders>
              <w:top w:val="single" w:color="auto" w:sz="8" w:space="0"/>
              <w:left w:val="single" w:color="auto" w:sz="4" w:space="0"/>
              <w:bottom w:val="single" w:color="auto" w:sz="4" w:space="0"/>
              <w:right w:val="single" w:color="auto" w:sz="4" w:space="0"/>
            </w:tcBorders>
            <w:noWrap w:val="0"/>
            <w:vAlign w:val="center"/>
          </w:tcPr>
          <w:p w14:paraId="15F48163">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lang w:bidi="ar"/>
              </w:rPr>
              <w:t>环境保护措施</w:t>
            </w:r>
          </w:p>
        </w:tc>
        <w:tc>
          <w:tcPr>
            <w:tcW w:w="1757" w:type="dxa"/>
            <w:tcBorders>
              <w:top w:val="single" w:color="auto" w:sz="8" w:space="0"/>
              <w:left w:val="single" w:color="auto" w:sz="4" w:space="0"/>
              <w:bottom w:val="single" w:color="auto" w:sz="4" w:space="0"/>
              <w:right w:val="single" w:color="auto" w:sz="8" w:space="0"/>
            </w:tcBorders>
            <w:noWrap w:val="0"/>
            <w:vAlign w:val="center"/>
          </w:tcPr>
          <w:p w14:paraId="75D1B171">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lang w:bidi="ar"/>
              </w:rPr>
              <w:t>执行标准</w:t>
            </w:r>
          </w:p>
        </w:tc>
      </w:tr>
      <w:tr w14:paraId="04C4C3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restart"/>
            <w:tcBorders>
              <w:top w:val="single" w:color="auto" w:sz="4" w:space="0"/>
              <w:left w:val="single" w:color="auto" w:sz="8" w:space="0"/>
              <w:right w:val="single" w:color="auto" w:sz="4" w:space="0"/>
            </w:tcBorders>
            <w:noWrap w:val="0"/>
            <w:vAlign w:val="center"/>
          </w:tcPr>
          <w:p w14:paraId="4C7BB54E">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lang w:bidi="ar"/>
              </w:rPr>
              <w:t>大气环境</w:t>
            </w:r>
          </w:p>
        </w:tc>
        <w:tc>
          <w:tcPr>
            <w:tcW w:w="1755" w:type="dxa"/>
            <w:tcBorders>
              <w:top w:val="single" w:color="auto" w:sz="4" w:space="0"/>
              <w:left w:val="single" w:color="auto" w:sz="4" w:space="0"/>
              <w:bottom w:val="single" w:color="auto" w:sz="4" w:space="0"/>
              <w:right w:val="single" w:color="auto" w:sz="4" w:space="0"/>
            </w:tcBorders>
            <w:noWrap w:val="0"/>
            <w:vAlign w:val="center"/>
          </w:tcPr>
          <w:p w14:paraId="21682E8D">
            <w:pPr>
              <w:keepNext w:val="0"/>
              <w:keepLines w:val="0"/>
              <w:suppressLineNumbers w:val="0"/>
              <w:spacing w:before="0" w:beforeAutospacing="0" w:after="0" w:afterAutospacing="0"/>
              <w:ind w:left="0" w:right="0"/>
              <w:jc w:val="center"/>
              <w:rPr>
                <w:rFonts w:hint="default" w:ascii="Calibri" w:hAnsi="Calibri" w:eastAsia="宋体" w:cs="Times New Roman"/>
                <w:color w:val="auto"/>
                <w:kern w:val="0"/>
                <w:szCs w:val="21"/>
                <w:highlight w:val="none"/>
                <w:shd w:val="clear" w:color="auto" w:fill="auto"/>
                <w:lang w:val="en-US" w:eastAsia="zh-CN"/>
              </w:rPr>
            </w:pPr>
            <w:r>
              <w:rPr>
                <w:rFonts w:hint="eastAsia" w:ascii="宋体" w:hAnsi="宋体" w:cs="Times New Roman"/>
                <w:color w:val="auto"/>
                <w:highlight w:val="none"/>
                <w:shd w:val="clear" w:color="auto" w:fill="auto"/>
                <w:lang w:val="en-US" w:eastAsia="zh-CN"/>
              </w:rPr>
              <w:t>1#原料库房、1#、2#</w:t>
            </w:r>
            <w:r>
              <w:rPr>
                <w:rFonts w:hint="eastAsia" w:ascii="宋体" w:hAnsi="宋体" w:eastAsia="宋体" w:cs="Times New Roman"/>
                <w:color w:val="auto"/>
                <w:highlight w:val="none"/>
                <w:shd w:val="clear" w:color="auto" w:fill="auto"/>
                <w:lang w:val="en-US" w:eastAsia="zh-CN"/>
              </w:rPr>
              <w:t>生产</w:t>
            </w:r>
            <w:r>
              <w:rPr>
                <w:rFonts w:hint="eastAsia" w:ascii="宋体" w:hAnsi="宋体" w:cs="Times New Roman"/>
                <w:color w:val="auto"/>
                <w:highlight w:val="none"/>
                <w:shd w:val="clear" w:color="auto" w:fill="auto"/>
                <w:lang w:val="en-US" w:eastAsia="zh-CN"/>
              </w:rPr>
              <w:t>线排放口</w:t>
            </w:r>
            <w:r>
              <w:rPr>
                <w:rFonts w:hint="eastAsia" w:ascii="宋体" w:hAnsi="宋体" w:eastAsia="宋体" w:cs="Times New Roman"/>
                <w:color w:val="auto"/>
                <w:highlight w:val="none"/>
                <w:shd w:val="clear" w:color="auto" w:fill="auto"/>
                <w:lang w:val="en-US" w:eastAsia="zh-CN"/>
              </w:rPr>
              <w:t>DA001</w:t>
            </w:r>
          </w:p>
        </w:tc>
        <w:tc>
          <w:tcPr>
            <w:tcW w:w="1597" w:type="dxa"/>
            <w:tcBorders>
              <w:top w:val="single" w:color="auto" w:sz="4" w:space="0"/>
              <w:left w:val="single" w:color="auto" w:sz="4" w:space="0"/>
              <w:bottom w:val="single" w:color="auto" w:sz="4" w:space="0"/>
              <w:right w:val="single" w:color="auto" w:sz="4" w:space="0"/>
            </w:tcBorders>
            <w:noWrap w:val="0"/>
            <w:vAlign w:val="center"/>
          </w:tcPr>
          <w:p w14:paraId="2EDF5757">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颗粒物</w:t>
            </w:r>
          </w:p>
        </w:tc>
        <w:tc>
          <w:tcPr>
            <w:tcW w:w="1913" w:type="dxa"/>
            <w:tcBorders>
              <w:top w:val="single" w:color="auto" w:sz="4" w:space="0"/>
              <w:left w:val="single" w:color="auto" w:sz="4" w:space="0"/>
              <w:bottom w:val="single" w:color="auto" w:sz="4" w:space="0"/>
              <w:right w:val="single" w:color="auto" w:sz="4" w:space="0"/>
            </w:tcBorders>
            <w:noWrap w:val="0"/>
            <w:vAlign w:val="center"/>
          </w:tcPr>
          <w:p w14:paraId="4DA45267">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default" w:ascii="Times New Roman" w:hAnsi="Times New Roman" w:eastAsia="宋体" w:cs="Times New Roman"/>
                <w:color w:val="auto"/>
                <w:szCs w:val="21"/>
                <w:highlight w:val="none"/>
                <w:shd w:val="clear" w:color="auto" w:fill="auto"/>
              </w:rPr>
              <w:t>布袋除尘器</w:t>
            </w:r>
            <w:r>
              <w:rPr>
                <w:rFonts w:hint="eastAsia" w:ascii="Calibri" w:hAnsi="Calibri" w:eastAsia="宋体" w:cs="Times New Roman"/>
                <w:color w:val="auto"/>
                <w:highlight w:val="none"/>
                <w:shd w:val="clear" w:color="auto" w:fill="auto"/>
                <w:lang w:val="en-US" w:eastAsia="zh-CN"/>
              </w:rPr>
              <w:t>，15m排气筒</w:t>
            </w:r>
          </w:p>
        </w:tc>
        <w:tc>
          <w:tcPr>
            <w:tcW w:w="1757" w:type="dxa"/>
            <w:vMerge w:val="restart"/>
            <w:tcBorders>
              <w:top w:val="single" w:color="auto" w:sz="4" w:space="0"/>
              <w:left w:val="single" w:color="auto" w:sz="4" w:space="0"/>
              <w:right w:val="single" w:color="auto" w:sz="8" w:space="0"/>
            </w:tcBorders>
            <w:noWrap w:val="0"/>
            <w:vAlign w:val="center"/>
          </w:tcPr>
          <w:p w14:paraId="4838439E">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Calibri" w:hAnsi="Calibri" w:eastAsia="宋体" w:cs="Times New Roman"/>
                <w:color w:val="auto"/>
                <w:sz w:val="21"/>
                <w:szCs w:val="21"/>
                <w:highlight w:val="none"/>
                <w:shd w:val="clear" w:color="auto" w:fill="auto"/>
              </w:rPr>
              <w:t>《镁质耐火材料工业大气污染物排放标准》（DB21/3011-2018）</w:t>
            </w:r>
          </w:p>
        </w:tc>
      </w:tr>
      <w:tr w14:paraId="188DCE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tcBorders>
              <w:left w:val="single" w:color="auto" w:sz="8" w:space="0"/>
              <w:right w:val="single" w:color="auto" w:sz="4" w:space="0"/>
            </w:tcBorders>
            <w:noWrap w:val="0"/>
            <w:vAlign w:val="center"/>
          </w:tcPr>
          <w:p w14:paraId="6C027594">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lang w:bidi="ar"/>
              </w:rPr>
            </w:pPr>
          </w:p>
        </w:tc>
        <w:tc>
          <w:tcPr>
            <w:tcW w:w="175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667C5D22">
            <w:pPr>
              <w:keepNext w:val="0"/>
              <w:keepLines w:val="0"/>
              <w:suppressLineNumbers w:val="0"/>
              <w:spacing w:before="0" w:beforeAutospacing="0" w:after="0" w:afterAutospacing="0"/>
              <w:ind w:left="0" w:leftChars="0" w:right="0" w:rightChars="0"/>
              <w:jc w:val="center"/>
              <w:rPr>
                <w:rFonts w:hint="default" w:ascii="Calibri" w:hAnsi="Calibri" w:eastAsia="宋体" w:cs="Times New Roman"/>
                <w:color w:val="auto"/>
                <w:kern w:val="0"/>
                <w:sz w:val="21"/>
                <w:szCs w:val="21"/>
                <w:highlight w:val="none"/>
                <w:shd w:val="clear" w:color="auto" w:fill="auto"/>
                <w:lang w:val="en-US" w:eastAsia="zh-CN" w:bidi="ar-SA"/>
              </w:rPr>
            </w:pPr>
            <w:r>
              <w:rPr>
                <w:rFonts w:hint="eastAsia" w:ascii="宋体" w:hAnsi="宋体" w:cs="Times New Roman"/>
                <w:color w:val="auto"/>
                <w:highlight w:val="none"/>
                <w:shd w:val="clear" w:color="auto" w:fill="auto"/>
                <w:lang w:val="en-US" w:eastAsia="zh-CN"/>
              </w:rPr>
              <w:t>3#</w:t>
            </w:r>
            <w:r>
              <w:rPr>
                <w:rFonts w:hint="eastAsia" w:ascii="宋体" w:hAnsi="宋体" w:eastAsia="宋体" w:cs="Times New Roman"/>
                <w:color w:val="auto"/>
                <w:highlight w:val="none"/>
                <w:shd w:val="clear" w:color="auto" w:fill="auto"/>
                <w:lang w:val="en-US" w:eastAsia="zh-CN"/>
              </w:rPr>
              <w:t>生产</w:t>
            </w:r>
            <w:r>
              <w:rPr>
                <w:rFonts w:hint="eastAsia" w:ascii="宋体" w:hAnsi="宋体" w:cs="Times New Roman"/>
                <w:color w:val="auto"/>
                <w:highlight w:val="none"/>
                <w:shd w:val="clear" w:color="auto" w:fill="auto"/>
                <w:lang w:val="en-US" w:eastAsia="zh-CN"/>
              </w:rPr>
              <w:t>线排放口DA002</w:t>
            </w:r>
          </w:p>
        </w:tc>
        <w:tc>
          <w:tcPr>
            <w:tcW w:w="1597"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DFF2C1C">
            <w:pPr>
              <w:keepNext w:val="0"/>
              <w:keepLines w:val="0"/>
              <w:suppressLineNumbers w:val="0"/>
              <w:adjustRightInd w:val="0"/>
              <w:snapToGrid w:val="0"/>
              <w:spacing w:before="0" w:beforeAutospacing="0" w:after="0" w:afterAutospacing="0"/>
              <w:ind w:left="0" w:leftChars="0" w:right="0" w:rightChars="0"/>
              <w:jc w:val="center"/>
              <w:rPr>
                <w:rFonts w:hint="eastAsia" w:ascii="宋体" w:hAnsi="宋体" w:eastAsia="宋体" w:cs="宋体"/>
                <w:color w:val="auto"/>
                <w:kern w:val="2"/>
                <w:sz w:val="21"/>
                <w:szCs w:val="21"/>
                <w:highlight w:val="none"/>
                <w:shd w:val="clear" w:color="auto" w:fill="auto"/>
                <w:lang w:val="en-US" w:eastAsia="zh-CN" w:bidi="ar-SA"/>
              </w:rPr>
            </w:pPr>
            <w:r>
              <w:rPr>
                <w:rFonts w:hint="eastAsia" w:ascii="宋体" w:hAnsi="宋体" w:eastAsia="宋体" w:cs="宋体"/>
                <w:color w:val="auto"/>
                <w:szCs w:val="21"/>
                <w:highlight w:val="none"/>
                <w:shd w:val="clear" w:color="auto" w:fill="auto"/>
              </w:rPr>
              <w:t>颗粒物</w:t>
            </w:r>
          </w:p>
        </w:tc>
        <w:tc>
          <w:tcPr>
            <w:tcW w:w="1913"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46ABEA5B">
            <w:pPr>
              <w:keepNext w:val="0"/>
              <w:keepLines w:val="0"/>
              <w:suppressLineNumbers w:val="0"/>
              <w:adjustRightInd w:val="0"/>
              <w:snapToGrid w:val="0"/>
              <w:spacing w:before="0" w:beforeAutospacing="0" w:after="0" w:afterAutospacing="0"/>
              <w:ind w:left="0" w:leftChars="0" w:right="0" w:rightChars="0"/>
              <w:jc w:val="center"/>
              <w:rPr>
                <w:rFonts w:hint="default" w:ascii="宋体" w:hAnsi="宋体" w:eastAsia="宋体" w:cs="宋体"/>
                <w:color w:val="auto"/>
                <w:kern w:val="2"/>
                <w:sz w:val="21"/>
                <w:szCs w:val="21"/>
                <w:highlight w:val="none"/>
                <w:shd w:val="clear" w:color="auto" w:fill="auto"/>
                <w:lang w:val="en-US" w:eastAsia="zh-CN" w:bidi="ar-SA"/>
              </w:rPr>
            </w:pPr>
            <w:r>
              <w:rPr>
                <w:rFonts w:hint="default" w:ascii="Times New Roman" w:hAnsi="Times New Roman" w:eastAsia="宋体" w:cs="Times New Roman"/>
                <w:color w:val="auto"/>
                <w:szCs w:val="21"/>
                <w:highlight w:val="none"/>
                <w:shd w:val="clear" w:color="auto" w:fill="auto"/>
              </w:rPr>
              <w:t>布袋除尘器</w:t>
            </w:r>
            <w:r>
              <w:rPr>
                <w:rFonts w:hint="eastAsia" w:ascii="Calibri" w:hAnsi="Calibri" w:eastAsia="宋体" w:cs="Times New Roman"/>
                <w:color w:val="auto"/>
                <w:highlight w:val="none"/>
                <w:shd w:val="clear" w:color="auto" w:fill="auto"/>
                <w:lang w:val="en-US" w:eastAsia="zh-CN"/>
              </w:rPr>
              <w:t>，15m排气筒</w:t>
            </w:r>
          </w:p>
        </w:tc>
        <w:tc>
          <w:tcPr>
            <w:tcW w:w="1757" w:type="dxa"/>
            <w:vMerge w:val="continue"/>
            <w:tcBorders>
              <w:left w:val="single" w:color="auto" w:sz="4" w:space="0"/>
              <w:right w:val="single" w:color="auto" w:sz="8" w:space="0"/>
            </w:tcBorders>
            <w:noWrap w:val="0"/>
            <w:vAlign w:val="center"/>
          </w:tcPr>
          <w:p w14:paraId="151900D3">
            <w:pPr>
              <w:keepNext w:val="0"/>
              <w:keepLines w:val="0"/>
              <w:suppressLineNumbers w:val="0"/>
              <w:adjustRightInd w:val="0"/>
              <w:snapToGrid w:val="0"/>
              <w:spacing w:before="0" w:beforeAutospacing="0" w:after="0" w:afterAutospacing="0"/>
              <w:ind w:left="0" w:right="0"/>
              <w:jc w:val="center"/>
              <w:rPr>
                <w:rFonts w:hint="eastAsia" w:ascii="Calibri" w:hAnsi="Calibri" w:eastAsia="宋体" w:cs="Times New Roman"/>
                <w:color w:val="auto"/>
                <w:sz w:val="21"/>
                <w:szCs w:val="21"/>
                <w:highlight w:val="none"/>
                <w:shd w:val="clear" w:color="auto" w:fill="auto"/>
              </w:rPr>
            </w:pPr>
          </w:p>
        </w:tc>
      </w:tr>
      <w:tr w14:paraId="025E01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tcBorders>
              <w:left w:val="single" w:color="auto" w:sz="8" w:space="0"/>
              <w:right w:val="single" w:color="auto" w:sz="4" w:space="0"/>
            </w:tcBorders>
            <w:noWrap w:val="0"/>
            <w:vAlign w:val="center"/>
          </w:tcPr>
          <w:p w14:paraId="0767F86D">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lang w:bidi="ar"/>
              </w:rPr>
            </w:pPr>
          </w:p>
        </w:tc>
        <w:tc>
          <w:tcPr>
            <w:tcW w:w="175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66D72D7F">
            <w:pPr>
              <w:keepNext w:val="0"/>
              <w:keepLines w:val="0"/>
              <w:suppressLineNumbers w:val="0"/>
              <w:spacing w:before="0" w:beforeAutospacing="0" w:after="0" w:afterAutospacing="0"/>
              <w:ind w:left="0" w:leftChars="0" w:right="0" w:rightChars="0"/>
              <w:jc w:val="center"/>
              <w:rPr>
                <w:rFonts w:hint="eastAsia" w:ascii="宋体" w:hAnsi="宋体" w:cs="Times New Roman"/>
                <w:color w:val="auto"/>
                <w:highlight w:val="none"/>
                <w:shd w:val="clear" w:color="auto" w:fill="auto"/>
                <w:lang w:val="en-US" w:eastAsia="zh-CN"/>
              </w:rPr>
            </w:pPr>
            <w:r>
              <w:rPr>
                <w:rFonts w:hint="eastAsia" w:ascii="宋体" w:hAnsi="宋体" w:cs="Times New Roman"/>
                <w:color w:val="auto"/>
                <w:highlight w:val="none"/>
                <w:shd w:val="clear" w:color="auto" w:fill="auto"/>
                <w:lang w:val="en-US" w:eastAsia="zh-CN"/>
              </w:rPr>
              <w:t>4#</w:t>
            </w:r>
            <w:r>
              <w:rPr>
                <w:rFonts w:hint="eastAsia" w:ascii="宋体" w:hAnsi="宋体" w:eastAsia="宋体" w:cs="Times New Roman"/>
                <w:color w:val="auto"/>
                <w:highlight w:val="none"/>
                <w:shd w:val="clear" w:color="auto" w:fill="auto"/>
                <w:lang w:val="en-US" w:eastAsia="zh-CN"/>
              </w:rPr>
              <w:t>生产</w:t>
            </w:r>
            <w:r>
              <w:rPr>
                <w:rFonts w:hint="eastAsia" w:ascii="宋体" w:hAnsi="宋体" w:cs="Times New Roman"/>
                <w:color w:val="auto"/>
                <w:highlight w:val="none"/>
                <w:shd w:val="clear" w:color="auto" w:fill="auto"/>
                <w:lang w:val="en-US" w:eastAsia="zh-CN"/>
              </w:rPr>
              <w:t>线排放口</w:t>
            </w:r>
            <w:r>
              <w:rPr>
                <w:rFonts w:hint="eastAsia" w:ascii="宋体" w:hAnsi="宋体" w:eastAsia="宋体" w:cs="Times New Roman"/>
                <w:color w:val="auto"/>
                <w:highlight w:val="none"/>
                <w:shd w:val="clear" w:color="auto" w:fill="auto"/>
                <w:lang w:val="en-US" w:eastAsia="zh-CN"/>
              </w:rPr>
              <w:t>DA00</w:t>
            </w:r>
            <w:r>
              <w:rPr>
                <w:rFonts w:hint="eastAsia" w:ascii="宋体" w:hAnsi="宋体" w:cs="Times New Roman"/>
                <w:color w:val="auto"/>
                <w:highlight w:val="none"/>
                <w:shd w:val="clear" w:color="auto" w:fill="auto"/>
                <w:lang w:val="en-US" w:eastAsia="zh-CN"/>
              </w:rPr>
              <w:t>3</w:t>
            </w:r>
          </w:p>
        </w:tc>
        <w:tc>
          <w:tcPr>
            <w:tcW w:w="1597"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0879222">
            <w:pPr>
              <w:keepNext w:val="0"/>
              <w:keepLines w:val="0"/>
              <w:suppressLineNumbers w:val="0"/>
              <w:adjustRightInd w:val="0"/>
              <w:snapToGrid w:val="0"/>
              <w:spacing w:before="0" w:beforeAutospacing="0" w:after="0" w:afterAutospacing="0"/>
              <w:ind w:left="0" w:leftChars="0" w:right="0" w:rightChars="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颗粒物</w:t>
            </w:r>
          </w:p>
        </w:tc>
        <w:tc>
          <w:tcPr>
            <w:tcW w:w="1913"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2B373A8">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Cs w:val="21"/>
                <w:highlight w:val="none"/>
                <w:shd w:val="clear" w:color="auto" w:fill="auto"/>
              </w:rPr>
            </w:pPr>
            <w:r>
              <w:rPr>
                <w:rFonts w:hint="default" w:ascii="Times New Roman" w:hAnsi="Times New Roman" w:eastAsia="宋体" w:cs="Times New Roman"/>
                <w:color w:val="auto"/>
                <w:szCs w:val="21"/>
                <w:highlight w:val="none"/>
                <w:shd w:val="clear" w:color="auto" w:fill="auto"/>
              </w:rPr>
              <w:t>布袋除尘器</w:t>
            </w:r>
            <w:r>
              <w:rPr>
                <w:rFonts w:hint="eastAsia" w:ascii="Calibri" w:hAnsi="Calibri" w:eastAsia="宋体" w:cs="Times New Roman"/>
                <w:color w:val="auto"/>
                <w:highlight w:val="none"/>
                <w:shd w:val="clear" w:color="auto" w:fill="auto"/>
                <w:lang w:val="en-US" w:eastAsia="zh-CN"/>
              </w:rPr>
              <w:t>，15m排气筒</w:t>
            </w:r>
          </w:p>
        </w:tc>
        <w:tc>
          <w:tcPr>
            <w:tcW w:w="1757" w:type="dxa"/>
            <w:vMerge w:val="continue"/>
            <w:tcBorders>
              <w:left w:val="single" w:color="auto" w:sz="4" w:space="0"/>
              <w:right w:val="single" w:color="auto" w:sz="8" w:space="0"/>
            </w:tcBorders>
            <w:noWrap w:val="0"/>
            <w:vAlign w:val="center"/>
          </w:tcPr>
          <w:p w14:paraId="4BC8659E">
            <w:pPr>
              <w:keepNext w:val="0"/>
              <w:keepLines w:val="0"/>
              <w:suppressLineNumbers w:val="0"/>
              <w:adjustRightInd w:val="0"/>
              <w:snapToGrid w:val="0"/>
              <w:spacing w:before="0" w:beforeAutospacing="0" w:after="0" w:afterAutospacing="0"/>
              <w:ind w:left="0" w:right="0"/>
              <w:jc w:val="center"/>
              <w:rPr>
                <w:rFonts w:hint="eastAsia" w:ascii="Calibri" w:hAnsi="Calibri" w:eastAsia="宋体" w:cs="Times New Roman"/>
                <w:color w:val="auto"/>
                <w:sz w:val="21"/>
                <w:szCs w:val="21"/>
                <w:highlight w:val="none"/>
                <w:shd w:val="clear" w:color="auto" w:fill="auto"/>
              </w:rPr>
            </w:pPr>
          </w:p>
        </w:tc>
      </w:tr>
      <w:tr w14:paraId="0A8857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tcBorders>
              <w:left w:val="single" w:color="auto" w:sz="8" w:space="0"/>
              <w:right w:val="single" w:color="auto" w:sz="4" w:space="0"/>
            </w:tcBorders>
            <w:noWrap w:val="0"/>
            <w:vAlign w:val="center"/>
          </w:tcPr>
          <w:p w14:paraId="5DE9B8EA">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lang w:bidi="ar"/>
              </w:rPr>
            </w:pPr>
          </w:p>
        </w:tc>
        <w:tc>
          <w:tcPr>
            <w:tcW w:w="175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2352D6B">
            <w:pPr>
              <w:keepNext w:val="0"/>
              <w:keepLines w:val="0"/>
              <w:suppressLineNumbers w:val="0"/>
              <w:spacing w:before="0" w:beforeAutospacing="0" w:after="0" w:afterAutospacing="0"/>
              <w:ind w:left="0" w:leftChars="0" w:right="0" w:rightChars="0"/>
              <w:jc w:val="center"/>
              <w:rPr>
                <w:rFonts w:hint="eastAsia" w:ascii="宋体" w:hAnsi="宋体" w:cs="Times New Roman"/>
                <w:color w:val="auto"/>
                <w:highlight w:val="none"/>
                <w:shd w:val="clear" w:color="auto" w:fill="auto"/>
                <w:lang w:val="en-US" w:eastAsia="zh-CN"/>
              </w:rPr>
            </w:pPr>
            <w:r>
              <w:rPr>
                <w:rFonts w:hint="eastAsia" w:ascii="宋体" w:hAnsi="宋体" w:cs="Times New Roman"/>
                <w:color w:val="auto"/>
                <w:highlight w:val="none"/>
                <w:shd w:val="clear" w:color="auto" w:fill="auto"/>
                <w:lang w:val="en-US" w:eastAsia="zh-CN"/>
              </w:rPr>
              <w:t>2#原料库房、5#</w:t>
            </w:r>
            <w:r>
              <w:rPr>
                <w:rFonts w:hint="eastAsia" w:ascii="宋体" w:hAnsi="宋体" w:eastAsia="宋体" w:cs="Times New Roman"/>
                <w:color w:val="auto"/>
                <w:highlight w:val="none"/>
                <w:shd w:val="clear" w:color="auto" w:fill="auto"/>
                <w:lang w:val="en-US" w:eastAsia="zh-CN"/>
              </w:rPr>
              <w:t>生产</w:t>
            </w:r>
            <w:r>
              <w:rPr>
                <w:rFonts w:hint="eastAsia" w:ascii="宋体" w:hAnsi="宋体" w:cs="Times New Roman"/>
                <w:color w:val="auto"/>
                <w:highlight w:val="none"/>
                <w:shd w:val="clear" w:color="auto" w:fill="auto"/>
                <w:lang w:val="en-US" w:eastAsia="zh-CN"/>
              </w:rPr>
              <w:t>线排放口DA004</w:t>
            </w:r>
          </w:p>
        </w:tc>
        <w:tc>
          <w:tcPr>
            <w:tcW w:w="1597"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425FB82A">
            <w:pPr>
              <w:keepNext w:val="0"/>
              <w:keepLines w:val="0"/>
              <w:suppressLineNumbers w:val="0"/>
              <w:adjustRightInd w:val="0"/>
              <w:snapToGrid w:val="0"/>
              <w:spacing w:before="0" w:beforeAutospacing="0" w:after="0" w:afterAutospacing="0"/>
              <w:ind w:left="0" w:leftChars="0" w:right="0" w:rightChars="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颗粒物</w:t>
            </w:r>
          </w:p>
        </w:tc>
        <w:tc>
          <w:tcPr>
            <w:tcW w:w="1913"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4BCA04EF">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Cs w:val="21"/>
                <w:highlight w:val="none"/>
                <w:shd w:val="clear" w:color="auto" w:fill="auto"/>
              </w:rPr>
            </w:pPr>
            <w:r>
              <w:rPr>
                <w:rFonts w:hint="default" w:ascii="Times New Roman" w:hAnsi="Times New Roman" w:eastAsia="宋体" w:cs="Times New Roman"/>
                <w:color w:val="auto"/>
                <w:szCs w:val="21"/>
                <w:highlight w:val="none"/>
                <w:shd w:val="clear" w:color="auto" w:fill="auto"/>
              </w:rPr>
              <w:t>布袋除尘器</w:t>
            </w:r>
            <w:r>
              <w:rPr>
                <w:rFonts w:hint="eastAsia" w:ascii="Calibri" w:hAnsi="Calibri" w:eastAsia="宋体" w:cs="Times New Roman"/>
                <w:color w:val="auto"/>
                <w:highlight w:val="none"/>
                <w:shd w:val="clear" w:color="auto" w:fill="auto"/>
                <w:lang w:val="en-US" w:eastAsia="zh-CN"/>
              </w:rPr>
              <w:t>，15m排气筒</w:t>
            </w:r>
          </w:p>
        </w:tc>
        <w:tc>
          <w:tcPr>
            <w:tcW w:w="1757" w:type="dxa"/>
            <w:vMerge w:val="continue"/>
            <w:tcBorders>
              <w:left w:val="single" w:color="auto" w:sz="4" w:space="0"/>
              <w:right w:val="single" w:color="auto" w:sz="8" w:space="0"/>
            </w:tcBorders>
            <w:noWrap w:val="0"/>
            <w:vAlign w:val="center"/>
          </w:tcPr>
          <w:p w14:paraId="546DCEC1">
            <w:pPr>
              <w:keepNext w:val="0"/>
              <w:keepLines w:val="0"/>
              <w:suppressLineNumbers w:val="0"/>
              <w:adjustRightInd w:val="0"/>
              <w:snapToGrid w:val="0"/>
              <w:spacing w:before="0" w:beforeAutospacing="0" w:after="0" w:afterAutospacing="0"/>
              <w:ind w:left="0" w:right="0"/>
              <w:jc w:val="center"/>
              <w:rPr>
                <w:rFonts w:hint="eastAsia" w:ascii="Calibri" w:hAnsi="Calibri" w:eastAsia="宋体" w:cs="Times New Roman"/>
                <w:color w:val="auto"/>
                <w:sz w:val="21"/>
                <w:szCs w:val="21"/>
                <w:highlight w:val="none"/>
                <w:shd w:val="clear" w:color="auto" w:fill="auto"/>
              </w:rPr>
            </w:pPr>
          </w:p>
        </w:tc>
      </w:tr>
      <w:tr w14:paraId="0C5BCD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tcBorders>
              <w:left w:val="single" w:color="auto" w:sz="8" w:space="0"/>
              <w:bottom w:val="single" w:color="auto" w:sz="4" w:space="0"/>
              <w:right w:val="single" w:color="auto" w:sz="4" w:space="0"/>
            </w:tcBorders>
            <w:noWrap w:val="0"/>
            <w:vAlign w:val="center"/>
          </w:tcPr>
          <w:p w14:paraId="145FF9D7">
            <w:pPr>
              <w:keepNext w:val="0"/>
              <w:keepLines w:val="0"/>
              <w:suppressLineNumbers w:val="0"/>
              <w:spacing w:before="0" w:beforeAutospacing="0" w:after="0" w:afterAutospacing="0"/>
              <w:ind w:left="0" w:right="0"/>
              <w:rPr>
                <w:rFonts w:ascii="Calibri" w:hAnsi="Calibri" w:eastAsia="宋体" w:cs="Times New Roman"/>
                <w:color w:val="auto"/>
                <w:szCs w:val="22"/>
                <w:highlight w:val="none"/>
                <w:shd w:val="clear" w:color="auto" w:fill="auto"/>
              </w:rPr>
            </w:pPr>
          </w:p>
        </w:tc>
        <w:tc>
          <w:tcPr>
            <w:tcW w:w="1755" w:type="dxa"/>
            <w:tcBorders>
              <w:top w:val="single" w:color="auto" w:sz="4" w:space="0"/>
              <w:left w:val="single" w:color="auto" w:sz="4" w:space="0"/>
              <w:bottom w:val="single" w:color="auto" w:sz="4" w:space="0"/>
              <w:right w:val="single" w:color="auto" w:sz="4" w:space="0"/>
            </w:tcBorders>
            <w:noWrap w:val="0"/>
            <w:vAlign w:val="center"/>
          </w:tcPr>
          <w:p w14:paraId="30E17557">
            <w:pPr>
              <w:keepNext w:val="0"/>
              <w:keepLines w:val="0"/>
              <w:suppressLineNumbers w:val="0"/>
              <w:spacing w:before="0" w:beforeAutospacing="0" w:after="0" w:afterAutospacing="0"/>
              <w:ind w:left="0" w:right="0"/>
              <w:jc w:val="center"/>
              <w:rPr>
                <w:rFonts w:hint="eastAsia" w:ascii="Calibri" w:hAnsi="Calibri" w:eastAsia="宋体" w:cs="Times New Roman"/>
                <w:color w:val="auto"/>
                <w:highlight w:val="none"/>
                <w:shd w:val="clear" w:color="auto" w:fill="auto"/>
                <w:lang w:val="en-US" w:eastAsia="zh-CN"/>
              </w:rPr>
            </w:pPr>
            <w:r>
              <w:rPr>
                <w:rFonts w:hint="eastAsia" w:ascii="宋体" w:hAnsi="宋体" w:eastAsia="宋体" w:cs="Times New Roman"/>
                <w:color w:val="auto"/>
                <w:highlight w:val="none"/>
                <w:shd w:val="clear" w:color="auto" w:fill="auto"/>
                <w:lang w:eastAsia="zh-CN"/>
              </w:rPr>
              <w:t>厂界</w:t>
            </w:r>
          </w:p>
        </w:tc>
        <w:tc>
          <w:tcPr>
            <w:tcW w:w="1597" w:type="dxa"/>
            <w:tcBorders>
              <w:top w:val="single" w:color="auto" w:sz="4" w:space="0"/>
              <w:left w:val="single" w:color="auto" w:sz="4" w:space="0"/>
              <w:bottom w:val="single" w:color="auto" w:sz="4" w:space="0"/>
              <w:right w:val="single" w:color="auto" w:sz="4" w:space="0"/>
            </w:tcBorders>
            <w:noWrap w:val="0"/>
            <w:vAlign w:val="center"/>
          </w:tcPr>
          <w:p w14:paraId="1756D1C1">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颗粒物</w:t>
            </w:r>
          </w:p>
        </w:tc>
        <w:tc>
          <w:tcPr>
            <w:tcW w:w="1913" w:type="dxa"/>
            <w:tcBorders>
              <w:top w:val="single" w:color="auto" w:sz="4" w:space="0"/>
              <w:left w:val="single" w:color="auto" w:sz="4" w:space="0"/>
              <w:bottom w:val="single" w:color="auto" w:sz="4" w:space="0"/>
              <w:right w:val="single" w:color="auto" w:sz="4" w:space="0"/>
            </w:tcBorders>
            <w:noWrap w:val="0"/>
            <w:vAlign w:val="center"/>
          </w:tcPr>
          <w:p w14:paraId="3DDA965C">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lang w:eastAsia="zh-CN"/>
              </w:rPr>
            </w:pPr>
            <w:r>
              <w:rPr>
                <w:rFonts w:hint="eastAsia" w:ascii="宋体" w:hAnsi="宋体" w:eastAsia="宋体" w:cs="宋体"/>
                <w:color w:val="auto"/>
                <w:szCs w:val="21"/>
                <w:highlight w:val="none"/>
                <w:shd w:val="clear" w:color="auto" w:fill="auto"/>
                <w:lang w:eastAsia="zh-CN"/>
              </w:rPr>
              <w:t>封闭厂房</w:t>
            </w:r>
            <w:r>
              <w:rPr>
                <w:rFonts w:hint="eastAsia" w:ascii="Calibri" w:hAnsi="Calibri" w:eastAsia="宋体" w:cs="Times New Roman"/>
                <w:color w:val="auto"/>
                <w:highlight w:val="none"/>
                <w:lang w:eastAsia="zh-CN"/>
              </w:rPr>
              <w:t>、</w:t>
            </w:r>
            <w:r>
              <w:rPr>
                <w:rFonts w:hint="eastAsia" w:ascii="宋体" w:hAnsi="宋体" w:eastAsia="宋体" w:cs="宋体"/>
                <w:color w:val="auto"/>
                <w:szCs w:val="21"/>
                <w:highlight w:val="none"/>
              </w:rPr>
              <w:t>自然沉降</w:t>
            </w:r>
            <w:r>
              <w:rPr>
                <w:rFonts w:hint="eastAsia" w:ascii="Calibri" w:hAnsi="Calibri" w:eastAsia="宋体" w:cs="Times New Roman"/>
                <w:color w:val="auto"/>
                <w:highlight w:val="none"/>
                <w:lang w:eastAsia="zh-CN"/>
              </w:rPr>
              <w:t>、吸尘车</w:t>
            </w:r>
            <w:r>
              <w:rPr>
                <w:rFonts w:hint="eastAsia" w:ascii="Calibri" w:hAnsi="Calibri" w:cs="Times New Roman"/>
                <w:color w:val="auto"/>
                <w:highlight w:val="none"/>
                <w:lang w:eastAsia="zh-CN"/>
              </w:rPr>
              <w:t>、洒水车。安装粉尘自动监测设备及可视监控，并与监管平台联网。</w:t>
            </w:r>
          </w:p>
        </w:tc>
        <w:tc>
          <w:tcPr>
            <w:tcW w:w="1757" w:type="dxa"/>
            <w:vMerge w:val="continue"/>
            <w:tcBorders>
              <w:left w:val="single" w:color="auto" w:sz="4" w:space="0"/>
              <w:bottom w:val="single" w:color="auto" w:sz="4" w:space="0"/>
              <w:right w:val="single" w:color="auto" w:sz="8" w:space="0"/>
            </w:tcBorders>
            <w:noWrap w:val="0"/>
            <w:vAlign w:val="center"/>
          </w:tcPr>
          <w:p w14:paraId="5F7D935A">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p>
        </w:tc>
      </w:tr>
      <w:tr w14:paraId="2ACDEC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restart"/>
            <w:tcBorders>
              <w:top w:val="single" w:color="auto" w:sz="4" w:space="0"/>
              <w:left w:val="single" w:color="auto" w:sz="8" w:space="0"/>
              <w:bottom w:val="single" w:color="auto" w:sz="4" w:space="0"/>
              <w:right w:val="single" w:color="auto" w:sz="4" w:space="0"/>
            </w:tcBorders>
            <w:noWrap w:val="0"/>
            <w:vAlign w:val="center"/>
          </w:tcPr>
          <w:p w14:paraId="3E3EFA24">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lang w:bidi="ar"/>
              </w:rPr>
              <w:t>地表水环境</w:t>
            </w:r>
          </w:p>
        </w:tc>
        <w:tc>
          <w:tcPr>
            <w:tcW w:w="1755" w:type="dxa"/>
            <w:tcBorders>
              <w:top w:val="single" w:color="auto" w:sz="4" w:space="0"/>
              <w:left w:val="single" w:color="auto" w:sz="4" w:space="0"/>
              <w:bottom w:val="single" w:color="auto" w:sz="4" w:space="0"/>
              <w:right w:val="single" w:color="auto" w:sz="4" w:space="0"/>
            </w:tcBorders>
            <w:noWrap w:val="0"/>
            <w:vAlign w:val="center"/>
          </w:tcPr>
          <w:p w14:paraId="3A550E95">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w:t>
            </w:r>
          </w:p>
        </w:tc>
        <w:tc>
          <w:tcPr>
            <w:tcW w:w="1597" w:type="dxa"/>
            <w:tcBorders>
              <w:top w:val="single" w:color="auto" w:sz="4" w:space="0"/>
              <w:left w:val="single" w:color="auto" w:sz="4" w:space="0"/>
              <w:bottom w:val="single" w:color="auto" w:sz="4" w:space="0"/>
              <w:right w:val="single" w:color="auto" w:sz="4" w:space="0"/>
            </w:tcBorders>
            <w:noWrap w:val="0"/>
            <w:vAlign w:val="center"/>
          </w:tcPr>
          <w:p w14:paraId="2802F94E">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w:t>
            </w:r>
          </w:p>
        </w:tc>
        <w:tc>
          <w:tcPr>
            <w:tcW w:w="1913" w:type="dxa"/>
            <w:tcBorders>
              <w:top w:val="single" w:color="auto" w:sz="4" w:space="0"/>
              <w:left w:val="single" w:color="auto" w:sz="4" w:space="0"/>
              <w:bottom w:val="single" w:color="auto" w:sz="4" w:space="0"/>
              <w:right w:val="single" w:color="auto" w:sz="4" w:space="0"/>
            </w:tcBorders>
            <w:noWrap w:val="0"/>
            <w:vAlign w:val="center"/>
          </w:tcPr>
          <w:p w14:paraId="33EB0830">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w:t>
            </w:r>
          </w:p>
        </w:tc>
        <w:tc>
          <w:tcPr>
            <w:tcW w:w="1757" w:type="dxa"/>
            <w:tcBorders>
              <w:top w:val="single" w:color="auto" w:sz="4" w:space="0"/>
              <w:left w:val="single" w:color="auto" w:sz="4" w:space="0"/>
              <w:bottom w:val="single" w:color="auto" w:sz="4" w:space="0"/>
              <w:right w:val="single" w:color="auto" w:sz="8" w:space="0"/>
            </w:tcBorders>
            <w:noWrap w:val="0"/>
            <w:vAlign w:val="center"/>
          </w:tcPr>
          <w:p w14:paraId="4E3CC9E5">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w:t>
            </w:r>
          </w:p>
        </w:tc>
      </w:tr>
      <w:tr w14:paraId="5A99B5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tcBorders>
              <w:top w:val="single" w:color="auto" w:sz="4" w:space="0"/>
              <w:left w:val="single" w:color="auto" w:sz="8" w:space="0"/>
              <w:bottom w:val="single" w:color="auto" w:sz="4" w:space="0"/>
              <w:right w:val="single" w:color="auto" w:sz="4" w:space="0"/>
            </w:tcBorders>
            <w:noWrap w:val="0"/>
            <w:vAlign w:val="center"/>
          </w:tcPr>
          <w:p w14:paraId="16D3342F">
            <w:pPr>
              <w:keepNext w:val="0"/>
              <w:keepLines w:val="0"/>
              <w:suppressLineNumbers w:val="0"/>
              <w:spacing w:before="0" w:beforeAutospacing="0" w:after="0" w:afterAutospacing="0"/>
              <w:ind w:left="0" w:right="0"/>
              <w:rPr>
                <w:rFonts w:ascii="Calibri" w:hAnsi="Calibri" w:eastAsia="宋体" w:cs="Times New Roman"/>
                <w:color w:val="auto"/>
                <w:szCs w:val="22"/>
                <w:highlight w:val="none"/>
                <w:shd w:val="clear" w:color="auto" w:fill="auto"/>
              </w:rPr>
            </w:pPr>
          </w:p>
        </w:tc>
        <w:tc>
          <w:tcPr>
            <w:tcW w:w="1755" w:type="dxa"/>
            <w:tcBorders>
              <w:top w:val="single" w:color="auto" w:sz="4" w:space="0"/>
              <w:left w:val="single" w:color="auto" w:sz="4" w:space="0"/>
              <w:bottom w:val="single" w:color="auto" w:sz="4" w:space="0"/>
              <w:right w:val="single" w:color="auto" w:sz="4" w:space="0"/>
            </w:tcBorders>
            <w:noWrap w:val="0"/>
            <w:vAlign w:val="center"/>
          </w:tcPr>
          <w:p w14:paraId="54BBE8E4">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w:t>
            </w:r>
          </w:p>
        </w:tc>
        <w:tc>
          <w:tcPr>
            <w:tcW w:w="1597" w:type="dxa"/>
            <w:tcBorders>
              <w:top w:val="single" w:color="auto" w:sz="4" w:space="0"/>
              <w:left w:val="single" w:color="auto" w:sz="4" w:space="0"/>
              <w:bottom w:val="single" w:color="auto" w:sz="4" w:space="0"/>
              <w:right w:val="single" w:color="auto" w:sz="4" w:space="0"/>
            </w:tcBorders>
            <w:noWrap w:val="0"/>
            <w:vAlign w:val="center"/>
          </w:tcPr>
          <w:p w14:paraId="0288F0F2">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w:t>
            </w:r>
          </w:p>
        </w:tc>
        <w:tc>
          <w:tcPr>
            <w:tcW w:w="1913" w:type="dxa"/>
            <w:tcBorders>
              <w:top w:val="single" w:color="auto" w:sz="4" w:space="0"/>
              <w:left w:val="single" w:color="auto" w:sz="4" w:space="0"/>
              <w:bottom w:val="single" w:color="auto" w:sz="4" w:space="0"/>
              <w:right w:val="single" w:color="auto" w:sz="4" w:space="0"/>
            </w:tcBorders>
            <w:noWrap w:val="0"/>
            <w:vAlign w:val="center"/>
          </w:tcPr>
          <w:p w14:paraId="3AFB86A4">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w:t>
            </w:r>
          </w:p>
        </w:tc>
        <w:tc>
          <w:tcPr>
            <w:tcW w:w="1757" w:type="dxa"/>
            <w:tcBorders>
              <w:top w:val="single" w:color="auto" w:sz="4" w:space="0"/>
              <w:left w:val="single" w:color="auto" w:sz="4" w:space="0"/>
              <w:bottom w:val="single" w:color="auto" w:sz="4" w:space="0"/>
              <w:right w:val="single" w:color="auto" w:sz="8" w:space="0"/>
            </w:tcBorders>
            <w:noWrap w:val="0"/>
            <w:vAlign w:val="center"/>
          </w:tcPr>
          <w:p w14:paraId="6F894BF1">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w:t>
            </w:r>
          </w:p>
        </w:tc>
      </w:tr>
      <w:tr w14:paraId="34CBF3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tcBorders>
              <w:top w:val="single" w:color="auto" w:sz="4" w:space="0"/>
              <w:left w:val="single" w:color="auto" w:sz="8" w:space="0"/>
              <w:bottom w:val="single" w:color="auto" w:sz="4" w:space="0"/>
              <w:right w:val="single" w:color="auto" w:sz="4" w:space="0"/>
            </w:tcBorders>
            <w:noWrap w:val="0"/>
            <w:vAlign w:val="center"/>
          </w:tcPr>
          <w:p w14:paraId="61FB0CBB">
            <w:pPr>
              <w:keepNext w:val="0"/>
              <w:keepLines w:val="0"/>
              <w:suppressLineNumbers w:val="0"/>
              <w:spacing w:before="0" w:beforeAutospacing="0" w:after="0" w:afterAutospacing="0"/>
              <w:ind w:left="0" w:right="0"/>
              <w:rPr>
                <w:rFonts w:ascii="Calibri" w:hAnsi="Calibri" w:eastAsia="宋体" w:cs="Times New Roman"/>
                <w:color w:val="auto"/>
                <w:szCs w:val="22"/>
                <w:highlight w:val="none"/>
                <w:shd w:val="clear" w:color="auto" w:fill="auto"/>
              </w:rPr>
            </w:pPr>
          </w:p>
        </w:tc>
        <w:tc>
          <w:tcPr>
            <w:tcW w:w="1755" w:type="dxa"/>
            <w:tcBorders>
              <w:top w:val="single" w:color="auto" w:sz="4" w:space="0"/>
              <w:left w:val="single" w:color="auto" w:sz="4" w:space="0"/>
              <w:bottom w:val="single" w:color="auto" w:sz="4" w:space="0"/>
              <w:right w:val="single" w:color="auto" w:sz="4" w:space="0"/>
            </w:tcBorders>
            <w:noWrap w:val="0"/>
            <w:vAlign w:val="center"/>
          </w:tcPr>
          <w:p w14:paraId="403AD77B">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w:t>
            </w:r>
          </w:p>
        </w:tc>
        <w:tc>
          <w:tcPr>
            <w:tcW w:w="1597" w:type="dxa"/>
            <w:tcBorders>
              <w:top w:val="single" w:color="auto" w:sz="4" w:space="0"/>
              <w:left w:val="single" w:color="auto" w:sz="4" w:space="0"/>
              <w:bottom w:val="single" w:color="auto" w:sz="4" w:space="0"/>
              <w:right w:val="single" w:color="auto" w:sz="4" w:space="0"/>
            </w:tcBorders>
            <w:noWrap w:val="0"/>
            <w:vAlign w:val="center"/>
          </w:tcPr>
          <w:p w14:paraId="44B9D940">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w:t>
            </w:r>
          </w:p>
        </w:tc>
        <w:tc>
          <w:tcPr>
            <w:tcW w:w="1913" w:type="dxa"/>
            <w:tcBorders>
              <w:top w:val="single" w:color="auto" w:sz="4" w:space="0"/>
              <w:left w:val="single" w:color="auto" w:sz="4" w:space="0"/>
              <w:bottom w:val="single" w:color="auto" w:sz="4" w:space="0"/>
              <w:right w:val="single" w:color="auto" w:sz="4" w:space="0"/>
            </w:tcBorders>
            <w:noWrap w:val="0"/>
            <w:vAlign w:val="center"/>
          </w:tcPr>
          <w:p w14:paraId="1BAA8DE3">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w:t>
            </w:r>
          </w:p>
        </w:tc>
        <w:tc>
          <w:tcPr>
            <w:tcW w:w="1757" w:type="dxa"/>
            <w:tcBorders>
              <w:top w:val="single" w:color="auto" w:sz="4" w:space="0"/>
              <w:left w:val="single" w:color="auto" w:sz="4" w:space="0"/>
              <w:bottom w:val="single" w:color="auto" w:sz="4" w:space="0"/>
              <w:right w:val="single" w:color="auto" w:sz="8" w:space="0"/>
            </w:tcBorders>
            <w:noWrap w:val="0"/>
            <w:vAlign w:val="center"/>
          </w:tcPr>
          <w:p w14:paraId="047E05FE">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w:t>
            </w:r>
          </w:p>
        </w:tc>
      </w:tr>
      <w:tr w14:paraId="3DFC0B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76" w:hRule="atLeast"/>
          <w:jc w:val="center"/>
        </w:trPr>
        <w:tc>
          <w:tcPr>
            <w:tcW w:w="1778" w:type="dxa"/>
            <w:tcBorders>
              <w:top w:val="single" w:color="auto" w:sz="4" w:space="0"/>
              <w:left w:val="single" w:color="auto" w:sz="8" w:space="0"/>
              <w:bottom w:val="single" w:color="auto" w:sz="4" w:space="0"/>
              <w:right w:val="single" w:color="auto" w:sz="4" w:space="0"/>
            </w:tcBorders>
            <w:noWrap w:val="0"/>
            <w:vAlign w:val="center"/>
          </w:tcPr>
          <w:p w14:paraId="7282B274">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lang w:bidi="ar"/>
              </w:rPr>
              <w:t>声环境</w:t>
            </w:r>
          </w:p>
        </w:tc>
        <w:tc>
          <w:tcPr>
            <w:tcW w:w="1755" w:type="dxa"/>
            <w:tcBorders>
              <w:top w:val="single" w:color="auto" w:sz="4" w:space="0"/>
              <w:left w:val="single" w:color="auto" w:sz="4" w:space="0"/>
              <w:right w:val="single" w:color="auto" w:sz="4" w:space="0"/>
            </w:tcBorders>
            <w:noWrap w:val="0"/>
            <w:vAlign w:val="center"/>
          </w:tcPr>
          <w:p w14:paraId="7892B6C0">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lang w:eastAsia="zh-CN"/>
              </w:rPr>
            </w:pPr>
            <w:r>
              <w:rPr>
                <w:rFonts w:hint="eastAsia" w:ascii="宋体" w:hAnsi="宋体" w:eastAsia="宋体" w:cs="宋体"/>
                <w:color w:val="auto"/>
                <w:szCs w:val="21"/>
                <w:highlight w:val="none"/>
                <w:shd w:val="clear" w:color="auto" w:fill="auto"/>
                <w:lang w:eastAsia="zh-CN"/>
              </w:rPr>
              <w:t>厂界四周</w:t>
            </w:r>
          </w:p>
        </w:tc>
        <w:tc>
          <w:tcPr>
            <w:tcW w:w="1597" w:type="dxa"/>
            <w:tcBorders>
              <w:top w:val="single" w:color="auto" w:sz="4" w:space="0"/>
              <w:left w:val="single" w:color="auto" w:sz="4" w:space="0"/>
              <w:right w:val="single" w:color="auto" w:sz="4" w:space="0"/>
            </w:tcBorders>
            <w:noWrap w:val="0"/>
            <w:vAlign w:val="center"/>
          </w:tcPr>
          <w:p w14:paraId="24A7D641">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ascii="Calibri" w:hAnsi="Calibri" w:eastAsia="宋体" w:cs="Times New Roman"/>
                <w:color w:val="auto"/>
                <w:szCs w:val="21"/>
                <w:highlight w:val="none"/>
                <w:shd w:val="clear" w:color="auto" w:fill="auto"/>
              </w:rPr>
              <w:t>连续等效A声级</w:t>
            </w:r>
          </w:p>
        </w:tc>
        <w:tc>
          <w:tcPr>
            <w:tcW w:w="1913" w:type="dxa"/>
            <w:tcBorders>
              <w:top w:val="single" w:color="auto" w:sz="4" w:space="0"/>
              <w:left w:val="single" w:color="auto" w:sz="4" w:space="0"/>
              <w:right w:val="single" w:color="auto" w:sz="4" w:space="0"/>
            </w:tcBorders>
            <w:noWrap w:val="0"/>
            <w:vAlign w:val="center"/>
          </w:tcPr>
          <w:p w14:paraId="3425BD3B">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ascii="Calibri" w:hAnsi="Calibri" w:eastAsia="宋体" w:cs="Times New Roman"/>
                <w:color w:val="auto"/>
                <w:szCs w:val="21"/>
                <w:highlight w:val="none"/>
                <w:shd w:val="clear" w:color="auto" w:fill="auto"/>
              </w:rPr>
              <w:t>选用低噪声设备，并通过隔声、距离衰减等措施。</w:t>
            </w:r>
          </w:p>
        </w:tc>
        <w:tc>
          <w:tcPr>
            <w:tcW w:w="1757" w:type="dxa"/>
            <w:tcBorders>
              <w:top w:val="single" w:color="auto" w:sz="4" w:space="0"/>
              <w:left w:val="single" w:color="auto" w:sz="4" w:space="0"/>
              <w:bottom w:val="single" w:color="auto" w:sz="4" w:space="0"/>
              <w:right w:val="single" w:color="auto" w:sz="8" w:space="0"/>
            </w:tcBorders>
            <w:noWrap w:val="0"/>
            <w:vAlign w:val="center"/>
          </w:tcPr>
          <w:p w14:paraId="6213A92A">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lang w:eastAsia="zh-CN"/>
              </w:rPr>
            </w:pPr>
            <w:r>
              <w:rPr>
                <w:rFonts w:hint="eastAsia" w:cs="Times New Roman"/>
                <w:b w:val="0"/>
                <w:bCs w:val="0"/>
                <w:color w:val="auto"/>
                <w:sz w:val="21"/>
                <w:szCs w:val="21"/>
                <w:highlight w:val="none"/>
                <w:lang w:val="en-US" w:eastAsia="zh-CN"/>
              </w:rPr>
              <w:t>厂界四周执行</w:t>
            </w:r>
            <w:r>
              <w:rPr>
                <w:rFonts w:hint="default" w:ascii="Times New Roman" w:hAnsi="Times New Roman" w:eastAsia="宋体" w:cs="Times New Roman"/>
                <w:b w:val="0"/>
                <w:bCs w:val="0"/>
                <w:color w:val="auto"/>
                <w:sz w:val="21"/>
                <w:szCs w:val="21"/>
                <w:highlight w:val="none"/>
                <w:lang w:val="en-US" w:eastAsia="zh-CN"/>
              </w:rPr>
              <w:t>《工业企业厂界环境噪声排放标准》（GB12348-2008）</w:t>
            </w:r>
            <w:r>
              <w:rPr>
                <w:rFonts w:hint="eastAsia" w:ascii="宋体" w:hAnsi="宋体" w:cs="宋体"/>
                <w:b w:val="0"/>
                <w:bCs w:val="0"/>
                <w:color w:val="auto"/>
                <w:sz w:val="21"/>
                <w:szCs w:val="21"/>
                <w:highlight w:val="none"/>
                <w:lang w:val="en-US" w:eastAsia="zh-CN"/>
              </w:rPr>
              <w:t>2</w:t>
            </w:r>
            <w:r>
              <w:rPr>
                <w:rFonts w:hint="default" w:ascii="Times New Roman" w:hAnsi="Times New Roman" w:eastAsia="宋体" w:cs="Times New Roman"/>
                <w:b w:val="0"/>
                <w:bCs w:val="0"/>
                <w:color w:val="auto"/>
                <w:sz w:val="21"/>
                <w:szCs w:val="21"/>
                <w:highlight w:val="none"/>
                <w:lang w:val="en-US" w:eastAsia="zh-CN"/>
              </w:rPr>
              <w:t>类限值。</w:t>
            </w:r>
          </w:p>
        </w:tc>
      </w:tr>
      <w:tr w14:paraId="33AA83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restart"/>
            <w:tcBorders>
              <w:top w:val="single" w:color="auto" w:sz="4" w:space="0"/>
              <w:left w:val="single" w:color="auto" w:sz="8" w:space="0"/>
              <w:bottom w:val="single" w:color="auto" w:sz="4" w:space="0"/>
              <w:right w:val="single" w:color="auto" w:sz="4" w:space="0"/>
            </w:tcBorders>
            <w:noWrap w:val="0"/>
            <w:vAlign w:val="center"/>
          </w:tcPr>
          <w:p w14:paraId="6879BAB6">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lang w:bidi="ar"/>
              </w:rPr>
              <w:t>电磁辐射</w:t>
            </w:r>
          </w:p>
        </w:tc>
        <w:tc>
          <w:tcPr>
            <w:tcW w:w="1755" w:type="dxa"/>
            <w:tcBorders>
              <w:top w:val="single" w:color="auto" w:sz="4" w:space="0"/>
              <w:left w:val="single" w:color="auto" w:sz="4" w:space="0"/>
              <w:bottom w:val="single" w:color="auto" w:sz="4" w:space="0"/>
              <w:right w:val="single" w:color="auto" w:sz="4" w:space="0"/>
            </w:tcBorders>
            <w:noWrap w:val="0"/>
            <w:vAlign w:val="center"/>
          </w:tcPr>
          <w:p w14:paraId="2574C741">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w:t>
            </w:r>
          </w:p>
        </w:tc>
        <w:tc>
          <w:tcPr>
            <w:tcW w:w="1597" w:type="dxa"/>
            <w:tcBorders>
              <w:top w:val="single" w:color="auto" w:sz="4" w:space="0"/>
              <w:left w:val="single" w:color="auto" w:sz="4" w:space="0"/>
              <w:bottom w:val="single" w:color="auto" w:sz="4" w:space="0"/>
              <w:right w:val="single" w:color="auto" w:sz="4" w:space="0"/>
            </w:tcBorders>
            <w:noWrap w:val="0"/>
            <w:vAlign w:val="center"/>
          </w:tcPr>
          <w:p w14:paraId="3896523E">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w:t>
            </w:r>
          </w:p>
        </w:tc>
        <w:tc>
          <w:tcPr>
            <w:tcW w:w="1913" w:type="dxa"/>
            <w:tcBorders>
              <w:top w:val="single" w:color="auto" w:sz="4" w:space="0"/>
              <w:left w:val="single" w:color="auto" w:sz="4" w:space="0"/>
              <w:bottom w:val="single" w:color="auto" w:sz="4" w:space="0"/>
              <w:right w:val="single" w:color="auto" w:sz="4" w:space="0"/>
            </w:tcBorders>
            <w:noWrap w:val="0"/>
            <w:vAlign w:val="center"/>
          </w:tcPr>
          <w:p w14:paraId="454E749D">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w:t>
            </w:r>
          </w:p>
        </w:tc>
        <w:tc>
          <w:tcPr>
            <w:tcW w:w="1757" w:type="dxa"/>
            <w:tcBorders>
              <w:top w:val="single" w:color="auto" w:sz="4" w:space="0"/>
              <w:left w:val="single" w:color="auto" w:sz="4" w:space="0"/>
              <w:bottom w:val="single" w:color="auto" w:sz="4" w:space="0"/>
              <w:right w:val="single" w:color="auto" w:sz="8" w:space="0"/>
            </w:tcBorders>
            <w:noWrap w:val="0"/>
            <w:vAlign w:val="center"/>
          </w:tcPr>
          <w:p w14:paraId="32D222DC">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w:t>
            </w:r>
          </w:p>
        </w:tc>
      </w:tr>
      <w:tr w14:paraId="0C6050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tcBorders>
              <w:top w:val="single" w:color="auto" w:sz="4" w:space="0"/>
              <w:left w:val="single" w:color="auto" w:sz="8" w:space="0"/>
              <w:bottom w:val="single" w:color="auto" w:sz="4" w:space="0"/>
              <w:right w:val="single" w:color="auto" w:sz="4" w:space="0"/>
            </w:tcBorders>
            <w:noWrap w:val="0"/>
            <w:vAlign w:val="center"/>
          </w:tcPr>
          <w:p w14:paraId="712BF76C">
            <w:pPr>
              <w:keepNext w:val="0"/>
              <w:keepLines w:val="0"/>
              <w:suppressLineNumbers w:val="0"/>
              <w:spacing w:before="0" w:beforeAutospacing="0" w:after="0" w:afterAutospacing="0"/>
              <w:ind w:left="0" w:right="0"/>
              <w:rPr>
                <w:rFonts w:ascii="Calibri" w:hAnsi="Calibri" w:eastAsia="宋体" w:cs="Times New Roman"/>
                <w:color w:val="auto"/>
                <w:szCs w:val="22"/>
                <w:highlight w:val="none"/>
                <w:shd w:val="clear" w:color="auto" w:fill="auto"/>
              </w:rPr>
            </w:pPr>
          </w:p>
        </w:tc>
        <w:tc>
          <w:tcPr>
            <w:tcW w:w="1755" w:type="dxa"/>
            <w:tcBorders>
              <w:top w:val="single" w:color="auto" w:sz="4" w:space="0"/>
              <w:left w:val="single" w:color="auto" w:sz="4" w:space="0"/>
              <w:bottom w:val="single" w:color="auto" w:sz="4" w:space="0"/>
              <w:right w:val="single" w:color="auto" w:sz="4" w:space="0"/>
            </w:tcBorders>
            <w:noWrap w:val="0"/>
            <w:vAlign w:val="center"/>
          </w:tcPr>
          <w:p w14:paraId="1405E2BA">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w:t>
            </w:r>
          </w:p>
        </w:tc>
        <w:tc>
          <w:tcPr>
            <w:tcW w:w="1597" w:type="dxa"/>
            <w:tcBorders>
              <w:top w:val="single" w:color="auto" w:sz="4" w:space="0"/>
              <w:left w:val="single" w:color="auto" w:sz="4" w:space="0"/>
              <w:bottom w:val="single" w:color="auto" w:sz="4" w:space="0"/>
              <w:right w:val="single" w:color="auto" w:sz="4" w:space="0"/>
            </w:tcBorders>
            <w:noWrap w:val="0"/>
            <w:vAlign w:val="center"/>
          </w:tcPr>
          <w:p w14:paraId="1EEB95E5">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w:t>
            </w:r>
          </w:p>
        </w:tc>
        <w:tc>
          <w:tcPr>
            <w:tcW w:w="1913" w:type="dxa"/>
            <w:tcBorders>
              <w:top w:val="single" w:color="auto" w:sz="4" w:space="0"/>
              <w:left w:val="single" w:color="auto" w:sz="4" w:space="0"/>
              <w:bottom w:val="single" w:color="auto" w:sz="4" w:space="0"/>
              <w:right w:val="single" w:color="auto" w:sz="4" w:space="0"/>
            </w:tcBorders>
            <w:noWrap w:val="0"/>
            <w:vAlign w:val="center"/>
          </w:tcPr>
          <w:p w14:paraId="53DEEB4B">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w:t>
            </w:r>
          </w:p>
        </w:tc>
        <w:tc>
          <w:tcPr>
            <w:tcW w:w="1757" w:type="dxa"/>
            <w:tcBorders>
              <w:top w:val="single" w:color="auto" w:sz="4" w:space="0"/>
              <w:left w:val="single" w:color="auto" w:sz="4" w:space="0"/>
              <w:bottom w:val="single" w:color="auto" w:sz="4" w:space="0"/>
              <w:right w:val="single" w:color="auto" w:sz="8" w:space="0"/>
            </w:tcBorders>
            <w:noWrap w:val="0"/>
            <w:vAlign w:val="center"/>
          </w:tcPr>
          <w:p w14:paraId="7EBDCADA">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w:t>
            </w:r>
          </w:p>
        </w:tc>
      </w:tr>
      <w:tr w14:paraId="5C42B3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tcBorders>
              <w:top w:val="single" w:color="auto" w:sz="4" w:space="0"/>
              <w:left w:val="single" w:color="auto" w:sz="8" w:space="0"/>
              <w:bottom w:val="single" w:color="auto" w:sz="4" w:space="0"/>
              <w:right w:val="single" w:color="auto" w:sz="4" w:space="0"/>
            </w:tcBorders>
            <w:noWrap w:val="0"/>
            <w:vAlign w:val="center"/>
          </w:tcPr>
          <w:p w14:paraId="542321FC">
            <w:pPr>
              <w:keepNext w:val="0"/>
              <w:keepLines w:val="0"/>
              <w:suppressLineNumbers w:val="0"/>
              <w:spacing w:before="0" w:beforeAutospacing="0" w:after="0" w:afterAutospacing="0"/>
              <w:ind w:left="0" w:right="0"/>
              <w:rPr>
                <w:rFonts w:ascii="Calibri" w:hAnsi="Calibri" w:eastAsia="宋体" w:cs="Times New Roman"/>
                <w:color w:val="auto"/>
                <w:szCs w:val="22"/>
                <w:highlight w:val="none"/>
                <w:shd w:val="clear" w:color="auto" w:fill="auto"/>
              </w:rPr>
            </w:pPr>
          </w:p>
        </w:tc>
        <w:tc>
          <w:tcPr>
            <w:tcW w:w="1755" w:type="dxa"/>
            <w:tcBorders>
              <w:top w:val="single" w:color="auto" w:sz="4" w:space="0"/>
              <w:left w:val="single" w:color="auto" w:sz="4" w:space="0"/>
              <w:bottom w:val="single" w:color="auto" w:sz="4" w:space="0"/>
              <w:right w:val="single" w:color="auto" w:sz="4" w:space="0"/>
            </w:tcBorders>
            <w:noWrap w:val="0"/>
            <w:vAlign w:val="center"/>
          </w:tcPr>
          <w:p w14:paraId="100315F7">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w:t>
            </w:r>
          </w:p>
        </w:tc>
        <w:tc>
          <w:tcPr>
            <w:tcW w:w="1597" w:type="dxa"/>
            <w:tcBorders>
              <w:top w:val="single" w:color="auto" w:sz="4" w:space="0"/>
              <w:left w:val="single" w:color="auto" w:sz="4" w:space="0"/>
              <w:bottom w:val="single" w:color="auto" w:sz="4" w:space="0"/>
              <w:right w:val="single" w:color="auto" w:sz="4" w:space="0"/>
            </w:tcBorders>
            <w:noWrap w:val="0"/>
            <w:vAlign w:val="center"/>
          </w:tcPr>
          <w:p w14:paraId="61F45741">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w:t>
            </w:r>
          </w:p>
        </w:tc>
        <w:tc>
          <w:tcPr>
            <w:tcW w:w="1913" w:type="dxa"/>
            <w:tcBorders>
              <w:top w:val="single" w:color="auto" w:sz="4" w:space="0"/>
              <w:left w:val="single" w:color="auto" w:sz="4" w:space="0"/>
              <w:bottom w:val="single" w:color="auto" w:sz="4" w:space="0"/>
              <w:right w:val="single" w:color="auto" w:sz="4" w:space="0"/>
            </w:tcBorders>
            <w:noWrap w:val="0"/>
            <w:vAlign w:val="center"/>
          </w:tcPr>
          <w:p w14:paraId="2BA7C804">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w:t>
            </w:r>
          </w:p>
        </w:tc>
        <w:tc>
          <w:tcPr>
            <w:tcW w:w="1757" w:type="dxa"/>
            <w:tcBorders>
              <w:top w:val="single" w:color="auto" w:sz="4" w:space="0"/>
              <w:left w:val="single" w:color="auto" w:sz="4" w:space="0"/>
              <w:bottom w:val="single" w:color="auto" w:sz="4" w:space="0"/>
              <w:right w:val="single" w:color="auto" w:sz="8" w:space="0"/>
            </w:tcBorders>
            <w:noWrap w:val="0"/>
            <w:vAlign w:val="center"/>
          </w:tcPr>
          <w:p w14:paraId="357F15E4">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rPr>
              <w:t>/</w:t>
            </w:r>
          </w:p>
        </w:tc>
      </w:tr>
      <w:tr w14:paraId="2B3E35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tcBorders>
              <w:top w:val="single" w:color="auto" w:sz="4" w:space="0"/>
              <w:left w:val="single" w:color="auto" w:sz="8" w:space="0"/>
              <w:bottom w:val="single" w:color="auto" w:sz="4" w:space="0"/>
              <w:right w:val="single" w:color="auto" w:sz="4" w:space="0"/>
            </w:tcBorders>
            <w:noWrap w:val="0"/>
            <w:vAlign w:val="center"/>
          </w:tcPr>
          <w:p w14:paraId="40F40C62">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lang w:bidi="ar"/>
              </w:rPr>
              <w:t>固体废物</w:t>
            </w:r>
          </w:p>
        </w:tc>
        <w:tc>
          <w:tcPr>
            <w:tcW w:w="7022" w:type="dxa"/>
            <w:gridSpan w:val="4"/>
            <w:tcBorders>
              <w:top w:val="single" w:color="auto" w:sz="4" w:space="0"/>
              <w:left w:val="single" w:color="auto" w:sz="4" w:space="0"/>
              <w:bottom w:val="single" w:color="auto" w:sz="4" w:space="0"/>
              <w:right w:val="single" w:color="auto" w:sz="8" w:space="0"/>
            </w:tcBorders>
            <w:noWrap w:val="0"/>
            <w:vAlign w:val="center"/>
          </w:tcPr>
          <w:p w14:paraId="03D51F1A">
            <w:pPr>
              <w:pStyle w:val="9"/>
              <w:keepNext w:val="0"/>
              <w:keepLines w:val="0"/>
              <w:suppressLineNumbers w:val="0"/>
              <w:spacing w:before="0" w:beforeAutospacing="0" w:after="0" w:afterAutospacing="0"/>
              <w:ind w:left="0" w:right="0"/>
              <w:rPr>
                <w:rFonts w:hint="eastAsia" w:ascii="宋体" w:hAnsi="宋体" w:eastAsia="宋体" w:cs="宋体"/>
                <w:color w:val="auto"/>
                <w:sz w:val="21"/>
                <w:szCs w:val="21"/>
                <w:highlight w:val="none"/>
                <w:shd w:val="clear" w:color="auto" w:fill="auto"/>
                <w:lang w:val="en-US" w:eastAsia="zh-CN"/>
              </w:rPr>
            </w:pPr>
            <w:r>
              <w:rPr>
                <w:rFonts w:hint="eastAsia" w:ascii="Calibri" w:hAnsi="Calibri" w:eastAsia="宋体" w:cs="Times New Roman"/>
                <w:color w:val="auto"/>
                <w:sz w:val="21"/>
                <w:szCs w:val="21"/>
                <w:highlight w:val="none"/>
                <w:shd w:val="clear" w:color="auto" w:fill="auto"/>
                <w:lang w:val="zh-CN"/>
              </w:rPr>
              <w:t>本项目产生的除尘器回收粉尘、沉降粉尘集中收集后外售</w:t>
            </w:r>
            <w:r>
              <w:rPr>
                <w:rFonts w:hint="eastAsia" w:ascii="Calibri" w:hAnsi="Calibri" w:cs="Times New Roman"/>
                <w:color w:val="auto"/>
                <w:sz w:val="21"/>
                <w:szCs w:val="21"/>
                <w:highlight w:val="none"/>
                <w:shd w:val="clear" w:color="auto" w:fill="auto"/>
                <w:lang w:val="zh-CN"/>
              </w:rPr>
              <w:t>，洗车平台及水洗白云石沉淀池污泥收集后外售，</w:t>
            </w:r>
            <w:r>
              <w:rPr>
                <w:rFonts w:hint="eastAsia" w:ascii="Calibri" w:hAnsi="Calibri" w:eastAsia="宋体" w:cs="Times New Roman"/>
                <w:color w:val="auto"/>
                <w:sz w:val="21"/>
                <w:szCs w:val="21"/>
                <w:highlight w:val="none"/>
                <w:shd w:val="clear" w:color="auto" w:fill="auto"/>
                <w:lang w:val="zh-CN"/>
              </w:rPr>
              <w:t>废布袋集中收集后</w:t>
            </w:r>
            <w:r>
              <w:rPr>
                <w:rFonts w:hint="eastAsia" w:ascii="Calibri" w:hAnsi="Calibri" w:cs="Times New Roman"/>
                <w:color w:val="auto"/>
                <w:sz w:val="21"/>
                <w:szCs w:val="21"/>
                <w:highlight w:val="none"/>
                <w:shd w:val="clear" w:color="auto" w:fill="auto"/>
                <w:lang w:val="zh-CN"/>
              </w:rPr>
              <w:t>交由厂家回收</w:t>
            </w:r>
            <w:r>
              <w:rPr>
                <w:rFonts w:hint="eastAsia" w:ascii="Calibri" w:hAnsi="Calibri" w:eastAsia="宋体" w:cs="Times New Roman"/>
                <w:color w:val="auto"/>
                <w:sz w:val="21"/>
                <w:szCs w:val="21"/>
                <w:highlight w:val="none"/>
                <w:shd w:val="clear" w:color="auto" w:fill="auto"/>
                <w:lang w:val="zh-CN"/>
              </w:rPr>
              <w:t>；废机油</w:t>
            </w:r>
            <w:r>
              <w:rPr>
                <w:rFonts w:hint="eastAsia" w:ascii="Calibri" w:hAnsi="Calibri" w:cs="Times New Roman"/>
                <w:color w:val="auto"/>
                <w:sz w:val="21"/>
                <w:szCs w:val="21"/>
                <w:highlight w:val="none"/>
                <w:shd w:val="clear" w:color="auto" w:fill="auto"/>
                <w:lang w:val="zh-CN"/>
              </w:rPr>
              <w:t>、废油桶、含油手套及抹布</w:t>
            </w:r>
            <w:r>
              <w:rPr>
                <w:rFonts w:hint="eastAsia" w:ascii="Calibri" w:hAnsi="Calibri" w:eastAsia="宋体" w:cs="Times New Roman"/>
                <w:color w:val="auto"/>
                <w:sz w:val="21"/>
                <w:szCs w:val="21"/>
                <w:highlight w:val="none"/>
                <w:shd w:val="clear" w:color="auto" w:fill="auto"/>
                <w:lang w:val="zh-CN"/>
              </w:rPr>
              <w:t>暂存于危险废物贮存点，并定期交于有危险废物资质的单位</w:t>
            </w:r>
            <w:r>
              <w:rPr>
                <w:rFonts w:hint="eastAsia" w:ascii="Calibri" w:hAnsi="Calibri" w:cs="Times New Roman"/>
                <w:color w:val="auto"/>
                <w:sz w:val="21"/>
                <w:szCs w:val="21"/>
                <w:highlight w:val="none"/>
                <w:shd w:val="clear" w:color="auto" w:fill="auto"/>
                <w:lang w:val="zh-CN"/>
              </w:rPr>
              <w:t>处置</w:t>
            </w:r>
            <w:r>
              <w:rPr>
                <w:rFonts w:hint="eastAsia" w:ascii="Calibri" w:hAnsi="Calibri" w:eastAsia="宋体" w:cs="Times New Roman"/>
                <w:color w:val="auto"/>
                <w:sz w:val="21"/>
                <w:szCs w:val="21"/>
                <w:highlight w:val="none"/>
                <w:shd w:val="clear" w:color="auto" w:fill="auto"/>
                <w:lang w:val="zh-CN"/>
              </w:rPr>
              <w:t>，</w:t>
            </w:r>
            <w:r>
              <w:rPr>
                <w:rFonts w:hint="eastAsia" w:ascii="宋体" w:hAnsi="宋体" w:eastAsia="宋体" w:cs="宋体"/>
                <w:color w:val="auto"/>
                <w:sz w:val="21"/>
                <w:szCs w:val="21"/>
                <w:highlight w:val="none"/>
              </w:rPr>
              <w:t>生活垃圾由环卫部门统一清运</w:t>
            </w:r>
            <w:r>
              <w:rPr>
                <w:rFonts w:hint="eastAsia" w:ascii="宋体" w:hAnsi="宋体" w:eastAsia="宋体" w:cs="宋体"/>
                <w:color w:val="auto"/>
                <w:sz w:val="21"/>
                <w:szCs w:val="21"/>
                <w:highlight w:val="none"/>
                <w:lang w:eastAsia="zh-CN"/>
              </w:rPr>
              <w:t>。</w:t>
            </w:r>
            <w:r>
              <w:rPr>
                <w:rFonts w:hint="eastAsia" w:ascii="Calibri" w:hAnsi="Calibri" w:eastAsia="宋体" w:cs="Times New Roman"/>
                <w:color w:val="auto"/>
                <w:sz w:val="21"/>
                <w:szCs w:val="21"/>
                <w:highlight w:val="none"/>
                <w:shd w:val="clear" w:color="auto" w:fill="auto"/>
                <w:lang w:val="zh-CN"/>
              </w:rPr>
              <w:t>所有固体废物均可得到有效处置，对周围环境影响较小</w:t>
            </w:r>
          </w:p>
        </w:tc>
      </w:tr>
      <w:tr w14:paraId="261F53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1778" w:type="dxa"/>
            <w:tcBorders>
              <w:top w:val="single" w:color="auto" w:sz="4" w:space="0"/>
              <w:left w:val="single" w:color="auto" w:sz="8" w:space="0"/>
              <w:bottom w:val="single" w:color="auto" w:sz="4" w:space="0"/>
              <w:right w:val="single" w:color="auto" w:sz="4" w:space="0"/>
            </w:tcBorders>
            <w:noWrap w:val="0"/>
            <w:vAlign w:val="center"/>
          </w:tcPr>
          <w:p w14:paraId="623982A4">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lang w:bidi="ar"/>
              </w:rPr>
              <w:t>土壤及地下水</w:t>
            </w:r>
          </w:p>
          <w:p w14:paraId="2B547875">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shd w:val="clear" w:color="auto" w:fill="auto"/>
              </w:rPr>
            </w:pPr>
            <w:r>
              <w:rPr>
                <w:rFonts w:hint="eastAsia" w:ascii="宋体" w:hAnsi="宋体" w:eastAsia="宋体" w:cs="宋体"/>
                <w:color w:val="auto"/>
                <w:szCs w:val="21"/>
                <w:highlight w:val="none"/>
                <w:shd w:val="clear" w:color="auto" w:fill="auto"/>
                <w:lang w:bidi="ar"/>
              </w:rPr>
              <w:t>污染防治措施</w:t>
            </w:r>
          </w:p>
        </w:tc>
        <w:tc>
          <w:tcPr>
            <w:tcW w:w="7022" w:type="dxa"/>
            <w:gridSpan w:val="4"/>
            <w:tcBorders>
              <w:top w:val="single" w:color="auto" w:sz="4" w:space="0"/>
              <w:left w:val="single" w:color="auto" w:sz="4" w:space="0"/>
              <w:bottom w:val="single" w:color="auto" w:sz="4" w:space="0"/>
              <w:right w:val="single" w:color="auto" w:sz="8" w:space="0"/>
            </w:tcBorders>
            <w:noWrap w:val="0"/>
            <w:vAlign w:val="center"/>
          </w:tcPr>
          <w:p w14:paraId="0407CDD1">
            <w:pPr>
              <w:pStyle w:val="9"/>
              <w:keepNext w:val="0"/>
              <w:keepLines w:val="0"/>
              <w:suppressLineNumbers w:val="0"/>
              <w:spacing w:before="0" w:beforeAutospacing="0" w:after="0" w:afterAutospacing="0"/>
              <w:ind w:left="0" w:right="0"/>
              <w:rPr>
                <w:rFonts w:hint="eastAsia" w:ascii="宋体" w:hAnsi="宋体" w:eastAsia="宋体" w:cs="宋体"/>
                <w:color w:val="auto"/>
                <w:szCs w:val="21"/>
                <w:highlight w:val="none"/>
                <w:shd w:val="clear" w:color="auto" w:fill="auto"/>
                <w:lang w:eastAsia="zh-CN"/>
              </w:rPr>
            </w:pPr>
            <w:r>
              <w:rPr>
                <w:rFonts w:hint="eastAsia" w:ascii="宋体" w:hAnsi="宋体" w:eastAsia="宋体" w:cs="宋体"/>
                <w:color w:val="auto"/>
                <w:szCs w:val="21"/>
                <w:highlight w:val="none"/>
                <w:shd w:val="clear" w:color="auto" w:fill="auto"/>
                <w:lang w:val="en-US" w:eastAsia="zh-CN"/>
              </w:rPr>
              <w:t>本项目危险废物贮存点</w:t>
            </w:r>
            <w:r>
              <w:rPr>
                <w:rFonts w:hint="eastAsia" w:ascii="宋体" w:hAnsi="宋体" w:cs="宋体"/>
                <w:color w:val="auto"/>
                <w:szCs w:val="21"/>
                <w:highlight w:val="none"/>
                <w:shd w:val="clear" w:color="auto" w:fill="auto"/>
                <w:lang w:val="en-US" w:eastAsia="zh-CN"/>
              </w:rPr>
              <w:t>、化粪池、水洗白云石生产线沉淀池</w:t>
            </w:r>
            <w:r>
              <w:rPr>
                <w:rFonts w:hint="eastAsia" w:ascii="Calibri" w:hAnsi="Calibri" w:cs="Times New Roman"/>
                <w:color w:val="auto"/>
                <w:highlight w:val="none"/>
                <w:lang w:eastAsia="zh-CN"/>
              </w:rPr>
              <w:t>、洗车平台沉淀池</w:t>
            </w:r>
            <w:r>
              <w:rPr>
                <w:rFonts w:hint="eastAsia" w:ascii="宋体" w:hAnsi="宋体" w:eastAsia="宋体" w:cs="宋体"/>
                <w:color w:val="auto"/>
                <w:szCs w:val="21"/>
                <w:highlight w:val="none"/>
                <w:shd w:val="clear" w:color="auto" w:fill="auto"/>
                <w:lang w:val="en-US" w:eastAsia="zh-CN"/>
              </w:rPr>
              <w:t>区域为重点防渗区，等效黏土防渗层Mb≥6.0m，K≤1×10</w:t>
            </w:r>
            <w:r>
              <w:rPr>
                <w:rFonts w:hint="eastAsia" w:ascii="宋体" w:hAnsi="宋体" w:eastAsia="宋体" w:cs="宋体"/>
                <w:color w:val="auto"/>
                <w:szCs w:val="21"/>
                <w:highlight w:val="none"/>
                <w:shd w:val="clear" w:color="auto" w:fill="auto"/>
                <w:vertAlign w:val="superscript"/>
                <w:lang w:val="en-US" w:eastAsia="zh-CN"/>
              </w:rPr>
              <w:t>-7</w:t>
            </w:r>
            <w:r>
              <w:rPr>
                <w:rFonts w:hint="eastAsia" w:ascii="宋体" w:hAnsi="宋体" w:eastAsia="宋体" w:cs="宋体"/>
                <w:color w:val="auto"/>
                <w:szCs w:val="21"/>
                <w:highlight w:val="none"/>
                <w:shd w:val="clear" w:color="auto" w:fill="auto"/>
                <w:lang w:val="en-US" w:eastAsia="zh-CN"/>
              </w:rPr>
              <w:t>cm/s</w:t>
            </w:r>
            <w:r>
              <w:rPr>
                <w:rFonts w:hint="eastAsia" w:ascii="宋体" w:hAnsi="宋体" w:cs="宋体"/>
                <w:color w:val="auto"/>
                <w:szCs w:val="21"/>
                <w:highlight w:val="none"/>
                <w:shd w:val="clear" w:color="auto" w:fill="auto"/>
                <w:lang w:val="en-US" w:eastAsia="zh-CN"/>
              </w:rPr>
              <w:t>，符合《危险废物贮存污染控制标准》 （GB 18597—2023）</w:t>
            </w:r>
            <w:r>
              <w:rPr>
                <w:rFonts w:hint="eastAsia" w:ascii="宋体" w:hAnsi="宋体" w:eastAsia="宋体" w:cs="宋体"/>
                <w:color w:val="auto"/>
                <w:szCs w:val="21"/>
                <w:highlight w:val="none"/>
                <w:shd w:val="clear" w:color="auto" w:fill="auto"/>
                <w:lang w:val="en-US" w:eastAsia="zh-CN"/>
              </w:rPr>
              <w:t>，</w:t>
            </w:r>
            <w:r>
              <w:rPr>
                <w:rFonts w:hint="eastAsia" w:ascii="宋体" w:hAnsi="宋体" w:cs="宋体"/>
                <w:color w:val="auto"/>
                <w:szCs w:val="21"/>
                <w:highlight w:val="none"/>
                <w:shd w:val="clear" w:color="auto" w:fill="auto"/>
                <w:lang w:val="en-US" w:eastAsia="zh-CN"/>
              </w:rPr>
              <w:t>原料库房、生产车间、产品库房</w:t>
            </w:r>
            <w:r>
              <w:rPr>
                <w:rFonts w:hint="eastAsia" w:ascii="宋体" w:hAnsi="宋体" w:eastAsia="宋体" w:cs="宋体"/>
                <w:color w:val="auto"/>
                <w:szCs w:val="21"/>
                <w:highlight w:val="none"/>
                <w:shd w:val="clear" w:color="auto" w:fill="auto"/>
                <w:lang w:val="en-US" w:eastAsia="zh-CN"/>
              </w:rPr>
              <w:t>防渗为一般污染防渗区，等效黏土防渗层Mb≥1.5m，K≤1×10</w:t>
            </w:r>
            <w:r>
              <w:rPr>
                <w:rFonts w:hint="eastAsia" w:ascii="宋体" w:hAnsi="宋体" w:eastAsia="宋体" w:cs="宋体"/>
                <w:color w:val="auto"/>
                <w:szCs w:val="21"/>
                <w:highlight w:val="none"/>
                <w:shd w:val="clear" w:color="auto" w:fill="auto"/>
                <w:vertAlign w:val="superscript"/>
                <w:lang w:val="en-US" w:eastAsia="zh-CN"/>
              </w:rPr>
              <w:t>-7</w:t>
            </w:r>
            <w:r>
              <w:rPr>
                <w:rFonts w:hint="eastAsia" w:ascii="宋体" w:hAnsi="宋体" w:eastAsia="宋体" w:cs="宋体"/>
                <w:color w:val="auto"/>
                <w:szCs w:val="21"/>
                <w:highlight w:val="none"/>
                <w:shd w:val="clear" w:color="auto" w:fill="auto"/>
                <w:lang w:val="en-US" w:eastAsia="zh-CN"/>
              </w:rPr>
              <w:t>cm/s，符合《环境影响评价技术导则 地下水环境》（HJ610-2016），厂区地坪硬化</w:t>
            </w:r>
            <w:r>
              <w:rPr>
                <w:rFonts w:hint="eastAsia" w:ascii="宋体" w:hAnsi="宋体" w:cs="宋体"/>
                <w:color w:val="auto"/>
                <w:szCs w:val="21"/>
                <w:highlight w:val="none"/>
                <w:shd w:val="clear" w:color="auto" w:fill="auto"/>
                <w:lang w:val="en-US" w:eastAsia="zh-CN"/>
              </w:rPr>
              <w:t>，</w:t>
            </w:r>
            <w:r>
              <w:rPr>
                <w:rFonts w:hint="eastAsia" w:ascii="宋体" w:hAnsi="宋体" w:eastAsia="宋体" w:cs="宋体"/>
                <w:color w:val="auto"/>
                <w:szCs w:val="21"/>
                <w:highlight w:val="none"/>
                <w:shd w:val="clear" w:color="auto" w:fill="auto"/>
                <w:lang w:val="en-US" w:eastAsia="zh-CN"/>
              </w:rPr>
              <w:t>简单防渗</w:t>
            </w:r>
            <w:r>
              <w:rPr>
                <w:rFonts w:ascii="Calibri" w:hAnsi="Calibri" w:eastAsia="宋体" w:cs="Times New Roman"/>
                <w:color w:val="auto"/>
                <w:szCs w:val="21"/>
                <w:highlight w:val="none"/>
              </w:rPr>
              <w:t>，防止对土壤及地下水</w:t>
            </w:r>
            <w:r>
              <w:rPr>
                <w:rFonts w:hint="eastAsia" w:ascii="Calibri" w:hAnsi="Calibri" w:eastAsia="宋体" w:cs="Times New Roman"/>
                <w:color w:val="auto"/>
                <w:szCs w:val="21"/>
                <w:highlight w:val="none"/>
                <w:lang w:eastAsia="zh-CN"/>
              </w:rPr>
              <w:t>产生</w:t>
            </w:r>
            <w:r>
              <w:rPr>
                <w:rFonts w:ascii="Calibri" w:hAnsi="Calibri" w:eastAsia="宋体" w:cs="Times New Roman"/>
                <w:color w:val="auto"/>
                <w:szCs w:val="21"/>
                <w:highlight w:val="none"/>
              </w:rPr>
              <w:t>影响。</w:t>
            </w:r>
          </w:p>
        </w:tc>
      </w:tr>
      <w:tr w14:paraId="47A35F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tcBorders>
              <w:top w:val="single" w:color="auto" w:sz="4" w:space="0"/>
              <w:left w:val="single" w:color="auto" w:sz="8" w:space="0"/>
              <w:bottom w:val="single" w:color="auto" w:sz="4" w:space="0"/>
              <w:right w:val="single" w:color="auto" w:sz="4" w:space="0"/>
            </w:tcBorders>
            <w:noWrap w:val="0"/>
            <w:vAlign w:val="center"/>
          </w:tcPr>
          <w:p w14:paraId="50E0BDD7">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pacing w:val="-8"/>
                <w:szCs w:val="21"/>
                <w:highlight w:val="none"/>
                <w:shd w:val="clear" w:color="auto" w:fill="auto"/>
              </w:rPr>
            </w:pPr>
            <w:r>
              <w:rPr>
                <w:rFonts w:hint="eastAsia" w:ascii="宋体" w:hAnsi="宋体" w:eastAsia="宋体" w:cs="宋体"/>
                <w:color w:val="auto"/>
                <w:spacing w:val="-8"/>
                <w:szCs w:val="21"/>
                <w:highlight w:val="none"/>
                <w:shd w:val="clear" w:color="auto" w:fill="auto"/>
                <w:lang w:bidi="ar"/>
              </w:rPr>
              <w:t>环境风险</w:t>
            </w:r>
          </w:p>
          <w:p w14:paraId="19485064">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pacing w:val="-8"/>
                <w:szCs w:val="21"/>
                <w:highlight w:val="none"/>
                <w:shd w:val="clear" w:color="auto" w:fill="auto"/>
              </w:rPr>
            </w:pPr>
            <w:r>
              <w:rPr>
                <w:rFonts w:hint="eastAsia" w:ascii="宋体" w:hAnsi="宋体" w:eastAsia="宋体" w:cs="宋体"/>
                <w:color w:val="auto"/>
                <w:spacing w:val="-8"/>
                <w:szCs w:val="21"/>
                <w:highlight w:val="none"/>
                <w:shd w:val="clear" w:color="auto" w:fill="auto"/>
                <w:lang w:bidi="ar"/>
              </w:rPr>
              <w:t>防范措施</w:t>
            </w:r>
          </w:p>
        </w:tc>
        <w:tc>
          <w:tcPr>
            <w:tcW w:w="7022" w:type="dxa"/>
            <w:gridSpan w:val="4"/>
            <w:tcBorders>
              <w:top w:val="single" w:color="auto" w:sz="4" w:space="0"/>
              <w:left w:val="single" w:color="auto" w:sz="4" w:space="0"/>
              <w:bottom w:val="single" w:color="auto" w:sz="4" w:space="0"/>
              <w:right w:val="single" w:color="auto" w:sz="8" w:space="0"/>
            </w:tcBorders>
            <w:noWrap w:val="0"/>
            <w:vAlign w:val="center"/>
          </w:tcPr>
          <w:p w14:paraId="2BC1889A">
            <w:pPr>
              <w:keepNext w:val="0"/>
              <w:keepLines w:val="0"/>
              <w:suppressLineNumbers w:val="0"/>
              <w:adjustRightInd w:val="0"/>
              <w:snapToGrid w:val="0"/>
              <w:spacing w:before="0" w:beforeAutospacing="0" w:after="0" w:afterAutospacing="0"/>
              <w:ind w:left="0" w:right="0"/>
              <w:jc w:val="left"/>
              <w:rPr>
                <w:rFonts w:hint="eastAsia" w:ascii="宋体" w:hAnsi="宋体" w:eastAsia="宋体" w:cs="宋体"/>
                <w:color w:val="auto"/>
                <w:szCs w:val="21"/>
                <w:highlight w:val="none"/>
                <w:shd w:val="clear" w:color="auto" w:fill="auto"/>
                <w:lang w:eastAsia="zh-CN"/>
              </w:rPr>
            </w:pPr>
            <w:r>
              <w:rPr>
                <w:rFonts w:hint="eastAsia" w:ascii="Times New Roman" w:hAnsi="Times New Roman" w:eastAsia="宋体" w:cs="Times New Roman"/>
                <w:b w:val="0"/>
                <w:bCs w:val="0"/>
                <w:color w:val="auto"/>
                <w:sz w:val="21"/>
                <w:szCs w:val="21"/>
                <w:highlight w:val="none"/>
                <w:vertAlign w:val="baseline"/>
                <w:lang w:val="en-US" w:eastAsia="zh-CN"/>
              </w:rPr>
              <w:t>废机油储存应放入容器内，危废储存容器周围设置围堰。</w:t>
            </w:r>
            <w:r>
              <w:rPr>
                <w:rFonts w:hint="eastAsia" w:ascii="Calibri" w:hAnsi="Calibri" w:eastAsia="宋体" w:cs="Times New Roman"/>
                <w:color w:val="auto"/>
                <w:sz w:val="21"/>
                <w:szCs w:val="21"/>
                <w:highlight w:val="none"/>
                <w:lang w:eastAsia="zh-CN"/>
              </w:rPr>
              <w:t>危废贮存点要求防风、防雨、防晒、防渗、防漏、防腐功能并做到危险废物分类隔离贮存，地面硬化并进行</w:t>
            </w:r>
            <w:r>
              <w:rPr>
                <w:rFonts w:hint="eastAsia" w:ascii="Calibri" w:hAnsi="Calibri" w:eastAsia="宋体" w:cs="Times New Roman"/>
                <w:color w:val="auto"/>
                <w:highlight w:val="none"/>
                <w:lang w:eastAsia="zh-CN"/>
              </w:rPr>
              <w:t>重点</w:t>
            </w:r>
            <w:r>
              <w:rPr>
                <w:rFonts w:hint="eastAsia" w:ascii="Calibri" w:hAnsi="Calibri" w:eastAsia="宋体" w:cs="Times New Roman"/>
                <w:color w:val="auto"/>
                <w:sz w:val="21"/>
                <w:szCs w:val="21"/>
                <w:highlight w:val="none"/>
                <w:lang w:eastAsia="zh-CN"/>
              </w:rPr>
              <w:t>防渗、防漏处理，避免由于雨水淋溶、渗透等原因对地下水、地表水产生不利影响</w:t>
            </w:r>
            <w:r>
              <w:rPr>
                <w:rFonts w:hint="default" w:ascii="Times New Roman" w:hAnsi="Times New Roman" w:eastAsia="宋体" w:cs="Times New Roman"/>
                <w:b w:val="0"/>
                <w:bCs w:val="0"/>
                <w:color w:val="auto"/>
                <w:sz w:val="21"/>
                <w:szCs w:val="21"/>
                <w:highlight w:val="none"/>
                <w:vertAlign w:val="baseline"/>
                <w:lang w:val="en-US" w:eastAsia="zh-CN"/>
              </w:rPr>
              <w:t>。泄漏</w:t>
            </w:r>
            <w:r>
              <w:rPr>
                <w:rFonts w:hint="eastAsia" w:ascii="Times New Roman" w:hAnsi="Times New Roman" w:eastAsia="宋体" w:cs="Times New Roman"/>
                <w:b w:val="0"/>
                <w:bCs w:val="0"/>
                <w:color w:val="auto"/>
                <w:sz w:val="21"/>
                <w:szCs w:val="21"/>
                <w:highlight w:val="none"/>
                <w:vertAlign w:val="baseline"/>
                <w:lang w:val="en-US" w:eastAsia="zh-CN"/>
              </w:rPr>
              <w:t>：</w:t>
            </w:r>
            <w:r>
              <w:rPr>
                <w:rFonts w:ascii="Times New Roman" w:hAnsi="Times New Roman" w:eastAsia="宋体" w:cs="Times New Roman"/>
                <w:color w:val="auto"/>
                <w:sz w:val="21"/>
                <w:szCs w:val="21"/>
                <w:highlight w:val="none"/>
              </w:rPr>
              <w:t>用工业覆盖层或吸附/吸收剂盖住泄漏点附近的下水道等地方，防止进入</w:t>
            </w:r>
          </w:p>
        </w:tc>
      </w:tr>
      <w:tr w14:paraId="199EA1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778" w:type="dxa"/>
            <w:tcBorders>
              <w:top w:val="single" w:color="auto" w:sz="4" w:space="0"/>
              <w:left w:val="single" w:color="auto" w:sz="8" w:space="0"/>
              <w:bottom w:val="single" w:color="auto" w:sz="8" w:space="0"/>
              <w:right w:val="single" w:color="auto" w:sz="4" w:space="0"/>
            </w:tcBorders>
            <w:noWrap w:val="0"/>
            <w:vAlign w:val="center"/>
          </w:tcPr>
          <w:p w14:paraId="4FF90335">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pacing w:val="-8"/>
                <w:szCs w:val="21"/>
                <w:highlight w:val="none"/>
                <w:shd w:val="clear" w:color="auto" w:fill="auto"/>
              </w:rPr>
            </w:pPr>
            <w:r>
              <w:rPr>
                <w:rFonts w:hint="eastAsia" w:ascii="宋体" w:hAnsi="宋体" w:eastAsia="宋体" w:cs="宋体"/>
                <w:color w:val="auto"/>
                <w:spacing w:val="-8"/>
                <w:szCs w:val="21"/>
                <w:highlight w:val="none"/>
                <w:shd w:val="clear" w:color="auto" w:fill="auto"/>
                <w:lang w:bidi="ar"/>
              </w:rPr>
              <w:t>其他环境</w:t>
            </w:r>
          </w:p>
          <w:p w14:paraId="6D805F98">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pacing w:val="-8"/>
                <w:szCs w:val="21"/>
                <w:highlight w:val="none"/>
                <w:shd w:val="clear" w:color="auto" w:fill="auto"/>
              </w:rPr>
            </w:pPr>
            <w:r>
              <w:rPr>
                <w:rFonts w:hint="eastAsia" w:ascii="宋体" w:hAnsi="宋体" w:eastAsia="宋体" w:cs="宋体"/>
                <w:color w:val="auto"/>
                <w:spacing w:val="-8"/>
                <w:szCs w:val="21"/>
                <w:highlight w:val="none"/>
                <w:shd w:val="clear" w:color="auto" w:fill="auto"/>
                <w:lang w:bidi="ar"/>
              </w:rPr>
              <w:t>管理要求</w:t>
            </w:r>
          </w:p>
        </w:tc>
        <w:tc>
          <w:tcPr>
            <w:tcW w:w="7022" w:type="dxa"/>
            <w:gridSpan w:val="4"/>
            <w:tcBorders>
              <w:top w:val="single" w:color="auto" w:sz="4" w:space="0"/>
              <w:left w:val="single" w:color="auto" w:sz="4" w:space="0"/>
              <w:bottom w:val="single" w:color="auto" w:sz="8" w:space="0"/>
              <w:right w:val="single" w:color="auto" w:sz="8" w:space="0"/>
            </w:tcBorders>
            <w:noWrap w:val="0"/>
            <w:vAlign w:val="center"/>
          </w:tcPr>
          <w:p w14:paraId="617F976B">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szCs w:val="21"/>
                <w:highlight w:val="none"/>
                <w:shd w:val="clear" w:color="auto" w:fill="auto"/>
                <w:lang w:val="en-US" w:eastAsia="zh-CN"/>
              </w:rPr>
            </w:pPr>
            <w:r>
              <w:rPr>
                <w:rFonts w:hint="eastAsia" w:ascii="宋体" w:hAnsi="宋体" w:eastAsia="宋体" w:cs="宋体"/>
                <w:color w:val="auto"/>
                <w:szCs w:val="21"/>
                <w:highlight w:val="none"/>
                <w:shd w:val="clear" w:color="auto" w:fill="auto"/>
                <w:lang w:val="en-US" w:eastAsia="zh-CN"/>
              </w:rPr>
              <w:t>1、</w:t>
            </w:r>
            <w:r>
              <w:rPr>
                <w:rFonts w:hint="default" w:ascii="Times New Roman" w:hAnsi="Times New Roman" w:eastAsia="宋体" w:cs="Times New Roman"/>
                <w:color w:val="auto"/>
                <w:szCs w:val="21"/>
                <w:highlight w:val="none"/>
                <w:shd w:val="clear" w:color="auto" w:fill="auto"/>
                <w:lang w:val="en-US" w:eastAsia="zh-CN"/>
              </w:rPr>
              <w:t>排污许可证申领</w:t>
            </w:r>
          </w:p>
          <w:p w14:paraId="2FDF7B32">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szCs w:val="21"/>
                <w:highlight w:val="none"/>
                <w:shd w:val="clear" w:color="auto" w:fill="auto"/>
                <w:lang w:val="en-US" w:eastAsia="zh-CN"/>
              </w:rPr>
            </w:pPr>
            <w:r>
              <w:rPr>
                <w:rFonts w:hint="default" w:ascii="Times New Roman" w:hAnsi="Times New Roman" w:eastAsia="宋体" w:cs="Times New Roman"/>
                <w:color w:val="auto"/>
                <w:szCs w:val="21"/>
                <w:highlight w:val="none"/>
                <w:shd w:val="clear" w:color="auto" w:fill="auto"/>
                <w:lang w:val="en-US" w:eastAsia="zh-CN"/>
              </w:rPr>
              <w:t>根据《固定污染源排污许可分类管理名录》（2019版），项目属于“二十五、非金属矿物制品业30”大类中的“70.石墨及其他非金属矿物制品制造309”，本项目应实行登记管理。适用规范为《排污许可证申请与核发技术规范 总则》（HJ942-2018）、《排污许可证申请与核发技术规范 石墨及其他非金属矿物制品制造》（HJ1119-2020）。</w:t>
            </w:r>
          </w:p>
          <w:p w14:paraId="0E179230">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szCs w:val="21"/>
                <w:highlight w:val="none"/>
                <w:shd w:val="clear" w:color="auto" w:fill="auto"/>
                <w:lang w:val="en-US" w:eastAsia="zh-CN"/>
              </w:rPr>
            </w:pPr>
            <w:r>
              <w:rPr>
                <w:rFonts w:hint="default" w:ascii="Times New Roman" w:hAnsi="Times New Roman" w:eastAsia="宋体" w:cs="Times New Roman"/>
                <w:color w:val="auto"/>
                <w:szCs w:val="21"/>
                <w:highlight w:val="none"/>
                <w:shd w:val="clear" w:color="auto" w:fill="auto"/>
                <w:lang w:val="en-US" w:eastAsia="zh-CN"/>
              </w:rPr>
              <w:t>本项目现有项目已进行排污登记，本项目应当在启动生产设施或者发生实际排污之前进行排污登记变更。</w:t>
            </w:r>
          </w:p>
          <w:p w14:paraId="6823BD2D">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szCs w:val="21"/>
                <w:highlight w:val="none"/>
                <w:shd w:val="clear" w:color="auto" w:fill="auto"/>
                <w:lang w:val="en-US" w:eastAsia="zh-CN"/>
              </w:rPr>
            </w:pPr>
            <w:r>
              <w:rPr>
                <w:rFonts w:hint="default" w:ascii="Times New Roman" w:hAnsi="Times New Roman" w:eastAsia="宋体" w:cs="Times New Roman"/>
                <w:color w:val="auto"/>
                <w:szCs w:val="21"/>
                <w:highlight w:val="none"/>
                <w:shd w:val="clear" w:color="auto" w:fill="auto"/>
                <w:lang w:val="en-US" w:eastAsia="zh-CN"/>
              </w:rPr>
              <w:t>2、危废</w:t>
            </w:r>
            <w:r>
              <w:rPr>
                <w:rFonts w:hint="eastAsia" w:cs="Times New Roman"/>
                <w:color w:val="auto"/>
                <w:szCs w:val="21"/>
                <w:highlight w:val="none"/>
                <w:shd w:val="clear" w:color="auto" w:fill="auto"/>
                <w:lang w:val="en-US" w:eastAsia="zh-CN"/>
              </w:rPr>
              <w:t>贮存点</w:t>
            </w:r>
            <w:r>
              <w:rPr>
                <w:rFonts w:hint="default" w:ascii="Times New Roman" w:hAnsi="Times New Roman" w:eastAsia="宋体" w:cs="Times New Roman"/>
                <w:color w:val="auto"/>
                <w:szCs w:val="21"/>
                <w:highlight w:val="none"/>
                <w:shd w:val="clear" w:color="auto" w:fill="auto"/>
                <w:lang w:val="en-US" w:eastAsia="zh-CN"/>
              </w:rPr>
              <w:t>监督检查管理要求</w:t>
            </w:r>
          </w:p>
          <w:p w14:paraId="76CA15C1">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szCs w:val="21"/>
                <w:highlight w:val="none"/>
                <w:shd w:val="clear" w:color="auto" w:fill="auto"/>
                <w:lang w:val="en-US" w:eastAsia="zh-CN"/>
              </w:rPr>
            </w:pPr>
            <w:r>
              <w:rPr>
                <w:rFonts w:hint="default" w:ascii="Times New Roman" w:hAnsi="Times New Roman" w:eastAsia="宋体" w:cs="Times New Roman"/>
                <w:color w:val="auto"/>
                <w:szCs w:val="21"/>
                <w:highlight w:val="none"/>
                <w:shd w:val="clear" w:color="auto" w:fill="auto"/>
                <w:lang w:val="en-US" w:eastAsia="zh-CN"/>
              </w:rPr>
              <w:t>（1）危废</w:t>
            </w:r>
            <w:r>
              <w:rPr>
                <w:rFonts w:hint="eastAsia" w:cs="Times New Roman"/>
                <w:color w:val="auto"/>
                <w:szCs w:val="21"/>
                <w:highlight w:val="none"/>
                <w:shd w:val="clear" w:color="auto" w:fill="auto"/>
                <w:lang w:val="en-US" w:eastAsia="zh-CN"/>
              </w:rPr>
              <w:t>贮存点</w:t>
            </w:r>
            <w:r>
              <w:rPr>
                <w:rFonts w:hint="default" w:ascii="Times New Roman" w:hAnsi="Times New Roman" w:eastAsia="宋体" w:cs="Times New Roman"/>
                <w:color w:val="auto"/>
                <w:szCs w:val="21"/>
                <w:highlight w:val="none"/>
                <w:shd w:val="clear" w:color="auto" w:fill="auto"/>
                <w:lang w:val="en-US" w:eastAsia="zh-CN"/>
              </w:rPr>
              <w:t>要求设置危险废物标识，具备防风、防雨、防晒、防渗、防漏、防腐功能并做到危险废物分类隔离贮存；</w:t>
            </w:r>
          </w:p>
          <w:p w14:paraId="7EFF13B3">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szCs w:val="21"/>
                <w:highlight w:val="none"/>
                <w:shd w:val="clear" w:color="auto" w:fill="auto"/>
                <w:lang w:val="en-US" w:eastAsia="zh-CN"/>
              </w:rPr>
            </w:pPr>
            <w:r>
              <w:rPr>
                <w:rFonts w:hint="default" w:ascii="Times New Roman" w:hAnsi="Times New Roman" w:eastAsia="宋体" w:cs="Times New Roman"/>
                <w:color w:val="auto"/>
                <w:szCs w:val="21"/>
                <w:highlight w:val="none"/>
                <w:shd w:val="clear" w:color="auto" w:fill="auto"/>
                <w:lang w:val="en-US" w:eastAsia="zh-CN"/>
              </w:rPr>
              <w:t>（2）由专人负责做好危险废物申报登记制度，严格执行危险废物联单制度；</w:t>
            </w:r>
          </w:p>
          <w:p w14:paraId="56299D55">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szCs w:val="21"/>
                <w:highlight w:val="none"/>
                <w:shd w:val="clear" w:color="auto" w:fill="auto"/>
                <w:lang w:val="en-US" w:eastAsia="zh-CN"/>
              </w:rPr>
            </w:pPr>
            <w:r>
              <w:rPr>
                <w:rFonts w:hint="default" w:ascii="Times New Roman" w:hAnsi="Times New Roman" w:eastAsia="宋体" w:cs="Times New Roman"/>
                <w:color w:val="auto"/>
                <w:szCs w:val="21"/>
                <w:highlight w:val="none"/>
                <w:shd w:val="clear" w:color="auto" w:fill="auto"/>
                <w:lang w:val="en-US" w:eastAsia="zh-CN"/>
              </w:rPr>
              <w:t>（3）制定并备案危险废物管理计划；</w:t>
            </w:r>
          </w:p>
          <w:p w14:paraId="58398095">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szCs w:val="21"/>
                <w:highlight w:val="none"/>
                <w:shd w:val="clear" w:color="auto" w:fill="auto"/>
                <w:lang w:val="en-US" w:eastAsia="zh-CN"/>
              </w:rPr>
            </w:pPr>
            <w:r>
              <w:rPr>
                <w:rFonts w:hint="default" w:ascii="Times New Roman" w:hAnsi="Times New Roman" w:eastAsia="宋体" w:cs="Times New Roman"/>
                <w:color w:val="auto"/>
                <w:szCs w:val="21"/>
                <w:highlight w:val="none"/>
                <w:shd w:val="clear" w:color="auto" w:fill="auto"/>
                <w:lang w:val="en-US" w:eastAsia="zh-CN"/>
              </w:rPr>
              <w:t>（4）建立危险废物台账，台账至少保存5a；</w:t>
            </w:r>
          </w:p>
          <w:p w14:paraId="7A8832E0">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szCs w:val="21"/>
                <w:highlight w:val="none"/>
                <w:shd w:val="clear" w:color="auto" w:fill="auto"/>
                <w:lang w:val="en-US" w:eastAsia="zh-CN"/>
              </w:rPr>
            </w:pPr>
            <w:r>
              <w:rPr>
                <w:rFonts w:hint="default" w:ascii="Times New Roman" w:hAnsi="Times New Roman" w:eastAsia="宋体" w:cs="Times New Roman"/>
                <w:color w:val="auto"/>
                <w:szCs w:val="21"/>
                <w:highlight w:val="none"/>
                <w:shd w:val="clear" w:color="auto" w:fill="auto"/>
                <w:lang w:val="en-US" w:eastAsia="zh-CN"/>
              </w:rPr>
              <w:t>（5）按规定设置标志标识。</w:t>
            </w:r>
          </w:p>
          <w:p w14:paraId="7DEC6CE4">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szCs w:val="21"/>
                <w:highlight w:val="none"/>
                <w:shd w:val="clear" w:color="auto" w:fill="auto"/>
                <w:lang w:val="en-US" w:eastAsia="zh-CN"/>
              </w:rPr>
            </w:pPr>
            <w:r>
              <w:rPr>
                <w:rFonts w:hint="default" w:ascii="Times New Roman" w:hAnsi="Times New Roman" w:eastAsia="宋体" w:cs="Times New Roman"/>
                <w:color w:val="auto"/>
                <w:szCs w:val="21"/>
                <w:highlight w:val="none"/>
                <w:shd w:val="clear" w:color="auto" w:fill="auto"/>
                <w:lang w:val="en-US" w:eastAsia="zh-CN"/>
              </w:rPr>
              <w:t>3、排污口规范化要求</w:t>
            </w:r>
          </w:p>
          <w:p w14:paraId="31B6E6DF">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szCs w:val="21"/>
                <w:highlight w:val="none"/>
                <w:shd w:val="clear" w:color="auto" w:fill="auto"/>
                <w:lang w:val="en-US" w:eastAsia="zh-CN"/>
              </w:rPr>
            </w:pPr>
            <w:r>
              <w:rPr>
                <w:rFonts w:hint="default" w:ascii="Times New Roman" w:hAnsi="Times New Roman" w:eastAsia="宋体" w:cs="Times New Roman"/>
                <w:color w:val="auto"/>
                <w:szCs w:val="21"/>
                <w:highlight w:val="none"/>
                <w:shd w:val="clear" w:color="auto" w:fill="auto"/>
                <w:lang w:val="en-US" w:eastAsia="zh-CN"/>
              </w:rPr>
              <w:t>（1）向环境排放污染物的排污口必须规范化。应便于采样与计量监测，便于日常现场监督检查。排污口位置须合理确定，依据环监〔1996〕470号文件要求进行规范化管理。</w:t>
            </w:r>
          </w:p>
          <w:p w14:paraId="2956D93E">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szCs w:val="21"/>
                <w:highlight w:val="none"/>
                <w:shd w:val="clear" w:color="auto" w:fill="auto"/>
                <w:lang w:val="en-US" w:eastAsia="zh-CN"/>
              </w:rPr>
            </w:pPr>
            <w:r>
              <w:rPr>
                <w:rFonts w:hint="default" w:ascii="Times New Roman" w:hAnsi="Times New Roman" w:eastAsia="宋体" w:cs="Times New Roman"/>
                <w:color w:val="auto"/>
                <w:szCs w:val="21"/>
                <w:highlight w:val="none"/>
                <w:shd w:val="clear" w:color="auto" w:fill="auto"/>
                <w:lang w:val="en-US" w:eastAsia="zh-CN"/>
              </w:rPr>
              <w:t>（2）排放污染物的采样点设置应按照《污染源监测技术规范》要求，设置在企业污染物总排口等处。</w:t>
            </w:r>
          </w:p>
          <w:p w14:paraId="38B0E6C2">
            <w:pPr>
              <w:pStyle w:val="9"/>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highlight w:val="none"/>
                <w:shd w:val="clear" w:color="auto" w:fill="auto"/>
                <w:lang w:val="en-US" w:eastAsia="zh-CN"/>
              </w:rPr>
            </w:pPr>
            <w:r>
              <w:rPr>
                <w:rFonts w:hint="default" w:ascii="Times New Roman" w:hAnsi="Times New Roman" w:eastAsia="宋体" w:cs="Times New Roman"/>
                <w:color w:val="auto"/>
                <w:szCs w:val="21"/>
                <w:highlight w:val="none"/>
                <w:shd w:val="clear" w:color="auto" w:fill="auto"/>
                <w:lang w:val="en-US" w:eastAsia="zh-CN"/>
              </w:rPr>
              <w:t>（3）企业污染物排放口标志，应按照《环境保护图形标志排放口》(15562.1-1995)及《环境保护图形标志固体废物储存(处置)场》(15562.2 1995)</w:t>
            </w:r>
            <w:r>
              <w:rPr>
                <w:rFonts w:hint="eastAsia"/>
                <w:color w:val="auto"/>
                <w:highlight w:val="none"/>
                <w:lang w:val="en-US" w:eastAsia="zh-CN"/>
              </w:rPr>
              <w:t>及修改单</w:t>
            </w:r>
            <w:r>
              <w:rPr>
                <w:rFonts w:hint="default" w:ascii="Times New Roman" w:hAnsi="Times New Roman" w:eastAsia="宋体" w:cs="Times New Roman"/>
                <w:color w:val="auto"/>
                <w:szCs w:val="21"/>
                <w:highlight w:val="none"/>
                <w:shd w:val="clear" w:color="auto" w:fill="auto"/>
                <w:lang w:val="en-US" w:eastAsia="zh-CN"/>
              </w:rPr>
              <w:t>的规定，设置环保部统一制作的环境保护图形标志牌，污染物排放口的环保图形标志牌，应当设置在靠近采样点的醒目处，标志牌设置高度为其上缘距地面2m。</w:t>
            </w:r>
          </w:p>
          <w:p w14:paraId="567F0520">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szCs w:val="21"/>
                <w:highlight w:val="none"/>
                <w:shd w:val="clear" w:color="auto" w:fill="auto"/>
                <w:lang w:val="en-US" w:eastAsia="zh-CN"/>
              </w:rPr>
            </w:pPr>
            <w:r>
              <w:rPr>
                <w:rFonts w:hint="default" w:ascii="Times New Roman" w:hAnsi="Times New Roman" w:eastAsia="宋体" w:cs="Times New Roman"/>
                <w:color w:val="auto"/>
                <w:szCs w:val="21"/>
                <w:highlight w:val="none"/>
                <w:shd w:val="clear" w:color="auto" w:fill="auto"/>
                <w:lang w:val="en-US" w:eastAsia="zh-CN"/>
              </w:rPr>
              <w:t>（4）要求使用</w:t>
            </w:r>
            <w:r>
              <w:rPr>
                <w:rFonts w:hint="eastAsia" w:cs="Times New Roman"/>
                <w:color w:val="auto"/>
                <w:szCs w:val="21"/>
                <w:highlight w:val="none"/>
                <w:shd w:val="clear" w:color="auto" w:fill="auto"/>
                <w:lang w:val="en-US" w:eastAsia="zh-CN"/>
              </w:rPr>
              <w:t>国家环保总局</w:t>
            </w:r>
            <w:r>
              <w:rPr>
                <w:rFonts w:hint="default" w:ascii="Times New Roman" w:hAnsi="Times New Roman" w:eastAsia="宋体" w:cs="Times New Roman"/>
                <w:color w:val="auto"/>
                <w:szCs w:val="21"/>
                <w:highlight w:val="none"/>
                <w:shd w:val="clear" w:color="auto" w:fill="auto"/>
                <w:lang w:val="en-US" w:eastAsia="zh-CN"/>
              </w:rPr>
              <w:t>统一印刷的《中华人民共和国规范化排污口标志登记证》，并按要求填写有关内容；</w:t>
            </w:r>
          </w:p>
          <w:p w14:paraId="16691392">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szCs w:val="21"/>
                <w:highlight w:val="none"/>
                <w:shd w:val="clear" w:color="auto" w:fill="auto"/>
                <w:lang w:val="en-US" w:eastAsia="zh-CN"/>
              </w:rPr>
            </w:pPr>
            <w:r>
              <w:rPr>
                <w:rFonts w:hint="default" w:ascii="Times New Roman" w:hAnsi="Times New Roman" w:eastAsia="宋体" w:cs="Times New Roman"/>
                <w:color w:val="auto"/>
                <w:szCs w:val="21"/>
                <w:highlight w:val="none"/>
                <w:shd w:val="clear" w:color="auto" w:fill="auto"/>
                <w:lang w:val="en-US" w:eastAsia="zh-CN"/>
              </w:rPr>
              <w:t>（5）根据排污口管理档案内容要求，项目建成后，应将主要污染物种类、数量、浓度、排放去向、达标情况及设施运行情况记录于档案。</w:t>
            </w:r>
          </w:p>
          <w:p w14:paraId="286ABFE7">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szCs w:val="21"/>
                <w:highlight w:val="none"/>
                <w:shd w:val="clear" w:color="auto" w:fill="auto"/>
                <w:lang w:val="en-US" w:eastAsia="zh-CN"/>
              </w:rPr>
            </w:pPr>
            <w:r>
              <w:rPr>
                <w:rFonts w:hint="default" w:ascii="Times New Roman" w:hAnsi="Times New Roman" w:eastAsia="宋体" w:cs="Times New Roman"/>
                <w:color w:val="auto"/>
                <w:szCs w:val="21"/>
                <w:highlight w:val="none"/>
                <w:shd w:val="clear" w:color="auto" w:fill="auto"/>
                <w:lang w:val="en-US" w:eastAsia="zh-CN"/>
              </w:rPr>
              <w:t>4、落实风险防范措施，强化环保设施安全生产，定期做好环保设施安全隐患排查治理，确保污染防治设施安全稳定运行。</w:t>
            </w:r>
          </w:p>
          <w:p w14:paraId="66FCD59C">
            <w:pPr>
              <w:keepNext w:val="0"/>
              <w:keepLines w:val="0"/>
              <w:suppressLineNumbers w:val="0"/>
              <w:adjustRightInd w:val="0"/>
              <w:snapToGrid w:val="0"/>
              <w:spacing w:before="0" w:beforeAutospacing="0" w:after="0" w:afterAutospacing="0"/>
              <w:ind w:left="0" w:right="0"/>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eastAsia" w:ascii="Times New Roman" w:hAnsi="Times New Roman" w:eastAsia="宋体" w:cs="Times New Roman"/>
                <w:color w:val="auto"/>
                <w:kern w:val="2"/>
                <w:sz w:val="21"/>
                <w:szCs w:val="21"/>
                <w:highlight w:val="none"/>
                <w:shd w:val="clear" w:color="auto" w:fill="auto"/>
                <w:lang w:val="en-US" w:eastAsia="zh-CN" w:bidi="ar-SA"/>
              </w:rPr>
              <w:t>5、项目审批完成后建设单位应按照</w:t>
            </w:r>
            <w:r>
              <w:rPr>
                <w:rFonts w:hint="default" w:ascii="Times New Roman" w:hAnsi="Times New Roman" w:eastAsia="宋体" w:cs="Times New Roman"/>
                <w:color w:val="auto"/>
                <w:kern w:val="2"/>
                <w:sz w:val="21"/>
                <w:szCs w:val="21"/>
                <w:highlight w:val="none"/>
                <w:shd w:val="clear" w:color="auto" w:fill="auto"/>
                <w:lang w:val="en-US" w:eastAsia="zh-CN" w:bidi="ar-SA"/>
              </w:rPr>
              <w:t>《建设项目竣工环境保护验收暂行办法》的公告（国环规环评）</w:t>
            </w:r>
            <w:r>
              <w:rPr>
                <w:rFonts w:hint="eastAsia" w:ascii="宋体" w:hAnsi="宋体" w:eastAsia="宋体" w:cs="宋体"/>
                <w:color w:val="auto"/>
                <w:kern w:val="2"/>
                <w:sz w:val="21"/>
                <w:szCs w:val="21"/>
                <w:highlight w:val="none"/>
                <w:shd w:val="clear" w:color="auto" w:fill="auto"/>
                <w:lang w:val="en-US" w:eastAsia="zh-CN" w:bidi="ar-SA"/>
              </w:rPr>
              <w:t>〔</w:t>
            </w:r>
            <w:r>
              <w:rPr>
                <w:rFonts w:hint="default" w:ascii="Times New Roman" w:hAnsi="Times New Roman" w:eastAsia="宋体" w:cs="Times New Roman"/>
                <w:color w:val="auto"/>
                <w:kern w:val="2"/>
                <w:sz w:val="21"/>
                <w:szCs w:val="21"/>
                <w:highlight w:val="none"/>
                <w:shd w:val="clear" w:color="auto" w:fill="auto"/>
                <w:lang w:val="en-US" w:eastAsia="zh-CN" w:bidi="ar-SA"/>
              </w:rPr>
              <w:t>2017</w:t>
            </w:r>
            <w:r>
              <w:rPr>
                <w:rFonts w:hint="eastAsia" w:ascii="宋体" w:hAnsi="宋体" w:eastAsia="宋体" w:cs="宋体"/>
                <w:color w:val="auto"/>
                <w:kern w:val="2"/>
                <w:sz w:val="21"/>
                <w:szCs w:val="21"/>
                <w:highlight w:val="none"/>
                <w:shd w:val="clear" w:color="auto" w:fill="auto"/>
                <w:lang w:val="en-US" w:eastAsia="zh-CN" w:bidi="ar-SA"/>
              </w:rPr>
              <w:t>〕</w:t>
            </w:r>
            <w:r>
              <w:rPr>
                <w:rFonts w:hint="default" w:ascii="Times New Roman" w:hAnsi="Times New Roman" w:eastAsia="宋体" w:cs="Times New Roman"/>
                <w:color w:val="auto"/>
                <w:kern w:val="2"/>
                <w:sz w:val="21"/>
                <w:szCs w:val="21"/>
                <w:highlight w:val="none"/>
                <w:shd w:val="clear" w:color="auto" w:fill="auto"/>
                <w:lang w:val="en-US" w:eastAsia="zh-CN" w:bidi="ar-SA"/>
              </w:rPr>
              <w:t>4 号</w:t>
            </w:r>
            <w:r>
              <w:rPr>
                <w:rFonts w:hint="eastAsia" w:ascii="Times New Roman" w:hAnsi="Times New Roman" w:eastAsia="宋体" w:cs="Times New Roman"/>
                <w:color w:val="auto"/>
                <w:kern w:val="2"/>
                <w:sz w:val="21"/>
                <w:szCs w:val="21"/>
                <w:highlight w:val="none"/>
                <w:shd w:val="clear" w:color="auto" w:fill="auto"/>
                <w:lang w:val="en-US" w:eastAsia="zh-CN" w:bidi="ar-SA"/>
              </w:rPr>
              <w:t>要求尽快完成自主验收</w:t>
            </w:r>
            <w:r>
              <w:rPr>
                <w:rFonts w:hint="default" w:ascii="Times New Roman" w:hAnsi="Times New Roman" w:eastAsia="宋体" w:cs="Times New Roman"/>
                <w:color w:val="auto"/>
                <w:kern w:val="2"/>
                <w:sz w:val="21"/>
                <w:szCs w:val="21"/>
                <w:highlight w:val="none"/>
                <w:shd w:val="clear" w:color="auto" w:fill="auto"/>
                <w:lang w:val="en-US" w:eastAsia="zh-CN" w:bidi="ar-SA"/>
              </w:rPr>
              <w:t>。</w:t>
            </w:r>
          </w:p>
          <w:p w14:paraId="42970793">
            <w:pPr>
              <w:pStyle w:val="1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textAlignment w:val="auto"/>
              <w:rPr>
                <w:rFonts w:hint="default" w:ascii="Calibri" w:hAnsi="Calibri" w:eastAsia="宋体" w:cs="Times New Roman"/>
                <w:color w:val="auto"/>
                <w:highlight w:val="none"/>
                <w:lang w:val="en-US" w:eastAsia="zh-CN"/>
              </w:rPr>
            </w:pPr>
            <w:r>
              <w:rPr>
                <w:rFonts w:hint="eastAsia" w:ascii="Times New Roman" w:hAnsi="Times New Roman" w:eastAsia="宋体" w:cs="Times New Roman"/>
                <w:color w:val="auto"/>
                <w:kern w:val="2"/>
                <w:sz w:val="21"/>
                <w:szCs w:val="21"/>
                <w:highlight w:val="none"/>
                <w:shd w:val="clear" w:color="auto" w:fill="auto"/>
                <w:lang w:val="en-US" w:eastAsia="zh-CN" w:bidi="ar-SA"/>
              </w:rPr>
              <w:t>6、</w:t>
            </w:r>
            <w:r>
              <w:rPr>
                <w:rFonts w:hint="eastAsia" w:cs="Times New Roman"/>
                <w:color w:val="auto"/>
                <w:kern w:val="2"/>
                <w:sz w:val="21"/>
                <w:szCs w:val="21"/>
                <w:highlight w:val="none"/>
                <w:shd w:val="clear" w:color="auto" w:fill="auto"/>
                <w:lang w:val="en-US" w:eastAsia="zh-CN" w:bidi="ar-SA"/>
              </w:rPr>
              <w:t>建议</w:t>
            </w:r>
            <w:r>
              <w:rPr>
                <w:rFonts w:hint="eastAsia" w:ascii="Times New Roman" w:hAnsi="Times New Roman" w:eastAsia="宋体" w:cs="Times New Roman"/>
                <w:color w:val="auto"/>
                <w:kern w:val="2"/>
                <w:sz w:val="21"/>
                <w:szCs w:val="21"/>
                <w:highlight w:val="none"/>
                <w:shd w:val="clear" w:color="auto" w:fill="auto"/>
                <w:lang w:val="en-US" w:eastAsia="zh-CN" w:bidi="ar-SA"/>
              </w:rPr>
              <w:t>生产车间安装电动门，加强精细化管理，控制无组织粉尘污染。</w:t>
            </w:r>
          </w:p>
        </w:tc>
      </w:tr>
    </w:tbl>
    <w:p w14:paraId="5A3897D8">
      <w:pPr>
        <w:pStyle w:val="22"/>
        <w:jc w:val="center"/>
        <w:outlineLvl w:val="0"/>
        <w:rPr>
          <w:rFonts w:ascii="黑体" w:eastAsia="黑体" w:cs="黑体"/>
          <w:color w:val="auto"/>
          <w:sz w:val="30"/>
          <w:szCs w:val="30"/>
          <w:highlight w:val="none"/>
          <w:shd w:val="clear" w:color="auto" w:fill="auto"/>
        </w:rPr>
      </w:pPr>
      <w:r>
        <w:rPr>
          <w:snapToGrid w:val="0"/>
          <w:color w:val="auto"/>
          <w:highlight w:val="none"/>
          <w:shd w:val="clear" w:color="auto" w:fill="auto"/>
          <w:lang w:bidi="ar"/>
        </w:rPr>
        <w:br w:type="page"/>
      </w:r>
      <w:r>
        <w:rPr>
          <w:rFonts w:ascii="黑体" w:eastAsia="黑体" w:cs="黑体"/>
          <w:snapToGrid w:val="0"/>
          <w:color w:val="auto"/>
          <w:sz w:val="30"/>
          <w:szCs w:val="30"/>
          <w:highlight w:val="none"/>
          <w:shd w:val="clear" w:color="auto" w:fill="auto"/>
        </w:rPr>
        <w:t>六、结论</w:t>
      </w:r>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613CD2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Borders>
              <w:top w:val="single" w:color="auto" w:sz="8" w:space="0"/>
              <w:left w:val="single" w:color="auto" w:sz="8" w:space="0"/>
              <w:bottom w:val="single" w:color="auto" w:sz="8" w:space="0"/>
              <w:right w:val="single" w:color="auto" w:sz="8" w:space="0"/>
            </w:tcBorders>
            <w:noWrap w:val="0"/>
            <w:vAlign w:val="center"/>
          </w:tcPr>
          <w:p w14:paraId="1B2BCE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Times New Roman" w:eastAsia="宋体" w:cs="宋体"/>
                <w:color w:val="auto"/>
                <w:sz w:val="24"/>
                <w:highlight w:val="none"/>
                <w:shd w:val="clear" w:color="auto" w:fill="auto"/>
              </w:rPr>
            </w:pPr>
            <w:r>
              <w:rPr>
                <w:rFonts w:hint="eastAsia" w:ascii="宋体" w:hAnsi="Times New Roman" w:eastAsia="宋体" w:cs="宋体"/>
                <w:color w:val="auto"/>
                <w:sz w:val="24"/>
                <w:highlight w:val="none"/>
                <w:shd w:val="clear" w:color="auto" w:fill="auto"/>
              </w:rPr>
              <w:t>综上所述，本建设项目符合国家相关产业政策要求。本项目只要认真落实本报告中提出的各项污染防治措施及建议，加强环境管理和计划，其噪声、废水、废气、固废及环境风险等对周围环境影响较小，从环境保护角度来看，本项目建设环境影响可行。</w:t>
            </w:r>
          </w:p>
        </w:tc>
      </w:tr>
    </w:tbl>
    <w:p w14:paraId="2FD3FF27">
      <w:pPr>
        <w:rPr>
          <w:rFonts w:hint="eastAsia" w:ascii="宋体" w:hAnsi="Times New Roman"/>
          <w:color w:val="auto"/>
          <w:highlight w:val="none"/>
          <w:shd w:val="clear" w:color="auto" w:fill="auto"/>
          <w:lang w:bidi="ar"/>
        </w:rPr>
        <w:sectPr>
          <w:pgSz w:w="11906" w:h="16838"/>
          <w:pgMar w:top="1702" w:right="1531" w:bottom="1702" w:left="1531" w:header="851" w:footer="851" w:gutter="0"/>
          <w:pgNumType w:fmt="decimal"/>
          <w:cols w:space="720" w:num="1"/>
          <w:docGrid w:type="lines" w:linePitch="312" w:charSpace="0"/>
        </w:sectPr>
      </w:pPr>
    </w:p>
    <w:p w14:paraId="113DEB2D">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textAlignment w:val="auto"/>
        <w:outlineLvl w:val="0"/>
        <w:rPr>
          <w:rFonts w:ascii="黑体" w:eastAsia="黑体" w:cs="黑体"/>
          <w:color w:val="auto"/>
          <w:sz w:val="32"/>
          <w:szCs w:val="32"/>
          <w:highlight w:val="none"/>
          <w:shd w:val="clear" w:color="auto" w:fill="auto"/>
        </w:rPr>
      </w:pPr>
      <w:r>
        <w:rPr>
          <w:rFonts w:ascii="黑体" w:eastAsia="黑体" w:cs="黑体"/>
          <w:snapToGrid w:val="0"/>
          <w:color w:val="auto"/>
          <w:sz w:val="32"/>
          <w:szCs w:val="32"/>
          <w:highlight w:val="none"/>
          <w:shd w:val="clear" w:color="auto" w:fill="auto"/>
        </w:rPr>
        <w:t>附表</w:t>
      </w:r>
    </w:p>
    <w:p w14:paraId="4F844065">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jc w:val="center"/>
        <w:textAlignment w:val="auto"/>
        <w:outlineLvl w:val="0"/>
        <w:rPr>
          <w:rFonts w:ascii="方正小标宋_GBK" w:eastAsia="方正小标宋_GBK" w:cs="方正小标宋_GBK"/>
          <w:color w:val="auto"/>
          <w:sz w:val="38"/>
          <w:szCs w:val="38"/>
          <w:highlight w:val="none"/>
          <w:shd w:val="clear" w:color="auto" w:fill="auto"/>
        </w:rPr>
      </w:pPr>
      <w:r>
        <w:rPr>
          <w:rFonts w:ascii="方正小标宋_GBK" w:eastAsia="方正小标宋_GBK" w:cs="方正小标宋_GBK"/>
          <w:snapToGrid w:val="0"/>
          <w:color w:val="auto"/>
          <w:sz w:val="38"/>
          <w:szCs w:val="38"/>
          <w:highlight w:val="none"/>
          <w:shd w:val="clear" w:color="auto" w:fill="auto"/>
        </w:rPr>
        <w:t>建设项目污染物排放量汇总表</w:t>
      </w:r>
    </w:p>
    <w:tbl>
      <w:tblPr>
        <w:tblStyle w:val="25"/>
        <w:tblW w:w="1391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23"/>
        <w:gridCol w:w="1936"/>
        <w:gridCol w:w="1448"/>
        <w:gridCol w:w="1276"/>
        <w:gridCol w:w="1702"/>
        <w:gridCol w:w="1559"/>
        <w:gridCol w:w="1625"/>
        <w:gridCol w:w="1755"/>
        <w:gridCol w:w="1292"/>
      </w:tblGrid>
      <w:tr w14:paraId="0F7874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323" w:type="dxa"/>
            <w:tcBorders>
              <w:top w:val="single" w:color="auto" w:sz="8" w:space="0"/>
              <w:left w:val="single" w:color="auto" w:sz="8" w:space="0"/>
              <w:bottom w:val="single" w:color="auto" w:sz="4" w:space="0"/>
              <w:right w:val="single" w:color="auto" w:sz="4" w:space="0"/>
              <w:tl2br w:val="single" w:color="auto" w:sz="4" w:space="0"/>
            </w:tcBorders>
            <w:noWrap w:val="0"/>
            <w:tcMar>
              <w:left w:w="28" w:type="dxa"/>
              <w:right w:w="28" w:type="dxa"/>
            </w:tcMar>
            <w:vAlign w:val="center"/>
          </w:tcPr>
          <w:p w14:paraId="4DA92010">
            <w:pPr>
              <w:pStyle w:val="38"/>
              <w:widowControl/>
              <w:spacing w:before="31" w:line="240" w:lineRule="auto"/>
              <w:jc w:val="right"/>
              <w:rPr>
                <w:rFonts w:ascii="黑体" w:hAnsi="宋体" w:eastAsia="黑体" w:cs="宋体"/>
                <w:color w:val="auto"/>
                <w:spacing w:val="-6"/>
                <w:kern w:val="21"/>
                <w:szCs w:val="21"/>
                <w:highlight w:val="none"/>
                <w:shd w:val="clear" w:color="auto" w:fill="auto"/>
              </w:rPr>
            </w:pPr>
            <w:r>
              <w:rPr>
                <w:rFonts w:ascii="黑体" w:hAnsi="宋体" w:eastAsia="黑体" w:cs="宋体"/>
                <w:snapToGrid w:val="0"/>
                <w:color w:val="auto"/>
                <w:spacing w:val="-6"/>
                <w:kern w:val="21"/>
                <w:szCs w:val="21"/>
                <w:highlight w:val="none"/>
                <w:shd w:val="clear" w:color="auto" w:fill="auto"/>
              </w:rPr>
              <w:t>项目</w:t>
            </w:r>
          </w:p>
          <w:p w14:paraId="164F7C78">
            <w:pPr>
              <w:pStyle w:val="38"/>
              <w:widowControl/>
              <w:spacing w:before="31" w:line="240" w:lineRule="auto"/>
              <w:jc w:val="left"/>
              <w:rPr>
                <w:rFonts w:ascii="黑体" w:hAnsi="宋体" w:eastAsia="黑体" w:cs="宋体"/>
                <w:color w:val="auto"/>
                <w:spacing w:val="-6"/>
                <w:kern w:val="21"/>
                <w:szCs w:val="21"/>
                <w:highlight w:val="none"/>
                <w:shd w:val="clear" w:color="auto" w:fill="auto"/>
              </w:rPr>
            </w:pPr>
            <w:r>
              <w:rPr>
                <w:rFonts w:ascii="黑体" w:hAnsi="宋体" w:eastAsia="黑体" w:cs="宋体"/>
                <w:snapToGrid w:val="0"/>
                <w:color w:val="auto"/>
                <w:spacing w:val="-6"/>
                <w:kern w:val="21"/>
                <w:szCs w:val="21"/>
                <w:highlight w:val="none"/>
                <w:shd w:val="clear" w:color="auto" w:fill="auto"/>
              </w:rPr>
              <w:t>分类</w:t>
            </w:r>
          </w:p>
        </w:tc>
        <w:tc>
          <w:tcPr>
            <w:tcW w:w="1936" w:type="dxa"/>
            <w:tcBorders>
              <w:top w:val="single" w:color="auto" w:sz="8" w:space="0"/>
              <w:left w:val="single" w:color="auto" w:sz="4" w:space="0"/>
              <w:bottom w:val="single" w:color="auto" w:sz="4" w:space="0"/>
              <w:right w:val="single" w:color="auto" w:sz="4" w:space="0"/>
            </w:tcBorders>
            <w:noWrap w:val="0"/>
            <w:tcMar>
              <w:left w:w="28" w:type="dxa"/>
              <w:right w:w="28" w:type="dxa"/>
            </w:tcMar>
            <w:vAlign w:val="center"/>
          </w:tcPr>
          <w:p w14:paraId="5A72EB3B">
            <w:pPr>
              <w:pStyle w:val="38"/>
              <w:widowControl/>
              <w:spacing w:before="31" w:line="240" w:lineRule="auto"/>
              <w:rPr>
                <w:rFonts w:ascii="黑体" w:hAnsi="宋体" w:eastAsia="黑体" w:cs="宋体"/>
                <w:color w:val="auto"/>
                <w:spacing w:val="-6"/>
                <w:kern w:val="21"/>
                <w:szCs w:val="21"/>
                <w:highlight w:val="none"/>
                <w:shd w:val="clear" w:color="auto" w:fill="auto"/>
              </w:rPr>
            </w:pPr>
            <w:r>
              <w:rPr>
                <w:rFonts w:ascii="黑体" w:hAnsi="宋体" w:eastAsia="黑体" w:cs="宋体"/>
                <w:snapToGrid w:val="0"/>
                <w:color w:val="auto"/>
                <w:spacing w:val="-6"/>
                <w:kern w:val="21"/>
                <w:szCs w:val="21"/>
                <w:highlight w:val="none"/>
                <w:shd w:val="clear" w:color="auto" w:fill="auto"/>
              </w:rPr>
              <w:t>污染物名称</w:t>
            </w:r>
          </w:p>
        </w:tc>
        <w:tc>
          <w:tcPr>
            <w:tcW w:w="1448" w:type="dxa"/>
            <w:tcBorders>
              <w:top w:val="single" w:color="auto" w:sz="8" w:space="0"/>
              <w:left w:val="single" w:color="auto" w:sz="4" w:space="0"/>
              <w:bottom w:val="single" w:color="auto" w:sz="4" w:space="0"/>
              <w:right w:val="single" w:color="auto" w:sz="4" w:space="0"/>
            </w:tcBorders>
            <w:noWrap w:val="0"/>
            <w:tcMar>
              <w:left w:w="28" w:type="dxa"/>
              <w:right w:w="28" w:type="dxa"/>
            </w:tcMar>
            <w:vAlign w:val="center"/>
          </w:tcPr>
          <w:p w14:paraId="1C8B94AE">
            <w:pPr>
              <w:pStyle w:val="38"/>
              <w:widowControl/>
              <w:spacing w:before="31" w:line="240" w:lineRule="auto"/>
              <w:rPr>
                <w:rFonts w:ascii="黑体" w:hAnsi="宋体" w:eastAsia="黑体" w:cs="黑体"/>
                <w:color w:val="auto"/>
                <w:spacing w:val="-6"/>
                <w:kern w:val="21"/>
                <w:szCs w:val="21"/>
                <w:highlight w:val="none"/>
                <w:shd w:val="clear" w:color="auto" w:fill="auto"/>
              </w:rPr>
            </w:pPr>
            <w:r>
              <w:rPr>
                <w:rFonts w:ascii="黑体" w:hAnsi="宋体" w:eastAsia="黑体" w:cs="黑体"/>
                <w:snapToGrid w:val="0"/>
                <w:color w:val="auto"/>
                <w:spacing w:val="-6"/>
                <w:kern w:val="21"/>
                <w:szCs w:val="21"/>
                <w:highlight w:val="none"/>
                <w:shd w:val="clear" w:color="auto" w:fill="auto"/>
              </w:rPr>
              <w:t>现有工程</w:t>
            </w:r>
          </w:p>
          <w:p w14:paraId="54225AA0">
            <w:pPr>
              <w:pStyle w:val="38"/>
              <w:widowControl/>
              <w:spacing w:before="31" w:line="240" w:lineRule="auto"/>
              <w:rPr>
                <w:rFonts w:ascii="黑体" w:hAnsi="宋体" w:eastAsia="黑体" w:cs="黑体"/>
                <w:snapToGrid w:val="0"/>
                <w:color w:val="auto"/>
                <w:spacing w:val="-6"/>
                <w:kern w:val="21"/>
                <w:szCs w:val="21"/>
                <w:highlight w:val="none"/>
                <w:shd w:val="clear" w:color="auto" w:fill="auto"/>
              </w:rPr>
            </w:pPr>
            <w:r>
              <w:rPr>
                <w:rFonts w:ascii="黑体" w:hAnsi="宋体" w:eastAsia="黑体" w:cs="黑体"/>
                <w:snapToGrid w:val="0"/>
                <w:color w:val="auto"/>
                <w:spacing w:val="-6"/>
                <w:kern w:val="21"/>
                <w:szCs w:val="21"/>
                <w:highlight w:val="none"/>
                <w:shd w:val="clear" w:color="auto" w:fill="auto"/>
              </w:rPr>
              <w:t>排放量（固体废物产生量）</w:t>
            </w:r>
            <w:r>
              <w:rPr>
                <w:rFonts w:ascii="黑体" w:hAnsi="宋体" w:eastAsia="黑体" w:cs="黑体"/>
                <w:color w:val="auto"/>
                <w:spacing w:val="-6"/>
                <w:kern w:val="21"/>
                <w:szCs w:val="21"/>
                <w:highlight w:val="none"/>
                <w:shd w:val="clear" w:color="auto" w:fill="auto"/>
              </w:rPr>
              <w:fldChar w:fldCharType="begin"/>
            </w:r>
            <w:r>
              <w:rPr>
                <w:rFonts w:ascii="黑体" w:hAnsi="宋体" w:eastAsia="黑体" w:cs="黑体"/>
                <w:snapToGrid w:val="0"/>
                <w:color w:val="auto"/>
                <w:spacing w:val="-6"/>
                <w:kern w:val="21"/>
                <w:szCs w:val="21"/>
                <w:highlight w:val="none"/>
                <w:shd w:val="clear" w:color="auto" w:fill="auto"/>
              </w:rPr>
              <w:instrText xml:space="preserve"> = 1 \* GB3 \* MERGEFORMAT </w:instrText>
            </w:r>
            <w:r>
              <w:rPr>
                <w:rFonts w:ascii="黑体" w:hAnsi="宋体" w:eastAsia="黑体" w:cs="黑体"/>
                <w:color w:val="auto"/>
                <w:spacing w:val="-6"/>
                <w:kern w:val="21"/>
                <w:szCs w:val="21"/>
                <w:highlight w:val="none"/>
                <w:shd w:val="clear" w:color="auto" w:fill="auto"/>
              </w:rPr>
              <w:fldChar w:fldCharType="separate"/>
            </w:r>
            <w:r>
              <w:rPr>
                <w:rFonts w:ascii="黑体" w:hAnsi="宋体" w:eastAsia="黑体" w:cs="宋体"/>
                <w:color w:val="auto"/>
                <w:kern w:val="2"/>
                <w:szCs w:val="21"/>
                <w:highlight w:val="none"/>
                <w:shd w:val="clear" w:color="auto" w:fill="auto"/>
              </w:rPr>
              <w:t>①</w:t>
            </w:r>
            <w:r>
              <w:rPr>
                <w:rFonts w:ascii="黑体" w:hAnsi="宋体" w:eastAsia="黑体" w:cs="黑体"/>
                <w:color w:val="auto"/>
                <w:spacing w:val="-6"/>
                <w:kern w:val="21"/>
                <w:szCs w:val="21"/>
                <w:highlight w:val="none"/>
                <w:shd w:val="clear" w:color="auto" w:fill="auto"/>
              </w:rPr>
              <w:fldChar w:fldCharType="end"/>
            </w:r>
          </w:p>
        </w:tc>
        <w:tc>
          <w:tcPr>
            <w:tcW w:w="1276" w:type="dxa"/>
            <w:tcBorders>
              <w:top w:val="single" w:color="auto" w:sz="8" w:space="0"/>
              <w:left w:val="single" w:color="auto" w:sz="4" w:space="0"/>
              <w:bottom w:val="single" w:color="auto" w:sz="4" w:space="0"/>
              <w:right w:val="single" w:color="auto" w:sz="4" w:space="0"/>
            </w:tcBorders>
            <w:noWrap w:val="0"/>
            <w:tcMar>
              <w:left w:w="28" w:type="dxa"/>
              <w:right w:w="28" w:type="dxa"/>
            </w:tcMar>
            <w:vAlign w:val="center"/>
          </w:tcPr>
          <w:p w14:paraId="53213EE1">
            <w:pPr>
              <w:pStyle w:val="38"/>
              <w:widowControl/>
              <w:spacing w:before="31" w:line="240" w:lineRule="auto"/>
              <w:rPr>
                <w:rFonts w:ascii="黑体" w:hAnsi="宋体" w:eastAsia="黑体" w:cs="黑体"/>
                <w:color w:val="auto"/>
                <w:spacing w:val="-6"/>
                <w:kern w:val="21"/>
                <w:szCs w:val="21"/>
                <w:highlight w:val="none"/>
                <w:shd w:val="clear" w:color="auto" w:fill="auto"/>
              </w:rPr>
            </w:pPr>
            <w:r>
              <w:rPr>
                <w:rFonts w:ascii="黑体" w:hAnsi="宋体" w:eastAsia="黑体" w:cs="黑体"/>
                <w:snapToGrid w:val="0"/>
                <w:color w:val="auto"/>
                <w:spacing w:val="-6"/>
                <w:kern w:val="21"/>
                <w:szCs w:val="21"/>
                <w:highlight w:val="none"/>
                <w:shd w:val="clear" w:color="auto" w:fill="auto"/>
              </w:rPr>
              <w:t>现有工程</w:t>
            </w:r>
          </w:p>
          <w:p w14:paraId="1D7F503F">
            <w:pPr>
              <w:pStyle w:val="38"/>
              <w:widowControl/>
              <w:spacing w:before="31" w:line="240" w:lineRule="auto"/>
              <w:rPr>
                <w:rFonts w:ascii="黑体" w:hAnsi="宋体" w:eastAsia="黑体" w:cs="黑体"/>
                <w:color w:val="auto"/>
                <w:spacing w:val="-6"/>
                <w:kern w:val="21"/>
                <w:szCs w:val="21"/>
                <w:highlight w:val="none"/>
                <w:shd w:val="clear" w:color="auto" w:fill="auto"/>
              </w:rPr>
            </w:pPr>
            <w:r>
              <w:rPr>
                <w:rFonts w:ascii="黑体" w:hAnsi="宋体" w:eastAsia="黑体" w:cs="黑体"/>
                <w:snapToGrid w:val="0"/>
                <w:color w:val="auto"/>
                <w:spacing w:val="-6"/>
                <w:kern w:val="21"/>
                <w:szCs w:val="21"/>
                <w:highlight w:val="none"/>
                <w:shd w:val="clear" w:color="auto" w:fill="auto"/>
              </w:rPr>
              <w:t>许可排放量</w:t>
            </w:r>
          </w:p>
          <w:p w14:paraId="6534EB49">
            <w:pPr>
              <w:pStyle w:val="38"/>
              <w:widowControl/>
              <w:spacing w:before="31"/>
              <w:rPr>
                <w:rFonts w:ascii="黑体" w:hAnsi="宋体" w:eastAsia="黑体" w:cs="黑体"/>
                <w:snapToGrid w:val="0"/>
                <w:color w:val="auto"/>
                <w:spacing w:val="-6"/>
                <w:kern w:val="21"/>
                <w:szCs w:val="21"/>
                <w:highlight w:val="none"/>
                <w:shd w:val="clear" w:color="auto" w:fill="auto"/>
              </w:rPr>
            </w:pPr>
            <w:r>
              <w:rPr>
                <w:rFonts w:ascii="黑体" w:hAnsi="宋体" w:eastAsia="黑体" w:cs="黑体"/>
                <w:color w:val="auto"/>
                <w:spacing w:val="-6"/>
                <w:kern w:val="21"/>
                <w:szCs w:val="21"/>
                <w:highlight w:val="none"/>
                <w:shd w:val="clear" w:color="auto" w:fill="auto"/>
              </w:rPr>
              <w:fldChar w:fldCharType="begin"/>
            </w:r>
            <w:r>
              <w:rPr>
                <w:rFonts w:ascii="黑体" w:hAnsi="宋体" w:eastAsia="黑体" w:cs="黑体"/>
                <w:color w:val="auto"/>
                <w:spacing w:val="-6"/>
                <w:kern w:val="21"/>
                <w:szCs w:val="21"/>
                <w:highlight w:val="none"/>
                <w:shd w:val="clear" w:color="auto" w:fill="auto"/>
              </w:rPr>
              <w:instrText xml:space="preserve"> </w:instrText>
            </w:r>
            <w:r>
              <w:rPr>
                <w:rFonts w:ascii="黑体" w:hAnsi="宋体" w:eastAsia="黑体" w:cs="黑体"/>
                <w:snapToGrid w:val="0"/>
                <w:color w:val="auto"/>
                <w:spacing w:val="-6"/>
                <w:kern w:val="21"/>
                <w:szCs w:val="21"/>
                <w:highlight w:val="none"/>
                <w:shd w:val="clear" w:color="auto" w:fill="auto"/>
              </w:rPr>
              <w:instrText xml:space="preserve">= 2 \* GB3 \* MERGEFORMAT </w:instrText>
            </w:r>
            <w:r>
              <w:rPr>
                <w:rFonts w:ascii="黑体" w:hAnsi="宋体" w:eastAsia="黑体" w:cs="黑体"/>
                <w:color w:val="auto"/>
                <w:spacing w:val="-6"/>
                <w:kern w:val="21"/>
                <w:szCs w:val="21"/>
                <w:highlight w:val="none"/>
                <w:shd w:val="clear" w:color="auto" w:fill="auto"/>
              </w:rPr>
              <w:fldChar w:fldCharType="separate"/>
            </w:r>
            <w:r>
              <w:rPr>
                <w:rFonts w:ascii="黑体" w:hAnsi="宋体" w:eastAsia="黑体" w:cs="宋体"/>
                <w:snapToGrid w:val="0"/>
                <w:color w:val="auto"/>
                <w:spacing w:val="-6"/>
                <w:kern w:val="21"/>
                <w:szCs w:val="21"/>
                <w:highlight w:val="none"/>
                <w:shd w:val="clear" w:color="auto" w:fill="auto"/>
              </w:rPr>
              <w:t>②</w:t>
            </w:r>
            <w:r>
              <w:rPr>
                <w:rFonts w:ascii="黑体" w:hAnsi="宋体" w:eastAsia="黑体" w:cs="黑体"/>
                <w:color w:val="auto"/>
                <w:spacing w:val="-6"/>
                <w:kern w:val="21"/>
                <w:szCs w:val="21"/>
                <w:highlight w:val="none"/>
                <w:shd w:val="clear" w:color="auto" w:fill="auto"/>
              </w:rPr>
              <w:fldChar w:fldCharType="end"/>
            </w:r>
          </w:p>
        </w:tc>
        <w:tc>
          <w:tcPr>
            <w:tcW w:w="1702" w:type="dxa"/>
            <w:tcBorders>
              <w:top w:val="single" w:color="auto" w:sz="8" w:space="0"/>
              <w:left w:val="single" w:color="auto" w:sz="4" w:space="0"/>
              <w:bottom w:val="single" w:color="auto" w:sz="4" w:space="0"/>
              <w:right w:val="single" w:color="auto" w:sz="4" w:space="0"/>
            </w:tcBorders>
            <w:noWrap w:val="0"/>
            <w:tcMar>
              <w:left w:w="28" w:type="dxa"/>
              <w:right w:w="28" w:type="dxa"/>
            </w:tcMar>
            <w:vAlign w:val="center"/>
          </w:tcPr>
          <w:p w14:paraId="1699D894">
            <w:pPr>
              <w:pStyle w:val="38"/>
              <w:widowControl/>
              <w:spacing w:before="31" w:line="240" w:lineRule="auto"/>
              <w:rPr>
                <w:rFonts w:ascii="黑体" w:hAnsi="宋体" w:eastAsia="黑体" w:cs="黑体"/>
                <w:color w:val="auto"/>
                <w:spacing w:val="-6"/>
                <w:kern w:val="21"/>
                <w:szCs w:val="21"/>
                <w:highlight w:val="none"/>
                <w:shd w:val="clear" w:color="auto" w:fill="auto"/>
              </w:rPr>
            </w:pPr>
            <w:r>
              <w:rPr>
                <w:rFonts w:ascii="黑体" w:hAnsi="宋体" w:eastAsia="黑体" w:cs="黑体"/>
                <w:snapToGrid w:val="0"/>
                <w:color w:val="auto"/>
                <w:spacing w:val="-6"/>
                <w:kern w:val="21"/>
                <w:szCs w:val="21"/>
                <w:highlight w:val="none"/>
                <w:shd w:val="clear" w:color="auto" w:fill="auto"/>
              </w:rPr>
              <w:t>在建工程</w:t>
            </w:r>
          </w:p>
          <w:p w14:paraId="77E7EBCE">
            <w:pPr>
              <w:pStyle w:val="38"/>
              <w:widowControl/>
              <w:spacing w:before="31" w:line="240" w:lineRule="auto"/>
              <w:rPr>
                <w:rFonts w:ascii="黑体" w:hAnsi="宋体" w:eastAsia="黑体" w:cs="黑体"/>
                <w:snapToGrid w:val="0"/>
                <w:color w:val="auto"/>
                <w:spacing w:val="-6"/>
                <w:kern w:val="21"/>
                <w:szCs w:val="21"/>
                <w:highlight w:val="none"/>
                <w:shd w:val="clear" w:color="auto" w:fill="auto"/>
              </w:rPr>
            </w:pPr>
            <w:r>
              <w:rPr>
                <w:rFonts w:ascii="黑体" w:hAnsi="宋体" w:eastAsia="黑体" w:cs="黑体"/>
                <w:snapToGrid w:val="0"/>
                <w:color w:val="auto"/>
                <w:spacing w:val="-6"/>
                <w:kern w:val="21"/>
                <w:szCs w:val="21"/>
                <w:highlight w:val="none"/>
                <w:shd w:val="clear" w:color="auto" w:fill="auto"/>
              </w:rPr>
              <w:t>排放量（固体废物产生量）</w:t>
            </w:r>
            <w:r>
              <w:rPr>
                <w:rFonts w:ascii="黑体" w:hAnsi="宋体" w:eastAsia="黑体" w:cs="黑体"/>
                <w:color w:val="auto"/>
                <w:spacing w:val="-6"/>
                <w:kern w:val="21"/>
                <w:szCs w:val="21"/>
                <w:highlight w:val="none"/>
                <w:shd w:val="clear" w:color="auto" w:fill="auto"/>
              </w:rPr>
              <w:fldChar w:fldCharType="begin"/>
            </w:r>
            <w:r>
              <w:rPr>
                <w:rFonts w:ascii="黑体" w:hAnsi="宋体" w:eastAsia="黑体" w:cs="黑体"/>
                <w:snapToGrid w:val="0"/>
                <w:color w:val="auto"/>
                <w:spacing w:val="-6"/>
                <w:kern w:val="21"/>
                <w:szCs w:val="21"/>
                <w:highlight w:val="none"/>
                <w:shd w:val="clear" w:color="auto" w:fill="auto"/>
              </w:rPr>
              <w:instrText xml:space="preserve"> = 3 \* GB3 \* MERGEFORMAT </w:instrText>
            </w:r>
            <w:r>
              <w:rPr>
                <w:rFonts w:ascii="黑体" w:hAnsi="宋体" w:eastAsia="黑体" w:cs="黑体"/>
                <w:color w:val="auto"/>
                <w:spacing w:val="-6"/>
                <w:kern w:val="21"/>
                <w:szCs w:val="21"/>
                <w:highlight w:val="none"/>
                <w:shd w:val="clear" w:color="auto" w:fill="auto"/>
              </w:rPr>
              <w:fldChar w:fldCharType="separate"/>
            </w:r>
            <w:r>
              <w:rPr>
                <w:rFonts w:ascii="黑体" w:hAnsi="宋体" w:eastAsia="黑体" w:cs="宋体"/>
                <w:color w:val="auto"/>
                <w:kern w:val="2"/>
                <w:szCs w:val="21"/>
                <w:highlight w:val="none"/>
                <w:shd w:val="clear" w:color="auto" w:fill="auto"/>
              </w:rPr>
              <w:t>③</w:t>
            </w:r>
            <w:r>
              <w:rPr>
                <w:rFonts w:ascii="黑体" w:hAnsi="宋体" w:eastAsia="黑体" w:cs="黑体"/>
                <w:color w:val="auto"/>
                <w:spacing w:val="-6"/>
                <w:kern w:val="21"/>
                <w:szCs w:val="21"/>
                <w:highlight w:val="none"/>
                <w:shd w:val="clear" w:color="auto" w:fill="auto"/>
              </w:rPr>
              <w:fldChar w:fldCharType="end"/>
            </w:r>
          </w:p>
        </w:tc>
        <w:tc>
          <w:tcPr>
            <w:tcW w:w="1559" w:type="dxa"/>
            <w:tcBorders>
              <w:top w:val="single" w:color="auto" w:sz="8" w:space="0"/>
              <w:left w:val="single" w:color="auto" w:sz="4" w:space="0"/>
              <w:bottom w:val="single" w:color="auto" w:sz="4" w:space="0"/>
              <w:right w:val="single" w:color="auto" w:sz="4" w:space="0"/>
            </w:tcBorders>
            <w:noWrap w:val="0"/>
            <w:tcMar>
              <w:left w:w="28" w:type="dxa"/>
              <w:right w:w="28" w:type="dxa"/>
            </w:tcMar>
            <w:vAlign w:val="center"/>
          </w:tcPr>
          <w:p w14:paraId="7E385E61">
            <w:pPr>
              <w:pStyle w:val="38"/>
              <w:widowControl/>
              <w:spacing w:before="31" w:line="240" w:lineRule="auto"/>
              <w:rPr>
                <w:rFonts w:ascii="黑体" w:hAnsi="宋体" w:eastAsia="黑体" w:cs="黑体"/>
                <w:color w:val="auto"/>
                <w:spacing w:val="-6"/>
                <w:kern w:val="21"/>
                <w:szCs w:val="21"/>
                <w:highlight w:val="none"/>
                <w:shd w:val="clear" w:color="auto" w:fill="auto"/>
              </w:rPr>
            </w:pPr>
            <w:r>
              <w:rPr>
                <w:rFonts w:ascii="黑体" w:hAnsi="宋体" w:eastAsia="黑体" w:cs="黑体"/>
                <w:snapToGrid w:val="0"/>
                <w:color w:val="auto"/>
                <w:spacing w:val="-6"/>
                <w:kern w:val="21"/>
                <w:szCs w:val="21"/>
                <w:highlight w:val="none"/>
                <w:shd w:val="clear" w:color="auto" w:fill="auto"/>
              </w:rPr>
              <w:t>本项目</w:t>
            </w:r>
          </w:p>
          <w:p w14:paraId="6B366F35">
            <w:pPr>
              <w:pStyle w:val="38"/>
              <w:widowControl/>
              <w:spacing w:before="31" w:line="240" w:lineRule="auto"/>
              <w:rPr>
                <w:rFonts w:ascii="黑体" w:hAnsi="宋体" w:eastAsia="黑体" w:cs="黑体"/>
                <w:snapToGrid w:val="0"/>
                <w:color w:val="auto"/>
                <w:spacing w:val="-6"/>
                <w:kern w:val="21"/>
                <w:szCs w:val="21"/>
                <w:highlight w:val="none"/>
                <w:shd w:val="clear" w:color="auto" w:fill="auto"/>
              </w:rPr>
            </w:pPr>
            <w:r>
              <w:rPr>
                <w:rFonts w:ascii="黑体" w:hAnsi="宋体" w:eastAsia="黑体" w:cs="黑体"/>
                <w:snapToGrid w:val="0"/>
                <w:color w:val="auto"/>
                <w:spacing w:val="-6"/>
                <w:kern w:val="21"/>
                <w:szCs w:val="21"/>
                <w:highlight w:val="none"/>
                <w:shd w:val="clear" w:color="auto" w:fill="auto"/>
              </w:rPr>
              <w:t>排放量（固体废物产生量）</w:t>
            </w:r>
            <w:r>
              <w:rPr>
                <w:rFonts w:ascii="黑体" w:hAnsi="宋体" w:eastAsia="黑体" w:cs="黑体"/>
                <w:color w:val="auto"/>
                <w:spacing w:val="-6"/>
                <w:kern w:val="21"/>
                <w:szCs w:val="21"/>
                <w:highlight w:val="none"/>
                <w:shd w:val="clear" w:color="auto" w:fill="auto"/>
              </w:rPr>
              <w:fldChar w:fldCharType="begin"/>
            </w:r>
            <w:r>
              <w:rPr>
                <w:rFonts w:ascii="黑体" w:hAnsi="宋体" w:eastAsia="黑体" w:cs="黑体"/>
                <w:snapToGrid w:val="0"/>
                <w:color w:val="auto"/>
                <w:spacing w:val="-6"/>
                <w:kern w:val="21"/>
                <w:szCs w:val="21"/>
                <w:highlight w:val="none"/>
                <w:shd w:val="clear" w:color="auto" w:fill="auto"/>
              </w:rPr>
              <w:instrText xml:space="preserve"> = 4 \* GB3 \* MERGEFORMAT </w:instrText>
            </w:r>
            <w:r>
              <w:rPr>
                <w:rFonts w:ascii="黑体" w:hAnsi="宋体" w:eastAsia="黑体" w:cs="黑体"/>
                <w:color w:val="auto"/>
                <w:spacing w:val="-6"/>
                <w:kern w:val="21"/>
                <w:szCs w:val="21"/>
                <w:highlight w:val="none"/>
                <w:shd w:val="clear" w:color="auto" w:fill="auto"/>
              </w:rPr>
              <w:fldChar w:fldCharType="separate"/>
            </w:r>
            <w:r>
              <w:rPr>
                <w:rFonts w:ascii="黑体" w:hAnsi="宋体" w:eastAsia="黑体" w:cs="宋体"/>
                <w:color w:val="auto"/>
                <w:kern w:val="2"/>
                <w:szCs w:val="21"/>
                <w:highlight w:val="none"/>
                <w:shd w:val="clear" w:color="auto" w:fill="auto"/>
              </w:rPr>
              <w:t>④</w:t>
            </w:r>
            <w:r>
              <w:rPr>
                <w:rFonts w:ascii="黑体" w:hAnsi="宋体" w:eastAsia="黑体" w:cs="黑体"/>
                <w:color w:val="auto"/>
                <w:spacing w:val="-6"/>
                <w:kern w:val="21"/>
                <w:szCs w:val="21"/>
                <w:highlight w:val="none"/>
                <w:shd w:val="clear" w:color="auto" w:fill="auto"/>
              </w:rPr>
              <w:fldChar w:fldCharType="end"/>
            </w:r>
          </w:p>
        </w:tc>
        <w:tc>
          <w:tcPr>
            <w:tcW w:w="1625" w:type="dxa"/>
            <w:tcBorders>
              <w:top w:val="single" w:color="auto" w:sz="8" w:space="0"/>
              <w:left w:val="single" w:color="auto" w:sz="4" w:space="0"/>
              <w:bottom w:val="single" w:color="auto" w:sz="4" w:space="0"/>
              <w:right w:val="single" w:color="auto" w:sz="4" w:space="0"/>
            </w:tcBorders>
            <w:noWrap w:val="0"/>
            <w:tcMar>
              <w:left w:w="28" w:type="dxa"/>
              <w:right w:w="28" w:type="dxa"/>
            </w:tcMar>
            <w:vAlign w:val="center"/>
          </w:tcPr>
          <w:p w14:paraId="0951023E">
            <w:pPr>
              <w:pStyle w:val="38"/>
              <w:widowControl/>
              <w:spacing w:before="31" w:line="240" w:lineRule="auto"/>
              <w:rPr>
                <w:rFonts w:ascii="黑体" w:hAnsi="宋体" w:eastAsia="黑体" w:cs="黑体"/>
                <w:color w:val="auto"/>
                <w:spacing w:val="-16"/>
                <w:kern w:val="21"/>
                <w:szCs w:val="21"/>
                <w:highlight w:val="none"/>
                <w:shd w:val="clear" w:color="auto" w:fill="auto"/>
              </w:rPr>
            </w:pPr>
            <w:r>
              <w:rPr>
                <w:rFonts w:ascii="黑体" w:hAnsi="宋体" w:eastAsia="黑体" w:cs="黑体"/>
                <w:snapToGrid w:val="0"/>
                <w:color w:val="auto"/>
                <w:spacing w:val="-16"/>
                <w:kern w:val="21"/>
                <w:szCs w:val="21"/>
                <w:highlight w:val="none"/>
                <w:shd w:val="clear" w:color="auto" w:fill="auto"/>
              </w:rPr>
              <w:t>以新带老削减量</w:t>
            </w:r>
          </w:p>
          <w:p w14:paraId="53E9C193">
            <w:pPr>
              <w:pStyle w:val="38"/>
              <w:widowControl/>
              <w:spacing w:before="31" w:line="240" w:lineRule="auto"/>
              <w:rPr>
                <w:rFonts w:ascii="黑体" w:hAnsi="宋体" w:eastAsia="黑体" w:cs="黑体"/>
                <w:snapToGrid w:val="0"/>
                <w:color w:val="auto"/>
                <w:spacing w:val="-16"/>
                <w:kern w:val="21"/>
                <w:szCs w:val="21"/>
                <w:highlight w:val="none"/>
                <w:shd w:val="clear" w:color="auto" w:fill="auto"/>
              </w:rPr>
            </w:pPr>
            <w:r>
              <w:rPr>
                <w:rFonts w:ascii="黑体" w:hAnsi="宋体" w:eastAsia="黑体" w:cs="黑体"/>
                <w:snapToGrid w:val="0"/>
                <w:color w:val="auto"/>
                <w:spacing w:val="-16"/>
                <w:kern w:val="21"/>
                <w:szCs w:val="21"/>
                <w:highlight w:val="none"/>
                <w:shd w:val="clear" w:color="auto" w:fill="auto"/>
              </w:rPr>
              <w:t>（新建项目不填）</w:t>
            </w:r>
            <w:r>
              <w:rPr>
                <w:rFonts w:ascii="黑体" w:hAnsi="宋体" w:eastAsia="黑体" w:cs="黑体"/>
                <w:color w:val="auto"/>
                <w:spacing w:val="-16"/>
                <w:kern w:val="21"/>
                <w:szCs w:val="21"/>
                <w:highlight w:val="none"/>
                <w:shd w:val="clear" w:color="auto" w:fill="auto"/>
              </w:rPr>
              <w:fldChar w:fldCharType="begin"/>
            </w:r>
            <w:r>
              <w:rPr>
                <w:rFonts w:ascii="黑体" w:hAnsi="宋体" w:eastAsia="黑体" w:cs="黑体"/>
                <w:snapToGrid w:val="0"/>
                <w:color w:val="auto"/>
                <w:spacing w:val="-16"/>
                <w:kern w:val="21"/>
                <w:szCs w:val="21"/>
                <w:highlight w:val="none"/>
                <w:shd w:val="clear" w:color="auto" w:fill="auto"/>
              </w:rPr>
              <w:instrText xml:space="preserve"> = 5 \* GB3 \* MERGEFORMAT </w:instrText>
            </w:r>
            <w:r>
              <w:rPr>
                <w:rFonts w:ascii="黑体" w:hAnsi="宋体" w:eastAsia="黑体" w:cs="黑体"/>
                <w:color w:val="auto"/>
                <w:spacing w:val="-16"/>
                <w:kern w:val="21"/>
                <w:szCs w:val="21"/>
                <w:highlight w:val="none"/>
                <w:shd w:val="clear" w:color="auto" w:fill="auto"/>
              </w:rPr>
              <w:fldChar w:fldCharType="separate"/>
            </w:r>
            <w:r>
              <w:rPr>
                <w:rFonts w:ascii="黑体" w:hAnsi="宋体" w:eastAsia="黑体" w:cs="宋体"/>
                <w:color w:val="auto"/>
                <w:kern w:val="2"/>
                <w:szCs w:val="21"/>
                <w:highlight w:val="none"/>
                <w:shd w:val="clear" w:color="auto" w:fill="auto"/>
              </w:rPr>
              <w:t>⑤</w:t>
            </w:r>
            <w:r>
              <w:rPr>
                <w:rFonts w:ascii="黑体" w:hAnsi="宋体" w:eastAsia="黑体" w:cs="黑体"/>
                <w:color w:val="auto"/>
                <w:spacing w:val="-16"/>
                <w:kern w:val="21"/>
                <w:szCs w:val="21"/>
                <w:highlight w:val="none"/>
                <w:shd w:val="clear" w:color="auto" w:fill="auto"/>
              </w:rPr>
              <w:fldChar w:fldCharType="end"/>
            </w:r>
          </w:p>
        </w:tc>
        <w:tc>
          <w:tcPr>
            <w:tcW w:w="1755" w:type="dxa"/>
            <w:tcBorders>
              <w:top w:val="single" w:color="auto" w:sz="8" w:space="0"/>
              <w:left w:val="single" w:color="auto" w:sz="4" w:space="0"/>
              <w:bottom w:val="single" w:color="auto" w:sz="4" w:space="0"/>
              <w:right w:val="single" w:color="auto" w:sz="4" w:space="0"/>
            </w:tcBorders>
            <w:noWrap w:val="0"/>
            <w:tcMar>
              <w:left w:w="28" w:type="dxa"/>
              <w:right w:w="28" w:type="dxa"/>
            </w:tcMar>
            <w:vAlign w:val="center"/>
          </w:tcPr>
          <w:p w14:paraId="4942DF18">
            <w:pPr>
              <w:pStyle w:val="38"/>
              <w:widowControl/>
              <w:spacing w:before="31" w:line="240" w:lineRule="auto"/>
              <w:rPr>
                <w:rFonts w:ascii="黑体" w:hAnsi="宋体" w:eastAsia="黑体" w:cs="黑体"/>
                <w:color w:val="auto"/>
                <w:spacing w:val="-16"/>
                <w:kern w:val="21"/>
                <w:szCs w:val="21"/>
                <w:highlight w:val="none"/>
                <w:shd w:val="clear" w:color="auto" w:fill="auto"/>
              </w:rPr>
            </w:pPr>
            <w:r>
              <w:rPr>
                <w:rFonts w:ascii="黑体" w:hAnsi="宋体" w:eastAsia="黑体" w:cs="黑体"/>
                <w:snapToGrid w:val="0"/>
                <w:color w:val="auto"/>
                <w:spacing w:val="-16"/>
                <w:kern w:val="21"/>
                <w:szCs w:val="21"/>
                <w:highlight w:val="none"/>
                <w:shd w:val="clear" w:color="auto" w:fill="auto"/>
              </w:rPr>
              <w:t>本项目建成后</w:t>
            </w:r>
          </w:p>
          <w:p w14:paraId="73ACB98B">
            <w:pPr>
              <w:pStyle w:val="38"/>
              <w:widowControl/>
              <w:spacing w:before="31" w:line="240" w:lineRule="auto"/>
              <w:rPr>
                <w:rFonts w:ascii="黑体" w:hAnsi="宋体" w:eastAsia="黑体" w:cs="黑体"/>
                <w:snapToGrid w:val="0"/>
                <w:color w:val="auto"/>
                <w:spacing w:val="-16"/>
                <w:kern w:val="21"/>
                <w:szCs w:val="21"/>
                <w:highlight w:val="none"/>
                <w:shd w:val="clear" w:color="auto" w:fill="auto"/>
              </w:rPr>
            </w:pPr>
            <w:r>
              <w:rPr>
                <w:rFonts w:ascii="黑体" w:hAnsi="宋体" w:eastAsia="黑体" w:cs="黑体"/>
                <w:snapToGrid w:val="0"/>
                <w:color w:val="auto"/>
                <w:spacing w:val="-16"/>
                <w:kern w:val="21"/>
                <w:szCs w:val="21"/>
                <w:highlight w:val="none"/>
                <w:shd w:val="clear" w:color="auto" w:fill="auto"/>
              </w:rPr>
              <w:t>全厂排放量（固体废物产生量）</w:t>
            </w:r>
            <w:r>
              <w:rPr>
                <w:rFonts w:ascii="黑体" w:hAnsi="宋体" w:eastAsia="黑体" w:cs="黑体"/>
                <w:color w:val="auto"/>
                <w:spacing w:val="-16"/>
                <w:kern w:val="21"/>
                <w:szCs w:val="21"/>
                <w:highlight w:val="none"/>
                <w:shd w:val="clear" w:color="auto" w:fill="auto"/>
              </w:rPr>
              <w:fldChar w:fldCharType="begin"/>
            </w:r>
            <w:r>
              <w:rPr>
                <w:rFonts w:ascii="黑体" w:hAnsi="宋体" w:eastAsia="黑体" w:cs="黑体"/>
                <w:snapToGrid w:val="0"/>
                <w:color w:val="auto"/>
                <w:spacing w:val="-16"/>
                <w:kern w:val="21"/>
                <w:szCs w:val="21"/>
                <w:highlight w:val="none"/>
                <w:shd w:val="clear" w:color="auto" w:fill="auto"/>
              </w:rPr>
              <w:instrText xml:space="preserve"> = 6 \* GB3 \* MERGEFORMAT </w:instrText>
            </w:r>
            <w:r>
              <w:rPr>
                <w:rFonts w:ascii="黑体" w:hAnsi="宋体" w:eastAsia="黑体" w:cs="黑体"/>
                <w:color w:val="auto"/>
                <w:spacing w:val="-16"/>
                <w:kern w:val="21"/>
                <w:szCs w:val="21"/>
                <w:highlight w:val="none"/>
                <w:shd w:val="clear" w:color="auto" w:fill="auto"/>
              </w:rPr>
              <w:fldChar w:fldCharType="separate"/>
            </w:r>
            <w:r>
              <w:rPr>
                <w:rFonts w:ascii="黑体" w:hAnsi="宋体" w:eastAsia="黑体" w:cs="宋体"/>
                <w:color w:val="auto"/>
                <w:kern w:val="2"/>
                <w:szCs w:val="21"/>
                <w:highlight w:val="none"/>
                <w:shd w:val="clear" w:color="auto" w:fill="auto"/>
              </w:rPr>
              <w:t>⑥</w:t>
            </w:r>
            <w:r>
              <w:rPr>
                <w:rFonts w:ascii="黑体" w:hAnsi="宋体" w:eastAsia="黑体" w:cs="黑体"/>
                <w:color w:val="auto"/>
                <w:spacing w:val="-16"/>
                <w:kern w:val="21"/>
                <w:szCs w:val="21"/>
                <w:highlight w:val="none"/>
                <w:shd w:val="clear" w:color="auto" w:fill="auto"/>
              </w:rPr>
              <w:fldChar w:fldCharType="end"/>
            </w:r>
          </w:p>
        </w:tc>
        <w:tc>
          <w:tcPr>
            <w:tcW w:w="1292" w:type="dxa"/>
            <w:tcBorders>
              <w:top w:val="single" w:color="auto" w:sz="8" w:space="0"/>
              <w:left w:val="single" w:color="auto" w:sz="4" w:space="0"/>
              <w:bottom w:val="single" w:color="auto" w:sz="4" w:space="0"/>
              <w:right w:val="single" w:color="auto" w:sz="8" w:space="0"/>
            </w:tcBorders>
            <w:noWrap w:val="0"/>
            <w:tcMar>
              <w:left w:w="28" w:type="dxa"/>
              <w:right w:w="28" w:type="dxa"/>
            </w:tcMar>
            <w:vAlign w:val="center"/>
          </w:tcPr>
          <w:p w14:paraId="2D6F36B0">
            <w:pPr>
              <w:pStyle w:val="38"/>
              <w:widowControl/>
              <w:spacing w:before="31" w:line="240" w:lineRule="auto"/>
              <w:rPr>
                <w:rFonts w:ascii="黑体" w:hAnsi="宋体" w:eastAsia="黑体" w:cs="黑体"/>
                <w:color w:val="auto"/>
                <w:spacing w:val="-6"/>
                <w:kern w:val="21"/>
                <w:szCs w:val="21"/>
                <w:highlight w:val="none"/>
                <w:shd w:val="clear" w:color="auto" w:fill="auto"/>
              </w:rPr>
            </w:pPr>
            <w:r>
              <w:rPr>
                <w:rFonts w:ascii="黑体" w:hAnsi="宋体" w:eastAsia="黑体" w:cs="黑体"/>
                <w:snapToGrid w:val="0"/>
                <w:color w:val="auto"/>
                <w:spacing w:val="-6"/>
                <w:kern w:val="21"/>
                <w:szCs w:val="21"/>
                <w:highlight w:val="none"/>
                <w:shd w:val="clear" w:color="auto" w:fill="auto"/>
              </w:rPr>
              <w:t>变化量</w:t>
            </w:r>
          </w:p>
          <w:p w14:paraId="6E3182A1">
            <w:pPr>
              <w:pStyle w:val="38"/>
              <w:widowControl/>
              <w:spacing w:before="31" w:line="240" w:lineRule="auto"/>
              <w:rPr>
                <w:rFonts w:ascii="黑体" w:hAnsi="宋体" w:eastAsia="黑体" w:cs="黑体"/>
                <w:snapToGrid w:val="0"/>
                <w:color w:val="auto"/>
                <w:spacing w:val="-6"/>
                <w:kern w:val="21"/>
                <w:szCs w:val="21"/>
                <w:highlight w:val="none"/>
                <w:shd w:val="clear" w:color="auto" w:fill="auto"/>
              </w:rPr>
            </w:pPr>
            <w:r>
              <w:rPr>
                <w:rFonts w:ascii="黑体" w:hAnsi="宋体" w:eastAsia="黑体" w:cs="黑体"/>
                <w:color w:val="auto"/>
                <w:spacing w:val="-6"/>
                <w:kern w:val="21"/>
                <w:szCs w:val="21"/>
                <w:highlight w:val="none"/>
                <w:shd w:val="clear" w:color="auto" w:fill="auto"/>
              </w:rPr>
              <w:fldChar w:fldCharType="begin"/>
            </w:r>
            <w:r>
              <w:rPr>
                <w:rFonts w:ascii="黑体" w:hAnsi="宋体" w:eastAsia="黑体" w:cs="黑体"/>
                <w:color w:val="auto"/>
                <w:spacing w:val="-6"/>
                <w:kern w:val="21"/>
                <w:szCs w:val="21"/>
                <w:highlight w:val="none"/>
                <w:shd w:val="clear" w:color="auto" w:fill="auto"/>
              </w:rPr>
              <w:instrText xml:space="preserve"> </w:instrText>
            </w:r>
            <w:r>
              <w:rPr>
                <w:rFonts w:ascii="黑体" w:hAnsi="宋体" w:eastAsia="黑体" w:cs="黑体"/>
                <w:snapToGrid w:val="0"/>
                <w:color w:val="auto"/>
                <w:spacing w:val="-6"/>
                <w:kern w:val="21"/>
                <w:szCs w:val="21"/>
                <w:highlight w:val="none"/>
                <w:shd w:val="clear" w:color="auto" w:fill="auto"/>
              </w:rPr>
              <w:instrText xml:space="preserve">= 7 \* GB3 \* MERGEFORMAT </w:instrText>
            </w:r>
            <w:r>
              <w:rPr>
                <w:rFonts w:ascii="黑体" w:hAnsi="宋体" w:eastAsia="黑体" w:cs="黑体"/>
                <w:color w:val="auto"/>
                <w:spacing w:val="-6"/>
                <w:kern w:val="21"/>
                <w:szCs w:val="21"/>
                <w:highlight w:val="none"/>
                <w:shd w:val="clear" w:color="auto" w:fill="auto"/>
              </w:rPr>
              <w:fldChar w:fldCharType="separate"/>
            </w:r>
            <w:r>
              <w:rPr>
                <w:rFonts w:ascii="黑体" w:hAnsi="宋体" w:eastAsia="黑体" w:cs="宋体"/>
                <w:color w:val="auto"/>
                <w:kern w:val="2"/>
                <w:szCs w:val="21"/>
                <w:highlight w:val="none"/>
                <w:shd w:val="clear" w:color="auto" w:fill="auto"/>
              </w:rPr>
              <w:t>⑦</w:t>
            </w:r>
            <w:r>
              <w:rPr>
                <w:rFonts w:ascii="黑体" w:hAnsi="宋体" w:eastAsia="黑体" w:cs="黑体"/>
                <w:color w:val="auto"/>
                <w:spacing w:val="-6"/>
                <w:kern w:val="21"/>
                <w:szCs w:val="21"/>
                <w:highlight w:val="none"/>
                <w:shd w:val="clear" w:color="auto" w:fill="auto"/>
              </w:rPr>
              <w:fldChar w:fldCharType="end"/>
            </w:r>
          </w:p>
        </w:tc>
      </w:tr>
      <w:tr w14:paraId="00FB36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3" w:type="dxa"/>
            <w:vMerge w:val="restart"/>
            <w:tcBorders>
              <w:top w:val="single" w:color="auto" w:sz="4" w:space="0"/>
              <w:left w:val="single" w:color="auto" w:sz="8" w:space="0"/>
              <w:bottom w:val="single" w:color="auto" w:sz="4" w:space="0"/>
              <w:right w:val="single" w:color="auto" w:sz="4" w:space="0"/>
            </w:tcBorders>
            <w:noWrap w:val="0"/>
            <w:vAlign w:val="center"/>
          </w:tcPr>
          <w:p w14:paraId="3F382B8E">
            <w:pPr>
              <w:keepNext w:val="0"/>
              <w:keepLines w:val="0"/>
              <w:widowControl/>
              <w:suppressLineNumbers w:val="0"/>
              <w:spacing w:before="0" w:beforeAutospacing="0" w:after="0" w:afterAutospacing="0"/>
              <w:ind w:left="0" w:right="0"/>
              <w:jc w:val="center"/>
              <w:textAlignment w:val="center"/>
              <w:rPr>
                <w:rFonts w:ascii="Calibri" w:hAnsi="宋体" w:eastAsia="宋体" w:cs="宋体"/>
                <w:color w:val="auto"/>
                <w:kern w:val="21"/>
                <w:szCs w:val="21"/>
                <w:highlight w:val="none"/>
                <w:shd w:val="clear" w:color="auto" w:fill="auto"/>
              </w:rPr>
            </w:pPr>
            <w:r>
              <w:rPr>
                <w:rFonts w:hint="eastAsia" w:ascii="宋体" w:hAnsi="宋体" w:eastAsia="宋体" w:cs="宋体"/>
                <w:i w:val="0"/>
                <w:iCs w:val="0"/>
                <w:color w:val="auto"/>
                <w:kern w:val="0"/>
                <w:sz w:val="21"/>
                <w:szCs w:val="21"/>
                <w:highlight w:val="none"/>
                <w:u w:val="none"/>
                <w:lang w:val="en-US" w:eastAsia="zh-CN" w:bidi="ar"/>
              </w:rPr>
              <w:t>废气</w:t>
            </w:r>
          </w:p>
        </w:tc>
        <w:tc>
          <w:tcPr>
            <w:tcW w:w="1936" w:type="dxa"/>
            <w:tcBorders>
              <w:top w:val="single" w:color="auto" w:sz="4" w:space="0"/>
              <w:left w:val="single" w:color="auto" w:sz="4" w:space="0"/>
              <w:bottom w:val="single" w:color="auto" w:sz="4" w:space="0"/>
              <w:right w:val="single" w:color="auto" w:sz="4" w:space="0"/>
            </w:tcBorders>
            <w:noWrap w:val="0"/>
            <w:vAlign w:val="center"/>
          </w:tcPr>
          <w:p w14:paraId="3CE4EC0A">
            <w:pPr>
              <w:keepNext w:val="0"/>
              <w:keepLines w:val="0"/>
              <w:widowControl/>
              <w:suppressLineNumbers w:val="0"/>
              <w:spacing w:before="0" w:beforeAutospacing="0" w:after="0" w:afterAutospacing="0"/>
              <w:ind w:left="0" w:right="0"/>
              <w:jc w:val="center"/>
              <w:textAlignment w:val="center"/>
              <w:rPr>
                <w:rFonts w:hint="default" w:ascii="Calibri" w:hAnsi="宋体" w:eastAsia="宋体" w:cs="宋体"/>
                <w:snapToGrid w:val="0"/>
                <w:color w:val="auto"/>
                <w:kern w:val="21"/>
                <w:szCs w:val="21"/>
                <w:highlight w:val="none"/>
                <w:shd w:val="clear" w:color="auto" w:fill="auto"/>
                <w:lang w:val="en-US" w:eastAsia="zh-CN"/>
              </w:rPr>
            </w:pPr>
            <w:r>
              <w:rPr>
                <w:rFonts w:hint="eastAsia" w:ascii="宋体" w:hAnsi="宋体" w:eastAsia="宋体" w:cs="宋体"/>
                <w:i w:val="0"/>
                <w:iCs w:val="0"/>
                <w:color w:val="auto"/>
                <w:kern w:val="0"/>
                <w:sz w:val="21"/>
                <w:szCs w:val="21"/>
                <w:highlight w:val="none"/>
                <w:u w:val="none"/>
                <w:lang w:val="en-US" w:eastAsia="zh-CN" w:bidi="ar"/>
              </w:rPr>
              <w:t>有组织颗粒物</w:t>
            </w:r>
          </w:p>
        </w:tc>
        <w:tc>
          <w:tcPr>
            <w:tcW w:w="1448" w:type="dxa"/>
            <w:tcBorders>
              <w:top w:val="single" w:color="auto" w:sz="4" w:space="0"/>
              <w:left w:val="single" w:color="auto" w:sz="4" w:space="0"/>
              <w:bottom w:val="single" w:color="auto" w:sz="4" w:space="0"/>
              <w:right w:val="single" w:color="auto" w:sz="4" w:space="0"/>
            </w:tcBorders>
            <w:noWrap w:val="0"/>
            <w:vAlign w:val="center"/>
          </w:tcPr>
          <w:p w14:paraId="2365FC2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42248C2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02" w:type="dxa"/>
            <w:tcBorders>
              <w:top w:val="single" w:color="auto" w:sz="4" w:space="0"/>
              <w:left w:val="single" w:color="auto" w:sz="4" w:space="0"/>
              <w:bottom w:val="single" w:color="auto" w:sz="4" w:space="0"/>
              <w:right w:val="single" w:color="auto" w:sz="4" w:space="0"/>
            </w:tcBorders>
            <w:noWrap w:val="0"/>
            <w:vAlign w:val="center"/>
          </w:tcPr>
          <w:p w14:paraId="5671C61D">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559" w:type="dxa"/>
            <w:tcBorders>
              <w:top w:val="single" w:color="auto" w:sz="4" w:space="0"/>
              <w:left w:val="single" w:color="auto" w:sz="4" w:space="0"/>
              <w:bottom w:val="single" w:color="auto" w:sz="4" w:space="0"/>
              <w:right w:val="single" w:color="auto" w:sz="4" w:space="0"/>
            </w:tcBorders>
            <w:noWrap w:val="0"/>
            <w:vAlign w:val="center"/>
          </w:tcPr>
          <w:p w14:paraId="78C6B0E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eastAsia" w:cs="Times New Roman"/>
                <w:i w:val="0"/>
                <w:iCs w:val="0"/>
                <w:color w:val="auto"/>
                <w:kern w:val="0"/>
                <w:sz w:val="21"/>
                <w:szCs w:val="21"/>
                <w:highlight w:val="none"/>
                <w:u w:val="none"/>
                <w:lang w:val="en-US" w:eastAsia="zh-CN" w:bidi="ar"/>
              </w:rPr>
              <w:t>6.795</w:t>
            </w:r>
            <w:r>
              <w:rPr>
                <w:rFonts w:hint="default" w:ascii="Times New Roman" w:hAnsi="Times New Roman" w:eastAsia="宋体" w:cs="Times New Roman"/>
                <w:i w:val="0"/>
                <w:iCs w:val="0"/>
                <w:color w:val="auto"/>
                <w:kern w:val="0"/>
                <w:sz w:val="21"/>
                <w:szCs w:val="21"/>
                <w:highlight w:val="none"/>
                <w:u w:val="none"/>
                <w:lang w:val="en-US" w:eastAsia="zh-CN" w:bidi="ar"/>
              </w:rPr>
              <w:t>t/a</w:t>
            </w:r>
          </w:p>
        </w:tc>
        <w:tc>
          <w:tcPr>
            <w:tcW w:w="1625" w:type="dxa"/>
            <w:tcBorders>
              <w:top w:val="single" w:color="auto" w:sz="4" w:space="0"/>
              <w:left w:val="single" w:color="auto" w:sz="4" w:space="0"/>
              <w:bottom w:val="single" w:color="auto" w:sz="4" w:space="0"/>
              <w:right w:val="single" w:color="auto" w:sz="4" w:space="0"/>
            </w:tcBorders>
            <w:noWrap w:val="0"/>
            <w:vAlign w:val="center"/>
          </w:tcPr>
          <w:p w14:paraId="33AE099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55" w:type="dxa"/>
            <w:tcBorders>
              <w:top w:val="single" w:color="auto" w:sz="4" w:space="0"/>
              <w:left w:val="single" w:color="auto" w:sz="4" w:space="0"/>
              <w:bottom w:val="single" w:color="auto" w:sz="4" w:space="0"/>
              <w:right w:val="single" w:color="auto" w:sz="4" w:space="0"/>
            </w:tcBorders>
            <w:noWrap w:val="0"/>
            <w:vAlign w:val="center"/>
          </w:tcPr>
          <w:p w14:paraId="15968E3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eastAsia" w:cs="Times New Roman"/>
                <w:i w:val="0"/>
                <w:iCs w:val="0"/>
                <w:color w:val="auto"/>
                <w:kern w:val="0"/>
                <w:sz w:val="21"/>
                <w:szCs w:val="21"/>
                <w:highlight w:val="none"/>
                <w:u w:val="none"/>
                <w:lang w:val="en-US" w:eastAsia="zh-CN" w:bidi="ar"/>
              </w:rPr>
              <w:t>6.795</w:t>
            </w:r>
            <w:r>
              <w:rPr>
                <w:rFonts w:hint="default" w:ascii="Times New Roman" w:hAnsi="Times New Roman" w:eastAsia="宋体" w:cs="Times New Roman"/>
                <w:i w:val="0"/>
                <w:iCs w:val="0"/>
                <w:color w:val="auto"/>
                <w:kern w:val="0"/>
                <w:sz w:val="21"/>
                <w:szCs w:val="21"/>
                <w:highlight w:val="none"/>
                <w:u w:val="none"/>
                <w:lang w:val="en-US" w:eastAsia="zh-CN" w:bidi="ar"/>
              </w:rPr>
              <w:t>t/a</w:t>
            </w:r>
          </w:p>
        </w:tc>
        <w:tc>
          <w:tcPr>
            <w:tcW w:w="1292" w:type="dxa"/>
            <w:tcBorders>
              <w:top w:val="single" w:color="auto" w:sz="4" w:space="0"/>
              <w:left w:val="single" w:color="auto" w:sz="4" w:space="0"/>
              <w:bottom w:val="single" w:color="auto" w:sz="4" w:space="0"/>
              <w:right w:val="single" w:color="auto" w:sz="8" w:space="0"/>
            </w:tcBorders>
            <w:noWrap w:val="0"/>
            <w:vAlign w:val="center"/>
          </w:tcPr>
          <w:p w14:paraId="74858BA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eastAsia" w:cs="Times New Roman"/>
                <w:i w:val="0"/>
                <w:iCs w:val="0"/>
                <w:color w:val="auto"/>
                <w:kern w:val="0"/>
                <w:sz w:val="21"/>
                <w:szCs w:val="21"/>
                <w:highlight w:val="none"/>
                <w:u w:val="none"/>
                <w:lang w:val="en-US" w:eastAsia="zh-CN" w:bidi="ar"/>
              </w:rPr>
              <w:t>+6.795</w:t>
            </w:r>
            <w:r>
              <w:rPr>
                <w:rFonts w:hint="default" w:ascii="Times New Roman" w:hAnsi="Times New Roman" w:eastAsia="宋体" w:cs="Times New Roman"/>
                <w:i w:val="0"/>
                <w:iCs w:val="0"/>
                <w:color w:val="auto"/>
                <w:kern w:val="0"/>
                <w:sz w:val="21"/>
                <w:szCs w:val="21"/>
                <w:highlight w:val="none"/>
                <w:u w:val="none"/>
                <w:lang w:val="en-US" w:eastAsia="zh-CN" w:bidi="ar"/>
              </w:rPr>
              <w:t>t/a</w:t>
            </w:r>
          </w:p>
        </w:tc>
      </w:tr>
      <w:tr w14:paraId="2485E7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3" w:type="dxa"/>
            <w:vMerge w:val="continue"/>
            <w:tcBorders>
              <w:top w:val="single" w:color="auto" w:sz="4" w:space="0"/>
              <w:left w:val="single" w:color="auto" w:sz="8" w:space="0"/>
              <w:bottom w:val="single" w:color="auto" w:sz="4" w:space="0"/>
              <w:right w:val="single" w:color="auto" w:sz="4" w:space="0"/>
            </w:tcBorders>
            <w:noWrap w:val="0"/>
            <w:vAlign w:val="center"/>
          </w:tcPr>
          <w:p w14:paraId="4D473508">
            <w:pPr>
              <w:keepNext w:val="0"/>
              <w:keepLines w:val="0"/>
              <w:suppressLineNumbers w:val="0"/>
              <w:spacing w:before="0" w:beforeAutospacing="0" w:after="0" w:afterAutospacing="0"/>
              <w:ind w:left="0" w:right="0"/>
              <w:jc w:val="center"/>
              <w:rPr>
                <w:rFonts w:ascii="Calibri" w:hAnsi="宋体" w:eastAsia="宋体" w:cs="宋体"/>
                <w:snapToGrid w:val="0"/>
                <w:color w:val="auto"/>
                <w:kern w:val="21"/>
                <w:szCs w:val="21"/>
                <w:highlight w:val="none"/>
                <w:shd w:val="clear" w:color="auto" w:fill="auto"/>
              </w:rPr>
            </w:pPr>
          </w:p>
        </w:tc>
        <w:tc>
          <w:tcPr>
            <w:tcW w:w="1936" w:type="dxa"/>
            <w:tcBorders>
              <w:top w:val="single" w:color="auto" w:sz="4" w:space="0"/>
              <w:left w:val="single" w:color="auto" w:sz="4" w:space="0"/>
              <w:bottom w:val="single" w:color="auto" w:sz="4" w:space="0"/>
              <w:right w:val="single" w:color="auto" w:sz="4" w:space="0"/>
            </w:tcBorders>
            <w:noWrap w:val="0"/>
            <w:vAlign w:val="center"/>
          </w:tcPr>
          <w:p w14:paraId="53FA5143">
            <w:pPr>
              <w:keepNext w:val="0"/>
              <w:keepLines w:val="0"/>
              <w:widowControl/>
              <w:suppressLineNumbers w:val="0"/>
              <w:spacing w:before="0" w:beforeAutospacing="0" w:after="0" w:afterAutospacing="0"/>
              <w:ind w:left="0" w:right="0"/>
              <w:jc w:val="center"/>
              <w:textAlignment w:val="center"/>
              <w:rPr>
                <w:rFonts w:hint="eastAsia" w:ascii="Calibri" w:hAnsi="宋体" w:eastAsia="宋体" w:cs="宋体"/>
                <w:snapToGrid w:val="0"/>
                <w:color w:val="auto"/>
                <w:kern w:val="21"/>
                <w:szCs w:val="21"/>
                <w:highlight w:val="none"/>
                <w:shd w:val="clear" w:color="auto" w:fill="auto"/>
                <w:lang w:val="en-US" w:eastAsia="zh-CN"/>
              </w:rPr>
            </w:pPr>
            <w:r>
              <w:rPr>
                <w:rFonts w:hint="eastAsia" w:ascii="宋体" w:hAnsi="宋体" w:eastAsia="宋体" w:cs="宋体"/>
                <w:i w:val="0"/>
                <w:iCs w:val="0"/>
                <w:color w:val="auto"/>
                <w:kern w:val="0"/>
                <w:sz w:val="21"/>
                <w:szCs w:val="21"/>
                <w:highlight w:val="none"/>
                <w:u w:val="none"/>
                <w:lang w:val="en-US" w:eastAsia="zh-CN" w:bidi="ar"/>
              </w:rPr>
              <w:t>无组织颗粒物</w:t>
            </w:r>
          </w:p>
        </w:tc>
        <w:tc>
          <w:tcPr>
            <w:tcW w:w="1448" w:type="dxa"/>
            <w:tcBorders>
              <w:top w:val="single" w:color="auto" w:sz="4" w:space="0"/>
              <w:left w:val="single" w:color="auto" w:sz="4" w:space="0"/>
              <w:bottom w:val="single" w:color="auto" w:sz="4" w:space="0"/>
              <w:right w:val="single" w:color="auto" w:sz="4" w:space="0"/>
            </w:tcBorders>
            <w:noWrap w:val="0"/>
            <w:vAlign w:val="center"/>
          </w:tcPr>
          <w:p w14:paraId="4949AA81">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452FB9AA">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02" w:type="dxa"/>
            <w:tcBorders>
              <w:top w:val="single" w:color="auto" w:sz="4" w:space="0"/>
              <w:left w:val="single" w:color="auto" w:sz="4" w:space="0"/>
              <w:bottom w:val="single" w:color="auto" w:sz="4" w:space="0"/>
              <w:right w:val="single" w:color="auto" w:sz="4" w:space="0"/>
            </w:tcBorders>
            <w:noWrap w:val="0"/>
            <w:vAlign w:val="center"/>
          </w:tcPr>
          <w:p w14:paraId="38842661">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559" w:type="dxa"/>
            <w:tcBorders>
              <w:top w:val="single" w:color="auto" w:sz="4" w:space="0"/>
              <w:left w:val="single" w:color="auto" w:sz="4" w:space="0"/>
              <w:bottom w:val="single" w:color="auto" w:sz="4" w:space="0"/>
              <w:right w:val="single" w:color="auto" w:sz="4" w:space="0"/>
            </w:tcBorders>
            <w:noWrap w:val="0"/>
            <w:vAlign w:val="center"/>
          </w:tcPr>
          <w:p w14:paraId="40C9C94D">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1"/>
                <w:szCs w:val="21"/>
                <w:highlight w:val="none"/>
                <w:shd w:val="clear" w:color="auto" w:fill="auto"/>
                <w:lang w:val="en-US" w:eastAsia="zh-CN" w:bidi="ar-SA"/>
              </w:rPr>
            </w:pPr>
            <w:r>
              <w:rPr>
                <w:rFonts w:hint="eastAsia" w:cs="Times New Roman"/>
                <w:i w:val="0"/>
                <w:iCs w:val="0"/>
                <w:color w:val="auto"/>
                <w:kern w:val="0"/>
                <w:sz w:val="21"/>
                <w:szCs w:val="21"/>
                <w:highlight w:val="none"/>
                <w:u w:val="none"/>
                <w:lang w:val="en-US" w:eastAsia="zh-CN" w:bidi="ar"/>
              </w:rPr>
              <w:t>60.934</w:t>
            </w:r>
            <w:r>
              <w:rPr>
                <w:rFonts w:hint="default" w:ascii="Times New Roman" w:hAnsi="Times New Roman" w:eastAsia="宋体" w:cs="Times New Roman"/>
                <w:i w:val="0"/>
                <w:iCs w:val="0"/>
                <w:color w:val="auto"/>
                <w:kern w:val="0"/>
                <w:sz w:val="21"/>
                <w:szCs w:val="21"/>
                <w:highlight w:val="none"/>
                <w:u w:val="none"/>
                <w:lang w:val="en-US" w:eastAsia="zh-CN" w:bidi="ar"/>
              </w:rPr>
              <w:t>t/a</w:t>
            </w:r>
          </w:p>
        </w:tc>
        <w:tc>
          <w:tcPr>
            <w:tcW w:w="1625" w:type="dxa"/>
            <w:tcBorders>
              <w:top w:val="single" w:color="auto" w:sz="4" w:space="0"/>
              <w:left w:val="single" w:color="auto" w:sz="4" w:space="0"/>
              <w:bottom w:val="single" w:color="auto" w:sz="4" w:space="0"/>
              <w:right w:val="single" w:color="auto" w:sz="4" w:space="0"/>
            </w:tcBorders>
            <w:noWrap w:val="0"/>
            <w:vAlign w:val="center"/>
          </w:tcPr>
          <w:p w14:paraId="4C3372D9">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55" w:type="dxa"/>
            <w:tcBorders>
              <w:top w:val="single" w:color="auto" w:sz="4" w:space="0"/>
              <w:left w:val="single" w:color="auto" w:sz="4" w:space="0"/>
              <w:bottom w:val="single" w:color="auto" w:sz="4" w:space="0"/>
              <w:right w:val="single" w:color="auto" w:sz="4" w:space="0"/>
            </w:tcBorders>
            <w:noWrap w:val="0"/>
            <w:vAlign w:val="center"/>
          </w:tcPr>
          <w:p w14:paraId="291DC927">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1"/>
                <w:szCs w:val="21"/>
                <w:highlight w:val="none"/>
                <w:shd w:val="clear" w:color="auto" w:fill="auto"/>
                <w:lang w:val="en-US" w:eastAsia="zh-CN" w:bidi="ar-SA"/>
              </w:rPr>
            </w:pPr>
            <w:r>
              <w:rPr>
                <w:rFonts w:hint="eastAsia" w:cs="Times New Roman"/>
                <w:i w:val="0"/>
                <w:iCs w:val="0"/>
                <w:color w:val="auto"/>
                <w:kern w:val="0"/>
                <w:sz w:val="21"/>
                <w:szCs w:val="21"/>
                <w:highlight w:val="none"/>
                <w:u w:val="none"/>
                <w:lang w:val="en-US" w:eastAsia="zh-CN" w:bidi="ar"/>
              </w:rPr>
              <w:t>60.934</w:t>
            </w:r>
            <w:r>
              <w:rPr>
                <w:rFonts w:hint="default" w:ascii="Times New Roman" w:hAnsi="Times New Roman" w:eastAsia="宋体" w:cs="Times New Roman"/>
                <w:i w:val="0"/>
                <w:iCs w:val="0"/>
                <w:color w:val="auto"/>
                <w:kern w:val="0"/>
                <w:sz w:val="21"/>
                <w:szCs w:val="21"/>
                <w:highlight w:val="none"/>
                <w:u w:val="none"/>
                <w:lang w:val="en-US" w:eastAsia="zh-CN" w:bidi="ar"/>
              </w:rPr>
              <w:t>t/a</w:t>
            </w:r>
          </w:p>
        </w:tc>
        <w:tc>
          <w:tcPr>
            <w:tcW w:w="1292" w:type="dxa"/>
            <w:tcBorders>
              <w:top w:val="single" w:color="auto" w:sz="4" w:space="0"/>
              <w:left w:val="single" w:color="auto" w:sz="4" w:space="0"/>
              <w:bottom w:val="single" w:color="auto" w:sz="4" w:space="0"/>
              <w:right w:val="single" w:color="auto" w:sz="8" w:space="0"/>
            </w:tcBorders>
            <w:noWrap w:val="0"/>
            <w:vAlign w:val="center"/>
          </w:tcPr>
          <w:p w14:paraId="6F6DF333">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kern w:val="0"/>
                <w:sz w:val="21"/>
                <w:szCs w:val="21"/>
                <w:highlight w:val="none"/>
                <w:shd w:val="clear" w:color="auto" w:fill="auto"/>
                <w:lang w:val="en-US" w:eastAsia="zh-CN" w:bidi="ar-SA"/>
              </w:rPr>
            </w:pPr>
            <w:r>
              <w:rPr>
                <w:rFonts w:hint="eastAsia" w:cs="Times New Roman"/>
                <w:i w:val="0"/>
                <w:iCs w:val="0"/>
                <w:color w:val="auto"/>
                <w:kern w:val="0"/>
                <w:sz w:val="21"/>
                <w:szCs w:val="21"/>
                <w:highlight w:val="none"/>
                <w:u w:val="none"/>
                <w:lang w:val="en-US" w:eastAsia="zh-CN" w:bidi="ar"/>
              </w:rPr>
              <w:t>+60.934</w:t>
            </w:r>
            <w:r>
              <w:rPr>
                <w:rFonts w:hint="default" w:ascii="Times New Roman" w:hAnsi="Times New Roman" w:eastAsia="宋体" w:cs="Times New Roman"/>
                <w:i w:val="0"/>
                <w:iCs w:val="0"/>
                <w:color w:val="auto"/>
                <w:kern w:val="0"/>
                <w:sz w:val="21"/>
                <w:szCs w:val="21"/>
                <w:highlight w:val="none"/>
                <w:u w:val="none"/>
                <w:lang w:val="en-US" w:eastAsia="zh-CN" w:bidi="ar"/>
              </w:rPr>
              <w:t>t/a</w:t>
            </w:r>
          </w:p>
        </w:tc>
      </w:tr>
      <w:tr w14:paraId="0FC170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3" w:type="dxa"/>
            <w:vMerge w:val="restart"/>
            <w:tcBorders>
              <w:top w:val="single" w:color="auto" w:sz="4" w:space="0"/>
              <w:left w:val="single" w:color="auto" w:sz="8" w:space="0"/>
              <w:right w:val="single" w:color="auto" w:sz="4" w:space="0"/>
            </w:tcBorders>
            <w:noWrap w:val="0"/>
            <w:vAlign w:val="center"/>
          </w:tcPr>
          <w:p w14:paraId="125B4E19">
            <w:pPr>
              <w:keepNext w:val="0"/>
              <w:keepLines w:val="0"/>
              <w:widowControl/>
              <w:suppressLineNumbers w:val="0"/>
              <w:spacing w:before="0" w:beforeAutospacing="0" w:after="0" w:afterAutospacing="0"/>
              <w:ind w:left="0" w:right="0"/>
              <w:jc w:val="center"/>
              <w:textAlignment w:val="center"/>
              <w:rPr>
                <w:rFonts w:ascii="Calibri" w:hAnsi="宋体" w:eastAsia="宋体" w:cs="宋体"/>
                <w:color w:val="auto"/>
                <w:kern w:val="21"/>
                <w:szCs w:val="21"/>
                <w:highlight w:val="none"/>
                <w:shd w:val="clear" w:color="auto" w:fill="auto"/>
              </w:rPr>
            </w:pPr>
            <w:r>
              <w:rPr>
                <w:rFonts w:hint="eastAsia" w:ascii="宋体" w:hAnsi="宋体" w:eastAsia="宋体" w:cs="宋体"/>
                <w:i w:val="0"/>
                <w:iCs w:val="0"/>
                <w:color w:val="auto"/>
                <w:kern w:val="0"/>
                <w:sz w:val="21"/>
                <w:szCs w:val="21"/>
                <w:highlight w:val="none"/>
                <w:u w:val="none"/>
                <w:lang w:val="en-US" w:eastAsia="zh-CN" w:bidi="ar"/>
              </w:rPr>
              <w:t>废水</w:t>
            </w:r>
          </w:p>
        </w:tc>
        <w:tc>
          <w:tcPr>
            <w:tcW w:w="1936" w:type="dxa"/>
            <w:tcBorders>
              <w:top w:val="single" w:color="auto" w:sz="4" w:space="0"/>
              <w:left w:val="single" w:color="auto" w:sz="4" w:space="0"/>
              <w:bottom w:val="single" w:color="auto" w:sz="4" w:space="0"/>
              <w:right w:val="single" w:color="auto" w:sz="4" w:space="0"/>
            </w:tcBorders>
            <w:noWrap w:val="0"/>
            <w:vAlign w:val="center"/>
          </w:tcPr>
          <w:p w14:paraId="69052CE4">
            <w:pPr>
              <w:keepNext w:val="0"/>
              <w:keepLines w:val="0"/>
              <w:widowControl/>
              <w:suppressLineNumbers w:val="0"/>
              <w:spacing w:before="0" w:beforeAutospacing="0" w:after="0" w:afterAutospacing="0"/>
              <w:ind w:left="0" w:right="0"/>
              <w:jc w:val="center"/>
              <w:textAlignment w:val="center"/>
              <w:rPr>
                <w:rFonts w:hint="default" w:ascii="Calibri" w:hAnsi="宋体" w:eastAsia="宋体" w:cs="宋体"/>
                <w:snapToGrid w:val="0"/>
                <w:color w:val="auto"/>
                <w:kern w:val="21"/>
                <w:szCs w:val="21"/>
                <w:highlight w:val="none"/>
                <w:shd w:val="clear" w:color="auto" w:fill="auto"/>
                <w:lang w:val="en-US" w:eastAsia="zh-CN"/>
              </w:rPr>
            </w:pPr>
            <w:r>
              <w:rPr>
                <w:rFonts w:hint="eastAsia" w:ascii="宋体" w:hAnsi="宋体" w:eastAsia="宋体" w:cs="宋体"/>
                <w:i w:val="0"/>
                <w:iCs w:val="0"/>
                <w:color w:val="auto"/>
                <w:kern w:val="0"/>
                <w:sz w:val="21"/>
                <w:szCs w:val="21"/>
                <w:highlight w:val="none"/>
                <w:u w:val="none"/>
                <w:lang w:val="en-US" w:eastAsia="zh-CN" w:bidi="ar"/>
              </w:rPr>
              <w:t>COD</w:t>
            </w:r>
          </w:p>
        </w:tc>
        <w:tc>
          <w:tcPr>
            <w:tcW w:w="1448" w:type="dxa"/>
            <w:tcBorders>
              <w:top w:val="single" w:color="auto" w:sz="4" w:space="0"/>
              <w:left w:val="single" w:color="auto" w:sz="4" w:space="0"/>
              <w:bottom w:val="single" w:color="auto" w:sz="4" w:space="0"/>
              <w:right w:val="single" w:color="auto" w:sz="4" w:space="0"/>
            </w:tcBorders>
            <w:noWrap w:val="0"/>
            <w:vAlign w:val="center"/>
          </w:tcPr>
          <w:p w14:paraId="1F83C563">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176EFFF9">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02" w:type="dxa"/>
            <w:tcBorders>
              <w:top w:val="single" w:color="auto" w:sz="4" w:space="0"/>
              <w:left w:val="single" w:color="auto" w:sz="4" w:space="0"/>
              <w:bottom w:val="single" w:color="auto" w:sz="4" w:space="0"/>
              <w:right w:val="single" w:color="auto" w:sz="4" w:space="0"/>
            </w:tcBorders>
            <w:noWrap w:val="0"/>
            <w:vAlign w:val="center"/>
          </w:tcPr>
          <w:p w14:paraId="6560E9D5">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559" w:type="dxa"/>
            <w:tcBorders>
              <w:top w:val="single" w:color="auto" w:sz="4" w:space="0"/>
              <w:left w:val="single" w:color="auto" w:sz="4" w:space="0"/>
              <w:bottom w:val="single" w:color="auto" w:sz="4" w:space="0"/>
              <w:right w:val="single" w:color="auto" w:sz="4" w:space="0"/>
            </w:tcBorders>
            <w:noWrap w:val="0"/>
            <w:vAlign w:val="center"/>
          </w:tcPr>
          <w:p w14:paraId="3D93C95B">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625" w:type="dxa"/>
            <w:tcBorders>
              <w:top w:val="single" w:color="auto" w:sz="4" w:space="0"/>
              <w:left w:val="single" w:color="auto" w:sz="4" w:space="0"/>
              <w:bottom w:val="single" w:color="auto" w:sz="4" w:space="0"/>
              <w:right w:val="single" w:color="auto" w:sz="4" w:space="0"/>
            </w:tcBorders>
            <w:noWrap w:val="0"/>
            <w:vAlign w:val="center"/>
          </w:tcPr>
          <w:p w14:paraId="5098551A">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55" w:type="dxa"/>
            <w:tcBorders>
              <w:top w:val="single" w:color="auto" w:sz="4" w:space="0"/>
              <w:left w:val="single" w:color="auto" w:sz="4" w:space="0"/>
              <w:bottom w:val="single" w:color="auto" w:sz="4" w:space="0"/>
              <w:right w:val="single" w:color="auto" w:sz="4" w:space="0"/>
            </w:tcBorders>
            <w:noWrap w:val="0"/>
            <w:vAlign w:val="center"/>
          </w:tcPr>
          <w:p w14:paraId="135AA424">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292" w:type="dxa"/>
            <w:tcBorders>
              <w:top w:val="single" w:color="auto" w:sz="4" w:space="0"/>
              <w:left w:val="single" w:color="auto" w:sz="4" w:space="0"/>
              <w:bottom w:val="single" w:color="auto" w:sz="4" w:space="0"/>
              <w:right w:val="single" w:color="auto" w:sz="8" w:space="0"/>
            </w:tcBorders>
            <w:noWrap w:val="0"/>
            <w:vAlign w:val="center"/>
          </w:tcPr>
          <w:p w14:paraId="3F32C1BC">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r>
      <w:tr w14:paraId="78A661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3" w:type="dxa"/>
            <w:vMerge w:val="continue"/>
            <w:tcBorders>
              <w:left w:val="single" w:color="auto" w:sz="8" w:space="0"/>
              <w:bottom w:val="single" w:color="auto" w:sz="4" w:space="0"/>
              <w:right w:val="single" w:color="auto" w:sz="4" w:space="0"/>
            </w:tcBorders>
            <w:noWrap w:val="0"/>
            <w:vAlign w:val="center"/>
          </w:tcPr>
          <w:p w14:paraId="6A650274">
            <w:pPr>
              <w:keepNext w:val="0"/>
              <w:keepLines w:val="0"/>
              <w:suppressLineNumbers w:val="0"/>
              <w:spacing w:before="0" w:beforeAutospacing="0" w:after="0" w:afterAutospacing="0"/>
              <w:ind w:left="0" w:right="0"/>
              <w:jc w:val="center"/>
              <w:rPr>
                <w:rFonts w:ascii="Calibri" w:hAnsi="宋体" w:eastAsia="宋体" w:cs="宋体"/>
                <w:snapToGrid w:val="0"/>
                <w:color w:val="auto"/>
                <w:kern w:val="21"/>
                <w:szCs w:val="21"/>
                <w:highlight w:val="none"/>
                <w:shd w:val="clear" w:color="auto" w:fill="auto"/>
              </w:rPr>
            </w:pPr>
          </w:p>
        </w:tc>
        <w:tc>
          <w:tcPr>
            <w:tcW w:w="1936" w:type="dxa"/>
            <w:tcBorders>
              <w:top w:val="single" w:color="auto" w:sz="4" w:space="0"/>
              <w:left w:val="single" w:color="auto" w:sz="4" w:space="0"/>
              <w:bottom w:val="single" w:color="auto" w:sz="4" w:space="0"/>
              <w:right w:val="single" w:color="auto" w:sz="4" w:space="0"/>
            </w:tcBorders>
            <w:noWrap w:val="0"/>
            <w:vAlign w:val="center"/>
          </w:tcPr>
          <w:p w14:paraId="3C199543">
            <w:pPr>
              <w:keepNext w:val="0"/>
              <w:keepLines w:val="0"/>
              <w:widowControl/>
              <w:suppressLineNumbers w:val="0"/>
              <w:spacing w:before="0" w:beforeAutospacing="0" w:after="0" w:afterAutospacing="0"/>
              <w:ind w:left="0" w:right="0"/>
              <w:jc w:val="center"/>
              <w:textAlignment w:val="center"/>
              <w:rPr>
                <w:rFonts w:hint="eastAsia" w:ascii="Calibri" w:hAnsi="宋体" w:eastAsia="宋体" w:cs="宋体"/>
                <w:snapToGrid w:val="0"/>
                <w:color w:val="auto"/>
                <w:kern w:val="21"/>
                <w:szCs w:val="21"/>
                <w:highlight w:val="none"/>
                <w:shd w:val="clear" w:color="auto" w:fill="auto"/>
                <w:lang w:val="en-US" w:eastAsia="zh-CN"/>
              </w:rPr>
            </w:pPr>
            <w:r>
              <w:rPr>
                <w:rFonts w:hint="eastAsia" w:ascii="宋体" w:hAnsi="宋体" w:eastAsia="宋体" w:cs="宋体"/>
                <w:i w:val="0"/>
                <w:iCs w:val="0"/>
                <w:color w:val="auto"/>
                <w:kern w:val="0"/>
                <w:sz w:val="21"/>
                <w:szCs w:val="21"/>
                <w:highlight w:val="none"/>
                <w:u w:val="none"/>
                <w:lang w:val="en-US" w:eastAsia="zh-CN" w:bidi="ar"/>
              </w:rPr>
              <w:t>氨氮</w:t>
            </w:r>
          </w:p>
        </w:tc>
        <w:tc>
          <w:tcPr>
            <w:tcW w:w="1448" w:type="dxa"/>
            <w:tcBorders>
              <w:top w:val="single" w:color="auto" w:sz="4" w:space="0"/>
              <w:left w:val="single" w:color="auto" w:sz="4" w:space="0"/>
              <w:bottom w:val="single" w:color="auto" w:sz="4" w:space="0"/>
              <w:right w:val="single" w:color="auto" w:sz="4" w:space="0"/>
            </w:tcBorders>
            <w:noWrap w:val="0"/>
            <w:vAlign w:val="center"/>
          </w:tcPr>
          <w:p w14:paraId="3A026806">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5CA84DCA">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02" w:type="dxa"/>
            <w:tcBorders>
              <w:top w:val="single" w:color="auto" w:sz="4" w:space="0"/>
              <w:left w:val="single" w:color="auto" w:sz="4" w:space="0"/>
              <w:bottom w:val="single" w:color="auto" w:sz="4" w:space="0"/>
              <w:right w:val="single" w:color="auto" w:sz="4" w:space="0"/>
            </w:tcBorders>
            <w:noWrap w:val="0"/>
            <w:vAlign w:val="center"/>
          </w:tcPr>
          <w:p w14:paraId="43F0DD55">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559" w:type="dxa"/>
            <w:tcBorders>
              <w:top w:val="single" w:color="auto" w:sz="4" w:space="0"/>
              <w:left w:val="single" w:color="auto" w:sz="4" w:space="0"/>
              <w:bottom w:val="single" w:color="auto" w:sz="4" w:space="0"/>
              <w:right w:val="single" w:color="auto" w:sz="4" w:space="0"/>
            </w:tcBorders>
            <w:noWrap w:val="0"/>
            <w:vAlign w:val="center"/>
          </w:tcPr>
          <w:p w14:paraId="628DF396">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625" w:type="dxa"/>
            <w:tcBorders>
              <w:top w:val="single" w:color="auto" w:sz="4" w:space="0"/>
              <w:left w:val="single" w:color="auto" w:sz="4" w:space="0"/>
              <w:bottom w:val="single" w:color="auto" w:sz="4" w:space="0"/>
              <w:right w:val="single" w:color="auto" w:sz="4" w:space="0"/>
            </w:tcBorders>
            <w:noWrap w:val="0"/>
            <w:vAlign w:val="center"/>
          </w:tcPr>
          <w:p w14:paraId="68562480">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55" w:type="dxa"/>
            <w:tcBorders>
              <w:top w:val="single" w:color="auto" w:sz="4" w:space="0"/>
              <w:left w:val="single" w:color="auto" w:sz="4" w:space="0"/>
              <w:bottom w:val="single" w:color="auto" w:sz="4" w:space="0"/>
              <w:right w:val="single" w:color="auto" w:sz="4" w:space="0"/>
            </w:tcBorders>
            <w:noWrap w:val="0"/>
            <w:vAlign w:val="center"/>
          </w:tcPr>
          <w:p w14:paraId="39FF9C23">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292" w:type="dxa"/>
            <w:tcBorders>
              <w:top w:val="single" w:color="auto" w:sz="4" w:space="0"/>
              <w:left w:val="single" w:color="auto" w:sz="4" w:space="0"/>
              <w:bottom w:val="single" w:color="auto" w:sz="4" w:space="0"/>
              <w:right w:val="single" w:color="auto" w:sz="8" w:space="0"/>
            </w:tcBorders>
            <w:noWrap w:val="0"/>
            <w:vAlign w:val="center"/>
          </w:tcPr>
          <w:p w14:paraId="7646915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r>
      <w:tr w14:paraId="0FE354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3" w:type="dxa"/>
            <w:vMerge w:val="restart"/>
            <w:tcBorders>
              <w:top w:val="single" w:color="auto" w:sz="4" w:space="0"/>
              <w:left w:val="single" w:color="auto" w:sz="8" w:space="0"/>
              <w:right w:val="single" w:color="auto" w:sz="4" w:space="0"/>
            </w:tcBorders>
            <w:noWrap w:val="0"/>
            <w:vAlign w:val="center"/>
          </w:tcPr>
          <w:p w14:paraId="0B8315C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一般工业</w:t>
            </w:r>
          </w:p>
          <w:p w14:paraId="2C659032">
            <w:pPr>
              <w:keepNext w:val="0"/>
              <w:keepLines w:val="0"/>
              <w:widowControl/>
              <w:suppressLineNumbers w:val="0"/>
              <w:spacing w:before="0" w:beforeAutospacing="0" w:after="0" w:afterAutospacing="0"/>
              <w:ind w:left="0" w:right="0"/>
              <w:jc w:val="center"/>
              <w:textAlignment w:val="center"/>
              <w:rPr>
                <w:rFonts w:ascii="Calibri" w:hAnsi="宋体" w:eastAsia="宋体" w:cs="宋体"/>
                <w:snapToGrid w:val="0"/>
                <w:color w:val="auto"/>
                <w:kern w:val="21"/>
                <w:szCs w:val="21"/>
                <w:highlight w:val="none"/>
                <w:shd w:val="clear" w:color="auto" w:fill="auto"/>
              </w:rPr>
            </w:pPr>
            <w:r>
              <w:rPr>
                <w:rFonts w:hint="eastAsia" w:ascii="宋体" w:hAnsi="宋体" w:eastAsia="宋体" w:cs="宋体"/>
                <w:i w:val="0"/>
                <w:iCs w:val="0"/>
                <w:color w:val="auto"/>
                <w:kern w:val="0"/>
                <w:sz w:val="21"/>
                <w:szCs w:val="21"/>
                <w:highlight w:val="none"/>
                <w:u w:val="none"/>
                <w:lang w:val="en-US" w:eastAsia="zh-CN" w:bidi="ar"/>
              </w:rPr>
              <w:t>固体废物</w:t>
            </w:r>
          </w:p>
        </w:tc>
        <w:tc>
          <w:tcPr>
            <w:tcW w:w="1936" w:type="dxa"/>
            <w:tcBorders>
              <w:top w:val="single" w:color="auto" w:sz="4" w:space="0"/>
              <w:left w:val="single" w:color="auto" w:sz="4" w:space="0"/>
              <w:bottom w:val="single" w:color="auto" w:sz="4" w:space="0"/>
              <w:right w:val="single" w:color="auto" w:sz="4" w:space="0"/>
            </w:tcBorders>
            <w:noWrap w:val="0"/>
            <w:vAlign w:val="center"/>
          </w:tcPr>
          <w:p w14:paraId="6A7B4A8E">
            <w:pPr>
              <w:keepNext w:val="0"/>
              <w:keepLines w:val="0"/>
              <w:widowControl/>
              <w:suppressLineNumbers w:val="0"/>
              <w:spacing w:before="0" w:beforeAutospacing="0" w:after="0" w:afterAutospacing="0"/>
              <w:ind w:left="0" w:right="0"/>
              <w:jc w:val="center"/>
              <w:textAlignment w:val="center"/>
              <w:rPr>
                <w:rFonts w:ascii="Calibri" w:hAnsi="宋体" w:eastAsia="宋体" w:cs="宋体"/>
                <w:snapToGrid w:val="0"/>
                <w:color w:val="auto"/>
                <w:kern w:val="21"/>
                <w:szCs w:val="21"/>
                <w:highlight w:val="none"/>
                <w:shd w:val="clear" w:color="auto" w:fill="auto"/>
              </w:rPr>
            </w:pPr>
            <w:r>
              <w:rPr>
                <w:rFonts w:hint="eastAsia" w:ascii="宋体" w:hAnsi="宋体" w:eastAsia="宋体" w:cs="宋体"/>
                <w:i w:val="0"/>
                <w:iCs w:val="0"/>
                <w:color w:val="auto"/>
                <w:kern w:val="0"/>
                <w:sz w:val="21"/>
                <w:szCs w:val="21"/>
                <w:highlight w:val="none"/>
                <w:u w:val="none"/>
                <w:lang w:val="en-US" w:eastAsia="zh-CN" w:bidi="ar"/>
              </w:rPr>
              <w:t>除尘灰</w:t>
            </w:r>
          </w:p>
        </w:tc>
        <w:tc>
          <w:tcPr>
            <w:tcW w:w="1448" w:type="dxa"/>
            <w:tcBorders>
              <w:top w:val="single" w:color="auto" w:sz="4" w:space="0"/>
              <w:left w:val="single" w:color="auto" w:sz="4" w:space="0"/>
              <w:bottom w:val="single" w:color="auto" w:sz="4" w:space="0"/>
              <w:right w:val="single" w:color="auto" w:sz="4" w:space="0"/>
            </w:tcBorders>
            <w:noWrap w:val="0"/>
            <w:vAlign w:val="center"/>
          </w:tcPr>
          <w:p w14:paraId="0689939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2712BFC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02" w:type="dxa"/>
            <w:tcBorders>
              <w:top w:val="single" w:color="auto" w:sz="4" w:space="0"/>
              <w:left w:val="single" w:color="auto" w:sz="4" w:space="0"/>
              <w:bottom w:val="single" w:color="auto" w:sz="4" w:space="0"/>
              <w:right w:val="single" w:color="auto" w:sz="4" w:space="0"/>
            </w:tcBorders>
            <w:noWrap w:val="0"/>
            <w:vAlign w:val="center"/>
          </w:tcPr>
          <w:p w14:paraId="485D98B9">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559" w:type="dxa"/>
            <w:tcBorders>
              <w:top w:val="single" w:color="auto" w:sz="4" w:space="0"/>
              <w:left w:val="single" w:color="auto" w:sz="4" w:space="0"/>
              <w:bottom w:val="single" w:color="auto" w:sz="4" w:space="0"/>
              <w:right w:val="single" w:color="auto" w:sz="4" w:space="0"/>
            </w:tcBorders>
            <w:noWrap w:val="0"/>
            <w:vAlign w:val="center"/>
          </w:tcPr>
          <w:p w14:paraId="349AC0D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eastAsia" w:cs="Times New Roman"/>
                <w:i w:val="0"/>
                <w:iCs w:val="0"/>
                <w:color w:val="auto"/>
                <w:kern w:val="0"/>
                <w:sz w:val="21"/>
                <w:szCs w:val="21"/>
                <w:highlight w:val="none"/>
                <w:u w:val="none"/>
                <w:lang w:val="en-US" w:eastAsia="zh-CN" w:bidi="ar"/>
              </w:rPr>
              <w:t xml:space="preserve">1562.89 </w:t>
            </w:r>
            <w:r>
              <w:rPr>
                <w:rFonts w:hint="default" w:ascii="Times New Roman" w:hAnsi="Times New Roman" w:eastAsia="宋体" w:cs="Times New Roman"/>
                <w:i w:val="0"/>
                <w:iCs w:val="0"/>
                <w:color w:val="auto"/>
                <w:kern w:val="0"/>
                <w:sz w:val="21"/>
                <w:szCs w:val="21"/>
                <w:highlight w:val="none"/>
                <w:u w:val="none"/>
                <w:lang w:val="en-US" w:eastAsia="zh-CN" w:bidi="ar"/>
              </w:rPr>
              <w:t>t/a</w:t>
            </w:r>
          </w:p>
        </w:tc>
        <w:tc>
          <w:tcPr>
            <w:tcW w:w="1625" w:type="dxa"/>
            <w:tcBorders>
              <w:top w:val="single" w:color="auto" w:sz="4" w:space="0"/>
              <w:left w:val="single" w:color="auto" w:sz="4" w:space="0"/>
              <w:bottom w:val="single" w:color="auto" w:sz="4" w:space="0"/>
              <w:right w:val="single" w:color="auto" w:sz="4" w:space="0"/>
            </w:tcBorders>
            <w:noWrap w:val="0"/>
            <w:vAlign w:val="center"/>
          </w:tcPr>
          <w:p w14:paraId="2E5B4BE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55" w:type="dxa"/>
            <w:tcBorders>
              <w:top w:val="single" w:color="auto" w:sz="4" w:space="0"/>
              <w:left w:val="single" w:color="auto" w:sz="4" w:space="0"/>
              <w:bottom w:val="single" w:color="auto" w:sz="4" w:space="0"/>
              <w:right w:val="single" w:color="auto" w:sz="4" w:space="0"/>
            </w:tcBorders>
            <w:noWrap w:val="0"/>
            <w:vAlign w:val="center"/>
          </w:tcPr>
          <w:p w14:paraId="00D8638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eastAsia" w:cs="Times New Roman"/>
                <w:i w:val="0"/>
                <w:iCs w:val="0"/>
                <w:color w:val="auto"/>
                <w:kern w:val="0"/>
                <w:sz w:val="21"/>
                <w:szCs w:val="21"/>
                <w:highlight w:val="none"/>
                <w:u w:val="none"/>
                <w:lang w:val="en-US" w:eastAsia="zh-CN" w:bidi="ar"/>
              </w:rPr>
              <w:t xml:space="preserve">1562.89 </w:t>
            </w:r>
            <w:r>
              <w:rPr>
                <w:rFonts w:hint="default" w:ascii="Times New Roman" w:hAnsi="Times New Roman" w:eastAsia="宋体" w:cs="Times New Roman"/>
                <w:i w:val="0"/>
                <w:iCs w:val="0"/>
                <w:color w:val="auto"/>
                <w:kern w:val="0"/>
                <w:sz w:val="21"/>
                <w:szCs w:val="21"/>
                <w:highlight w:val="none"/>
                <w:u w:val="none"/>
                <w:lang w:val="en-US" w:eastAsia="zh-CN" w:bidi="ar"/>
              </w:rPr>
              <w:t>t/a</w:t>
            </w:r>
          </w:p>
        </w:tc>
        <w:tc>
          <w:tcPr>
            <w:tcW w:w="1292" w:type="dxa"/>
            <w:tcBorders>
              <w:top w:val="single" w:color="auto" w:sz="4" w:space="0"/>
              <w:left w:val="single" w:color="auto" w:sz="4" w:space="0"/>
              <w:bottom w:val="single" w:color="auto" w:sz="4" w:space="0"/>
              <w:right w:val="single" w:color="auto" w:sz="8" w:space="0"/>
            </w:tcBorders>
            <w:noWrap w:val="0"/>
            <w:vAlign w:val="center"/>
          </w:tcPr>
          <w:p w14:paraId="14BDC5F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eastAsia" w:cs="Times New Roman"/>
                <w:i w:val="0"/>
                <w:iCs w:val="0"/>
                <w:color w:val="auto"/>
                <w:kern w:val="0"/>
                <w:sz w:val="21"/>
                <w:szCs w:val="21"/>
                <w:highlight w:val="none"/>
                <w:u w:val="none"/>
                <w:lang w:val="en-US" w:eastAsia="zh-CN" w:bidi="ar"/>
              </w:rPr>
              <w:t xml:space="preserve">+1562.89 </w:t>
            </w:r>
            <w:r>
              <w:rPr>
                <w:rFonts w:hint="default" w:ascii="Times New Roman" w:hAnsi="Times New Roman" w:eastAsia="宋体" w:cs="Times New Roman"/>
                <w:i w:val="0"/>
                <w:iCs w:val="0"/>
                <w:color w:val="auto"/>
                <w:kern w:val="0"/>
                <w:sz w:val="21"/>
                <w:szCs w:val="21"/>
                <w:highlight w:val="none"/>
                <w:u w:val="none"/>
                <w:lang w:val="en-US" w:eastAsia="zh-CN" w:bidi="ar"/>
              </w:rPr>
              <w:t>t/a</w:t>
            </w:r>
          </w:p>
        </w:tc>
      </w:tr>
      <w:tr w14:paraId="7E8F75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3" w:type="dxa"/>
            <w:vMerge w:val="continue"/>
            <w:tcBorders>
              <w:left w:val="single" w:color="auto" w:sz="8" w:space="0"/>
              <w:right w:val="single" w:color="auto" w:sz="4" w:space="0"/>
            </w:tcBorders>
            <w:noWrap w:val="0"/>
            <w:vAlign w:val="center"/>
          </w:tcPr>
          <w:p w14:paraId="3F2117AE">
            <w:pPr>
              <w:keepNext w:val="0"/>
              <w:keepLines w:val="0"/>
              <w:widowControl/>
              <w:suppressLineNumbers w:val="0"/>
              <w:spacing w:before="0" w:beforeAutospacing="0" w:after="0" w:afterAutospacing="0"/>
              <w:ind w:left="0" w:right="0"/>
              <w:jc w:val="center"/>
              <w:textAlignment w:val="center"/>
              <w:rPr>
                <w:rFonts w:ascii="Calibri" w:hAnsi="宋体" w:eastAsia="宋体" w:cs="宋体"/>
                <w:snapToGrid w:val="0"/>
                <w:color w:val="auto"/>
                <w:kern w:val="21"/>
                <w:szCs w:val="21"/>
                <w:highlight w:val="none"/>
                <w:shd w:val="clear" w:color="auto" w:fill="auto"/>
              </w:rPr>
            </w:pPr>
          </w:p>
        </w:tc>
        <w:tc>
          <w:tcPr>
            <w:tcW w:w="1936" w:type="dxa"/>
            <w:tcBorders>
              <w:top w:val="single" w:color="auto" w:sz="4" w:space="0"/>
              <w:left w:val="single" w:color="auto" w:sz="4" w:space="0"/>
              <w:bottom w:val="single" w:color="auto" w:sz="4" w:space="0"/>
              <w:right w:val="single" w:color="auto" w:sz="4" w:space="0"/>
            </w:tcBorders>
            <w:noWrap w:val="0"/>
            <w:vAlign w:val="center"/>
          </w:tcPr>
          <w:p w14:paraId="42D9138C">
            <w:pPr>
              <w:keepNext w:val="0"/>
              <w:keepLines w:val="0"/>
              <w:widowControl/>
              <w:suppressLineNumbers w:val="0"/>
              <w:spacing w:before="0" w:beforeAutospacing="0" w:after="0" w:afterAutospacing="0"/>
              <w:ind w:left="0" w:right="0"/>
              <w:jc w:val="center"/>
              <w:textAlignment w:val="center"/>
              <w:rPr>
                <w:rFonts w:ascii="Calibri" w:hAnsi="宋体" w:eastAsia="宋体" w:cs="宋体"/>
                <w:snapToGrid w:val="0"/>
                <w:color w:val="auto"/>
                <w:kern w:val="21"/>
                <w:szCs w:val="21"/>
                <w:highlight w:val="none"/>
                <w:shd w:val="clear" w:color="auto" w:fill="auto"/>
              </w:rPr>
            </w:pPr>
            <w:r>
              <w:rPr>
                <w:rFonts w:hint="eastAsia" w:ascii="宋体" w:hAnsi="宋体" w:eastAsia="宋体" w:cs="宋体"/>
                <w:i w:val="0"/>
                <w:iCs w:val="0"/>
                <w:color w:val="auto"/>
                <w:kern w:val="0"/>
                <w:sz w:val="21"/>
                <w:szCs w:val="21"/>
                <w:highlight w:val="none"/>
                <w:u w:val="none"/>
                <w:lang w:val="en-US" w:eastAsia="zh-CN" w:bidi="ar"/>
              </w:rPr>
              <w:t>沉降粉尘</w:t>
            </w:r>
          </w:p>
        </w:tc>
        <w:tc>
          <w:tcPr>
            <w:tcW w:w="1448" w:type="dxa"/>
            <w:tcBorders>
              <w:top w:val="single" w:color="auto" w:sz="4" w:space="0"/>
              <w:left w:val="single" w:color="auto" w:sz="4" w:space="0"/>
              <w:bottom w:val="single" w:color="auto" w:sz="4" w:space="0"/>
              <w:right w:val="single" w:color="auto" w:sz="4" w:space="0"/>
            </w:tcBorders>
            <w:noWrap w:val="0"/>
            <w:vAlign w:val="center"/>
          </w:tcPr>
          <w:p w14:paraId="29E1C48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0370894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02" w:type="dxa"/>
            <w:tcBorders>
              <w:top w:val="single" w:color="auto" w:sz="4" w:space="0"/>
              <w:left w:val="single" w:color="auto" w:sz="4" w:space="0"/>
              <w:bottom w:val="single" w:color="auto" w:sz="4" w:space="0"/>
              <w:right w:val="single" w:color="auto" w:sz="4" w:space="0"/>
            </w:tcBorders>
            <w:noWrap w:val="0"/>
            <w:vAlign w:val="center"/>
          </w:tcPr>
          <w:p w14:paraId="74D2DB09">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559" w:type="dxa"/>
            <w:tcBorders>
              <w:top w:val="single" w:color="auto" w:sz="4" w:space="0"/>
              <w:left w:val="single" w:color="auto" w:sz="4" w:space="0"/>
              <w:bottom w:val="single" w:color="auto" w:sz="4" w:space="0"/>
              <w:right w:val="single" w:color="auto" w:sz="4" w:space="0"/>
            </w:tcBorders>
            <w:noWrap w:val="0"/>
            <w:vAlign w:val="center"/>
          </w:tcPr>
          <w:p w14:paraId="5525CBE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eastAsia" w:cs="Times New Roman"/>
                <w:i w:val="0"/>
                <w:iCs w:val="0"/>
                <w:color w:val="auto"/>
                <w:kern w:val="0"/>
                <w:sz w:val="21"/>
                <w:szCs w:val="21"/>
                <w:highlight w:val="none"/>
                <w:u w:val="none"/>
                <w:lang w:val="en-US" w:eastAsia="zh-CN" w:bidi="ar"/>
              </w:rPr>
              <w:t>243.737</w:t>
            </w:r>
            <w:r>
              <w:rPr>
                <w:rFonts w:hint="default" w:ascii="Times New Roman" w:hAnsi="Times New Roman" w:eastAsia="宋体" w:cs="Times New Roman"/>
                <w:i w:val="0"/>
                <w:iCs w:val="0"/>
                <w:color w:val="auto"/>
                <w:kern w:val="0"/>
                <w:sz w:val="21"/>
                <w:szCs w:val="21"/>
                <w:highlight w:val="none"/>
                <w:u w:val="none"/>
                <w:lang w:val="en-US" w:eastAsia="zh-CN" w:bidi="ar"/>
              </w:rPr>
              <w:t>t/a</w:t>
            </w:r>
          </w:p>
        </w:tc>
        <w:tc>
          <w:tcPr>
            <w:tcW w:w="1625" w:type="dxa"/>
            <w:tcBorders>
              <w:top w:val="single" w:color="auto" w:sz="4" w:space="0"/>
              <w:left w:val="single" w:color="auto" w:sz="4" w:space="0"/>
              <w:bottom w:val="single" w:color="auto" w:sz="4" w:space="0"/>
              <w:right w:val="single" w:color="auto" w:sz="4" w:space="0"/>
            </w:tcBorders>
            <w:noWrap w:val="0"/>
            <w:vAlign w:val="center"/>
          </w:tcPr>
          <w:p w14:paraId="15D4377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55" w:type="dxa"/>
            <w:tcBorders>
              <w:top w:val="single" w:color="auto" w:sz="4" w:space="0"/>
              <w:left w:val="single" w:color="auto" w:sz="4" w:space="0"/>
              <w:bottom w:val="single" w:color="auto" w:sz="4" w:space="0"/>
              <w:right w:val="single" w:color="auto" w:sz="4" w:space="0"/>
            </w:tcBorders>
            <w:noWrap w:val="0"/>
            <w:vAlign w:val="center"/>
          </w:tcPr>
          <w:p w14:paraId="5703866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eastAsia" w:cs="Times New Roman"/>
                <w:i w:val="0"/>
                <w:iCs w:val="0"/>
                <w:color w:val="auto"/>
                <w:kern w:val="0"/>
                <w:sz w:val="21"/>
                <w:szCs w:val="21"/>
                <w:highlight w:val="none"/>
                <w:u w:val="none"/>
                <w:lang w:val="en-US" w:eastAsia="zh-CN" w:bidi="ar"/>
              </w:rPr>
              <w:t>243.737</w:t>
            </w:r>
            <w:r>
              <w:rPr>
                <w:rFonts w:hint="default" w:ascii="Times New Roman" w:hAnsi="Times New Roman" w:eastAsia="宋体" w:cs="Times New Roman"/>
                <w:i w:val="0"/>
                <w:iCs w:val="0"/>
                <w:color w:val="auto"/>
                <w:kern w:val="0"/>
                <w:sz w:val="21"/>
                <w:szCs w:val="21"/>
                <w:highlight w:val="none"/>
                <w:u w:val="none"/>
                <w:lang w:val="en-US" w:eastAsia="zh-CN" w:bidi="ar"/>
              </w:rPr>
              <w:t>t/a</w:t>
            </w:r>
          </w:p>
        </w:tc>
        <w:tc>
          <w:tcPr>
            <w:tcW w:w="1292" w:type="dxa"/>
            <w:tcBorders>
              <w:top w:val="single" w:color="auto" w:sz="4" w:space="0"/>
              <w:left w:val="single" w:color="auto" w:sz="4" w:space="0"/>
              <w:bottom w:val="single" w:color="auto" w:sz="4" w:space="0"/>
              <w:right w:val="single" w:color="auto" w:sz="8" w:space="0"/>
            </w:tcBorders>
            <w:noWrap w:val="0"/>
            <w:vAlign w:val="center"/>
          </w:tcPr>
          <w:p w14:paraId="59A8D3A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eastAsia" w:cs="Times New Roman"/>
                <w:i w:val="0"/>
                <w:iCs w:val="0"/>
                <w:color w:val="auto"/>
                <w:kern w:val="0"/>
                <w:sz w:val="21"/>
                <w:szCs w:val="21"/>
                <w:highlight w:val="none"/>
                <w:u w:val="none"/>
                <w:lang w:val="en-US" w:eastAsia="zh-CN" w:bidi="ar"/>
              </w:rPr>
              <w:t>+243.737</w:t>
            </w:r>
            <w:r>
              <w:rPr>
                <w:rFonts w:hint="default" w:ascii="Times New Roman" w:hAnsi="Times New Roman" w:eastAsia="宋体" w:cs="Times New Roman"/>
                <w:i w:val="0"/>
                <w:iCs w:val="0"/>
                <w:color w:val="auto"/>
                <w:kern w:val="0"/>
                <w:sz w:val="21"/>
                <w:szCs w:val="21"/>
                <w:highlight w:val="none"/>
                <w:u w:val="none"/>
                <w:lang w:val="en-US" w:eastAsia="zh-CN" w:bidi="ar"/>
              </w:rPr>
              <w:t>t/a</w:t>
            </w:r>
          </w:p>
        </w:tc>
      </w:tr>
      <w:tr w14:paraId="323754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3" w:type="dxa"/>
            <w:vMerge w:val="continue"/>
            <w:tcBorders>
              <w:left w:val="single" w:color="auto" w:sz="8" w:space="0"/>
              <w:right w:val="single" w:color="auto" w:sz="4" w:space="0"/>
            </w:tcBorders>
            <w:noWrap w:val="0"/>
            <w:vAlign w:val="center"/>
          </w:tcPr>
          <w:p w14:paraId="3E22BE53">
            <w:pPr>
              <w:keepNext w:val="0"/>
              <w:keepLines w:val="0"/>
              <w:widowControl/>
              <w:suppressLineNumbers w:val="0"/>
              <w:spacing w:before="0" w:beforeAutospacing="0" w:after="0" w:afterAutospacing="0"/>
              <w:ind w:left="0" w:right="0"/>
              <w:jc w:val="center"/>
              <w:textAlignment w:val="center"/>
              <w:rPr>
                <w:rFonts w:ascii="Calibri" w:hAnsi="宋体" w:eastAsia="宋体" w:cs="宋体"/>
                <w:snapToGrid w:val="0"/>
                <w:color w:val="auto"/>
                <w:kern w:val="21"/>
                <w:szCs w:val="21"/>
                <w:highlight w:val="none"/>
                <w:shd w:val="clear" w:color="auto" w:fill="auto"/>
              </w:rPr>
            </w:pPr>
          </w:p>
        </w:tc>
        <w:tc>
          <w:tcPr>
            <w:tcW w:w="1936" w:type="dxa"/>
            <w:tcBorders>
              <w:top w:val="single" w:color="auto" w:sz="4" w:space="0"/>
              <w:left w:val="single" w:color="auto" w:sz="4" w:space="0"/>
              <w:bottom w:val="single" w:color="auto" w:sz="4" w:space="0"/>
              <w:right w:val="single" w:color="auto" w:sz="4" w:space="0"/>
            </w:tcBorders>
            <w:noWrap w:val="0"/>
            <w:vAlign w:val="center"/>
          </w:tcPr>
          <w:p w14:paraId="775B190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沉淀池污泥</w:t>
            </w:r>
          </w:p>
        </w:tc>
        <w:tc>
          <w:tcPr>
            <w:tcW w:w="1448" w:type="dxa"/>
            <w:tcBorders>
              <w:top w:val="single" w:color="auto" w:sz="4" w:space="0"/>
              <w:left w:val="single" w:color="auto" w:sz="4" w:space="0"/>
              <w:bottom w:val="single" w:color="auto" w:sz="4" w:space="0"/>
              <w:right w:val="single" w:color="auto" w:sz="4" w:space="0"/>
            </w:tcBorders>
            <w:noWrap w:val="0"/>
            <w:vAlign w:val="center"/>
          </w:tcPr>
          <w:p w14:paraId="7DA9F5F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78AF43F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w:t>
            </w:r>
          </w:p>
        </w:tc>
        <w:tc>
          <w:tcPr>
            <w:tcW w:w="1702" w:type="dxa"/>
            <w:tcBorders>
              <w:top w:val="single" w:color="auto" w:sz="4" w:space="0"/>
              <w:left w:val="single" w:color="auto" w:sz="4" w:space="0"/>
              <w:bottom w:val="single" w:color="auto" w:sz="4" w:space="0"/>
              <w:right w:val="single" w:color="auto" w:sz="4" w:space="0"/>
            </w:tcBorders>
            <w:noWrap w:val="0"/>
            <w:vAlign w:val="center"/>
          </w:tcPr>
          <w:p w14:paraId="5B2E3DE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w:t>
            </w:r>
          </w:p>
        </w:tc>
        <w:tc>
          <w:tcPr>
            <w:tcW w:w="1559" w:type="dxa"/>
            <w:tcBorders>
              <w:top w:val="single" w:color="auto" w:sz="4" w:space="0"/>
              <w:left w:val="single" w:color="auto" w:sz="4" w:space="0"/>
              <w:bottom w:val="single" w:color="auto" w:sz="4" w:space="0"/>
              <w:right w:val="single" w:color="auto" w:sz="4" w:space="0"/>
            </w:tcBorders>
            <w:noWrap w:val="0"/>
            <w:vAlign w:val="center"/>
          </w:tcPr>
          <w:p w14:paraId="238EB48C">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t/a</w:t>
            </w:r>
          </w:p>
        </w:tc>
        <w:tc>
          <w:tcPr>
            <w:tcW w:w="1625" w:type="dxa"/>
            <w:tcBorders>
              <w:top w:val="single" w:color="auto" w:sz="4" w:space="0"/>
              <w:left w:val="single" w:color="auto" w:sz="4" w:space="0"/>
              <w:bottom w:val="single" w:color="auto" w:sz="4" w:space="0"/>
              <w:right w:val="single" w:color="auto" w:sz="4" w:space="0"/>
            </w:tcBorders>
            <w:noWrap w:val="0"/>
            <w:vAlign w:val="center"/>
          </w:tcPr>
          <w:p w14:paraId="2400A2D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55" w:type="dxa"/>
            <w:tcBorders>
              <w:top w:val="single" w:color="auto" w:sz="4" w:space="0"/>
              <w:left w:val="single" w:color="auto" w:sz="4" w:space="0"/>
              <w:bottom w:val="single" w:color="auto" w:sz="4" w:space="0"/>
              <w:right w:val="single" w:color="auto" w:sz="4" w:space="0"/>
            </w:tcBorders>
            <w:noWrap w:val="0"/>
            <w:vAlign w:val="center"/>
          </w:tcPr>
          <w:p w14:paraId="01247341">
            <w:pPr>
              <w:keepNext w:val="0"/>
              <w:keepLines w:val="0"/>
              <w:widowControl/>
              <w:suppressLineNumbers w:val="0"/>
              <w:spacing w:before="0" w:beforeAutospacing="0" w:after="0" w:afterAutospacing="0"/>
              <w:ind w:left="0" w:leftChars="0" w:right="0" w:rightChars="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t/a</w:t>
            </w:r>
          </w:p>
        </w:tc>
        <w:tc>
          <w:tcPr>
            <w:tcW w:w="1292" w:type="dxa"/>
            <w:tcBorders>
              <w:top w:val="single" w:color="auto" w:sz="4" w:space="0"/>
              <w:left w:val="single" w:color="auto" w:sz="4" w:space="0"/>
              <w:bottom w:val="single" w:color="auto" w:sz="4" w:space="0"/>
              <w:right w:val="single" w:color="auto" w:sz="8" w:space="0"/>
            </w:tcBorders>
            <w:noWrap w:val="0"/>
            <w:vAlign w:val="center"/>
          </w:tcPr>
          <w:p w14:paraId="59D67B4D">
            <w:pPr>
              <w:keepNext w:val="0"/>
              <w:keepLines w:val="0"/>
              <w:widowControl/>
              <w:suppressLineNumbers w:val="0"/>
              <w:spacing w:before="0" w:beforeAutospacing="0" w:after="0" w:afterAutospacing="0"/>
              <w:ind w:left="0" w:leftChars="0" w:right="0" w:rightChars="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t/a</w:t>
            </w:r>
          </w:p>
        </w:tc>
      </w:tr>
      <w:tr w14:paraId="164051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3" w:type="dxa"/>
            <w:vMerge w:val="continue"/>
            <w:tcBorders>
              <w:left w:val="single" w:color="auto" w:sz="8" w:space="0"/>
              <w:right w:val="single" w:color="auto" w:sz="4" w:space="0"/>
            </w:tcBorders>
            <w:noWrap w:val="0"/>
            <w:vAlign w:val="center"/>
          </w:tcPr>
          <w:p w14:paraId="450FAE6F">
            <w:pPr>
              <w:keepNext w:val="0"/>
              <w:keepLines w:val="0"/>
              <w:widowControl/>
              <w:suppressLineNumbers w:val="0"/>
              <w:spacing w:before="0" w:beforeAutospacing="0" w:after="0" w:afterAutospacing="0"/>
              <w:ind w:left="0" w:right="0"/>
              <w:jc w:val="center"/>
              <w:textAlignment w:val="center"/>
              <w:rPr>
                <w:rFonts w:ascii="Calibri" w:hAnsi="宋体" w:eastAsia="宋体" w:cs="宋体"/>
                <w:snapToGrid w:val="0"/>
                <w:color w:val="auto"/>
                <w:kern w:val="21"/>
                <w:szCs w:val="21"/>
                <w:highlight w:val="none"/>
                <w:shd w:val="clear" w:color="auto" w:fill="auto"/>
              </w:rPr>
            </w:pPr>
          </w:p>
        </w:tc>
        <w:tc>
          <w:tcPr>
            <w:tcW w:w="1936" w:type="dxa"/>
            <w:tcBorders>
              <w:top w:val="single" w:color="auto" w:sz="4" w:space="0"/>
              <w:left w:val="single" w:color="auto" w:sz="4" w:space="0"/>
              <w:bottom w:val="single" w:color="auto" w:sz="4" w:space="0"/>
              <w:right w:val="single" w:color="auto" w:sz="4" w:space="0"/>
            </w:tcBorders>
            <w:noWrap w:val="0"/>
            <w:vAlign w:val="center"/>
          </w:tcPr>
          <w:p w14:paraId="751D8E15">
            <w:pPr>
              <w:keepNext w:val="0"/>
              <w:keepLines w:val="0"/>
              <w:widowControl/>
              <w:suppressLineNumbers w:val="0"/>
              <w:spacing w:before="0" w:beforeAutospacing="0" w:after="0" w:afterAutospacing="0"/>
              <w:ind w:left="0" w:right="0"/>
              <w:jc w:val="center"/>
              <w:textAlignment w:val="center"/>
              <w:rPr>
                <w:rFonts w:hint="eastAsia" w:ascii="宋体" w:hAnsi="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水洗白云石沉淀渣</w:t>
            </w:r>
          </w:p>
        </w:tc>
        <w:tc>
          <w:tcPr>
            <w:tcW w:w="1448" w:type="dxa"/>
            <w:tcBorders>
              <w:top w:val="single" w:color="auto" w:sz="4" w:space="0"/>
              <w:left w:val="single" w:color="auto" w:sz="4" w:space="0"/>
              <w:bottom w:val="single" w:color="auto" w:sz="4" w:space="0"/>
              <w:right w:val="single" w:color="auto" w:sz="4" w:space="0"/>
            </w:tcBorders>
            <w:noWrap w:val="0"/>
            <w:vAlign w:val="center"/>
          </w:tcPr>
          <w:p w14:paraId="01343AC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472CCDD6">
            <w:pPr>
              <w:keepNext w:val="0"/>
              <w:keepLines w:val="0"/>
              <w:widowControl/>
              <w:suppressLineNumbers w:val="0"/>
              <w:spacing w:before="0" w:beforeAutospacing="0" w:after="0" w:afterAutospacing="0"/>
              <w:ind w:left="0" w:leftChars="0" w:right="0" w:rightChars="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w:t>
            </w:r>
          </w:p>
        </w:tc>
        <w:tc>
          <w:tcPr>
            <w:tcW w:w="1702" w:type="dxa"/>
            <w:tcBorders>
              <w:top w:val="single" w:color="auto" w:sz="4" w:space="0"/>
              <w:left w:val="single" w:color="auto" w:sz="4" w:space="0"/>
              <w:bottom w:val="single" w:color="auto" w:sz="4" w:space="0"/>
              <w:right w:val="single" w:color="auto" w:sz="4" w:space="0"/>
            </w:tcBorders>
            <w:noWrap w:val="0"/>
            <w:vAlign w:val="center"/>
          </w:tcPr>
          <w:p w14:paraId="00AAB977">
            <w:pPr>
              <w:keepNext w:val="0"/>
              <w:keepLines w:val="0"/>
              <w:widowControl/>
              <w:suppressLineNumbers w:val="0"/>
              <w:spacing w:before="0" w:beforeAutospacing="0" w:after="0" w:afterAutospacing="0"/>
              <w:ind w:left="0" w:leftChars="0" w:right="0" w:rightChars="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w:t>
            </w:r>
          </w:p>
        </w:tc>
        <w:tc>
          <w:tcPr>
            <w:tcW w:w="1559" w:type="dxa"/>
            <w:tcBorders>
              <w:top w:val="single" w:color="auto" w:sz="4" w:space="0"/>
              <w:left w:val="single" w:color="auto" w:sz="4" w:space="0"/>
              <w:bottom w:val="single" w:color="auto" w:sz="4" w:space="0"/>
              <w:right w:val="single" w:color="auto" w:sz="4" w:space="0"/>
            </w:tcBorders>
            <w:noWrap w:val="0"/>
            <w:vAlign w:val="center"/>
          </w:tcPr>
          <w:p w14:paraId="597C21FC">
            <w:pPr>
              <w:keepNext w:val="0"/>
              <w:keepLines w:val="0"/>
              <w:widowControl/>
              <w:suppressLineNumbers w:val="0"/>
              <w:spacing w:before="0" w:beforeAutospacing="0" w:after="0" w:afterAutospacing="0"/>
              <w:ind w:left="0" w:leftChars="0" w:right="0" w:rightChars="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8</w:t>
            </w:r>
            <w:r>
              <w:rPr>
                <w:rFonts w:hint="default" w:ascii="Times New Roman" w:hAnsi="Times New Roman" w:eastAsia="宋体" w:cs="Times New Roman"/>
                <w:i w:val="0"/>
                <w:iCs w:val="0"/>
                <w:color w:val="auto"/>
                <w:kern w:val="0"/>
                <w:sz w:val="21"/>
                <w:szCs w:val="21"/>
                <w:highlight w:val="none"/>
                <w:u w:val="none"/>
                <w:lang w:val="en-US" w:eastAsia="zh-CN" w:bidi="ar"/>
              </w:rPr>
              <w:t>t/a</w:t>
            </w:r>
          </w:p>
        </w:tc>
        <w:tc>
          <w:tcPr>
            <w:tcW w:w="1625" w:type="dxa"/>
            <w:tcBorders>
              <w:top w:val="single" w:color="auto" w:sz="4" w:space="0"/>
              <w:left w:val="single" w:color="auto" w:sz="4" w:space="0"/>
              <w:bottom w:val="single" w:color="auto" w:sz="4" w:space="0"/>
              <w:right w:val="single" w:color="auto" w:sz="4" w:space="0"/>
            </w:tcBorders>
            <w:noWrap w:val="0"/>
            <w:vAlign w:val="center"/>
          </w:tcPr>
          <w:p w14:paraId="198A83C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55" w:type="dxa"/>
            <w:tcBorders>
              <w:top w:val="single" w:color="auto" w:sz="4" w:space="0"/>
              <w:left w:val="single" w:color="auto" w:sz="4" w:space="0"/>
              <w:bottom w:val="single" w:color="auto" w:sz="4" w:space="0"/>
              <w:right w:val="single" w:color="auto" w:sz="4" w:space="0"/>
            </w:tcBorders>
            <w:noWrap w:val="0"/>
            <w:vAlign w:val="center"/>
          </w:tcPr>
          <w:p w14:paraId="1562BDC9">
            <w:pPr>
              <w:keepNext w:val="0"/>
              <w:keepLines w:val="0"/>
              <w:widowControl/>
              <w:suppressLineNumbers w:val="0"/>
              <w:spacing w:before="0" w:beforeAutospacing="0" w:after="0" w:afterAutospacing="0"/>
              <w:ind w:left="0" w:leftChars="0" w:right="0" w:rightChars="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8</w:t>
            </w:r>
            <w:r>
              <w:rPr>
                <w:rFonts w:hint="default" w:ascii="Times New Roman" w:hAnsi="Times New Roman" w:eastAsia="宋体" w:cs="Times New Roman"/>
                <w:i w:val="0"/>
                <w:iCs w:val="0"/>
                <w:color w:val="auto"/>
                <w:kern w:val="0"/>
                <w:sz w:val="21"/>
                <w:szCs w:val="21"/>
                <w:highlight w:val="none"/>
                <w:u w:val="none"/>
                <w:lang w:val="en-US" w:eastAsia="zh-CN" w:bidi="ar"/>
              </w:rPr>
              <w:t>t/a</w:t>
            </w:r>
          </w:p>
        </w:tc>
        <w:tc>
          <w:tcPr>
            <w:tcW w:w="1292" w:type="dxa"/>
            <w:tcBorders>
              <w:top w:val="single" w:color="auto" w:sz="4" w:space="0"/>
              <w:left w:val="single" w:color="auto" w:sz="4" w:space="0"/>
              <w:bottom w:val="single" w:color="auto" w:sz="4" w:space="0"/>
              <w:right w:val="single" w:color="auto" w:sz="8" w:space="0"/>
            </w:tcBorders>
            <w:noWrap w:val="0"/>
            <w:vAlign w:val="center"/>
          </w:tcPr>
          <w:p w14:paraId="063AEA8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+8</w:t>
            </w:r>
            <w:r>
              <w:rPr>
                <w:rFonts w:hint="default" w:ascii="Times New Roman" w:hAnsi="Times New Roman" w:eastAsia="宋体" w:cs="Times New Roman"/>
                <w:i w:val="0"/>
                <w:iCs w:val="0"/>
                <w:color w:val="auto"/>
                <w:kern w:val="0"/>
                <w:sz w:val="21"/>
                <w:szCs w:val="21"/>
                <w:highlight w:val="none"/>
                <w:u w:val="none"/>
                <w:lang w:val="en-US" w:eastAsia="zh-CN" w:bidi="ar"/>
              </w:rPr>
              <w:t>t/a</w:t>
            </w:r>
          </w:p>
        </w:tc>
      </w:tr>
      <w:tr w14:paraId="3D9B74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3" w:type="dxa"/>
            <w:vMerge w:val="continue"/>
            <w:tcBorders>
              <w:left w:val="single" w:color="auto" w:sz="8" w:space="0"/>
              <w:right w:val="single" w:color="auto" w:sz="4" w:space="0"/>
            </w:tcBorders>
            <w:noWrap w:val="0"/>
            <w:vAlign w:val="center"/>
          </w:tcPr>
          <w:p w14:paraId="6582D3DA">
            <w:pPr>
              <w:keepNext w:val="0"/>
              <w:keepLines w:val="0"/>
              <w:suppressLineNumbers w:val="0"/>
              <w:spacing w:before="0" w:beforeAutospacing="0" w:after="0" w:afterAutospacing="0"/>
              <w:ind w:left="0" w:right="0"/>
              <w:rPr>
                <w:rFonts w:ascii="Calibri" w:hAnsi="宋体" w:eastAsia="宋体" w:cs="宋体"/>
                <w:snapToGrid w:val="0"/>
                <w:color w:val="auto"/>
                <w:kern w:val="21"/>
                <w:szCs w:val="21"/>
                <w:highlight w:val="none"/>
                <w:shd w:val="clear" w:color="auto" w:fill="auto"/>
              </w:rPr>
            </w:pPr>
          </w:p>
        </w:tc>
        <w:tc>
          <w:tcPr>
            <w:tcW w:w="1936" w:type="dxa"/>
            <w:tcBorders>
              <w:top w:val="single" w:color="auto" w:sz="4" w:space="0"/>
              <w:left w:val="single" w:color="auto" w:sz="4" w:space="0"/>
              <w:bottom w:val="single" w:color="auto" w:sz="4" w:space="0"/>
              <w:right w:val="single" w:color="auto" w:sz="4" w:space="0"/>
            </w:tcBorders>
            <w:noWrap w:val="0"/>
            <w:vAlign w:val="center"/>
          </w:tcPr>
          <w:p w14:paraId="237FCB2F">
            <w:pPr>
              <w:keepNext w:val="0"/>
              <w:keepLines w:val="0"/>
              <w:widowControl/>
              <w:suppressLineNumbers w:val="0"/>
              <w:spacing w:before="0" w:beforeAutospacing="0" w:after="0" w:afterAutospacing="0"/>
              <w:ind w:left="0" w:right="0"/>
              <w:jc w:val="center"/>
              <w:textAlignment w:val="center"/>
              <w:rPr>
                <w:rFonts w:hint="eastAsia" w:ascii="Calibri" w:hAnsi="Calibri" w:eastAsia="宋体" w:cs="Times New Roman"/>
                <w:color w:val="auto"/>
                <w:szCs w:val="21"/>
                <w:highlight w:val="none"/>
                <w:shd w:val="clear" w:color="auto" w:fill="auto"/>
              </w:rPr>
            </w:pPr>
            <w:r>
              <w:rPr>
                <w:rFonts w:hint="eastAsia" w:ascii="宋体" w:hAnsi="宋体" w:eastAsia="宋体" w:cs="宋体"/>
                <w:i w:val="0"/>
                <w:iCs w:val="0"/>
                <w:color w:val="auto"/>
                <w:kern w:val="0"/>
                <w:sz w:val="21"/>
                <w:szCs w:val="21"/>
                <w:highlight w:val="none"/>
                <w:u w:val="none"/>
                <w:lang w:val="en-US" w:eastAsia="zh-CN" w:bidi="ar"/>
              </w:rPr>
              <w:t>生活垃圾</w:t>
            </w:r>
          </w:p>
        </w:tc>
        <w:tc>
          <w:tcPr>
            <w:tcW w:w="1448" w:type="dxa"/>
            <w:tcBorders>
              <w:top w:val="single" w:color="auto" w:sz="4" w:space="0"/>
              <w:left w:val="single" w:color="auto" w:sz="4" w:space="0"/>
              <w:bottom w:val="single" w:color="auto" w:sz="4" w:space="0"/>
              <w:right w:val="single" w:color="auto" w:sz="4" w:space="0"/>
            </w:tcBorders>
            <w:noWrap w:val="0"/>
            <w:vAlign w:val="center"/>
          </w:tcPr>
          <w:p w14:paraId="4D62B40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0364564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02" w:type="dxa"/>
            <w:tcBorders>
              <w:top w:val="single" w:color="auto" w:sz="4" w:space="0"/>
              <w:left w:val="single" w:color="auto" w:sz="4" w:space="0"/>
              <w:bottom w:val="single" w:color="auto" w:sz="4" w:space="0"/>
              <w:right w:val="single" w:color="auto" w:sz="4" w:space="0"/>
            </w:tcBorders>
            <w:noWrap w:val="0"/>
            <w:vAlign w:val="center"/>
          </w:tcPr>
          <w:p w14:paraId="61570A6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559" w:type="dxa"/>
            <w:tcBorders>
              <w:top w:val="single" w:color="auto" w:sz="4" w:space="0"/>
              <w:left w:val="single" w:color="auto" w:sz="4" w:space="0"/>
              <w:bottom w:val="single" w:color="auto" w:sz="4" w:space="0"/>
              <w:right w:val="single" w:color="auto" w:sz="4" w:space="0"/>
            </w:tcBorders>
            <w:noWrap w:val="0"/>
            <w:vAlign w:val="center"/>
          </w:tcPr>
          <w:p w14:paraId="70D539B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eastAsia" w:cs="Times New Roman"/>
                <w:i w:val="0"/>
                <w:iCs w:val="0"/>
                <w:color w:val="auto"/>
                <w:kern w:val="0"/>
                <w:sz w:val="21"/>
                <w:szCs w:val="21"/>
                <w:highlight w:val="none"/>
                <w:u w:val="none"/>
                <w:lang w:val="en-US" w:eastAsia="zh-CN" w:bidi="ar"/>
              </w:rPr>
              <w:t>8.25</w:t>
            </w:r>
            <w:r>
              <w:rPr>
                <w:rFonts w:hint="default" w:ascii="Times New Roman" w:hAnsi="Times New Roman" w:eastAsia="宋体" w:cs="Times New Roman"/>
                <w:i w:val="0"/>
                <w:iCs w:val="0"/>
                <w:color w:val="auto"/>
                <w:kern w:val="0"/>
                <w:sz w:val="21"/>
                <w:szCs w:val="21"/>
                <w:highlight w:val="none"/>
                <w:u w:val="none"/>
                <w:lang w:val="en-US" w:eastAsia="zh-CN" w:bidi="ar"/>
              </w:rPr>
              <w:t>t/a</w:t>
            </w:r>
          </w:p>
        </w:tc>
        <w:tc>
          <w:tcPr>
            <w:tcW w:w="1625" w:type="dxa"/>
            <w:tcBorders>
              <w:top w:val="single" w:color="auto" w:sz="4" w:space="0"/>
              <w:left w:val="single" w:color="auto" w:sz="4" w:space="0"/>
              <w:bottom w:val="single" w:color="auto" w:sz="4" w:space="0"/>
              <w:right w:val="single" w:color="auto" w:sz="4" w:space="0"/>
            </w:tcBorders>
            <w:noWrap w:val="0"/>
            <w:vAlign w:val="center"/>
          </w:tcPr>
          <w:p w14:paraId="0EAF5842">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55" w:type="dxa"/>
            <w:tcBorders>
              <w:top w:val="single" w:color="auto" w:sz="4" w:space="0"/>
              <w:left w:val="single" w:color="auto" w:sz="4" w:space="0"/>
              <w:bottom w:val="single" w:color="auto" w:sz="4" w:space="0"/>
              <w:right w:val="single" w:color="auto" w:sz="4" w:space="0"/>
            </w:tcBorders>
            <w:noWrap w:val="0"/>
            <w:vAlign w:val="center"/>
          </w:tcPr>
          <w:p w14:paraId="368D7C5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eastAsia" w:cs="Times New Roman"/>
                <w:i w:val="0"/>
                <w:iCs w:val="0"/>
                <w:color w:val="auto"/>
                <w:kern w:val="0"/>
                <w:sz w:val="21"/>
                <w:szCs w:val="21"/>
                <w:highlight w:val="none"/>
                <w:u w:val="none"/>
                <w:lang w:val="en-US" w:eastAsia="zh-CN" w:bidi="ar"/>
              </w:rPr>
              <w:t>8.25</w:t>
            </w:r>
            <w:r>
              <w:rPr>
                <w:rFonts w:hint="default" w:ascii="Times New Roman" w:hAnsi="Times New Roman" w:eastAsia="宋体" w:cs="Times New Roman"/>
                <w:i w:val="0"/>
                <w:iCs w:val="0"/>
                <w:color w:val="auto"/>
                <w:kern w:val="0"/>
                <w:sz w:val="21"/>
                <w:szCs w:val="21"/>
                <w:highlight w:val="none"/>
                <w:u w:val="none"/>
                <w:lang w:val="en-US" w:eastAsia="zh-CN" w:bidi="ar"/>
              </w:rPr>
              <w:t>t/a</w:t>
            </w:r>
          </w:p>
        </w:tc>
        <w:tc>
          <w:tcPr>
            <w:tcW w:w="1292" w:type="dxa"/>
            <w:tcBorders>
              <w:top w:val="single" w:color="auto" w:sz="4" w:space="0"/>
              <w:left w:val="single" w:color="auto" w:sz="4" w:space="0"/>
              <w:bottom w:val="single" w:color="auto" w:sz="4" w:space="0"/>
              <w:right w:val="single" w:color="auto" w:sz="8" w:space="0"/>
            </w:tcBorders>
            <w:noWrap w:val="0"/>
            <w:vAlign w:val="center"/>
          </w:tcPr>
          <w:p w14:paraId="772488F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eastAsia" w:cs="Times New Roman"/>
                <w:i w:val="0"/>
                <w:iCs w:val="0"/>
                <w:color w:val="auto"/>
                <w:kern w:val="0"/>
                <w:sz w:val="21"/>
                <w:szCs w:val="21"/>
                <w:highlight w:val="none"/>
                <w:u w:val="none"/>
                <w:lang w:val="en-US" w:eastAsia="zh-CN" w:bidi="ar"/>
              </w:rPr>
              <w:t>+8.25</w:t>
            </w:r>
            <w:r>
              <w:rPr>
                <w:rFonts w:hint="default" w:ascii="Times New Roman" w:hAnsi="Times New Roman" w:eastAsia="宋体" w:cs="Times New Roman"/>
                <w:i w:val="0"/>
                <w:iCs w:val="0"/>
                <w:color w:val="auto"/>
                <w:kern w:val="0"/>
                <w:sz w:val="21"/>
                <w:szCs w:val="21"/>
                <w:highlight w:val="none"/>
                <w:u w:val="none"/>
                <w:lang w:val="en-US" w:eastAsia="zh-CN" w:bidi="ar"/>
              </w:rPr>
              <w:t>t/a</w:t>
            </w:r>
          </w:p>
        </w:tc>
      </w:tr>
      <w:tr w14:paraId="501285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3" w:type="dxa"/>
            <w:vMerge w:val="continue"/>
            <w:tcBorders>
              <w:left w:val="single" w:color="auto" w:sz="8" w:space="0"/>
              <w:right w:val="single" w:color="auto" w:sz="4" w:space="0"/>
            </w:tcBorders>
            <w:noWrap w:val="0"/>
            <w:vAlign w:val="center"/>
          </w:tcPr>
          <w:p w14:paraId="740E852E">
            <w:pPr>
              <w:keepNext w:val="0"/>
              <w:keepLines w:val="0"/>
              <w:suppressLineNumbers w:val="0"/>
              <w:spacing w:before="0" w:beforeAutospacing="0" w:after="0" w:afterAutospacing="0"/>
              <w:ind w:left="0" w:right="0"/>
              <w:rPr>
                <w:rFonts w:ascii="Calibri" w:hAnsi="宋体" w:eastAsia="宋体" w:cs="宋体"/>
                <w:snapToGrid w:val="0"/>
                <w:color w:val="auto"/>
                <w:kern w:val="21"/>
                <w:szCs w:val="21"/>
                <w:highlight w:val="none"/>
                <w:shd w:val="clear" w:color="auto" w:fill="auto"/>
              </w:rPr>
            </w:pPr>
          </w:p>
        </w:tc>
        <w:tc>
          <w:tcPr>
            <w:tcW w:w="1936" w:type="dxa"/>
            <w:tcBorders>
              <w:top w:val="single" w:color="auto" w:sz="4" w:space="0"/>
              <w:left w:val="single" w:color="auto" w:sz="4" w:space="0"/>
              <w:bottom w:val="single" w:color="auto" w:sz="4" w:space="0"/>
              <w:right w:val="single" w:color="auto" w:sz="4" w:space="0"/>
            </w:tcBorders>
            <w:noWrap w:val="0"/>
            <w:vAlign w:val="center"/>
          </w:tcPr>
          <w:p w14:paraId="4553729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废布袋</w:t>
            </w:r>
          </w:p>
        </w:tc>
        <w:tc>
          <w:tcPr>
            <w:tcW w:w="1448" w:type="dxa"/>
            <w:tcBorders>
              <w:top w:val="single" w:color="auto" w:sz="4" w:space="0"/>
              <w:left w:val="single" w:color="auto" w:sz="4" w:space="0"/>
              <w:bottom w:val="single" w:color="auto" w:sz="4" w:space="0"/>
              <w:right w:val="single" w:color="auto" w:sz="4" w:space="0"/>
            </w:tcBorders>
            <w:noWrap w:val="0"/>
            <w:vAlign w:val="center"/>
          </w:tcPr>
          <w:p w14:paraId="5A1110F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6264AD7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02" w:type="dxa"/>
            <w:tcBorders>
              <w:top w:val="single" w:color="auto" w:sz="4" w:space="0"/>
              <w:left w:val="single" w:color="auto" w:sz="4" w:space="0"/>
              <w:bottom w:val="single" w:color="auto" w:sz="4" w:space="0"/>
              <w:right w:val="single" w:color="auto" w:sz="4" w:space="0"/>
            </w:tcBorders>
            <w:noWrap w:val="0"/>
            <w:vAlign w:val="center"/>
          </w:tcPr>
          <w:p w14:paraId="412F52E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559" w:type="dxa"/>
            <w:tcBorders>
              <w:top w:val="single" w:color="auto" w:sz="4" w:space="0"/>
              <w:left w:val="single" w:color="auto" w:sz="4" w:space="0"/>
              <w:bottom w:val="single" w:color="auto" w:sz="4" w:space="0"/>
              <w:right w:val="single" w:color="auto" w:sz="4" w:space="0"/>
            </w:tcBorders>
            <w:noWrap w:val="0"/>
            <w:vAlign w:val="center"/>
          </w:tcPr>
          <w:p w14:paraId="4535AE8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t/a</w:t>
            </w:r>
          </w:p>
        </w:tc>
        <w:tc>
          <w:tcPr>
            <w:tcW w:w="1625" w:type="dxa"/>
            <w:tcBorders>
              <w:top w:val="single" w:color="auto" w:sz="4" w:space="0"/>
              <w:left w:val="single" w:color="auto" w:sz="4" w:space="0"/>
              <w:bottom w:val="single" w:color="auto" w:sz="4" w:space="0"/>
              <w:right w:val="single" w:color="auto" w:sz="4" w:space="0"/>
            </w:tcBorders>
            <w:noWrap w:val="0"/>
            <w:vAlign w:val="center"/>
          </w:tcPr>
          <w:p w14:paraId="79B09E3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55" w:type="dxa"/>
            <w:tcBorders>
              <w:top w:val="single" w:color="auto" w:sz="4" w:space="0"/>
              <w:left w:val="single" w:color="auto" w:sz="4" w:space="0"/>
              <w:bottom w:val="single" w:color="auto" w:sz="4" w:space="0"/>
              <w:right w:val="single" w:color="auto" w:sz="4" w:space="0"/>
            </w:tcBorders>
            <w:noWrap w:val="0"/>
            <w:vAlign w:val="center"/>
          </w:tcPr>
          <w:p w14:paraId="5E9F8D3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t/a</w:t>
            </w:r>
          </w:p>
        </w:tc>
        <w:tc>
          <w:tcPr>
            <w:tcW w:w="1292" w:type="dxa"/>
            <w:tcBorders>
              <w:top w:val="single" w:color="auto" w:sz="4" w:space="0"/>
              <w:left w:val="single" w:color="auto" w:sz="4" w:space="0"/>
              <w:bottom w:val="single" w:color="auto" w:sz="4" w:space="0"/>
              <w:right w:val="single" w:color="auto" w:sz="8" w:space="0"/>
            </w:tcBorders>
            <w:noWrap w:val="0"/>
            <w:vAlign w:val="center"/>
          </w:tcPr>
          <w:p w14:paraId="159DD6D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.1</w:t>
            </w:r>
            <w:r>
              <w:rPr>
                <w:rFonts w:hint="default" w:ascii="Times New Roman" w:hAnsi="Times New Roman" w:eastAsia="宋体" w:cs="Times New Roman"/>
                <w:i w:val="0"/>
                <w:iCs w:val="0"/>
                <w:color w:val="auto"/>
                <w:kern w:val="0"/>
                <w:sz w:val="21"/>
                <w:szCs w:val="21"/>
                <w:highlight w:val="none"/>
                <w:u w:val="none"/>
                <w:lang w:val="en-US" w:eastAsia="zh-CN" w:bidi="ar"/>
              </w:rPr>
              <w:t>t/a</w:t>
            </w:r>
          </w:p>
        </w:tc>
      </w:tr>
      <w:tr w14:paraId="5F2F65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2" w:hRule="atLeast"/>
        </w:trPr>
        <w:tc>
          <w:tcPr>
            <w:tcW w:w="1323" w:type="dxa"/>
            <w:vMerge w:val="restart"/>
            <w:tcBorders>
              <w:top w:val="single" w:color="auto" w:sz="4" w:space="0"/>
              <w:left w:val="single" w:color="auto" w:sz="8" w:space="0"/>
              <w:right w:val="single" w:color="auto" w:sz="4" w:space="0"/>
            </w:tcBorders>
            <w:noWrap w:val="0"/>
            <w:vAlign w:val="center"/>
          </w:tcPr>
          <w:p w14:paraId="3EFCB5EF">
            <w:pPr>
              <w:keepNext w:val="0"/>
              <w:keepLines w:val="0"/>
              <w:widowControl/>
              <w:suppressLineNumbers w:val="0"/>
              <w:spacing w:before="0" w:beforeAutospacing="0" w:after="0" w:afterAutospacing="0"/>
              <w:ind w:left="0" w:right="0"/>
              <w:jc w:val="center"/>
              <w:textAlignment w:val="center"/>
              <w:rPr>
                <w:rFonts w:ascii="Calibri" w:hAnsi="宋体" w:eastAsia="宋体" w:cs="宋体"/>
                <w:color w:val="auto"/>
                <w:kern w:val="21"/>
                <w:szCs w:val="21"/>
                <w:highlight w:val="none"/>
                <w:shd w:val="clear" w:color="auto" w:fill="auto"/>
              </w:rPr>
            </w:pPr>
            <w:r>
              <w:rPr>
                <w:rFonts w:hint="eastAsia" w:ascii="宋体" w:hAnsi="宋体" w:eastAsia="宋体" w:cs="宋体"/>
                <w:i w:val="0"/>
                <w:iCs w:val="0"/>
                <w:color w:val="auto"/>
                <w:kern w:val="0"/>
                <w:sz w:val="21"/>
                <w:szCs w:val="21"/>
                <w:highlight w:val="none"/>
                <w:u w:val="none"/>
                <w:lang w:val="en-US" w:eastAsia="zh-CN" w:bidi="ar"/>
              </w:rPr>
              <w:t>危险废物</w:t>
            </w:r>
          </w:p>
        </w:tc>
        <w:tc>
          <w:tcPr>
            <w:tcW w:w="1936" w:type="dxa"/>
            <w:tcBorders>
              <w:top w:val="single" w:color="auto" w:sz="4" w:space="0"/>
              <w:left w:val="single" w:color="auto" w:sz="4" w:space="0"/>
              <w:bottom w:val="single" w:color="auto" w:sz="4" w:space="0"/>
              <w:right w:val="single" w:color="auto" w:sz="4" w:space="0"/>
            </w:tcBorders>
            <w:noWrap w:val="0"/>
            <w:vAlign w:val="center"/>
          </w:tcPr>
          <w:p w14:paraId="36418D78">
            <w:pPr>
              <w:keepNext w:val="0"/>
              <w:keepLines w:val="0"/>
              <w:widowControl/>
              <w:suppressLineNumbers w:val="0"/>
              <w:spacing w:before="0" w:beforeAutospacing="0" w:after="0" w:afterAutospacing="0"/>
              <w:ind w:left="0" w:right="0"/>
              <w:jc w:val="center"/>
              <w:textAlignment w:val="center"/>
              <w:rPr>
                <w:rFonts w:ascii="Calibri" w:hAnsi="宋体" w:eastAsia="宋体" w:cs="宋体"/>
                <w:snapToGrid w:val="0"/>
                <w:color w:val="auto"/>
                <w:kern w:val="21"/>
                <w:szCs w:val="21"/>
                <w:highlight w:val="none"/>
                <w:shd w:val="clear" w:color="auto" w:fill="auto"/>
              </w:rPr>
            </w:pPr>
            <w:r>
              <w:rPr>
                <w:rFonts w:hint="eastAsia" w:ascii="宋体" w:hAnsi="宋体" w:eastAsia="宋体" w:cs="宋体"/>
                <w:i w:val="0"/>
                <w:iCs w:val="0"/>
                <w:color w:val="auto"/>
                <w:kern w:val="0"/>
                <w:sz w:val="21"/>
                <w:szCs w:val="21"/>
                <w:highlight w:val="none"/>
                <w:u w:val="none"/>
                <w:lang w:val="en-US" w:eastAsia="zh-CN" w:bidi="ar"/>
              </w:rPr>
              <w:t>废机油</w:t>
            </w:r>
          </w:p>
        </w:tc>
        <w:tc>
          <w:tcPr>
            <w:tcW w:w="1448" w:type="dxa"/>
            <w:tcBorders>
              <w:top w:val="single" w:color="auto" w:sz="4" w:space="0"/>
              <w:left w:val="single" w:color="auto" w:sz="4" w:space="0"/>
              <w:bottom w:val="single" w:color="auto" w:sz="4" w:space="0"/>
              <w:right w:val="single" w:color="auto" w:sz="4" w:space="0"/>
            </w:tcBorders>
            <w:noWrap w:val="0"/>
            <w:vAlign w:val="center"/>
          </w:tcPr>
          <w:p w14:paraId="636C823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4FF4DB8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02" w:type="dxa"/>
            <w:tcBorders>
              <w:top w:val="single" w:color="auto" w:sz="4" w:space="0"/>
              <w:left w:val="single" w:color="auto" w:sz="4" w:space="0"/>
              <w:bottom w:val="single" w:color="auto" w:sz="4" w:space="0"/>
              <w:right w:val="single" w:color="auto" w:sz="4" w:space="0"/>
            </w:tcBorders>
            <w:noWrap w:val="0"/>
            <w:vAlign w:val="center"/>
          </w:tcPr>
          <w:p w14:paraId="5BC09A45">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559" w:type="dxa"/>
            <w:tcBorders>
              <w:top w:val="single" w:color="auto" w:sz="4" w:space="0"/>
              <w:left w:val="single" w:color="auto" w:sz="4" w:space="0"/>
              <w:bottom w:val="single" w:color="auto" w:sz="4" w:space="0"/>
              <w:right w:val="single" w:color="auto" w:sz="4" w:space="0"/>
            </w:tcBorders>
            <w:noWrap w:val="0"/>
            <w:vAlign w:val="center"/>
          </w:tcPr>
          <w:p w14:paraId="4C78EA5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ascii="Times New Roman" w:hAnsi="Times New Roman" w:eastAsia="宋体" w:cs="Times New Roman"/>
                <w:i w:val="0"/>
                <w:iCs w:val="0"/>
                <w:color w:val="auto"/>
                <w:kern w:val="0"/>
                <w:sz w:val="21"/>
                <w:szCs w:val="21"/>
                <w:highlight w:val="none"/>
                <w:u w:val="none"/>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t/a</w:t>
            </w:r>
          </w:p>
        </w:tc>
        <w:tc>
          <w:tcPr>
            <w:tcW w:w="1625" w:type="dxa"/>
            <w:tcBorders>
              <w:top w:val="single" w:color="auto" w:sz="4" w:space="0"/>
              <w:left w:val="single" w:color="auto" w:sz="4" w:space="0"/>
              <w:bottom w:val="single" w:color="auto" w:sz="4" w:space="0"/>
              <w:right w:val="single" w:color="auto" w:sz="4" w:space="0"/>
            </w:tcBorders>
            <w:noWrap w:val="0"/>
            <w:vAlign w:val="center"/>
          </w:tcPr>
          <w:p w14:paraId="0D697F95">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55" w:type="dxa"/>
            <w:tcBorders>
              <w:top w:val="single" w:color="auto" w:sz="4" w:space="0"/>
              <w:left w:val="single" w:color="auto" w:sz="4" w:space="0"/>
              <w:bottom w:val="single" w:color="auto" w:sz="4" w:space="0"/>
              <w:right w:val="single" w:color="auto" w:sz="4" w:space="0"/>
            </w:tcBorders>
            <w:noWrap w:val="0"/>
            <w:vAlign w:val="center"/>
          </w:tcPr>
          <w:p w14:paraId="633251E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ascii="Times New Roman" w:hAnsi="Times New Roman" w:eastAsia="宋体" w:cs="Times New Roman"/>
                <w:i w:val="0"/>
                <w:iCs w:val="0"/>
                <w:color w:val="auto"/>
                <w:kern w:val="0"/>
                <w:sz w:val="21"/>
                <w:szCs w:val="21"/>
                <w:highlight w:val="none"/>
                <w:u w:val="none"/>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t/a</w:t>
            </w:r>
          </w:p>
        </w:tc>
        <w:tc>
          <w:tcPr>
            <w:tcW w:w="1292" w:type="dxa"/>
            <w:tcBorders>
              <w:top w:val="single" w:color="auto" w:sz="4" w:space="0"/>
              <w:left w:val="single" w:color="auto" w:sz="4" w:space="0"/>
              <w:bottom w:val="single" w:color="auto" w:sz="4" w:space="0"/>
              <w:right w:val="single" w:color="auto" w:sz="8" w:space="0"/>
            </w:tcBorders>
            <w:noWrap w:val="0"/>
            <w:vAlign w:val="center"/>
          </w:tcPr>
          <w:p w14:paraId="39FE6BB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0"/>
                <w:sz w:val="21"/>
                <w:szCs w:val="21"/>
                <w:highlight w:val="none"/>
                <w:shd w:val="clear" w:color="auto" w:fill="auto"/>
                <w:lang w:val="en-US" w:eastAsia="zh-CN" w:bidi="ar-SA"/>
              </w:rPr>
            </w:pPr>
            <w:r>
              <w:rPr>
                <w:rFonts w:hint="eastAsia"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ascii="Times New Roman" w:hAnsi="Times New Roman" w:eastAsia="宋体" w:cs="Times New Roman"/>
                <w:i w:val="0"/>
                <w:iCs w:val="0"/>
                <w:color w:val="auto"/>
                <w:kern w:val="0"/>
                <w:sz w:val="21"/>
                <w:szCs w:val="21"/>
                <w:highlight w:val="none"/>
                <w:u w:val="none"/>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t/a</w:t>
            </w:r>
          </w:p>
        </w:tc>
      </w:tr>
      <w:tr w14:paraId="35D235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323" w:type="dxa"/>
            <w:vMerge w:val="continue"/>
            <w:tcBorders>
              <w:left w:val="single" w:color="auto" w:sz="8" w:space="0"/>
              <w:right w:val="single" w:color="auto" w:sz="4" w:space="0"/>
            </w:tcBorders>
            <w:noWrap w:val="0"/>
            <w:vAlign w:val="center"/>
          </w:tcPr>
          <w:p w14:paraId="5F1EB22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highlight w:val="none"/>
                <w:u w:val="none"/>
                <w:lang w:val="en-US" w:eastAsia="zh-CN" w:bidi="ar"/>
              </w:rPr>
            </w:pPr>
          </w:p>
        </w:tc>
        <w:tc>
          <w:tcPr>
            <w:tcW w:w="1936" w:type="dxa"/>
            <w:tcBorders>
              <w:top w:val="single" w:color="auto" w:sz="4" w:space="0"/>
              <w:left w:val="single" w:color="auto" w:sz="4" w:space="0"/>
              <w:bottom w:val="single" w:color="auto" w:sz="4" w:space="0"/>
              <w:right w:val="single" w:color="auto" w:sz="4" w:space="0"/>
            </w:tcBorders>
            <w:noWrap w:val="0"/>
            <w:vAlign w:val="center"/>
          </w:tcPr>
          <w:p w14:paraId="6B75F17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Calibri" w:hAnsi="Calibri" w:eastAsia="宋体" w:cs="Times New Roman"/>
                <w:color w:val="auto"/>
                <w:sz w:val="21"/>
                <w:szCs w:val="21"/>
                <w:highlight w:val="none"/>
                <w:shd w:val="clear" w:color="auto" w:fill="auto"/>
                <w:lang w:eastAsia="zh-CN"/>
              </w:rPr>
              <w:t>废油桶</w:t>
            </w:r>
          </w:p>
        </w:tc>
        <w:tc>
          <w:tcPr>
            <w:tcW w:w="1448" w:type="dxa"/>
            <w:tcBorders>
              <w:top w:val="single" w:color="auto" w:sz="4" w:space="0"/>
              <w:left w:val="single" w:color="auto" w:sz="4" w:space="0"/>
              <w:bottom w:val="single" w:color="auto" w:sz="4" w:space="0"/>
              <w:right w:val="single" w:color="auto" w:sz="4" w:space="0"/>
            </w:tcBorders>
            <w:noWrap w:val="0"/>
            <w:vAlign w:val="center"/>
          </w:tcPr>
          <w:p w14:paraId="768FAB6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1E35476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w:t>
            </w:r>
          </w:p>
        </w:tc>
        <w:tc>
          <w:tcPr>
            <w:tcW w:w="1702" w:type="dxa"/>
            <w:tcBorders>
              <w:top w:val="single" w:color="auto" w:sz="4" w:space="0"/>
              <w:left w:val="single" w:color="auto" w:sz="4" w:space="0"/>
              <w:bottom w:val="single" w:color="auto" w:sz="4" w:space="0"/>
              <w:right w:val="single" w:color="auto" w:sz="4" w:space="0"/>
            </w:tcBorders>
            <w:noWrap w:val="0"/>
            <w:vAlign w:val="center"/>
          </w:tcPr>
          <w:p w14:paraId="4531102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w:t>
            </w:r>
          </w:p>
        </w:tc>
        <w:tc>
          <w:tcPr>
            <w:tcW w:w="1559" w:type="dxa"/>
            <w:tcBorders>
              <w:top w:val="single" w:color="auto" w:sz="4" w:space="0"/>
              <w:left w:val="single" w:color="auto" w:sz="4" w:space="0"/>
              <w:bottom w:val="single" w:color="auto" w:sz="4" w:space="0"/>
              <w:right w:val="single" w:color="auto" w:sz="4" w:space="0"/>
            </w:tcBorders>
            <w:noWrap w:val="0"/>
            <w:vAlign w:val="center"/>
          </w:tcPr>
          <w:p w14:paraId="7693858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w:t>
            </w:r>
            <w:r>
              <w:rPr>
                <w:rFonts w:hint="eastAsia" w:ascii="Times New Roman" w:hAnsi="Times New Roman" w:eastAsia="宋体" w:cs="Times New Roman"/>
                <w:i w:val="0"/>
                <w:iCs w:val="0"/>
                <w:color w:val="auto"/>
                <w:kern w:val="0"/>
                <w:sz w:val="21"/>
                <w:szCs w:val="21"/>
                <w:highlight w:val="none"/>
                <w:u w:val="none"/>
                <w:lang w:val="en-US" w:eastAsia="zh-CN" w:bidi="ar"/>
              </w:rPr>
              <w:t>个</w:t>
            </w:r>
            <w:r>
              <w:rPr>
                <w:rFonts w:hint="default" w:ascii="Times New Roman" w:hAnsi="Times New Roman" w:eastAsia="宋体" w:cs="Times New Roman"/>
                <w:i w:val="0"/>
                <w:iCs w:val="0"/>
                <w:color w:val="auto"/>
                <w:kern w:val="0"/>
                <w:sz w:val="21"/>
                <w:szCs w:val="21"/>
                <w:highlight w:val="none"/>
                <w:u w:val="none"/>
                <w:lang w:val="en-US" w:eastAsia="zh-CN" w:bidi="ar"/>
              </w:rPr>
              <w:t>/a</w:t>
            </w:r>
          </w:p>
        </w:tc>
        <w:tc>
          <w:tcPr>
            <w:tcW w:w="1625" w:type="dxa"/>
            <w:tcBorders>
              <w:top w:val="single" w:color="auto" w:sz="4" w:space="0"/>
              <w:left w:val="single" w:color="auto" w:sz="4" w:space="0"/>
              <w:bottom w:val="single" w:color="auto" w:sz="4" w:space="0"/>
              <w:right w:val="single" w:color="auto" w:sz="4" w:space="0"/>
            </w:tcBorders>
            <w:noWrap w:val="0"/>
            <w:vAlign w:val="center"/>
          </w:tcPr>
          <w:p w14:paraId="110F136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55" w:type="dxa"/>
            <w:tcBorders>
              <w:top w:val="single" w:color="auto" w:sz="4" w:space="0"/>
              <w:left w:val="single" w:color="auto" w:sz="4" w:space="0"/>
              <w:bottom w:val="single" w:color="auto" w:sz="4" w:space="0"/>
              <w:right w:val="single" w:color="auto" w:sz="4" w:space="0"/>
            </w:tcBorders>
            <w:noWrap w:val="0"/>
            <w:vAlign w:val="center"/>
          </w:tcPr>
          <w:p w14:paraId="2C21612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w:t>
            </w:r>
            <w:r>
              <w:rPr>
                <w:rFonts w:hint="eastAsia" w:ascii="Times New Roman" w:hAnsi="Times New Roman" w:eastAsia="宋体" w:cs="Times New Roman"/>
                <w:i w:val="0"/>
                <w:iCs w:val="0"/>
                <w:color w:val="auto"/>
                <w:kern w:val="0"/>
                <w:sz w:val="21"/>
                <w:szCs w:val="21"/>
                <w:highlight w:val="none"/>
                <w:u w:val="none"/>
                <w:lang w:val="en-US" w:eastAsia="zh-CN" w:bidi="ar"/>
              </w:rPr>
              <w:t>个</w:t>
            </w:r>
            <w:r>
              <w:rPr>
                <w:rFonts w:hint="default" w:ascii="Times New Roman" w:hAnsi="Times New Roman" w:eastAsia="宋体" w:cs="Times New Roman"/>
                <w:i w:val="0"/>
                <w:iCs w:val="0"/>
                <w:color w:val="auto"/>
                <w:kern w:val="0"/>
                <w:sz w:val="21"/>
                <w:szCs w:val="21"/>
                <w:highlight w:val="none"/>
                <w:u w:val="none"/>
                <w:lang w:val="en-US" w:eastAsia="zh-CN" w:bidi="ar"/>
              </w:rPr>
              <w:t>/a</w:t>
            </w:r>
          </w:p>
        </w:tc>
        <w:tc>
          <w:tcPr>
            <w:tcW w:w="1292" w:type="dxa"/>
            <w:tcBorders>
              <w:top w:val="single" w:color="auto" w:sz="4" w:space="0"/>
              <w:left w:val="single" w:color="auto" w:sz="4" w:space="0"/>
              <w:bottom w:val="single" w:color="auto" w:sz="4" w:space="0"/>
              <w:right w:val="single" w:color="auto" w:sz="8" w:space="0"/>
            </w:tcBorders>
            <w:noWrap w:val="0"/>
            <w:vAlign w:val="center"/>
          </w:tcPr>
          <w:p w14:paraId="4285F3E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w:t>
            </w:r>
            <w:r>
              <w:rPr>
                <w:rFonts w:hint="eastAsia" w:ascii="Times New Roman" w:hAnsi="Times New Roman" w:eastAsia="宋体" w:cs="Times New Roman"/>
                <w:i w:val="0"/>
                <w:iCs w:val="0"/>
                <w:color w:val="auto"/>
                <w:kern w:val="0"/>
                <w:sz w:val="21"/>
                <w:szCs w:val="21"/>
                <w:highlight w:val="none"/>
                <w:u w:val="none"/>
                <w:lang w:val="en-US" w:eastAsia="zh-CN" w:bidi="ar"/>
              </w:rPr>
              <w:t>个</w:t>
            </w:r>
            <w:r>
              <w:rPr>
                <w:rFonts w:hint="default" w:ascii="Times New Roman" w:hAnsi="Times New Roman" w:eastAsia="宋体" w:cs="Times New Roman"/>
                <w:i w:val="0"/>
                <w:iCs w:val="0"/>
                <w:color w:val="auto"/>
                <w:kern w:val="0"/>
                <w:sz w:val="21"/>
                <w:szCs w:val="21"/>
                <w:highlight w:val="none"/>
                <w:u w:val="none"/>
                <w:lang w:val="en-US" w:eastAsia="zh-CN" w:bidi="ar"/>
              </w:rPr>
              <w:t>/a</w:t>
            </w:r>
          </w:p>
        </w:tc>
      </w:tr>
      <w:tr w14:paraId="54CBD8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23" w:type="dxa"/>
            <w:vMerge w:val="continue"/>
            <w:tcBorders>
              <w:left w:val="single" w:color="auto" w:sz="8" w:space="0"/>
              <w:right w:val="single" w:color="auto" w:sz="4" w:space="0"/>
            </w:tcBorders>
            <w:noWrap w:val="0"/>
            <w:vAlign w:val="center"/>
          </w:tcPr>
          <w:p w14:paraId="606405E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highlight w:val="none"/>
                <w:u w:val="none"/>
                <w:lang w:val="en-US" w:eastAsia="zh-CN" w:bidi="ar"/>
              </w:rPr>
            </w:pPr>
          </w:p>
        </w:tc>
        <w:tc>
          <w:tcPr>
            <w:tcW w:w="1936" w:type="dxa"/>
            <w:tcBorders>
              <w:top w:val="single" w:color="auto" w:sz="4" w:space="0"/>
              <w:left w:val="single" w:color="auto" w:sz="4" w:space="0"/>
              <w:bottom w:val="single" w:color="auto" w:sz="4" w:space="0"/>
              <w:right w:val="single" w:color="auto" w:sz="4" w:space="0"/>
            </w:tcBorders>
            <w:noWrap w:val="0"/>
            <w:vAlign w:val="center"/>
          </w:tcPr>
          <w:p w14:paraId="4C9959B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shd w:val="clear" w:color="auto" w:fill="auto"/>
                <w:lang w:val="en-US" w:eastAsia="zh-CN"/>
              </w:rPr>
              <w:t>含油</w:t>
            </w:r>
            <w:r>
              <w:rPr>
                <w:rFonts w:hint="eastAsia" w:cs="Times New Roman"/>
                <w:color w:val="auto"/>
                <w:sz w:val="21"/>
                <w:szCs w:val="21"/>
                <w:highlight w:val="none"/>
                <w:shd w:val="clear" w:color="auto" w:fill="auto"/>
                <w:lang w:val="en-US" w:eastAsia="zh-CN"/>
              </w:rPr>
              <w:t>手套及</w:t>
            </w:r>
            <w:r>
              <w:rPr>
                <w:rFonts w:hint="eastAsia" w:ascii="Times New Roman" w:hAnsi="Times New Roman" w:eastAsia="宋体" w:cs="Times New Roman"/>
                <w:color w:val="auto"/>
                <w:sz w:val="21"/>
                <w:szCs w:val="21"/>
                <w:highlight w:val="none"/>
                <w:shd w:val="clear" w:color="auto" w:fill="auto"/>
                <w:lang w:val="en-US" w:eastAsia="zh-CN"/>
              </w:rPr>
              <w:t>抹布</w:t>
            </w:r>
          </w:p>
        </w:tc>
        <w:tc>
          <w:tcPr>
            <w:tcW w:w="1448" w:type="dxa"/>
            <w:tcBorders>
              <w:top w:val="single" w:color="auto" w:sz="4" w:space="0"/>
              <w:left w:val="single" w:color="auto" w:sz="4" w:space="0"/>
              <w:bottom w:val="single" w:color="auto" w:sz="4" w:space="0"/>
              <w:right w:val="single" w:color="auto" w:sz="4" w:space="0"/>
            </w:tcBorders>
            <w:noWrap w:val="0"/>
            <w:vAlign w:val="center"/>
          </w:tcPr>
          <w:p w14:paraId="18DDA72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33D1091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w:t>
            </w:r>
          </w:p>
        </w:tc>
        <w:tc>
          <w:tcPr>
            <w:tcW w:w="1702" w:type="dxa"/>
            <w:tcBorders>
              <w:top w:val="single" w:color="auto" w:sz="4" w:space="0"/>
              <w:left w:val="single" w:color="auto" w:sz="4" w:space="0"/>
              <w:bottom w:val="single" w:color="auto" w:sz="4" w:space="0"/>
              <w:right w:val="single" w:color="auto" w:sz="4" w:space="0"/>
            </w:tcBorders>
            <w:noWrap w:val="0"/>
            <w:vAlign w:val="center"/>
          </w:tcPr>
          <w:p w14:paraId="364E227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w:t>
            </w:r>
          </w:p>
        </w:tc>
        <w:tc>
          <w:tcPr>
            <w:tcW w:w="1559" w:type="dxa"/>
            <w:tcBorders>
              <w:top w:val="single" w:color="auto" w:sz="4" w:space="0"/>
              <w:left w:val="single" w:color="auto" w:sz="4" w:space="0"/>
              <w:bottom w:val="single" w:color="auto" w:sz="4" w:space="0"/>
              <w:right w:val="single" w:color="auto" w:sz="4" w:space="0"/>
            </w:tcBorders>
            <w:noWrap w:val="0"/>
            <w:vAlign w:val="center"/>
          </w:tcPr>
          <w:p w14:paraId="46F5608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0.01</w:t>
            </w:r>
            <w:r>
              <w:rPr>
                <w:rFonts w:hint="default" w:ascii="Times New Roman" w:hAnsi="Times New Roman" w:eastAsia="宋体" w:cs="Times New Roman"/>
                <w:i w:val="0"/>
                <w:iCs w:val="0"/>
                <w:color w:val="auto"/>
                <w:kern w:val="0"/>
                <w:sz w:val="21"/>
                <w:szCs w:val="21"/>
                <w:highlight w:val="none"/>
                <w:u w:val="none"/>
                <w:lang w:val="en-US" w:eastAsia="zh-CN" w:bidi="ar"/>
              </w:rPr>
              <w:t>t/a</w:t>
            </w:r>
          </w:p>
        </w:tc>
        <w:tc>
          <w:tcPr>
            <w:tcW w:w="1625" w:type="dxa"/>
            <w:tcBorders>
              <w:top w:val="single" w:color="auto" w:sz="4" w:space="0"/>
              <w:left w:val="single" w:color="auto" w:sz="4" w:space="0"/>
              <w:bottom w:val="single" w:color="auto" w:sz="4" w:space="0"/>
              <w:right w:val="single" w:color="auto" w:sz="4" w:space="0"/>
            </w:tcBorders>
            <w:noWrap w:val="0"/>
            <w:vAlign w:val="center"/>
          </w:tcPr>
          <w:p w14:paraId="7355C03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1755" w:type="dxa"/>
            <w:tcBorders>
              <w:top w:val="single" w:color="auto" w:sz="4" w:space="0"/>
              <w:left w:val="single" w:color="auto" w:sz="4" w:space="0"/>
              <w:bottom w:val="single" w:color="auto" w:sz="4" w:space="0"/>
              <w:right w:val="single" w:color="auto" w:sz="4" w:space="0"/>
            </w:tcBorders>
            <w:noWrap w:val="0"/>
            <w:vAlign w:val="center"/>
          </w:tcPr>
          <w:p w14:paraId="7E743CA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0.01</w:t>
            </w:r>
            <w:r>
              <w:rPr>
                <w:rFonts w:hint="default" w:ascii="Times New Roman" w:hAnsi="Times New Roman" w:eastAsia="宋体" w:cs="Times New Roman"/>
                <w:i w:val="0"/>
                <w:iCs w:val="0"/>
                <w:color w:val="auto"/>
                <w:kern w:val="0"/>
                <w:sz w:val="21"/>
                <w:szCs w:val="21"/>
                <w:highlight w:val="none"/>
                <w:u w:val="none"/>
                <w:lang w:val="en-US" w:eastAsia="zh-CN" w:bidi="ar"/>
              </w:rPr>
              <w:t>t/a</w:t>
            </w:r>
          </w:p>
        </w:tc>
        <w:tc>
          <w:tcPr>
            <w:tcW w:w="1292" w:type="dxa"/>
            <w:tcBorders>
              <w:top w:val="single" w:color="auto" w:sz="4" w:space="0"/>
              <w:left w:val="single" w:color="auto" w:sz="4" w:space="0"/>
              <w:bottom w:val="single" w:color="auto" w:sz="4" w:space="0"/>
              <w:right w:val="single" w:color="auto" w:sz="8" w:space="0"/>
            </w:tcBorders>
            <w:noWrap w:val="0"/>
            <w:vAlign w:val="center"/>
          </w:tcPr>
          <w:p w14:paraId="5884C4A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r>
              <w:rPr>
                <w:rFonts w:hint="eastAsia" w:ascii="Times New Roman" w:hAnsi="Times New Roman" w:eastAsia="宋体" w:cs="Times New Roman"/>
                <w:i w:val="0"/>
                <w:iCs w:val="0"/>
                <w:color w:val="auto"/>
                <w:kern w:val="0"/>
                <w:sz w:val="21"/>
                <w:szCs w:val="21"/>
                <w:highlight w:val="none"/>
                <w:u w:val="none"/>
                <w:lang w:val="en-US" w:eastAsia="zh-CN" w:bidi="ar"/>
              </w:rPr>
              <w:t>0.01</w:t>
            </w:r>
            <w:r>
              <w:rPr>
                <w:rFonts w:hint="default" w:ascii="Times New Roman" w:hAnsi="Times New Roman" w:eastAsia="宋体" w:cs="Times New Roman"/>
                <w:i w:val="0"/>
                <w:iCs w:val="0"/>
                <w:color w:val="auto"/>
                <w:kern w:val="0"/>
                <w:sz w:val="21"/>
                <w:szCs w:val="21"/>
                <w:highlight w:val="none"/>
                <w:u w:val="none"/>
                <w:lang w:val="en-US" w:eastAsia="zh-CN" w:bidi="ar"/>
              </w:rPr>
              <w:t>t/a</w:t>
            </w:r>
          </w:p>
        </w:tc>
      </w:tr>
    </w:tbl>
    <w:p w14:paraId="0311E092">
      <w:pPr>
        <w:pStyle w:val="38"/>
        <w:widowControl/>
        <w:spacing w:before="249" w:beforeLines="80" w:after="24"/>
        <w:jc w:val="left"/>
        <w:rPr>
          <w:rFonts w:ascii="Times New Roman" w:hAnsi="Times New Roman"/>
          <w:color w:val="auto"/>
          <w:highlight w:val="none"/>
          <w:shd w:val="clear" w:color="auto" w:fill="auto"/>
          <w:lang w:bidi="ar"/>
        </w:rPr>
      </w:pPr>
      <w:r>
        <w:rPr>
          <w:rFonts w:hAnsi="宋体"/>
          <w:snapToGrid w:val="0"/>
          <w:color w:val="auto"/>
          <w:kern w:val="21"/>
          <w:szCs w:val="21"/>
          <w:highlight w:val="none"/>
          <w:shd w:val="clear" w:color="auto" w:fill="auto"/>
        </w:rPr>
        <w:t>注：</w:t>
      </w:r>
      <w:r>
        <w:rPr>
          <w:rFonts w:hAnsi="宋体"/>
          <w:color w:val="auto"/>
          <w:spacing w:val="-16"/>
          <w:kern w:val="21"/>
          <w:szCs w:val="21"/>
          <w:highlight w:val="none"/>
          <w:shd w:val="clear" w:color="auto" w:fill="auto"/>
        </w:rPr>
        <w:fldChar w:fldCharType="begin"/>
      </w:r>
      <w:r>
        <w:rPr>
          <w:rFonts w:hAnsi="宋体"/>
          <w:snapToGrid w:val="0"/>
          <w:color w:val="auto"/>
          <w:spacing w:val="-16"/>
          <w:kern w:val="21"/>
          <w:szCs w:val="21"/>
          <w:highlight w:val="none"/>
          <w:shd w:val="clear" w:color="auto" w:fill="auto"/>
        </w:rPr>
        <w:instrText xml:space="preserve"> = 6 \* GB3 \* MERGEFORMAT </w:instrText>
      </w:r>
      <w:r>
        <w:rPr>
          <w:rFonts w:hAnsi="宋体"/>
          <w:color w:val="auto"/>
          <w:spacing w:val="-16"/>
          <w:kern w:val="21"/>
          <w:szCs w:val="21"/>
          <w:highlight w:val="none"/>
          <w:shd w:val="clear" w:color="auto" w:fill="auto"/>
        </w:rPr>
        <w:fldChar w:fldCharType="separate"/>
      </w:r>
      <w:r>
        <w:rPr>
          <w:rFonts w:hAnsi="宋体"/>
          <w:color w:val="auto"/>
          <w:szCs w:val="21"/>
          <w:highlight w:val="none"/>
          <w:shd w:val="clear" w:color="auto" w:fill="auto"/>
        </w:rPr>
        <w:t>⑥</w:t>
      </w:r>
      <w:r>
        <w:rPr>
          <w:rFonts w:hAnsi="宋体"/>
          <w:color w:val="auto"/>
          <w:spacing w:val="-16"/>
          <w:kern w:val="21"/>
          <w:szCs w:val="21"/>
          <w:highlight w:val="none"/>
          <w:shd w:val="clear" w:color="auto" w:fill="auto"/>
        </w:rPr>
        <w:fldChar w:fldCharType="end"/>
      </w:r>
      <w:r>
        <w:rPr>
          <w:rFonts w:hAnsi="宋体"/>
          <w:snapToGrid w:val="0"/>
          <w:color w:val="auto"/>
          <w:spacing w:val="-16"/>
          <w:kern w:val="21"/>
          <w:szCs w:val="21"/>
          <w:highlight w:val="none"/>
          <w:shd w:val="clear" w:color="auto" w:fill="auto"/>
        </w:rPr>
        <w:t>=</w:t>
      </w:r>
      <w:r>
        <w:rPr>
          <w:rFonts w:hAnsi="宋体"/>
          <w:color w:val="auto"/>
          <w:spacing w:val="-6"/>
          <w:kern w:val="21"/>
          <w:szCs w:val="21"/>
          <w:highlight w:val="none"/>
          <w:shd w:val="clear" w:color="auto" w:fill="auto"/>
        </w:rPr>
        <w:fldChar w:fldCharType="begin"/>
      </w:r>
      <w:r>
        <w:rPr>
          <w:rFonts w:hAnsi="宋体"/>
          <w:snapToGrid w:val="0"/>
          <w:color w:val="auto"/>
          <w:spacing w:val="-6"/>
          <w:kern w:val="21"/>
          <w:szCs w:val="21"/>
          <w:highlight w:val="none"/>
          <w:shd w:val="clear" w:color="auto" w:fill="auto"/>
        </w:rPr>
        <w:instrText xml:space="preserve"> = 1 \* GB3 \* MERGEFORMAT </w:instrText>
      </w:r>
      <w:r>
        <w:rPr>
          <w:rFonts w:hAnsi="宋体"/>
          <w:color w:val="auto"/>
          <w:spacing w:val="-6"/>
          <w:kern w:val="21"/>
          <w:szCs w:val="21"/>
          <w:highlight w:val="none"/>
          <w:shd w:val="clear" w:color="auto" w:fill="auto"/>
        </w:rPr>
        <w:fldChar w:fldCharType="separate"/>
      </w:r>
      <w:r>
        <w:rPr>
          <w:rFonts w:hAnsi="宋体"/>
          <w:color w:val="auto"/>
          <w:szCs w:val="21"/>
          <w:highlight w:val="none"/>
          <w:shd w:val="clear" w:color="auto" w:fill="auto"/>
        </w:rPr>
        <w:t>①</w:t>
      </w:r>
      <w:r>
        <w:rPr>
          <w:rFonts w:hAnsi="宋体"/>
          <w:color w:val="auto"/>
          <w:spacing w:val="-6"/>
          <w:kern w:val="21"/>
          <w:szCs w:val="21"/>
          <w:highlight w:val="none"/>
          <w:shd w:val="clear" w:color="auto" w:fill="auto"/>
        </w:rPr>
        <w:fldChar w:fldCharType="end"/>
      </w:r>
      <w:r>
        <w:rPr>
          <w:rFonts w:hAnsi="宋体"/>
          <w:snapToGrid w:val="0"/>
          <w:color w:val="auto"/>
          <w:spacing w:val="-6"/>
          <w:kern w:val="21"/>
          <w:szCs w:val="21"/>
          <w:highlight w:val="none"/>
          <w:shd w:val="clear" w:color="auto" w:fill="auto"/>
        </w:rPr>
        <w:t>+</w:t>
      </w:r>
      <w:r>
        <w:rPr>
          <w:rFonts w:hAnsi="宋体"/>
          <w:color w:val="auto"/>
          <w:spacing w:val="-6"/>
          <w:kern w:val="21"/>
          <w:szCs w:val="21"/>
          <w:highlight w:val="none"/>
          <w:shd w:val="clear" w:color="auto" w:fill="auto"/>
        </w:rPr>
        <w:fldChar w:fldCharType="begin"/>
      </w:r>
      <w:r>
        <w:rPr>
          <w:rFonts w:hAnsi="宋体"/>
          <w:snapToGrid w:val="0"/>
          <w:color w:val="auto"/>
          <w:spacing w:val="-6"/>
          <w:kern w:val="21"/>
          <w:szCs w:val="21"/>
          <w:highlight w:val="none"/>
          <w:shd w:val="clear" w:color="auto" w:fill="auto"/>
        </w:rPr>
        <w:instrText xml:space="preserve"> = 3 \* GB3 \* MERGEFORMAT </w:instrText>
      </w:r>
      <w:r>
        <w:rPr>
          <w:rFonts w:hAnsi="宋体"/>
          <w:color w:val="auto"/>
          <w:spacing w:val="-6"/>
          <w:kern w:val="21"/>
          <w:szCs w:val="21"/>
          <w:highlight w:val="none"/>
          <w:shd w:val="clear" w:color="auto" w:fill="auto"/>
        </w:rPr>
        <w:fldChar w:fldCharType="separate"/>
      </w:r>
      <w:r>
        <w:rPr>
          <w:rFonts w:hAnsi="宋体"/>
          <w:color w:val="auto"/>
          <w:szCs w:val="21"/>
          <w:highlight w:val="none"/>
          <w:shd w:val="clear" w:color="auto" w:fill="auto"/>
        </w:rPr>
        <w:t>③</w:t>
      </w:r>
      <w:r>
        <w:rPr>
          <w:rFonts w:hAnsi="宋体"/>
          <w:color w:val="auto"/>
          <w:spacing w:val="-6"/>
          <w:kern w:val="21"/>
          <w:szCs w:val="21"/>
          <w:highlight w:val="none"/>
          <w:shd w:val="clear" w:color="auto" w:fill="auto"/>
        </w:rPr>
        <w:fldChar w:fldCharType="end"/>
      </w:r>
      <w:r>
        <w:rPr>
          <w:rFonts w:hAnsi="宋体"/>
          <w:snapToGrid w:val="0"/>
          <w:color w:val="auto"/>
          <w:spacing w:val="-6"/>
          <w:kern w:val="21"/>
          <w:szCs w:val="21"/>
          <w:highlight w:val="none"/>
          <w:shd w:val="clear" w:color="auto" w:fill="auto"/>
        </w:rPr>
        <w:t>+</w:t>
      </w:r>
      <w:r>
        <w:rPr>
          <w:rFonts w:hAnsi="宋体"/>
          <w:color w:val="auto"/>
          <w:spacing w:val="-6"/>
          <w:kern w:val="21"/>
          <w:szCs w:val="21"/>
          <w:highlight w:val="none"/>
          <w:shd w:val="clear" w:color="auto" w:fill="auto"/>
        </w:rPr>
        <w:fldChar w:fldCharType="begin"/>
      </w:r>
      <w:r>
        <w:rPr>
          <w:rFonts w:hAnsi="宋体"/>
          <w:snapToGrid w:val="0"/>
          <w:color w:val="auto"/>
          <w:spacing w:val="-6"/>
          <w:kern w:val="21"/>
          <w:szCs w:val="21"/>
          <w:highlight w:val="none"/>
          <w:shd w:val="clear" w:color="auto" w:fill="auto"/>
        </w:rPr>
        <w:instrText xml:space="preserve"> = 4 \* GB3 \* MERGEFORMAT </w:instrText>
      </w:r>
      <w:r>
        <w:rPr>
          <w:rFonts w:hAnsi="宋体"/>
          <w:color w:val="auto"/>
          <w:spacing w:val="-6"/>
          <w:kern w:val="21"/>
          <w:szCs w:val="21"/>
          <w:highlight w:val="none"/>
          <w:shd w:val="clear" w:color="auto" w:fill="auto"/>
        </w:rPr>
        <w:fldChar w:fldCharType="separate"/>
      </w:r>
      <w:r>
        <w:rPr>
          <w:rFonts w:hAnsi="宋体"/>
          <w:color w:val="auto"/>
          <w:szCs w:val="21"/>
          <w:highlight w:val="none"/>
          <w:shd w:val="clear" w:color="auto" w:fill="auto"/>
        </w:rPr>
        <w:t>④</w:t>
      </w:r>
      <w:r>
        <w:rPr>
          <w:rFonts w:hAnsi="宋体"/>
          <w:color w:val="auto"/>
          <w:spacing w:val="-6"/>
          <w:kern w:val="21"/>
          <w:szCs w:val="21"/>
          <w:highlight w:val="none"/>
          <w:shd w:val="clear" w:color="auto" w:fill="auto"/>
        </w:rPr>
        <w:fldChar w:fldCharType="end"/>
      </w:r>
      <w:r>
        <w:rPr>
          <w:rFonts w:hAnsi="宋体"/>
          <w:snapToGrid w:val="0"/>
          <w:color w:val="auto"/>
          <w:spacing w:val="-6"/>
          <w:kern w:val="21"/>
          <w:szCs w:val="21"/>
          <w:highlight w:val="none"/>
          <w:shd w:val="clear" w:color="auto" w:fill="auto"/>
        </w:rPr>
        <w:t>-</w:t>
      </w:r>
      <w:r>
        <w:rPr>
          <w:rFonts w:hAnsi="宋体"/>
          <w:color w:val="auto"/>
          <w:spacing w:val="-16"/>
          <w:kern w:val="21"/>
          <w:szCs w:val="21"/>
          <w:highlight w:val="none"/>
          <w:shd w:val="clear" w:color="auto" w:fill="auto"/>
        </w:rPr>
        <w:fldChar w:fldCharType="begin"/>
      </w:r>
      <w:r>
        <w:rPr>
          <w:rFonts w:hAnsi="宋体"/>
          <w:snapToGrid w:val="0"/>
          <w:color w:val="auto"/>
          <w:spacing w:val="-16"/>
          <w:kern w:val="21"/>
          <w:szCs w:val="21"/>
          <w:highlight w:val="none"/>
          <w:shd w:val="clear" w:color="auto" w:fill="auto"/>
        </w:rPr>
        <w:instrText xml:space="preserve"> = 5 \* GB3 \* MERGEFORMAT </w:instrText>
      </w:r>
      <w:r>
        <w:rPr>
          <w:rFonts w:hAnsi="宋体"/>
          <w:color w:val="auto"/>
          <w:spacing w:val="-16"/>
          <w:kern w:val="21"/>
          <w:szCs w:val="21"/>
          <w:highlight w:val="none"/>
          <w:shd w:val="clear" w:color="auto" w:fill="auto"/>
        </w:rPr>
        <w:fldChar w:fldCharType="separate"/>
      </w:r>
      <w:r>
        <w:rPr>
          <w:rFonts w:hAnsi="宋体"/>
          <w:color w:val="auto"/>
          <w:szCs w:val="21"/>
          <w:highlight w:val="none"/>
          <w:shd w:val="clear" w:color="auto" w:fill="auto"/>
        </w:rPr>
        <w:t>⑤</w:t>
      </w:r>
      <w:r>
        <w:rPr>
          <w:rFonts w:hAnsi="宋体"/>
          <w:color w:val="auto"/>
          <w:spacing w:val="-16"/>
          <w:kern w:val="21"/>
          <w:szCs w:val="21"/>
          <w:highlight w:val="none"/>
          <w:shd w:val="clear" w:color="auto" w:fill="auto"/>
        </w:rPr>
        <w:fldChar w:fldCharType="end"/>
      </w:r>
      <w:r>
        <w:rPr>
          <w:rFonts w:hAnsi="宋体"/>
          <w:snapToGrid w:val="0"/>
          <w:color w:val="auto"/>
          <w:spacing w:val="-16"/>
          <w:kern w:val="21"/>
          <w:szCs w:val="21"/>
          <w:highlight w:val="none"/>
          <w:shd w:val="clear" w:color="auto" w:fill="auto"/>
        </w:rPr>
        <w:t>；</w:t>
      </w:r>
      <w:r>
        <w:rPr>
          <w:rFonts w:hAnsi="宋体"/>
          <w:color w:val="auto"/>
          <w:spacing w:val="-6"/>
          <w:kern w:val="21"/>
          <w:szCs w:val="21"/>
          <w:highlight w:val="none"/>
          <w:shd w:val="clear" w:color="auto" w:fill="auto"/>
        </w:rPr>
        <w:fldChar w:fldCharType="begin"/>
      </w:r>
      <w:r>
        <w:rPr>
          <w:rFonts w:hAnsi="宋体"/>
          <w:snapToGrid w:val="0"/>
          <w:color w:val="auto"/>
          <w:spacing w:val="-6"/>
          <w:kern w:val="21"/>
          <w:szCs w:val="21"/>
          <w:highlight w:val="none"/>
          <w:shd w:val="clear" w:color="auto" w:fill="auto"/>
        </w:rPr>
        <w:instrText xml:space="preserve"> = 7 \* GB3 \* MERGEFORMAT </w:instrText>
      </w:r>
      <w:r>
        <w:rPr>
          <w:rFonts w:hAnsi="宋体"/>
          <w:color w:val="auto"/>
          <w:spacing w:val="-6"/>
          <w:kern w:val="21"/>
          <w:szCs w:val="21"/>
          <w:highlight w:val="none"/>
          <w:shd w:val="clear" w:color="auto" w:fill="auto"/>
        </w:rPr>
        <w:fldChar w:fldCharType="separate"/>
      </w:r>
      <w:r>
        <w:rPr>
          <w:rFonts w:hAnsi="宋体"/>
          <w:color w:val="auto"/>
          <w:szCs w:val="21"/>
          <w:highlight w:val="none"/>
          <w:shd w:val="clear" w:color="auto" w:fill="auto"/>
        </w:rPr>
        <w:t>⑦</w:t>
      </w:r>
      <w:r>
        <w:rPr>
          <w:rFonts w:hAnsi="宋体"/>
          <w:color w:val="auto"/>
          <w:spacing w:val="-6"/>
          <w:kern w:val="21"/>
          <w:szCs w:val="21"/>
          <w:highlight w:val="none"/>
          <w:shd w:val="clear" w:color="auto" w:fill="auto"/>
        </w:rPr>
        <w:fldChar w:fldCharType="end"/>
      </w:r>
      <w:r>
        <w:rPr>
          <w:rFonts w:hAnsi="宋体"/>
          <w:snapToGrid w:val="0"/>
          <w:color w:val="auto"/>
          <w:spacing w:val="-6"/>
          <w:kern w:val="21"/>
          <w:szCs w:val="21"/>
          <w:highlight w:val="none"/>
          <w:shd w:val="clear" w:color="auto" w:fill="auto"/>
        </w:rPr>
        <w:t>=</w:t>
      </w:r>
      <w:r>
        <w:rPr>
          <w:rFonts w:hAnsi="宋体"/>
          <w:color w:val="auto"/>
          <w:spacing w:val="-16"/>
          <w:kern w:val="21"/>
          <w:szCs w:val="21"/>
          <w:highlight w:val="none"/>
          <w:shd w:val="clear" w:color="auto" w:fill="auto"/>
        </w:rPr>
        <w:fldChar w:fldCharType="begin"/>
      </w:r>
      <w:r>
        <w:rPr>
          <w:rFonts w:hAnsi="宋体"/>
          <w:snapToGrid w:val="0"/>
          <w:color w:val="auto"/>
          <w:spacing w:val="-16"/>
          <w:kern w:val="21"/>
          <w:szCs w:val="21"/>
          <w:highlight w:val="none"/>
          <w:shd w:val="clear" w:color="auto" w:fill="auto"/>
        </w:rPr>
        <w:instrText xml:space="preserve"> = 6 \* GB3 \* MERGEFORMAT </w:instrText>
      </w:r>
      <w:r>
        <w:rPr>
          <w:rFonts w:hAnsi="宋体"/>
          <w:color w:val="auto"/>
          <w:spacing w:val="-16"/>
          <w:kern w:val="21"/>
          <w:szCs w:val="21"/>
          <w:highlight w:val="none"/>
          <w:shd w:val="clear" w:color="auto" w:fill="auto"/>
        </w:rPr>
        <w:fldChar w:fldCharType="separate"/>
      </w:r>
      <w:r>
        <w:rPr>
          <w:rFonts w:hAnsi="宋体"/>
          <w:color w:val="auto"/>
          <w:szCs w:val="21"/>
          <w:highlight w:val="none"/>
          <w:shd w:val="clear" w:color="auto" w:fill="auto"/>
        </w:rPr>
        <w:t>⑥</w:t>
      </w:r>
      <w:r>
        <w:rPr>
          <w:rFonts w:hAnsi="宋体"/>
          <w:color w:val="auto"/>
          <w:spacing w:val="-16"/>
          <w:kern w:val="21"/>
          <w:szCs w:val="21"/>
          <w:highlight w:val="none"/>
          <w:shd w:val="clear" w:color="auto" w:fill="auto"/>
        </w:rPr>
        <w:fldChar w:fldCharType="end"/>
      </w:r>
      <w:r>
        <w:rPr>
          <w:rFonts w:hAnsi="宋体"/>
          <w:snapToGrid w:val="0"/>
          <w:color w:val="auto"/>
          <w:spacing w:val="-16"/>
          <w:kern w:val="21"/>
          <w:szCs w:val="21"/>
          <w:highlight w:val="none"/>
          <w:shd w:val="clear" w:color="auto" w:fill="auto"/>
        </w:rPr>
        <w:t>-</w:t>
      </w:r>
      <w:r>
        <w:rPr>
          <w:rFonts w:hAnsi="宋体"/>
          <w:color w:val="auto"/>
          <w:spacing w:val="-6"/>
          <w:kern w:val="21"/>
          <w:szCs w:val="21"/>
          <w:highlight w:val="none"/>
          <w:shd w:val="clear" w:color="auto" w:fill="auto"/>
        </w:rPr>
        <w:fldChar w:fldCharType="begin"/>
      </w:r>
      <w:r>
        <w:rPr>
          <w:rFonts w:hAnsi="宋体"/>
          <w:snapToGrid w:val="0"/>
          <w:color w:val="auto"/>
          <w:spacing w:val="-6"/>
          <w:kern w:val="21"/>
          <w:szCs w:val="21"/>
          <w:highlight w:val="none"/>
          <w:shd w:val="clear" w:color="auto" w:fill="auto"/>
        </w:rPr>
        <w:instrText xml:space="preserve"> = 1 \* GB3 \* MERGEFORMAT </w:instrText>
      </w:r>
      <w:r>
        <w:rPr>
          <w:rFonts w:hAnsi="宋体"/>
          <w:color w:val="auto"/>
          <w:spacing w:val="-6"/>
          <w:kern w:val="21"/>
          <w:szCs w:val="21"/>
          <w:highlight w:val="none"/>
          <w:shd w:val="clear" w:color="auto" w:fill="auto"/>
        </w:rPr>
        <w:fldChar w:fldCharType="separate"/>
      </w:r>
      <w:r>
        <w:rPr>
          <w:rFonts w:hAnsi="宋体"/>
          <w:color w:val="auto"/>
          <w:szCs w:val="21"/>
          <w:highlight w:val="none"/>
          <w:shd w:val="clear" w:color="auto" w:fill="auto"/>
        </w:rPr>
        <w:t>①</w:t>
      </w:r>
      <w:r>
        <w:rPr>
          <w:rFonts w:hAnsi="宋体"/>
          <w:color w:val="auto"/>
          <w:spacing w:val="-6"/>
          <w:kern w:val="21"/>
          <w:szCs w:val="21"/>
          <w:highlight w:val="none"/>
          <w:shd w:val="clear" w:color="auto" w:fill="auto"/>
        </w:rPr>
        <w:fldChar w:fldCharType="end"/>
      </w:r>
    </w:p>
    <w:p w14:paraId="447F73D8">
      <w:pPr>
        <w:rPr>
          <w:rFonts w:ascii="Times New Roman" w:hAnsi="Times New Roman"/>
          <w:color w:val="auto"/>
          <w:highlight w:val="none"/>
          <w:shd w:val="clear" w:color="auto" w:fill="auto"/>
          <w:lang w:bidi="ar"/>
        </w:rPr>
        <w:sectPr>
          <w:pgSz w:w="16838" w:h="11906" w:orient="landscape"/>
          <w:pgMar w:top="1134" w:right="1531" w:bottom="1134" w:left="1531" w:header="851" w:footer="851" w:gutter="0"/>
          <w:pgNumType w:fmt="decimal"/>
          <w:cols w:space="720" w:num="1"/>
          <w:docGrid w:type="lines" w:linePitch="312" w:charSpace="0"/>
        </w:sectPr>
      </w:pPr>
    </w:p>
    <w:p w14:paraId="3BB54964">
      <w:pPr>
        <w:pStyle w:val="16"/>
        <w:ind w:left="0" w:leftChars="0" w:firstLine="0" w:firstLineChars="0"/>
        <w:jc w:val="center"/>
        <w:rPr>
          <w:rFonts w:hint="eastAsia" w:ascii="Times New Roman" w:hAnsi="Times New Roman" w:eastAsia="宋体"/>
          <w:b/>
          <w:bCs/>
          <w:color w:val="auto"/>
          <w:sz w:val="28"/>
          <w:szCs w:val="28"/>
          <w:highlight w:val="none"/>
          <w:shd w:val="clear" w:color="auto" w:fill="auto"/>
          <w:lang w:eastAsia="zh-CN" w:bidi="ar"/>
        </w:rPr>
      </w:pPr>
      <w:r>
        <w:rPr>
          <w:color w:val="auto"/>
          <w:sz w:val="32"/>
          <w:highlight w:val="none"/>
        </w:rPr>
        <mc:AlternateContent>
          <mc:Choice Requires="wps">
            <w:drawing>
              <wp:anchor distT="0" distB="0" distL="114300" distR="114300" simplePos="0" relativeHeight="251674624" behindDoc="0" locked="0" layoutInCell="1" allowOverlap="1">
                <wp:simplePos x="0" y="0"/>
                <wp:positionH relativeFrom="column">
                  <wp:posOffset>3212465</wp:posOffset>
                </wp:positionH>
                <wp:positionV relativeFrom="paragraph">
                  <wp:posOffset>5380355</wp:posOffset>
                </wp:positionV>
                <wp:extent cx="76200" cy="76200"/>
                <wp:effectExtent l="13970" t="15875" r="24130" b="22225"/>
                <wp:wrapNone/>
                <wp:docPr id="17" name="自选图形 333"/>
                <wp:cNvGraphicFramePr/>
                <a:graphic xmlns:a="http://schemas.openxmlformats.org/drawingml/2006/main">
                  <a:graphicData uri="http://schemas.microsoft.com/office/word/2010/wordprocessingShape">
                    <wps:wsp>
                      <wps:cNvSpPr/>
                      <wps:spPr>
                        <a:xfrm>
                          <a:off x="0" y="0"/>
                          <a:ext cx="76200" cy="76200"/>
                        </a:xfrm>
                        <a:prstGeom prst="star5">
                          <a:avLst/>
                        </a:prstGeom>
                        <a:solidFill>
                          <a:srgbClr val="FF0000"/>
                        </a:solidFill>
                        <a:ln w="952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shape id="自选图形 333" o:spid="_x0000_s1026" style="position:absolute;left:0pt;margin-left:252.95pt;margin-top:423.65pt;height:6pt;width:6pt;z-index:251674624;mso-width-relative:page;mso-height-relative:page;" fillcolor="#FF0000" filled="t" stroked="t" coordsize="76200,76200" o:gfxdata="UEsDBAoAAAAAAIdO4kAAAAAAAAAAAAAAAAAEAAAAZHJzL1BLAwQUAAAACACHTuJAFdP1f9kAAAAL&#10;AQAADwAAAGRycy9kb3ducmV2LnhtbE2PwU7DMAyG70i8Q2QkLogl3QhrS9NJTOLIYRtCHL02tIXG&#10;qZq0G2+POY2jf3/6/bnYnF0vZjuGzpOBZKFAWKp83VFj4O3wcp+CCBGpxt6TNfBjA2zK66sC89qf&#10;aGfnfWwEl1DI0UAb45BLGarWOgwLP1ji3acfHUYex0bWI5643PVyqdSjdNgRX2hxsNvWVt/7yRlY&#10;7qY7nGP2sX3V6t1qOqT4/GXM7U2inkBEe44XGP70WR1Kdjr6ieogegNa6YxRA+nDegWCCZ2sOTly&#10;orMVyLKQ/38ofwFQSwMEFAAAAAgAh07iQBMl7kUhAgAAWAQAAA4AAABkcnMvZTJvRG9jLnhtbK1U&#10;zY7TMBC+I/EOlu807VbdhajpHraUC4KVFh7AdZzEkv+w3ablxA3xDNw48g7L26wEb8Fnp3TZ5dID&#10;OSRje/zNfN/MZH6504pshQ/SmopORmNKhOG2lqat6Pt3q2fPKQmRmZopa0RF9yLQy8XTJ/PeleLM&#10;dlbVwhOAmFD2rqJdjK4sisA7oVkYWScMDhvrNYtY+raoPeuBrlVxNh6fF731tfOWixCwuxwO6QHR&#10;nwJom0ZysbR8o4WJA6oXikVQCp10gS5ytk0jeHzbNEFEoioKpjG/EQT2Or2LxZyVrWeuk/yQAjsl&#10;hUecNJMGQY9QSxYZ2Xj5D5SW3NtgmzjiVhcDkawIWEzGj7S56ZgTmQukDu4oevh/sPzN9toTWaMT&#10;LigxTKPiPz9///Xpy93XH3e338h0Ok0i9S6U8L1x1/6wCjAT413jdfqCC9llYfdHYcUuEo7Ni3NU&#10;nhKOk8EERnF/1fkQXwmrSTIqiu7zs6wm274OcfD945NCBatkvZJK5YVv11fKky1DiVerMZ6UMOAf&#10;uClD+oq+mJ3NkAdD3zboF5jagXswbY734EY4DTgltmShGxLICENXaRlFEouVnWD1S1OTuHeQ12Cs&#10;aEpGi5oSJTCFycqekUl1iifYKQOSqSxDIZK1tvUe1cRwQ8XO+o8Ig9YGvw8b5hGUGY7tioL4YF7F&#10;YRY2zsu2w61J1i6BoeGyiofhSB399zoHv/8hLH4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FdP1&#10;f9kAAAALAQAADwAAAAAAAAABACAAAAAiAAAAZHJzL2Rvd25yZXYueG1sUEsBAhQAFAAAAAgAh07i&#10;QBMl7kUhAgAAWAQAAA4AAAAAAAAAAQAgAAAAKAEAAGRycy9lMm9Eb2MueG1sUEsFBgAAAAAGAAYA&#10;WQEAALsFAAAAAA==&#10;" path="m0,29105l29105,29105,38100,0,47094,29105,76199,29105,52652,47093,61647,76199,38100,58211,14552,76199,23547,47093xe">
                <v:path o:connectlocs="38100,0;0,29105;14552,76199;61647,76199;76199,29105" o:connectangles="247,164,82,82,0"/>
                <v:fill on="t" focussize="0,0"/>
                <v:stroke color="#FF0000" joinstyle="miter"/>
                <v:imagedata o:title=""/>
                <o:lock v:ext="edit" aspectratio="f"/>
              </v:shape>
            </w:pict>
          </mc:Fallback>
        </mc:AlternateContent>
      </w:r>
      <w:r>
        <w:rPr>
          <w:b/>
          <w:color w:val="auto"/>
          <w:highlight w:val="none"/>
          <w:shd w:val="clear" w:color="auto" w:fill="auto"/>
        </w:rPr>
        <mc:AlternateContent>
          <mc:Choice Requires="wps">
            <w:drawing>
              <wp:anchor distT="0" distB="0" distL="114300" distR="114300" simplePos="0" relativeHeight="251668480" behindDoc="0" locked="0" layoutInCell="1" allowOverlap="1">
                <wp:simplePos x="0" y="0"/>
                <wp:positionH relativeFrom="column">
                  <wp:posOffset>3710305</wp:posOffset>
                </wp:positionH>
                <wp:positionV relativeFrom="paragraph">
                  <wp:posOffset>3797935</wp:posOffset>
                </wp:positionV>
                <wp:extent cx="914400" cy="297180"/>
                <wp:effectExtent l="458470" t="4445" r="17780" b="1355725"/>
                <wp:wrapNone/>
                <wp:docPr id="4" name="自选图形 32"/>
                <wp:cNvGraphicFramePr/>
                <a:graphic xmlns:a="http://schemas.openxmlformats.org/drawingml/2006/main">
                  <a:graphicData uri="http://schemas.microsoft.com/office/word/2010/wordprocessingShape">
                    <wps:wsp>
                      <wps:cNvSpPr/>
                      <wps:spPr>
                        <a:xfrm>
                          <a:off x="0" y="0"/>
                          <a:ext cx="914400" cy="297180"/>
                        </a:xfrm>
                        <a:prstGeom prst="wedgeRoundRectCallout">
                          <a:avLst>
                            <a:gd name="adj1" fmla="val -97986"/>
                            <a:gd name="adj2" fmla="val 488247"/>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1F90ADFA">
                            <w:pPr>
                              <w:rPr>
                                <w:sz w:val="21"/>
                                <w:szCs w:val="21"/>
                              </w:rPr>
                            </w:pPr>
                            <w:r>
                              <w:rPr>
                                <w:rFonts w:hint="eastAsia"/>
                                <w:sz w:val="21"/>
                                <w:szCs w:val="21"/>
                              </w:rPr>
                              <w:t>本项目</w:t>
                            </w:r>
                          </w:p>
                        </w:txbxContent>
                      </wps:txbx>
                      <wps:bodyPr vert="horz" wrap="square" anchor="t" anchorCtr="0" upright="1"/>
                    </wps:wsp>
                  </a:graphicData>
                </a:graphic>
              </wp:anchor>
            </w:drawing>
          </mc:Choice>
          <mc:Fallback>
            <w:pict>
              <v:shape id="自选图形 32" o:spid="_x0000_s1026" o:spt="62" type="#_x0000_t62" style="position:absolute;left:0pt;margin-left:292.15pt;margin-top:299.05pt;height:23.4pt;width:72pt;z-index:251668480;mso-width-relative:page;mso-height-relative:page;" fillcolor="#FFFFFF" filled="t" stroked="t" coordsize="21600,21600" o:gfxdata="UEsDBAoAAAAAAIdO4kAAAAAAAAAAAAAAAAAEAAAAZHJzL1BLAwQUAAAACACHTuJAKlLAOdkAAAAL&#10;AQAADwAAAGRycy9kb3ducmV2LnhtbE2PPU/DMBCGdyT+g3VIbNRJCW0a4nSgMLBBoWJ14mscEduR&#10;7XzAr+eYYLuPR+89V+4X07MJfeicFZCuEmBoG6c62wp4f3u6yYGFKK2SvbMo4AsD7KvLi1IWys32&#10;FadjbBmF2FBIATrGoeA8NBqNDCs3oKXd2XkjI7W+5crLmcJNz9dJsuFGdpYuaDngg8bm8zgaAfNh&#10;nk718uwfu3HE9uW8fB8+tBDXV2lyDyziEv9g+NUndajIqXajVYH1Au7y7JZQKnZ5CoyI7TqnSS1g&#10;k2U74FXJ//9Q/QBQSwMEFAAAAAgAh07iQByV6GBpAgAA6gQAAA4AAABkcnMvZTJvRG9jLnhtbK1U&#10;zXLTMBC+M8M7aHRv/dM0TTJxemgoFwY6LTyAIsm2GP0hKXHCiRvDM3DjyDvA23QG3oKVbNK05dAD&#10;PtgrefXtft/uan6+VRJtuPPC6AoXxzlGXFPDhG4q/O7t5dEEIx+IZkQazSu84x6fL54/m3d2xkvT&#10;Gsm4QwCi/ayzFW5DsLMs87TlivhjY7mGn7VxigRYuiZjjnSArmRW5vk464xj1hnKvYfdZf8TD4ju&#10;KYCmrgXlS0PXiuvQozouSQBKvhXW40XKtq45DW/q2vOAZIWBaUhvCAL2Kr6zxZzMGkdsK+iQAnlK&#10;Cg84KSI0BN1DLUkgaO3EIyglqDPe1OGYGpX1RJIiwKLIH2hz0xLLExeQ2tu96P7/wdLXmyuHBKvw&#10;CCNNFBT81+fvvz99uf368/bHN3RSRok662fgeWOv3LDyYEa+29qp+AUmaJtk3e1l5duAKGxOi9Eo&#10;B8Ep/CqnZ8UkyZ7dHbbOh5fcKBSNCnecNfzarDW7hvpdECnNOiR1yeaVD0lmNiRL2PsCo1pJqNqG&#10;SHQ0PZtOxkNZD5zKQ6fRZFKOzh47nRw6FePxOPlAokNcsP6mGpPwRgp2KaRMC9esLqRDkESFL9MT&#10;A8CRe25Sow4UOS1PQQ8C41ND24KpLJTA6ybRvHfCHwLn6fkXcExsSXzbJ5AQeoJKBO5Sm7ecsBea&#10;obCzUGYN041jMoozjCSHyyBayTMQIZ/iCeykBpKxP/qOiFbYrrZDm6wM20F/wXUDdW2N+wgRYdiA&#10;6oc1cRCfaArbFQYNevMi9NO5tk40LZwqEtuICyOQBB3GNc7Y4TrlcXdFLf4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KlLAOdkAAAALAQAADwAAAAAAAAABACAAAAAiAAAAZHJzL2Rvd25yZXYueG1s&#10;UEsBAhQAFAAAAAgAh07iQByV6GBpAgAA6gQAAA4AAAAAAAAAAQAgAAAAKAEAAGRycy9lMm9Eb2Mu&#10;eG1sUEsFBgAAAAAGAAYAWQEAAAMGAAAAAA==&#10;" adj="-10365,116261,14400">
                <v:fill on="t" focussize="0,0"/>
                <v:stroke color="#000000" joinstyle="miter"/>
                <v:imagedata o:title=""/>
                <o:lock v:ext="edit" aspectratio="f"/>
                <v:textbox>
                  <w:txbxContent>
                    <w:p w14:paraId="1F90ADFA">
                      <w:pPr>
                        <w:rPr>
                          <w:sz w:val="21"/>
                          <w:szCs w:val="21"/>
                        </w:rPr>
                      </w:pPr>
                      <w:r>
                        <w:rPr>
                          <w:rFonts w:hint="eastAsia"/>
                          <w:sz w:val="21"/>
                          <w:szCs w:val="21"/>
                        </w:rPr>
                        <w:t>本项目</w:t>
                      </w:r>
                    </w:p>
                  </w:txbxContent>
                </v:textbox>
              </v:shape>
            </w:pict>
          </mc:Fallback>
        </mc:AlternateContent>
      </w:r>
      <w:r>
        <w:rPr>
          <w:rFonts w:hint="eastAsia" w:eastAsia="宋体"/>
          <w:color w:val="auto"/>
          <w:highlight w:val="none"/>
          <w:shd w:val="clear" w:color="auto" w:fill="auto"/>
          <w:lang w:eastAsia="zh-CN"/>
        </w:rPr>
        <w:drawing>
          <wp:inline distT="0" distB="0" distL="114300" distR="114300">
            <wp:extent cx="5264150" cy="7735570"/>
            <wp:effectExtent l="0" t="0" r="12700" b="17780"/>
            <wp:docPr id="138" name="图片 22" descr="鞍山市行政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2" descr="鞍山市行政地图"/>
                    <pic:cNvPicPr>
                      <a:picLocks noChangeAspect="1"/>
                    </pic:cNvPicPr>
                  </pic:nvPicPr>
                  <pic:blipFill>
                    <a:blip r:embed="rId34"/>
                    <a:stretch>
                      <a:fillRect/>
                    </a:stretch>
                  </pic:blipFill>
                  <pic:spPr>
                    <a:xfrm>
                      <a:off x="0" y="0"/>
                      <a:ext cx="5264150" cy="7735570"/>
                    </a:xfrm>
                    <a:prstGeom prst="rect">
                      <a:avLst/>
                    </a:prstGeom>
                    <a:noFill/>
                    <a:ln>
                      <a:noFill/>
                    </a:ln>
                  </pic:spPr>
                </pic:pic>
              </a:graphicData>
            </a:graphic>
          </wp:inline>
        </w:drawing>
      </w:r>
      <w:r>
        <w:rPr>
          <w:rFonts w:hint="eastAsia" w:ascii="Times New Roman" w:hAnsi="Times New Roman"/>
          <w:b/>
          <w:bCs/>
          <w:color w:val="auto"/>
          <w:sz w:val="28"/>
          <w:szCs w:val="28"/>
          <w:highlight w:val="none"/>
          <w:shd w:val="clear" w:color="auto" w:fill="auto"/>
          <w:lang w:eastAsia="zh-CN" w:bidi="ar"/>
        </w:rPr>
        <w:t>附图</w:t>
      </w:r>
      <w:r>
        <w:rPr>
          <w:rFonts w:hint="eastAsia" w:ascii="Times New Roman" w:hAnsi="Times New Roman"/>
          <w:b/>
          <w:bCs/>
          <w:color w:val="auto"/>
          <w:sz w:val="28"/>
          <w:szCs w:val="28"/>
          <w:highlight w:val="none"/>
          <w:shd w:val="clear" w:color="auto" w:fill="auto"/>
          <w:lang w:val="en-US" w:eastAsia="zh-CN" w:bidi="ar"/>
        </w:rPr>
        <w:t>1   地理位置图</w:t>
      </w:r>
    </w:p>
    <w:p w14:paraId="698116DD">
      <w:pPr>
        <w:rPr>
          <w:color w:val="auto"/>
          <w:highlight w:val="none"/>
          <w:shd w:val="clear" w:color="auto" w:fill="auto"/>
        </w:rPr>
      </w:pPr>
    </w:p>
    <w:p w14:paraId="65D6F579">
      <w:pPr>
        <w:pStyle w:val="16"/>
        <w:rPr>
          <w:color w:val="auto"/>
          <w:highlight w:val="none"/>
          <w:shd w:val="clear" w:color="auto" w:fill="auto"/>
        </w:rPr>
        <w:sectPr>
          <w:pgSz w:w="11906" w:h="16838"/>
          <w:pgMar w:top="1531" w:right="1702" w:bottom="1531" w:left="1702" w:header="851" w:footer="851" w:gutter="0"/>
          <w:pgNumType w:fmt="decimal"/>
          <w:cols w:space="720" w:num="1"/>
          <w:docGrid w:type="lines" w:linePitch="312" w:charSpace="0"/>
        </w:sectPr>
      </w:pPr>
    </w:p>
    <w:p w14:paraId="4A9FE527">
      <w:pPr>
        <w:jc w:val="center"/>
        <w:rPr>
          <w:color w:val="auto"/>
          <w:highlight w:val="none"/>
        </w:rPr>
      </w:pPr>
      <w:r>
        <w:rPr>
          <w:color w:val="auto"/>
          <w:highlight w:val="none"/>
          <w:shd w:val="clear" w:color="auto" w:fill="auto"/>
        </w:rPr>
        <w:drawing>
          <wp:anchor distT="0" distB="0" distL="114300" distR="114300" simplePos="0" relativeHeight="251672576" behindDoc="0" locked="0" layoutInCell="1" allowOverlap="1">
            <wp:simplePos x="0" y="0"/>
            <wp:positionH relativeFrom="column">
              <wp:posOffset>8495030</wp:posOffset>
            </wp:positionH>
            <wp:positionV relativeFrom="paragraph">
              <wp:posOffset>-13970</wp:posOffset>
            </wp:positionV>
            <wp:extent cx="645160" cy="685165"/>
            <wp:effectExtent l="0" t="0" r="2540" b="635"/>
            <wp:wrapNone/>
            <wp:docPr id="15"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9"/>
                    <pic:cNvPicPr>
                      <a:picLocks noChangeAspect="1"/>
                    </pic:cNvPicPr>
                  </pic:nvPicPr>
                  <pic:blipFill>
                    <a:blip r:embed="rId35"/>
                    <a:stretch>
                      <a:fillRect/>
                    </a:stretch>
                  </pic:blipFill>
                  <pic:spPr>
                    <a:xfrm>
                      <a:off x="0" y="0"/>
                      <a:ext cx="645160" cy="685165"/>
                    </a:xfrm>
                    <a:prstGeom prst="rect">
                      <a:avLst/>
                    </a:prstGeom>
                    <a:noFill/>
                    <a:ln>
                      <a:noFill/>
                    </a:ln>
                  </pic:spPr>
                </pic:pic>
              </a:graphicData>
            </a:graphic>
          </wp:anchor>
        </w:drawing>
      </w:r>
      <w:r>
        <w:rPr>
          <w:color w:val="auto"/>
          <w:sz w:val="24"/>
          <w:highlight w:val="none"/>
        </w:rPr>
        <mc:AlternateContent>
          <mc:Choice Requires="wps">
            <w:drawing>
              <wp:anchor distT="0" distB="0" distL="114300" distR="114300" simplePos="0" relativeHeight="251813888" behindDoc="0" locked="0" layoutInCell="1" allowOverlap="1">
                <wp:simplePos x="0" y="0"/>
                <wp:positionH relativeFrom="column">
                  <wp:posOffset>5857875</wp:posOffset>
                </wp:positionH>
                <wp:positionV relativeFrom="paragraph">
                  <wp:posOffset>78105</wp:posOffset>
                </wp:positionV>
                <wp:extent cx="720090" cy="321945"/>
                <wp:effectExtent l="4445" t="4445" r="18415" b="16510"/>
                <wp:wrapNone/>
                <wp:docPr id="191" name="文本框 191"/>
                <wp:cNvGraphicFramePr/>
                <a:graphic xmlns:a="http://schemas.openxmlformats.org/drawingml/2006/main">
                  <a:graphicData uri="http://schemas.microsoft.com/office/word/2010/wordprocessingShape">
                    <wps:wsp>
                      <wps:cNvSpPr txBox="1"/>
                      <wps:spPr>
                        <a:xfrm>
                          <a:off x="0" y="0"/>
                          <a:ext cx="720090" cy="321945"/>
                        </a:xfrm>
                        <a:prstGeom prst="rect">
                          <a:avLst/>
                        </a:prstGeom>
                        <a:solidFill>
                          <a:schemeClr val="bg1"/>
                        </a:solidFill>
                        <a:ln w="9525" cap="sq" cmpd="sng">
                          <a:solidFill>
                            <a:schemeClr val="tx1"/>
                          </a:solidFill>
                          <a:prstDash val="solid"/>
                          <a:miter/>
                          <a:headEnd type="none" w="med" len="med"/>
                          <a:tailEnd type="none" w="med" len="med"/>
                        </a:ln>
                      </wps:spPr>
                      <wps:txbx>
                        <w:txbxContent>
                          <w:p w14:paraId="4AA41FE3">
                            <w:pPr>
                              <w:rPr>
                                <w:rFonts w:hint="eastAsia"/>
                                <w:lang w:eastAsia="zh-CN"/>
                              </w:rPr>
                            </w:pPr>
                            <w:r>
                              <w:rPr>
                                <w:rFonts w:hint="eastAsia"/>
                                <w:lang w:eastAsia="zh-CN"/>
                              </w:rPr>
                              <w:t>庙沟村</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461.25pt;margin-top:6.15pt;height:25.35pt;width:56.7pt;z-index:251813888;mso-width-relative:page;mso-height-relative:page;" fillcolor="#FFFFFF [3212]" filled="t" stroked="t" coordsize="21600,21600" o:gfxdata="UEsDBAoAAAAAAIdO4kAAAAAAAAAAAAAAAAAEAAAAZHJzL1BLAwQUAAAACACHTuJA42RFmdkAAAAK&#10;AQAADwAAAGRycy9kb3ducmV2LnhtbE2Py26DMBBF95X6D9ZU6q6xA0pUKCaLKtn0sQglXRs8wSh4&#10;jLDzaL++zqpZju7RvWeK1cUO7IST7x1JmM8EMKTW6Z46CfXX5ukZmA+KtBocoYQf9LAq7+8KlWt3&#10;pi2eqtCxWEI+VxJMCGPOuW8NWuVnbkSK2d5NVoV4Th3XkzrHcjvwRIglt6qnuGDUiK8G20N1tBJ2&#10;79namert47PebH+/m36901RL+fgwFy/AAl7CPwxX/agOZXRq3JG0Z4OELEkWEY1BkgK7AiJdZMAa&#10;CctUAC8LfvtC+QdQSwMEFAAAAAgAh07iQEc2OgCUAgAAUgUAAA4AAABkcnMvZTJvRG9jLnhtbK1U&#10;zW4TMRC+I/EOlu90k5AAibqpQkMQUkUrFcTZ8XqzlvyH7SQbHgDegBMX7jxXn4PP3qRNSw89sIfd&#10;sefbb2a+Gfv0rNWKbIQP0pqS9k96lAjDbSXNqqSfPy1evKEkRGYqpqwRJd2JQM+mz5+dbt1EDGxj&#10;VSU8AYkJk60raROjmxRF4I3QLJxYJwyctfWaRSz9qqg824Jdq2LQ670qttZXzlsuQsDuvHPSPaN/&#10;CqGta8nF3PK1FiZ2rF4oFlFSaKQLdJqzrWvB42VdBxGJKikqjfmNILCX6V1MT9lk5ZlrJN+nwJ6S&#10;woOaNJMGQW+p5iwysvbyHyotubfB1vGEW110hWRFUEW/90Cb64Y5kWuB1MHdih7+Hy3/uLnyRFaY&#10;hHGfEsM0Wn7z88fNrz83v7+TtAmJti5MgLx2wMb2rW0BP+wHbKbK29rr9EVNBH4IvLsVWLSRcGy+&#10;xgCM4eFwvRz0x8NRYinufnY+xPfCapKMknr0L8vKNhchdtADJMUKVslqIZXKC79anitPNgy9XuRn&#10;z34PpgzZlnQ8GoyQB8MAh68wtIMEwaxytHv4cEzby89jtCmtOQtNFz4zJBibaBmFz1YjWPXOVCTu&#10;HEQ2OF00paJFRYkSOIzJysjIpHoKEsopAwFTf7o+JCu2yxY0yVzaaoeeedsNfnB8IZHoBQvxinlM&#10;OpqBuyBe4lUri2zs3qKksf7bY/sJjwGEF+nj5CQF18yjGPXBYDTH/eEQtDEvhiP0nBJ/7Fkee8xa&#10;n1s0DMOH7LKZ8FEdzNpb/QVXxixFhYsZjtgljQfzPHbnGVcOF7NZBq2dl6um+wEHzbF4Ya4dT2FS&#10;T4ydraOtZR6pO532SuKo5aHcXwvpLB+vM+ruKpz+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ONk&#10;RZnZAAAACgEAAA8AAAAAAAAAAQAgAAAAIgAAAGRycy9kb3ducmV2LnhtbFBLAQIUABQAAAAIAIdO&#10;4kBHNjoAlAIAAFIFAAAOAAAAAAAAAAEAIAAAACgBAABkcnMvZTJvRG9jLnhtbFBLBQYAAAAABgAG&#10;AFkBAAAuBgAAAAA=&#10;">
                <v:fill on="t" focussize="0,0"/>
                <v:stroke color="#000000 [3213]" joinstyle="miter" endcap="square"/>
                <v:imagedata o:title=""/>
                <o:lock v:ext="edit" aspectratio="f"/>
                <v:textbox>
                  <w:txbxContent>
                    <w:p w14:paraId="4AA41FE3">
                      <w:pPr>
                        <w:rPr>
                          <w:rFonts w:hint="eastAsia"/>
                          <w:lang w:eastAsia="zh-CN"/>
                        </w:rPr>
                      </w:pPr>
                      <w:r>
                        <w:rPr>
                          <w:rFonts w:hint="eastAsia"/>
                          <w:lang w:eastAsia="zh-CN"/>
                        </w:rPr>
                        <w:t>庙沟村</w:t>
                      </w:r>
                    </w:p>
                  </w:txbxContent>
                </v:textbox>
              </v:shape>
            </w:pict>
          </mc:Fallback>
        </mc:AlternateContent>
      </w:r>
      <w:r>
        <w:rPr>
          <w:color w:val="auto"/>
          <w:highlight w:val="none"/>
        </w:rPr>
        <w:drawing>
          <wp:anchor distT="0" distB="0" distL="114300" distR="114300" simplePos="0" relativeHeight="251659264" behindDoc="0" locked="0" layoutInCell="1" allowOverlap="1">
            <wp:simplePos x="0" y="0"/>
            <wp:positionH relativeFrom="column">
              <wp:posOffset>814070</wp:posOffset>
            </wp:positionH>
            <wp:positionV relativeFrom="page">
              <wp:posOffset>723900</wp:posOffset>
            </wp:positionV>
            <wp:extent cx="8330565" cy="6120130"/>
            <wp:effectExtent l="19050" t="19050" r="32385" b="33020"/>
            <wp:wrapNone/>
            <wp:docPr id="18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9"/>
                    <pic:cNvPicPr>
                      <a:picLocks noChangeAspect="1"/>
                    </pic:cNvPicPr>
                  </pic:nvPicPr>
                  <pic:blipFill>
                    <a:blip r:embed="rId36"/>
                    <a:stretch>
                      <a:fillRect/>
                    </a:stretch>
                  </pic:blipFill>
                  <pic:spPr>
                    <a:xfrm>
                      <a:off x="0" y="0"/>
                      <a:ext cx="8330565" cy="6120130"/>
                    </a:xfrm>
                    <a:prstGeom prst="rect">
                      <a:avLst/>
                    </a:prstGeom>
                    <a:noFill/>
                    <a:ln w="19050">
                      <a:solidFill>
                        <a:schemeClr val="tx1"/>
                      </a:solidFill>
                    </a:ln>
                  </pic:spPr>
                </pic:pic>
              </a:graphicData>
            </a:graphic>
          </wp:anchor>
        </w:drawing>
      </w:r>
      <w:r>
        <w:rPr>
          <w:color w:val="auto"/>
          <w:sz w:val="28"/>
          <w:highlight w:val="none"/>
        </w:rPr>
        <mc:AlternateContent>
          <mc:Choice Requires="wps">
            <w:drawing>
              <wp:anchor distT="0" distB="0" distL="114300" distR="114300" simplePos="0" relativeHeight="251785216" behindDoc="0" locked="0" layoutInCell="1" allowOverlap="1">
                <wp:simplePos x="0" y="0"/>
                <wp:positionH relativeFrom="column">
                  <wp:posOffset>1896110</wp:posOffset>
                </wp:positionH>
                <wp:positionV relativeFrom="paragraph">
                  <wp:posOffset>151130</wp:posOffset>
                </wp:positionV>
                <wp:extent cx="2143125" cy="5013960"/>
                <wp:effectExtent l="29210" t="12700" r="37465" b="21590"/>
                <wp:wrapNone/>
                <wp:docPr id="206" name="直接连接符 206"/>
                <wp:cNvGraphicFramePr/>
                <a:graphic xmlns:a="http://schemas.openxmlformats.org/drawingml/2006/main">
                  <a:graphicData uri="http://schemas.microsoft.com/office/word/2010/wordprocessingShape">
                    <wps:wsp>
                      <wps:cNvCnPr/>
                      <wps:spPr>
                        <a:xfrm flipH="1">
                          <a:off x="0" y="0"/>
                          <a:ext cx="2143125" cy="5013960"/>
                        </a:xfrm>
                        <a:prstGeom prst="line">
                          <a:avLst/>
                        </a:prstGeom>
                        <a:ln w="63500">
                          <a:solidFill>
                            <a:srgbClr val="00B0F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149.3pt;margin-top:11.9pt;height:394.8pt;width:168.75pt;z-index:251785216;mso-width-relative:page;mso-height-relative:page;" filled="f" stroked="t" coordsize="21600,21600" o:gfxdata="UEsDBAoAAAAAAIdO4kAAAAAAAAAAAAAAAAAEAAAAZHJzL1BLAwQUAAAACACHTuJAEqeJbNkAAAAK&#10;AQAADwAAAGRycy9kb3ducmV2LnhtbE2PwUrEMBCG74LvEEbw5qbdaKm16R4EEQUFV2H3mG3Gtmwz&#10;KU3arj6940lvM8zHP99fbk6uFzOOofOkIV0lIJBqbztqNHy8P1zlIEI0ZE3vCTV8YYBNdX5WmsL6&#10;hd5w3sZGcAiFwmhoYxwKKUPdojNh5Qckvn360ZnI69hIO5qFw10v10mSSWc64g+tGfC+xfq4nZyG&#10;R4zx9cXe2Hy3Py5Pz7Oapm+l9eVFmtyBiHiKfzD86rM6VOx08BPZIHoN69s8Y5QHxRUYyFSWgjho&#10;yFN1DbIq5f8K1Q9QSwMEFAAAAAgAh07iQMb4BZHtAQAArwMAAA4AAABkcnMvZTJvRG9jLnhtbK1T&#10;zY7TMBC+I/EOlu80SUsrNmq6ElsVDggqAQ/gOnZiyX/yeJv2JXgBJG5w4sh934blMXbsdAsslz1w&#10;ccYz42/m+2ayvDwYTfYigHK2odWkpERY7lplu4Z+/LB59oISiMy2TDsrGnoUQC9XT58sB1+Lqeud&#10;bkUgCGKhHnxD+xh9XRTAe2EYTJwXFoPSBcMiXkNXtIENiG50MS3LRTG40PrguABA73oM0hNieAyg&#10;k1JxsXb82ggbR9QgNItICXrlga5yt1IKHt9JCSIS3VBkGvOJRdDepbNYLVndBeZ7xU8tsMe08ICT&#10;Ycpi0TPUmkVGroP6B8ooHhw4GSfcmWIkkhVBFlX5QJv3PfMic0GpwZ9Fh/8Hy9/ut4GotqHTckGJ&#10;ZQZHfvv5x89PX3/dfMHz9vs3kkIo1OChxvwruw2nG/htSKwPMhgitfKvcaOyDsiMHLLMx7PM4hAJ&#10;R+e0ej6rpnNKOMbmZTW7WORBFCNQAvQB4ivhDElGQ7WySQdWs/0biFgcU+9Tktu6jdI6z1JbMjR0&#10;MZuXOGLOcEElLgaaxiNJsB0lTHe4+TyGDAlOqzY9T0AQut2VDmTP0r6UL8vNfWd/paXaawb9mJdD&#10;SSDsSlv8JKFGaZK1c+0xK5b9OMeceNq5tCh/3vPr3//Z6g5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Sp4ls2QAAAAoBAAAPAAAAAAAAAAEAIAAAACIAAABkcnMvZG93bnJldi54bWxQSwECFAAUAAAA&#10;CACHTuJAxvgFke0BAACvAwAADgAAAAAAAAABACAAAAAoAQAAZHJzL2Uyb0RvYy54bWxQSwUGAAAA&#10;AAYABgBZAQAAhwUAAAAA&#10;">
                <v:fill on="f" focussize="0,0"/>
                <v:stroke weight="5pt" color="#00B0F0 [3204]" joinstyle="round"/>
                <v:imagedata o:title=""/>
                <o:lock v:ext="edit" aspectratio="f"/>
              </v:line>
            </w:pict>
          </mc:Fallback>
        </mc:AlternateContent>
      </w:r>
    </w:p>
    <w:p w14:paraId="6949CB29">
      <w:pPr>
        <w:jc w:val="center"/>
        <w:rPr>
          <w:rFonts w:hint="eastAsia" w:ascii="Times New Roman" w:hAnsi="Times New Roman" w:eastAsia="宋体" w:cs="Times New Roman"/>
          <w:b/>
          <w:bCs/>
          <w:color w:val="auto"/>
          <w:sz w:val="28"/>
          <w:szCs w:val="28"/>
          <w:highlight w:val="none"/>
          <w:shd w:val="clear" w:color="auto" w:fill="auto"/>
          <w:lang w:eastAsia="zh-CN" w:bidi="ar"/>
        </w:rPr>
      </w:pPr>
      <w:r>
        <w:rPr>
          <w:color w:val="auto"/>
          <w:sz w:val="28"/>
          <w:highlight w:val="none"/>
        </w:rPr>
        <mc:AlternateContent>
          <mc:Choice Requires="wps">
            <w:drawing>
              <wp:anchor distT="0" distB="0" distL="114300" distR="114300" simplePos="0" relativeHeight="251803648" behindDoc="0" locked="0" layoutInCell="1" allowOverlap="1">
                <wp:simplePos x="0" y="0"/>
                <wp:positionH relativeFrom="column">
                  <wp:posOffset>5650230</wp:posOffset>
                </wp:positionH>
                <wp:positionV relativeFrom="paragraph">
                  <wp:posOffset>158750</wp:posOffset>
                </wp:positionV>
                <wp:extent cx="1133475" cy="4714875"/>
                <wp:effectExtent l="31115" t="7620" r="35560" b="20955"/>
                <wp:wrapNone/>
                <wp:docPr id="215" name="直接连接符 215"/>
                <wp:cNvGraphicFramePr/>
                <a:graphic xmlns:a="http://schemas.openxmlformats.org/drawingml/2006/main">
                  <a:graphicData uri="http://schemas.microsoft.com/office/word/2010/wordprocessingShape">
                    <wps:wsp>
                      <wps:cNvCnPr/>
                      <wps:spPr>
                        <a:xfrm flipH="1">
                          <a:off x="0" y="0"/>
                          <a:ext cx="1133475" cy="4714875"/>
                        </a:xfrm>
                        <a:prstGeom prst="line">
                          <a:avLst/>
                        </a:prstGeom>
                        <a:ln w="63500">
                          <a:solidFill>
                            <a:srgbClr val="00B0F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444.9pt;margin-top:12.5pt;height:371.25pt;width:89.25pt;z-index:251803648;mso-width-relative:page;mso-height-relative:page;" filled="f" stroked="t" coordsize="21600,21600" o:gfxdata="UEsDBAoAAAAAAIdO4kAAAAAAAAAAAAAAAAAEAAAAZHJzL1BLAwQUAAAACACHTuJA9D+f7NsAAAAL&#10;AQAADwAAAGRycy9kb3ducmV2LnhtbE2PQUvDQBSE74L/YXmCN7vbhqTbmJceBBEFhVbBHrfZZxKa&#10;3Q3ZTVL99W5PehxmmPmm2J5NxyYafOsswnIhgJGtnG5tjfDx/ngngfmgrFads4TwTR625fVVoXLt&#10;ZrujaR9qFkuszxVCE0Kfc+6rhozyC9eTjd6XG4wKUQ4114OaY7np+EqIjBvV2rjQqJ4eGqpO+9Eg&#10;PFEIb6861fLzcJqfX6ZkHH8SxNubpbgHFugc/sJwwY/oUEamoxut9qxDkHIT0QPCKo2fLgGRyQTY&#10;EWGdrVPgZcH/fyh/AVBLAwQUAAAACACHTuJAOciZjewBAACvAwAADgAAAGRycy9lMm9Eb2MueG1s&#10;rVNLjhMxEN0jcQfLe9LdSeajVjojMVFggSASzAEct91tyT+5POnkElwAiR2sWLKf2zAcY8ruEGDY&#10;zIKNVT+/qvdcXlztjSY7EUA529BqUlIiLHetsl1Dbz6sX1xSApHZlmlnRUMPAujV8vmzxeBrMXW9&#10;060IBEEs1INvaB+jr4sCeC8Mg4nzwmJSumBYRDd0RRvYgOhGF9OyPC8GF1ofHBcAGF2NSXpEDE8B&#10;dFIqLlaO3xph44gahGYRKUGvPNBlnlZKweM7KUFEohuKTGM+sQna23QWywWru8B8r/hxBPaUER5x&#10;MkxZbHqCWrHIyG1Q/0AZxYMDJ+OEO1OMRLIiyKIqH2nzvmdeZC4oNfiT6PD/YPnb3SYQ1TZ0Wp1R&#10;YpnBJ7//9P3Hxy8/7z7jef/tK0kpFGrwUGP9td2Eowd+ExLrvQyGSK38a9yorAMyI/ss8+Eks9hH&#10;wjFYVbPZ/AK7cczNL6r5JTqIWIxACdAHiK+EMyQZDdXKJh1YzXZvII6lv0pS2Lq10hrjrNaWDA09&#10;n52V+MSc4YJKXAw0jUeSYDtKmO5w83kMGRKcVm26nm5D6LbXOpAdS/tSvizXeUVwsr/KUu8Vg36s&#10;y6kjAW2RRxJqlCZZW9cesmI5ju+YmR53Li3Kn36+/fufLR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9D+f7NsAAAALAQAADwAAAAAAAAABACAAAAAiAAAAZHJzL2Rvd25yZXYueG1sUEsBAhQAFAAA&#10;AAgAh07iQDnImY3sAQAArwMAAA4AAAAAAAAAAQAgAAAAKgEAAGRycy9lMm9Eb2MueG1sUEsFBgAA&#10;AAAGAAYAWQEAAIgFAAAAAA==&#10;">
                <v:fill on="f" focussize="0,0"/>
                <v:stroke weight="5pt" color="#00B0F0 [3204]" joinstyle="round"/>
                <v:imagedata o:title=""/>
                <o:lock v:ext="edit" aspectratio="f"/>
              </v:line>
            </w:pict>
          </mc:Fallback>
        </mc:AlternateContent>
      </w:r>
      <w:r>
        <w:rPr>
          <w:color w:val="auto"/>
          <w:sz w:val="28"/>
          <w:highlight w:val="none"/>
        </w:rPr>
        <mc:AlternateContent>
          <mc:Choice Requires="wps">
            <w:drawing>
              <wp:anchor distT="0" distB="0" distL="114300" distR="114300" simplePos="0" relativeHeight="251788288" behindDoc="0" locked="0" layoutInCell="1" allowOverlap="1">
                <wp:simplePos x="0" y="0"/>
                <wp:positionH relativeFrom="column">
                  <wp:posOffset>2419985</wp:posOffset>
                </wp:positionH>
                <wp:positionV relativeFrom="paragraph">
                  <wp:posOffset>19685</wp:posOffset>
                </wp:positionV>
                <wp:extent cx="2143125" cy="5013960"/>
                <wp:effectExtent l="17780" t="7620" r="29845" b="7620"/>
                <wp:wrapNone/>
                <wp:docPr id="205" name="直接连接符 205"/>
                <wp:cNvGraphicFramePr/>
                <a:graphic xmlns:a="http://schemas.openxmlformats.org/drawingml/2006/main">
                  <a:graphicData uri="http://schemas.microsoft.com/office/word/2010/wordprocessingShape">
                    <wps:wsp>
                      <wps:cNvCnPr/>
                      <wps:spPr>
                        <a:xfrm flipH="1">
                          <a:off x="0" y="0"/>
                          <a:ext cx="2143125" cy="5013960"/>
                        </a:xfrm>
                        <a:prstGeom prst="line">
                          <a:avLst/>
                        </a:prstGeom>
                        <a:ln w="38100">
                          <a:solidFill>
                            <a:srgbClr val="00B0F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190.55pt;margin-top:1.55pt;height:394.8pt;width:168.75pt;z-index:251788288;mso-width-relative:page;mso-height-relative:page;" filled="f" stroked="t" coordsize="21600,21600" o:gfxdata="UEsDBAoAAAAAAIdO4kAAAAAAAAAAAAAAAAAEAAAAZHJzL1BLAwQUAAAACACHTuJAVER8wNYAAAAJ&#10;AQAADwAAAGRycy9kb3ducmV2LnhtbE2PQU/DMAyF70j8h8hI3FiaDra2NJ0QYhIXNDHgnjWmqWic&#10;qsm28u8xJzj5We/p+XO9mf0gTjjFPpAGtchAILXB9tRpeH/b3hQgYjJkzRAINXxjhE1zeVGbyoYz&#10;veJpnzrBJRQro8GlNFZSxtahN3ERRiT2PsPkTeJ16qSdzJnL/SDzLFtJb3riC86M+Oiw/dofvYby&#10;w87Lp92z9C/lnXu43e6UzaXW11cquweRcE5/YfjFZ3RomOkQjmSjGDQsC6U4yoIH+2tVrEAcWJT5&#10;GmRTy/8fND9QSwMEFAAAAAgAh07iQB154WLsAQAArwMAAA4AAABkcnMvZTJvRG9jLnhtbK1TzW4T&#10;MRC+I/EOlu9kf0KrssqmEo0CBwSRoA/geO1dS/6Tx80mL8ELIHGDE0fuvA3lMTr2pgHKpQcu3vHM&#10;+Jv5vpldXO6NJjsRQDnb0mpWUiIsd52yfUuvP6yfXVACkdmOaWdFSw8C6OXy6ZPF6BtRu8HpTgSC&#10;IBaa0bd0iNE3RQF8EIbBzHlhMShdMCziNfRFF9iI6EYXdVmeF6MLnQ+OCwD0rqYgPSKGxwA6KRUX&#10;K8dvjLBxQg1Cs4iUYFAe6DJ3K6Xg8Z2UICLRLUWmMZ9YBO1tOovlgjV9YH5Q/NgCe0wLDzgZpiwW&#10;PUGtWGTkJqh/oIziwYGTccadKSYiWRFkUZUPtHk/MC8yF5Qa/El0+H+w/O1uE4jqWlqXZ5RYZnDk&#10;t5++//z45dePz3jefvtKUgiFGj00mH9lN+F4A78JifVeBkOkVv41blTWAZmRfZb5cJJZ7CPh6Kyr&#10;5/OqxmocY2dlNX9xngdRTEAJ0AeIr4QzJBkt1comHVjDdm8gYnFMvU9JbuvWSus8S23J2NL5RVXi&#10;iDnDBZW4GGgajyTB9pQw3ePm8xgyJDituvQ8AUHot1c6kB1L+1K+LNf3nf2VlmqvGAxTXg4lgbAr&#10;bfGThJqkSdbWdYesWPbjHHPicefSovx5z69//2fLO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FRE&#10;fMDWAAAACQEAAA8AAAAAAAAAAQAgAAAAIgAAAGRycy9kb3ducmV2LnhtbFBLAQIUABQAAAAIAIdO&#10;4kAdeeFi7AEAAK8DAAAOAAAAAAAAAAEAIAAAACUBAABkcnMvZTJvRG9jLnhtbFBLBQYAAAAABgAG&#10;AFkBAACDBQAAAAA=&#10;">
                <v:fill on="f" focussize="0,0"/>
                <v:stroke weight="3pt" color="#00B0F0 [3204]" joinstyle="round"/>
                <v:imagedata o:title=""/>
                <o:lock v:ext="edit" aspectratio="f"/>
              </v:line>
            </w:pict>
          </mc:Fallback>
        </mc:AlternateContent>
      </w:r>
      <w:r>
        <w:rPr>
          <w:color w:val="auto"/>
          <w:sz w:val="28"/>
          <w:highlight w:val="none"/>
        </w:rPr>
        <mc:AlternateContent>
          <mc:Choice Requires="wps">
            <w:drawing>
              <wp:anchor distT="0" distB="0" distL="114300" distR="114300" simplePos="0" relativeHeight="251792384" behindDoc="0" locked="0" layoutInCell="1" allowOverlap="1">
                <wp:simplePos x="0" y="0"/>
                <wp:positionH relativeFrom="column">
                  <wp:posOffset>2172335</wp:posOffset>
                </wp:positionH>
                <wp:positionV relativeFrom="paragraph">
                  <wp:posOffset>19685</wp:posOffset>
                </wp:positionV>
                <wp:extent cx="2143125" cy="5013960"/>
                <wp:effectExtent l="175260" t="74930" r="177165" b="92710"/>
                <wp:wrapNone/>
                <wp:docPr id="204" name="直接连接符 204"/>
                <wp:cNvGraphicFramePr/>
                <a:graphic xmlns:a="http://schemas.openxmlformats.org/drawingml/2006/main">
                  <a:graphicData uri="http://schemas.microsoft.com/office/word/2010/wordprocessingShape">
                    <wps:wsp>
                      <wps:cNvCnPr/>
                      <wps:spPr>
                        <a:xfrm flipH="1">
                          <a:off x="3056255" y="918845"/>
                          <a:ext cx="2143125" cy="5013960"/>
                        </a:xfrm>
                        <a:prstGeom prst="line">
                          <a:avLst/>
                        </a:prstGeom>
                        <a:ln w="381000">
                          <a:solidFill>
                            <a:srgbClr val="92D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171.05pt;margin-top:1.55pt;height:394.8pt;width:168.75pt;z-index:251792384;mso-width-relative:page;mso-height-relative:page;" filled="f" stroked="t" coordsize="21600,21600" o:gfxdata="UEsDBAoAAAAAAIdO4kAAAAAAAAAAAAAAAAAEAAAAZHJzL1BLAwQUAAAACACHTuJAgVgYB9gAAAAJ&#10;AQAADwAAAGRycy9kb3ducmV2LnhtbE2PQU+EMBCF7yb+h2ZMvBi3gAouUvZg9KgJq4keB1opSqeE&#10;dnfRX+/sSU8zk/fy5nvVZnGj2Js5DJ4UpKsEhKHO64F6Ba8vj5e3IEJE0jh6Mgq+TYBNfXpSYan9&#10;gRqz38ZecAiFEhXYGKdSytBZ4zCs/GSItQ8/O4x8zr3UMx443I0yS5JcOhyIP1iczL013dd25xTc&#10;OP2c2wf99h7pAp9oaT7bn0ap87M0uQMRzRL/zHDEZ3Soman1O9JBjAqurrOUrbzwYD0v1jmIVkGx&#10;zgqQdSX/N6h/AVBLAwQUAAAACACHTuJAWzq0FfsBAAC7AwAADgAAAGRycy9lMm9Eb2MueG1srVNL&#10;jhMxEN0jcQfLe9KfpKOklc4sJhpYIBgJOIDjdndb8k8uTzq5BBdAYgcrluy5zQzHoOzODDBsZsHG&#10;XXa9fq73qry5OGpFDsKDtKahxSynRBhuW2n6hn54f/ViRQkEZlqmrBENPQmgF9vnzzajq0VpB6ta&#10;4QmSGKhH19AhBFdnGfBBaAYz64TBZGe9ZgG3vs9az0Zk1yor83yZjda3zlsuAPB0NyXpmdE/hdB2&#10;neRiZ/mNFiZMrF4oFlASDNIB3aZqu07w8LbrQASiGopKQ1rxEoz3cc22G1b3nrlB8nMJ7CklPNKk&#10;mTR46QPVjgVGbrz8h0pL7i3YLsy41dkkJDmCKor8kTfvBuZE0oJWg3swHf4fLX9zuPZEtg0t8wUl&#10;hmls+d2n77cfv/z88RnXu29fSUyhUaODGvGX5tqfd+CufVR97LwmnZLuFU5U8gGVkWND53m1LKuK&#10;klND18Vqtagmx8UxEI75sljMixLzHAFVXszXy9STbOKM3M5DeCmsJjFoqJImWsJqdngNAetA6D0k&#10;Hht7JZVKbVWGjFjCqshzbDdnOKwdDgmG2qFgMD0lTPX4CnjwiROskm38PzKB7/eXypMDw9lZl7u8&#10;ui/tL1i8fMdgmHApFTViWcrgJ5o22RSjvW1Pyb10jj1NwPP8xaH5c5/+/v3mtr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gVgYB9gAAAAJAQAADwAAAAAAAAABACAAAAAiAAAAZHJzL2Rvd25yZXYu&#10;eG1sUEsBAhQAFAAAAAgAh07iQFs6tBX7AQAAuwMAAA4AAAAAAAAAAQAgAAAAJwEAAGRycy9lMm9E&#10;b2MueG1sUEsFBgAAAAAGAAYAWQEAAJQFAAAAAA==&#10;">
                <v:fill on="f" focussize="0,0"/>
                <v:stroke weight="30pt" color="#92D050 [3204]" joinstyle="round"/>
                <v:imagedata o:title=""/>
                <o:lock v:ext="edit" aspectratio="f"/>
              </v:line>
            </w:pict>
          </mc:Fallback>
        </mc:AlternateContent>
      </w:r>
    </w:p>
    <w:p w14:paraId="28FCC6D2">
      <w:pPr>
        <w:jc w:val="center"/>
        <w:rPr>
          <w:rFonts w:hint="eastAsia" w:ascii="Times New Roman" w:hAnsi="Times New Roman" w:eastAsia="宋体" w:cs="Times New Roman"/>
          <w:b/>
          <w:bCs/>
          <w:color w:val="auto"/>
          <w:sz w:val="28"/>
          <w:szCs w:val="28"/>
          <w:highlight w:val="none"/>
          <w:shd w:val="clear" w:color="auto" w:fill="auto"/>
          <w:lang w:eastAsia="zh-CN" w:bidi="ar"/>
        </w:rPr>
        <w:sectPr>
          <w:pgSz w:w="16838" w:h="11906" w:orient="landscape"/>
          <w:pgMar w:top="1134" w:right="567" w:bottom="1134" w:left="567" w:header="851" w:footer="851" w:gutter="0"/>
          <w:pgNumType w:fmt="decimal"/>
          <w:cols w:space="720" w:num="1"/>
          <w:docGrid w:type="lines" w:linePitch="312" w:charSpace="0"/>
        </w:sectPr>
      </w:pPr>
      <w:r>
        <w:rPr>
          <w:color w:val="auto"/>
          <w:sz w:val="24"/>
          <w:highlight w:val="none"/>
        </w:rPr>
        <mc:AlternateContent>
          <mc:Choice Requires="wps">
            <w:drawing>
              <wp:anchor distT="0" distB="0" distL="114300" distR="114300" simplePos="0" relativeHeight="251794432" behindDoc="0" locked="0" layoutInCell="1" allowOverlap="1">
                <wp:simplePos x="0" y="0"/>
                <wp:positionH relativeFrom="column">
                  <wp:posOffset>4698365</wp:posOffset>
                </wp:positionH>
                <wp:positionV relativeFrom="paragraph">
                  <wp:posOffset>4645660</wp:posOffset>
                </wp:positionV>
                <wp:extent cx="914400" cy="381635"/>
                <wp:effectExtent l="4445" t="4445" r="14605" b="13970"/>
                <wp:wrapNone/>
                <wp:docPr id="208" name="文本框 208"/>
                <wp:cNvGraphicFramePr/>
                <a:graphic xmlns:a="http://schemas.openxmlformats.org/drawingml/2006/main">
                  <a:graphicData uri="http://schemas.microsoft.com/office/word/2010/wordprocessingShape">
                    <wps:wsp>
                      <wps:cNvSpPr txBox="1"/>
                      <wps:spPr>
                        <a:xfrm>
                          <a:off x="5116830" y="5229860"/>
                          <a:ext cx="914400" cy="381635"/>
                        </a:xfrm>
                        <a:prstGeom prst="rect">
                          <a:avLst/>
                        </a:prstGeom>
                        <a:solidFill>
                          <a:schemeClr val="bg1"/>
                        </a:solidFill>
                        <a:ln w="9525" cap="sq" cmpd="sng">
                          <a:solidFill>
                            <a:schemeClr val="tx1"/>
                          </a:solidFill>
                          <a:prstDash val="solid"/>
                          <a:miter/>
                          <a:headEnd type="none" w="med" len="med"/>
                          <a:tailEnd type="none" w="med" len="med"/>
                        </a:ln>
                      </wps:spPr>
                      <wps:txbx>
                        <w:txbxContent>
                          <w:p w14:paraId="72DE0E2F">
                            <w:pPr>
                              <w:rPr>
                                <w:rFonts w:hint="eastAsia" w:eastAsia="宋体"/>
                                <w:color w:val="auto"/>
                                <w:lang w:eastAsia="zh-CN"/>
                              </w:rPr>
                            </w:pPr>
                            <w:r>
                              <w:rPr>
                                <w:rFonts w:hint="eastAsia"/>
                                <w:color w:val="auto"/>
                                <w:lang w:eastAsia="zh-CN"/>
                              </w:rPr>
                              <w:t>东山村</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369.95pt;margin-top:365.8pt;height:30.05pt;width:72pt;z-index:251794432;mso-width-relative:page;mso-height-relative:page;" fillcolor="#FFFFFF [3212]" filled="t" stroked="t" coordsize="21600,21600" o:gfxdata="UEsDBAoAAAAAAIdO4kAAAAAAAAAAAAAAAAAEAAAAZHJzL1BLAwQUAAAACACHTuJAa+j239oAAAAL&#10;AQAADwAAAGRycy9kb3ducmV2LnhtbE2PS2+DMBCE75X6H6yt1FtjaKQEKCaHKrn0cQglPRu8ARS8&#10;Rth5tL++m1N6250ZzX6bry52ECecfO9IQTyLQCA1zvTUKqi+Nk8JCB80GT04QgU/6GFV3N/lOjPu&#10;TFs8laEVXEI+0wq6EMZMSt90aLWfuRGJvb2brA68Tq00kz5zuR3kcxQtpNU98YVOj/jaYXMoj1bB&#10;7j1du658+/isNtvf77pf7wxVSj0+xNELiICXcAvDFZ/RoWCm2h3JeDEoWM7TlKPXIV6A4ESSzFmp&#10;WUnjJcgil/9/KP4AUEsDBBQAAAAIAIdO4kAFAPuknwIAAF4FAAAOAAAAZHJzL2Uyb0RvYy54bWyt&#10;VM1uEzEQviPxDpbvdJO0CWnUTRUagpAqWqkgzo7Xm7XkP2znjwegb8CJC3eeq8/BZ2/SpqWHHtiD&#10;M/Z8+WbmG4/PzjdakZXwQVpT0u5RhxJhuK2kWZT0y+fZmyElITJTMWWNKOlWBHo+fv3qbO1Gomcb&#10;qyrhCUhMGK1dSZsY3agoAm+EZuHIOmHgrK3XLGLrF0Xl2RrsWhW9TmdQrK2vnLdchIDTaeukO0b/&#10;EkJb15KLqeVLLUxsWb1QLKKk0EgX6DhnW9eCx6u6DiISVVJUGvOKILDnaS3GZ2y08Mw1ku9SYC9J&#10;4UlNmkmDoPdUUxYZWXr5D5WW3Ntg63jErS7aQrIiqKLbeaLNTcOcyLVA6uDuRQ//j5Z/Wl17IquS&#10;9jpovGEaLb/7eXv368/d7x8kHUKitQsjIG8csHHzzm5wcfbnAYep8k3tdfpFTQT+frc7GB5D5i3s&#10;Xu90ONiJLTaRcABOuycnHfg5AMfD7uC4nxiLByLnQ/wgrCbJKKlHL7PEbHUZYgvdQ1LcYJWsZlKp&#10;vPGL+YXyZMXQ91n+duyPYMqQNTLp9/rIg+Eyh28wtIMcwSxytEf4cEjbyd9ztCmtKQtNGz4zJBgb&#10;aRmFz1YjWPXeVCRuHQQ3mDSaUtGiokQJDGayMjIyqV6ChHLKQMDUq7YnyYqb+QY0yZzbaov+edsO&#10;QXB8JpHoJQvxmnncejQD70K8wlIri2zszqKksf77c+cJj8sIL9LHFCUFl8yjGPXR4JrmJmPs8uak&#10;/7aHGP7QMz/0mKW+sGhYFy+Q49lM+Kj2Zu2t/ornY5KiwsUMR+ySxr15EdvZxvPDxWSSQUvn5aLB&#10;H0CLoXMsXpobx9M+9cTYyTLaWuYr9aDTTkmMXb6UuycizfXhPqMensXx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Gvo9t/aAAAACwEAAA8AAAAAAAAAAQAgAAAAIgAAAGRycy9kb3ducmV2LnhtbFBL&#10;AQIUABQAAAAIAIdO4kAFAPuknwIAAF4FAAAOAAAAAAAAAAEAIAAAACkBAABkcnMvZTJvRG9jLnht&#10;bFBLBQYAAAAABgAGAFkBAAA6BgAAAAA=&#10;">
                <v:fill on="t" focussize="0,0"/>
                <v:stroke color="#000000 [3213]" joinstyle="miter" endcap="square"/>
                <v:imagedata o:title=""/>
                <o:lock v:ext="edit" aspectratio="f"/>
                <v:textbox>
                  <w:txbxContent>
                    <w:p w14:paraId="72DE0E2F">
                      <w:pPr>
                        <w:rPr>
                          <w:rFonts w:hint="eastAsia" w:eastAsia="宋体"/>
                          <w:color w:val="auto"/>
                          <w:lang w:eastAsia="zh-CN"/>
                        </w:rPr>
                      </w:pPr>
                      <w:r>
                        <w:rPr>
                          <w:rFonts w:hint="eastAsia"/>
                          <w:color w:val="auto"/>
                          <w:lang w:eastAsia="zh-CN"/>
                        </w:rPr>
                        <w:t>东山村</w:t>
                      </w:r>
                    </w:p>
                  </w:txbxContent>
                </v:textbox>
              </v:shape>
            </w:pict>
          </mc:Fallback>
        </mc:AlternateContent>
      </w:r>
      <w:r>
        <w:rPr>
          <w:color w:val="auto"/>
          <w:sz w:val="24"/>
          <w:highlight w:val="none"/>
        </w:rPr>
        <mc:AlternateContent>
          <mc:Choice Requires="wps">
            <w:drawing>
              <wp:anchor distT="0" distB="0" distL="114300" distR="114300" simplePos="0" relativeHeight="251798528" behindDoc="0" locked="0" layoutInCell="1" allowOverlap="1">
                <wp:simplePos x="0" y="0"/>
                <wp:positionH relativeFrom="column">
                  <wp:posOffset>3843655</wp:posOffset>
                </wp:positionH>
                <wp:positionV relativeFrom="paragraph">
                  <wp:posOffset>3669030</wp:posOffset>
                </wp:positionV>
                <wp:extent cx="1317625" cy="381635"/>
                <wp:effectExtent l="4445" t="4445" r="11430" b="13970"/>
                <wp:wrapNone/>
                <wp:docPr id="218" name="文本框 218"/>
                <wp:cNvGraphicFramePr/>
                <a:graphic xmlns:a="http://schemas.openxmlformats.org/drawingml/2006/main">
                  <a:graphicData uri="http://schemas.microsoft.com/office/word/2010/wordprocessingShape">
                    <wps:wsp>
                      <wps:cNvSpPr txBox="1"/>
                      <wps:spPr>
                        <a:xfrm>
                          <a:off x="0" y="0"/>
                          <a:ext cx="1317625" cy="381635"/>
                        </a:xfrm>
                        <a:prstGeom prst="rect">
                          <a:avLst/>
                        </a:prstGeom>
                        <a:solidFill>
                          <a:schemeClr val="bg1"/>
                        </a:solidFill>
                        <a:ln w="9525" cap="sq" cmpd="sng">
                          <a:solidFill>
                            <a:schemeClr val="tx1"/>
                          </a:solidFill>
                          <a:prstDash val="solid"/>
                          <a:miter/>
                          <a:headEnd type="none" w="med" len="med"/>
                          <a:tailEnd type="none" w="med" len="med"/>
                        </a:ln>
                      </wps:spPr>
                      <wps:txbx>
                        <w:txbxContent>
                          <w:p w14:paraId="1FA86941">
                            <w:pPr>
                              <w:rPr>
                                <w:rFonts w:hint="eastAsia" w:eastAsia="宋体"/>
                                <w:color w:val="auto"/>
                                <w:lang w:eastAsia="zh-CN"/>
                              </w:rPr>
                            </w:pPr>
                            <w:r>
                              <w:rPr>
                                <w:rFonts w:hint="eastAsia"/>
                                <w:color w:val="auto"/>
                                <w:lang w:eastAsia="zh-CN"/>
                              </w:rPr>
                              <w:t>丹锡高速偏岭互通</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302.65pt;margin-top:288.9pt;height:30.05pt;width:103.75pt;z-index:251798528;mso-width-relative:page;mso-height-relative:page;" fillcolor="#FFFFFF [3212]" filled="t" stroked="t" coordsize="21600,21600" o:gfxdata="UEsDBAoAAAAAAIdO4kAAAAAAAAAAAAAAAAAEAAAAZHJzL1BLAwQUAAAACACHTuJAvY4DFdsAAAAL&#10;AQAADwAAAGRycy9kb3ducmV2LnhtbE2PS2/CMBCE75X6H6yt1FuxA4JAGodDBZc+DqShZyc2cUS8&#10;jmLzaH99tyd629F8mp3J11fXs7MZQ+dRQjIRwAw2XnfYSqg+t09LYCEq1Kr3aCR8mwDr4v4uV5n2&#10;F9yZcxlbRiEYMiXBxjhknIfGGqfCxA8GyTv40alIcmy5HtWFwl3Pp0IsuFMd0gerBvNiTXMsT07C&#10;/m218bZ8ff+otrufr7rb7DVWUj4+JOIZWDTXeIPhrz5Vh4I61f6EOrBewkLMZ4RKmKcpbSBimUzp&#10;qMmapSvgRc7/byh+AVBLAwQUAAAACACHTuJAQb4k8ZcCAABTBQAADgAAAGRycy9lMm9Eb2MueG1s&#10;rVTNbhMxEL4j8Q6W73STtOlP1E0VGoKQKlqpIM6O15u15D9sJ9nwAPAGnLhw57n6HHz2Jm1aeuiB&#10;PXjHnvE3M9/M+Pyi1YqshA/SmpL2D3qUCMNtJc2ipJ8/zd6cUhIiMxVT1oiSbkSgF+PXr87XbiQG&#10;trGqEp4AxITR2pW0idGNiiLwRmgWDqwTBsraes0itn5RVJ6tga5VMej1jou19ZXzlosQcDrtlHSL&#10;6F8CaOtacjG1fKmFiR2qF4pFpBQa6QId52jrWvB4XddBRKJKikxjXuEE8jytxficjRaeuUbybQjs&#10;JSE8yUkzaeD0HmrKIiNLL/+B0pJ7G2wdD7jVRZdIZgRZ9HtPuLltmBM5F1Ad3D3p4f/B8o+rG09k&#10;VdJBH4U3TKPkdz9/3P36c/f7O0mHoGjtwgiWtw62sX1rWzTO7jzgMGXe1l6nP3Ii0IPgzT3Boo2E&#10;p0uH/ZPjwZASDt3haf/4cJhgiofbzof4XlhNklBSjwJmXtnqKsTOdGeSnAWrZDWTSuWNX8wvlScr&#10;hmLP8rdFf2SmDFmX9GyY42Do4PAVAWkHDoJZZG+P7MM+bC9/z8GmsKYsNJ37jJDM2EjLKHyWGsGq&#10;d6YicePAssF40RSKFhUlSmAak5QtI5PqJZZgThkQmArUFSJJsZ23gEni3FYbFM3brvOD4zOJQK9Y&#10;iDfMo9VRJzwG8RpLrSyisVuJksb6b8+dJ3t0ILQIH6OTGFwyj2TUB4PePOsfHaVZy5uj4ckAG7+v&#10;me9rzFJfWhSsj2fH8Swm+6h2Yu2t/oI3Y5K8QsUMh++Sxp14GbuBxpvDxWSSjZbOy0XTXcCkORav&#10;zK3jyU2qibGTZbS1zC31wNOWScxabsrtu5CGeX+frR7ewvF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CwUAAFtDb250ZW50X1R5cGVzXS54bWxQ&#10;SwECFAAKAAAAAACHTuJAAAAAAAAAAAAAAAAABgAAAAAAAAAAABAAAADtAwAAX3JlbHMvUEsBAhQA&#10;FAAAAAgAh07iQIoUZjzRAAAAlAEAAAsAAAAAAAAAAQAgAAAAEQQAAF9yZWxzLy5yZWxzUEsBAhQA&#10;CgAAAAAAh07iQAAAAAAAAAAAAAAAAAQAAAAAAAAAAAAQAAAAAAAAAGRycy9QSwECFAAUAAAACACH&#10;TuJAvY4DFdsAAAALAQAADwAAAAAAAAABACAAAAAiAAAAZHJzL2Rvd25yZXYueG1sUEsBAhQAFAAA&#10;AAgAh07iQEG+JPGXAgAAUwUAAA4AAAAAAAAAAQAgAAAAKgEAAGRycy9lMm9Eb2MueG1sUEsFBgAA&#10;AAAGAAYAWQEAADMGAAAAAA==&#10;">
                <v:fill on="t" focussize="0,0"/>
                <v:stroke color="#000000 [3213]" joinstyle="miter" endcap="square"/>
                <v:imagedata o:title=""/>
                <o:lock v:ext="edit" aspectratio="f"/>
                <v:textbox>
                  <w:txbxContent>
                    <w:p w14:paraId="1FA86941">
                      <w:pPr>
                        <w:rPr>
                          <w:rFonts w:hint="eastAsia" w:eastAsia="宋体"/>
                          <w:color w:val="auto"/>
                          <w:lang w:eastAsia="zh-CN"/>
                        </w:rPr>
                      </w:pPr>
                      <w:r>
                        <w:rPr>
                          <w:rFonts w:hint="eastAsia"/>
                          <w:color w:val="auto"/>
                          <w:lang w:eastAsia="zh-CN"/>
                        </w:rPr>
                        <w:t>丹锡高速偏岭互通</w:t>
                      </w:r>
                    </w:p>
                  </w:txbxContent>
                </v:textbox>
              </v:shape>
            </w:pict>
          </mc:Fallback>
        </mc:AlternateContent>
      </w:r>
      <w:r>
        <w:rPr>
          <w:color w:val="auto"/>
          <w:sz w:val="24"/>
          <w:highlight w:val="none"/>
        </w:rPr>
        <mc:AlternateContent>
          <mc:Choice Requires="wps">
            <w:drawing>
              <wp:anchor distT="0" distB="0" distL="114300" distR="114300" simplePos="0" relativeHeight="251797504" behindDoc="0" locked="0" layoutInCell="1" allowOverlap="1">
                <wp:simplePos x="0" y="0"/>
                <wp:positionH relativeFrom="column">
                  <wp:posOffset>3042285</wp:posOffset>
                </wp:positionH>
                <wp:positionV relativeFrom="paragraph">
                  <wp:posOffset>2619375</wp:posOffset>
                </wp:positionV>
                <wp:extent cx="513715" cy="381635"/>
                <wp:effectExtent l="93980" t="61595" r="95885" b="72390"/>
                <wp:wrapNone/>
                <wp:docPr id="214" name="文本框 214"/>
                <wp:cNvGraphicFramePr/>
                <a:graphic xmlns:a="http://schemas.openxmlformats.org/drawingml/2006/main">
                  <a:graphicData uri="http://schemas.microsoft.com/office/word/2010/wordprocessingShape">
                    <wps:wsp>
                      <wps:cNvSpPr txBox="1"/>
                      <wps:spPr>
                        <a:xfrm rot="17640000">
                          <a:off x="0" y="0"/>
                          <a:ext cx="513715" cy="381635"/>
                        </a:xfrm>
                        <a:prstGeom prst="rect">
                          <a:avLst/>
                        </a:prstGeom>
                        <a:solidFill>
                          <a:schemeClr val="bg1"/>
                        </a:solidFill>
                        <a:ln w="9525" cap="sq" cmpd="sng">
                          <a:solidFill>
                            <a:schemeClr val="tx1"/>
                          </a:solidFill>
                          <a:prstDash val="solid"/>
                          <a:miter/>
                          <a:headEnd type="none" w="med" len="med"/>
                          <a:tailEnd type="none" w="med" len="med"/>
                        </a:ln>
                      </wps:spPr>
                      <wps:txbx>
                        <w:txbxContent>
                          <w:p w14:paraId="461AB6D3">
                            <w:pPr>
                              <w:rPr>
                                <w:rFonts w:hint="default" w:eastAsia="宋体"/>
                                <w:color w:val="auto"/>
                                <w:lang w:val="en-US" w:eastAsia="zh-CN"/>
                              </w:rPr>
                            </w:pPr>
                            <w:r>
                              <w:rPr>
                                <w:rFonts w:hint="eastAsia" w:eastAsia="宋体"/>
                                <w:color w:val="auto"/>
                                <w:lang w:val="en-US" w:eastAsia="zh-CN"/>
                              </w:rPr>
                              <w:t>小路</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239.55pt;margin-top:206.25pt;height:30.05pt;width:40.45pt;rotation:-4325376f;z-index:251797504;mso-width-relative:page;mso-height-relative:page;" fillcolor="#FFFFFF [3212]" filled="t" stroked="t" coordsize="21600,21600" o:gfxdata="UEsDBAoAAAAAAIdO4kAAAAAAAAAAAAAAAAAEAAAAZHJzL1BLAwQUAAAACACHTuJAYNc6lNYAAAAL&#10;AQAADwAAAGRycy9kb3ducmV2LnhtbE2PwU7DMBBE70j8g7VI3KidlAQa4lQIiQ+goKpHJ16SiHgd&#10;YqcJf8/2BLcdzdPsTLlf3SDOOIXek4Zko0AgNd721Gr4eH+9ewQRoiFrBk+o4QcD7Kvrq9IU1i/0&#10;hudDbAWHUCiMhi7GsZAyNB06EzZ+RGLv00/ORJZTK+1kFg53g0yVyqUzPfGHzoz40mHzdZidhtOa&#10;H0/T9nk5trSTqa9x+53NWt/eJOoJRMQ1/sFwqc/VoeJOtZ/JBjFouH/YJYzykaQZCCayXPG6+mKl&#10;OciqlP83VL9QSwMEFAAAAAgAh07iQNXjjiqhAgAAYQUAAA4AAABkcnMvZTJvRG9jLnhtbK1UzW4T&#10;MRC+I/EOlu90s2nSn6gbFBqCkCpaqSDOjtebteQ/bOePB4A34MSFO8/V5+CzN2nTwqEHcliNZ758&#10;M/ONxxevN1qRlfBBWlPR8qhHiTDc1tIsKvrp4+zVGSUhMlMzZY2o6FYE+nr88sXF2o1E37ZW1cIT&#10;kJgwWruKtjG6UVEE3grNwpF1wiDYWK9ZxNEvitqzNdi1Kvq93kmxtr523nIRArzTLkh3jP45hLZp&#10;JBdTy5damNixeqFYREuhlS7Qca62aQSP100TRCSqoug05i+SwJ6nbzG+YKOFZ66VfFcCe04JT3rS&#10;TBokvaeassjI0su/qLTk3gbbxCNuddE1khVBF2XviTa3LXMi9wKpg7sXPfw/Wv5hdeOJrCvaLweU&#10;GKYx8rsf3+9+/r779Y0kJyRauzAC8tYBGzdv7AYXZ+8PcKbON43XxFsoXJ6eDHr4ZUHQIgEcem/v&#10;9RabSDicw/L4tBxSwhE6PitPjoeJtOi4EqfzIb4TVpNkVNRjnJmUra5C7KB7SIIHq2Q9k0rlg1/M&#10;L5UnK4bRz/Jvx/4IpgxZV/R82E91MNzn8AWGdlAkmEXO9ggfDmlTl+izq+QRLJU1ZaHt0udQgrGR&#10;llH4bLWC1W9NTeLWQXODZaOpFC1qSpTAbiYrIyOT6jlIKKcMBEzj6saSrLiZb0CTzLmttxhhnhIm&#10;EhyfSRR6xUK8YR4XH048DfEan0ZZVGN3FiWt9V//5U943EdEUT4WKSm4ZB7NqPcGN/W8HAxAG/Nh&#10;MDzt4+API/PDiFnqS4uBlbm6bCZ8VHuz8VZ/xgsySVkRYoYjd0Xj3ryM3XrjBeJiMsmgpfNy0XZ/&#10;wN45Fq/MreMpTZqJsZNltI3MV+pBp52S2Lx8KXevRFrtw3NGPbyM4z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Bg1zqU1gAAAAsBAAAPAAAAAAAAAAEAIAAAACIAAABkcnMvZG93bnJldi54bWxQSwEC&#10;FAAUAAAACACHTuJA1eOOKqECAABhBQAADgAAAAAAAAABACAAAAAlAQAAZHJzL2Uyb0RvYy54bWxQ&#10;SwUGAAAAAAYABgBZAQAAOAYAAAAA&#10;">
                <v:fill on="t" focussize="0,0"/>
                <v:stroke color="#000000 [3213]" joinstyle="miter" endcap="square"/>
                <v:imagedata o:title=""/>
                <o:lock v:ext="edit" aspectratio="f"/>
                <v:textbox>
                  <w:txbxContent>
                    <w:p w14:paraId="461AB6D3">
                      <w:pPr>
                        <w:rPr>
                          <w:rFonts w:hint="default" w:eastAsia="宋体"/>
                          <w:color w:val="auto"/>
                          <w:lang w:val="en-US" w:eastAsia="zh-CN"/>
                        </w:rPr>
                      </w:pPr>
                      <w:r>
                        <w:rPr>
                          <w:rFonts w:hint="eastAsia" w:eastAsia="宋体"/>
                          <w:color w:val="auto"/>
                          <w:lang w:val="en-US" w:eastAsia="zh-CN"/>
                        </w:rPr>
                        <w:t>小路</w:t>
                      </w:r>
                    </w:p>
                  </w:txbxContent>
                </v:textbox>
              </v:shape>
            </w:pict>
          </mc:Fallback>
        </mc:AlternateContent>
      </w:r>
      <w:r>
        <w:rPr>
          <w:color w:val="auto"/>
          <w:sz w:val="28"/>
          <w:highlight w:val="none"/>
        </w:rPr>
        <mc:AlternateContent>
          <mc:Choice Requires="wps">
            <w:drawing>
              <wp:anchor distT="0" distB="0" distL="114300" distR="114300" simplePos="0" relativeHeight="251796480" behindDoc="0" locked="0" layoutInCell="1" allowOverlap="1">
                <wp:simplePos x="0" y="0"/>
                <wp:positionH relativeFrom="column">
                  <wp:posOffset>2059940</wp:posOffset>
                </wp:positionH>
                <wp:positionV relativeFrom="paragraph">
                  <wp:posOffset>3708400</wp:posOffset>
                </wp:positionV>
                <wp:extent cx="4410075" cy="314325"/>
                <wp:effectExtent l="2540" t="31750" r="6985" b="34925"/>
                <wp:wrapNone/>
                <wp:docPr id="217" name="直接连接符 217"/>
                <wp:cNvGraphicFramePr/>
                <a:graphic xmlns:a="http://schemas.openxmlformats.org/drawingml/2006/main">
                  <a:graphicData uri="http://schemas.microsoft.com/office/word/2010/wordprocessingShape">
                    <wps:wsp>
                      <wps:cNvCnPr/>
                      <wps:spPr>
                        <a:xfrm flipV="1">
                          <a:off x="0" y="0"/>
                          <a:ext cx="4410075" cy="314325"/>
                        </a:xfrm>
                        <a:prstGeom prst="line">
                          <a:avLst/>
                        </a:prstGeom>
                        <a:ln w="63500">
                          <a:solidFill>
                            <a:srgbClr val="00B0F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162.2pt;margin-top:292pt;height:24.75pt;width:347.25pt;z-index:251796480;mso-width-relative:page;mso-height-relative:page;" filled="f" stroked="t" coordsize="21600,21600" o:gfxdata="UEsDBAoAAAAAAIdO4kAAAAAAAAAAAAAAAAAEAAAAZHJzL1BLAwQUAAAACACHTuJAxgJzbdsAAAAM&#10;AQAADwAAAGRycy9kb3ducmV2LnhtbE2PQUvEMBCF74L/IYzgzU26aZdaO92DIKKgsKugx2wztmWb&#10;pDRpu/rrzZ70OMzHe98rtyfTs5lG3zmLkKwEMLK1051tEN7fHm5yYD4oq1XvLCF8k4dtdXlRqkK7&#10;xe5o3oeGxRDrC4XQhjAUnPu6JaP8yg1k4+/LjUaFeI4N16NaYrjp+VqIDTeqs7GhVQPdt1Qf95NB&#10;eKQQXl90pvOPz+Py9DzLafqRiNdXibgDFugU/mA460d1qKLTwU1We9YjyHWaRhQhy9M46kyIJL8F&#10;dkDYSJkBr0r+f0T1C1BLAwQUAAAACACHTuJA6oG+2uwBAACuAwAADgAAAGRycy9lMm9Eb2MueG1s&#10;rVNLjhMxEN0jcQfLe9Ld+cygVjojMVHYIIgEzN5x292W/JPLk04uwQWQ2MGKJXtuw3CMKbtDgGEz&#10;CzZWuar8XO/5eXl1MJrsRQDlbEOrSUmJsNy1ynYNff9u8+w5JRCZbZl2VjT0KIBerZ4+WQ6+FlPX&#10;O92KQBDEQj34hvYx+roogPfCMJg4LywWpQuGRdyGrmgDGxDd6GJalhfF4ELrg+MCALPrsUhPiOEx&#10;gE5KxcXa8VsjbBxRg9AsIiXolQe6ytNKKXh8IyWISHRDkWnMK16C8S6txWrJ6i4w3yt+GoE9ZoQH&#10;nAxTFi89Q61ZZOQ2qH+gjOLBgZNxwp0pRiJZEWRRlQ+0edszLzIXlBr8WXT4f7D89X4biGobOq0u&#10;KbHM4JPfffz248Pnn98/4Xr39QtJJRRq8FBj/7XdhtMO/DYk1gcZDJFa+Rt0VNYBmZFDlvl4llkc&#10;IuGYnM+rsrxcUMKxNqvms+kiwRcjTsLzAeJL4QxJQUO1skkGVrP9K4hj66+WlLZuo7TGPKu1JUND&#10;L2aLEl+YM/SnRF9gaDxyBNtRwnSHxucxZEhwWrXpeDoNodtd60D2LNmlfFFuskNwsr/a0t1rBv3Y&#10;l0snAtoij6TTqEyKdq49ZsFyHp8xMz1ZLvnkz30+/fubre4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xgJzbdsAAAAMAQAADwAAAAAAAAABACAAAAAiAAAAZHJzL2Rvd25yZXYueG1sUEsBAhQAFAAA&#10;AAgAh07iQOqBvtrsAQAArgMAAA4AAAAAAAAAAQAgAAAAKgEAAGRycy9lMm9Eb2MueG1sUEsFBgAA&#10;AAAGAAYAWQEAAIgFAAAAAA==&#10;">
                <v:fill on="f" focussize="0,0"/>
                <v:stroke weight="5pt" color="#00B0F0 [3204]" joinstyle="round"/>
                <v:imagedata o:title=""/>
                <o:lock v:ext="edit" aspectratio="f"/>
              </v:line>
            </w:pict>
          </mc:Fallback>
        </mc:AlternateContent>
      </w:r>
      <w:r>
        <w:rPr>
          <w:color w:val="auto"/>
          <w:sz w:val="28"/>
          <w:highlight w:val="none"/>
        </w:rPr>
        <mc:AlternateContent>
          <mc:Choice Requires="wps">
            <w:drawing>
              <wp:anchor distT="0" distB="0" distL="114300" distR="114300" simplePos="0" relativeHeight="251712512" behindDoc="0" locked="0" layoutInCell="1" allowOverlap="1">
                <wp:simplePos x="0" y="0"/>
                <wp:positionH relativeFrom="column">
                  <wp:posOffset>2751455</wp:posOffset>
                </wp:positionH>
                <wp:positionV relativeFrom="paragraph">
                  <wp:posOffset>5097780</wp:posOffset>
                </wp:positionV>
                <wp:extent cx="4438650" cy="428625"/>
                <wp:effectExtent l="5080" t="4445" r="13970" b="5080"/>
                <wp:wrapNone/>
                <wp:docPr id="78" name="文本框 78"/>
                <wp:cNvGraphicFramePr/>
                <a:graphic xmlns:a="http://schemas.openxmlformats.org/drawingml/2006/main">
                  <a:graphicData uri="http://schemas.microsoft.com/office/word/2010/wordprocessingShape">
                    <wps:wsp>
                      <wps:cNvSpPr txBox="1"/>
                      <wps:spPr>
                        <a:xfrm>
                          <a:off x="2931795" y="1106170"/>
                          <a:ext cx="4438650" cy="428625"/>
                        </a:xfrm>
                        <a:prstGeom prst="rect">
                          <a:avLst/>
                        </a:prstGeom>
                        <a:solidFill>
                          <a:schemeClr val="bg1"/>
                        </a:solidFill>
                        <a:ln w="9525" cap="sq" cmpd="sng">
                          <a:solidFill>
                            <a:schemeClr val="tx1"/>
                          </a:solidFill>
                          <a:prstDash val="sysDot"/>
                          <a:miter/>
                          <a:headEnd type="none" w="med" len="med"/>
                          <a:tailEnd type="none" w="med" len="med"/>
                        </a:ln>
                      </wps:spPr>
                      <wps:txbx>
                        <w:txbxContent>
                          <w:p w14:paraId="7AB627A8">
                            <w:pPr>
                              <w:jc w:val="center"/>
                            </w:pPr>
                            <w:r>
                              <w:rPr>
                                <w:rFonts w:hint="eastAsia" w:ascii="Times New Roman" w:hAnsi="Times New Roman"/>
                                <w:b/>
                                <w:bCs/>
                                <w:color w:val="auto"/>
                                <w:sz w:val="28"/>
                                <w:szCs w:val="28"/>
                                <w:highlight w:val="none"/>
                                <w:shd w:val="clear" w:color="auto" w:fill="auto"/>
                                <w:lang w:eastAsia="zh-CN" w:bidi="ar"/>
                              </w:rPr>
                              <w:t>附图</w:t>
                            </w:r>
                            <w:r>
                              <w:rPr>
                                <w:rFonts w:hint="eastAsia" w:ascii="Times New Roman" w:hAnsi="Times New Roman"/>
                                <w:b/>
                                <w:bCs/>
                                <w:color w:val="auto"/>
                                <w:sz w:val="28"/>
                                <w:szCs w:val="28"/>
                                <w:highlight w:val="none"/>
                                <w:shd w:val="clear" w:color="auto" w:fill="auto"/>
                                <w:lang w:val="en-US" w:eastAsia="zh-CN" w:bidi="ar"/>
                              </w:rPr>
                              <w:t xml:space="preserve">2   </w:t>
                            </w:r>
                            <w:r>
                              <w:rPr>
                                <w:rFonts w:hint="eastAsia" w:ascii="Times New Roman" w:hAnsi="Times New Roman" w:eastAsia="宋体" w:cs="Times New Roman"/>
                                <w:b/>
                                <w:bCs/>
                                <w:color w:val="auto"/>
                                <w:sz w:val="28"/>
                                <w:szCs w:val="28"/>
                                <w:highlight w:val="none"/>
                                <w:shd w:val="clear" w:color="auto" w:fill="auto"/>
                                <w:lang w:eastAsia="zh-CN" w:bidi="ar"/>
                              </w:rPr>
                              <w:t>项目周边环境图</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16.65pt;margin-top:401.4pt;height:33.75pt;width:349.5pt;z-index:251712512;mso-width-relative:page;mso-height-relative:page;" fillcolor="#FFFFFF [3212]" filled="t" stroked="t" coordsize="21600,21600" o:gfxdata="UEsDBAoAAAAAAIdO4kAAAAAAAAAAAAAAAAAEAAAAZHJzL1BLAwQUAAAACACHTuJA7vuuUNgAAAAM&#10;AQAADwAAAGRycy9kb3ducmV2LnhtbE2Py07DMBBF90j8gzVI7KjtGJES4lSiCMGWUrF24iFJie00&#10;dpvy90xXdDl3ju6jXJ3cwI44xT54DXIhgKFvgu19q2H7+Xq3BBaT8dYMwaOGX4ywqq6vSlPYMPsP&#10;PG5Sy8jEx8Jo6FIaC85j06EzcRFG9PT7DpMzic6p5XYyM5m7gWdCPHBnek8JnRlx3WHzszk4Dbv9&#10;9ku6XS2f397zfT3P65fHvNf69kaKJ2AJT+kfhnN9qg4VdarDwdvIBg33SilCNSxFRhvOhFQZSTVJ&#10;uVDAq5Jfjqj+AFBLAwQUAAAACACHTuJAYK9QKaQCAABeBQAADgAAAGRycy9lMm9Eb2MueG1srVTL&#10;blMxEN0j8Q+W9zSP5tFEvalCQxBSRSsVxNrx9c215Be28+ID4A9YsWHPd/U7OPZN2rR00QV34Yzt&#10;kzMzZ2Z8frHViqyFD9KagnZO2pQIw20pzbKgnz/N35xREiIzJVPWiILuRKAXk9evzjduLLq2tqoU&#10;noDEhPHGFbSO0Y1brcBroVk4sU4YXFbWaxax9ctW6dkG7Fq1uu32oLWxvnTechECTmfNJd0z+pcQ&#10;2qqSXMwsX2lhYsPqhWIRKYVaukAnOdqqEjxeV1UQkaiCItOYVziBvUhra3LOxkvPXC35PgT2khCe&#10;5KSZNHB6TzVjkZGVl/9Qacm9DbaKJ9zqVpNIVgRZdNpPtLmtmRM5F0gd3L3o4f/R8o/rG09kWdAh&#10;6m6YRsXvfv64+/Xn7vd3gjMItHFhDNytAzJu39ot2uZwHnCY8t5WXqdfZERw3x2ddoajPiU7YDvt&#10;QWe4l1psI+EA9HqnZ4M+qsCB6HXPBt1+omw9MDkf4nthNUlGQT1KmRVm66sQG+gBkhwHq2Q5l0rl&#10;jV8uLpUna4ayz/O3Z38EU4ZsCjrqwzfhDL0cvsLQDmoEs8zeHuHDMW07f8/RprBmLNSN+7ALMxsT&#10;jo21jMJnqxasfGdKEncOihtMGk2xaFFSogQGM1kZGZlUL0FCOmWgYKpWU5Vkxe1iC5pkLmy5QwW9&#10;bYYgOD6XiPSKhXjDPLoe1cC7EK+xVMoiGru3KKmt//bcecKjGXGL8DFFScIV80hGfTBo01Gn10tj&#10;lze9/rCLjT++WRzfmJW+tKhYBy+Q49lM+KgOZuWt/oLnY5q84ooZDt8FjQfzMjazjeeHi+k0g1bO&#10;y2WNP4AWQ+dYvDK3jqd9qomx01W0lcw99aDTXkmMXe7K/ROR5vp4n1EPz+Lk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O77rlDYAAAADAEAAA8AAAAAAAAAAQAgAAAAIgAAAGRycy9kb3ducmV2Lnht&#10;bFBLAQIUABQAAAAIAIdO4kBgr1AppAIAAF4FAAAOAAAAAAAAAAEAIAAAACcBAABkcnMvZTJvRG9j&#10;LnhtbFBLBQYAAAAABgAGAFkBAAA9BgAAAAA=&#10;">
                <v:fill on="t" focussize="0,0"/>
                <v:stroke color="#000000 [3213]" joinstyle="miter" dashstyle="1 1" endcap="square"/>
                <v:imagedata o:title=""/>
                <o:lock v:ext="edit" aspectratio="f"/>
                <v:textbox>
                  <w:txbxContent>
                    <w:p w14:paraId="7AB627A8">
                      <w:pPr>
                        <w:jc w:val="center"/>
                      </w:pPr>
                      <w:r>
                        <w:rPr>
                          <w:rFonts w:hint="eastAsia" w:ascii="Times New Roman" w:hAnsi="Times New Roman"/>
                          <w:b/>
                          <w:bCs/>
                          <w:color w:val="auto"/>
                          <w:sz w:val="28"/>
                          <w:szCs w:val="28"/>
                          <w:highlight w:val="none"/>
                          <w:shd w:val="clear" w:color="auto" w:fill="auto"/>
                          <w:lang w:eastAsia="zh-CN" w:bidi="ar"/>
                        </w:rPr>
                        <w:t>附图</w:t>
                      </w:r>
                      <w:r>
                        <w:rPr>
                          <w:rFonts w:hint="eastAsia" w:ascii="Times New Roman" w:hAnsi="Times New Roman"/>
                          <w:b/>
                          <w:bCs/>
                          <w:color w:val="auto"/>
                          <w:sz w:val="28"/>
                          <w:szCs w:val="28"/>
                          <w:highlight w:val="none"/>
                          <w:shd w:val="clear" w:color="auto" w:fill="auto"/>
                          <w:lang w:val="en-US" w:eastAsia="zh-CN" w:bidi="ar"/>
                        </w:rPr>
                        <w:t xml:space="preserve">2   </w:t>
                      </w:r>
                      <w:r>
                        <w:rPr>
                          <w:rFonts w:hint="eastAsia" w:ascii="Times New Roman" w:hAnsi="Times New Roman" w:eastAsia="宋体" w:cs="Times New Roman"/>
                          <w:b/>
                          <w:bCs/>
                          <w:color w:val="auto"/>
                          <w:sz w:val="28"/>
                          <w:szCs w:val="28"/>
                          <w:highlight w:val="none"/>
                          <w:shd w:val="clear" w:color="auto" w:fill="auto"/>
                          <w:lang w:eastAsia="zh-CN" w:bidi="ar"/>
                        </w:rPr>
                        <w:t>项目周边环境图</w:t>
                      </w:r>
                    </w:p>
                  </w:txbxContent>
                </v:textbox>
              </v:shape>
            </w:pict>
          </mc:Fallback>
        </mc:AlternateContent>
      </w:r>
      <w:r>
        <w:rPr>
          <w:color w:val="auto"/>
          <w:sz w:val="24"/>
          <w:highlight w:val="none"/>
        </w:rPr>
        <mc:AlternateContent>
          <mc:Choice Requires="wps">
            <w:drawing>
              <wp:anchor distT="0" distB="0" distL="114300" distR="114300" simplePos="0" relativeHeight="251711488" behindDoc="0" locked="0" layoutInCell="1" allowOverlap="1">
                <wp:simplePos x="0" y="0"/>
                <wp:positionH relativeFrom="column">
                  <wp:posOffset>8235315</wp:posOffset>
                </wp:positionH>
                <wp:positionV relativeFrom="page">
                  <wp:posOffset>6282690</wp:posOffset>
                </wp:positionV>
                <wp:extent cx="201295" cy="143510"/>
                <wp:effectExtent l="5080" t="4445" r="22225" b="23495"/>
                <wp:wrapNone/>
                <wp:docPr id="157" name="矩形 343"/>
                <wp:cNvGraphicFramePr/>
                <a:graphic xmlns:a="http://schemas.openxmlformats.org/drawingml/2006/main">
                  <a:graphicData uri="http://schemas.microsoft.com/office/word/2010/wordprocessingShape">
                    <wps:wsp>
                      <wps:cNvSpPr/>
                      <wps:spPr>
                        <a:xfrm>
                          <a:off x="0" y="0"/>
                          <a:ext cx="201295" cy="143510"/>
                        </a:xfrm>
                        <a:prstGeom prst="rect">
                          <a:avLst/>
                        </a:prstGeom>
                        <a:noFill/>
                        <a:ln w="9525" cap="flat" cmpd="sng">
                          <a:solidFill>
                            <a:schemeClr val="tx1"/>
                          </a:solidFill>
                          <a:prstDash val="solid"/>
                          <a:miter/>
                          <a:headEnd type="none" w="med" len="med"/>
                          <a:tailEnd type="none" w="med" len="med"/>
                        </a:ln>
                      </wps:spPr>
                      <wps:bodyPr vert="horz" wrap="square" anchor="t" anchorCtr="0" upright="1"/>
                    </wps:wsp>
                  </a:graphicData>
                </a:graphic>
              </wp:anchor>
            </w:drawing>
          </mc:Choice>
          <mc:Fallback>
            <w:pict>
              <v:rect id="矩形 343" o:spid="_x0000_s1026" o:spt="1" style="position:absolute;left:0pt;margin-left:648.45pt;margin-top:494.7pt;height:11.3pt;width:15.85pt;mso-position-vertical-relative:page;z-index:251711488;mso-width-relative:page;mso-height-relative:page;" filled="f" stroked="t" coordsize="21600,21600" o:gfxdata="UEsDBAoAAAAAAIdO4kAAAAAAAAAAAAAAAAAEAAAAZHJzL1BLAwQUAAAACACHTuJAnaObl9oAAAAO&#10;AQAADwAAAGRycy9kb3ducmV2LnhtbE2PwU7DMAyG70i8Q2QkbixpgaotTaeB2HUSAwm4ZY1JqjVJ&#10;1WTreHu8E7v5lz/9/twsT25gR5xiH7yEbCGAoe+C7r2R8PG+viuBxaS8VkPwKOEXIyzb66tG1TrM&#10;/g2P22QYlfhYKwk2pbHmPHYWnYqLMKKn3U+YnEoUJ8P1pGYqdwPPhSi4U72nC1aN+GKx228PTsLr&#10;+L1ZPZrIV5/Jfu3D87y2GyPl7U0mnoAlPKV/GM76pA4tOe3CwevIBsp5VVTESqjK6gHYGbnPywLY&#10;jiaR5QJ42/DLN9o/UEsDBBQAAAAIAIdO4kAx0b73FQIAACsEAAAOAAAAZHJzL2Uyb0RvYy54bWyt&#10;U0uOEzEQ3SNxB8t70vlMgGmlM4sJwwbBSAMHqNjubkv+4XLSCZdBYschOA6aa1B2hwwMm1nQC3fZ&#10;Lr+q9/y8ujpYw/Yqovau4bPJlDPlhJfadQ3/9PHmxWvOMIGTYLxTDT8q5Ffr589WQ6jV3PfeSBUZ&#10;gTish9DwPqVQVxWKXlnAiQ/K0Wbro4VE09hVMsJA6NZU8+n0ZTX4KEP0QiHS6mbc5CfE+BRA37Za&#10;qI0XO6tcGlGjMpCIEvY6IF+XbttWifShbVElZhpOTFMZqQjF2zxW6xXUXYTQa3FqAZ7SwiNOFrSj&#10;omeoDSRgu6j/gbJaRI++TRPhbTUSKYoQi9n0kTZ3PQRVuJDUGM6i4/+DFe/3t5FpSU5YvuLMgaUr&#10;v//6/eePb2xxscj6DAFrSrsLt/E0Qwoz2UMbbf4TDXYomh7PmqpDYoIWidb8csmZoK3ZxWI5K5pX&#10;D4dDxPRWecty0PBIV1aUhP07TFSQUn+n5FrO32hjyrUZx4aGXy7nGR7Iii1ZgEIbiA66rsCgN1rm&#10;I/kwxm57bSLbQ7ZD+TJDKvFXWq63AezHvLI1GsXqpLIIUPcK5BsnWToGEszRS+G5GaskZ0bRw8pR&#10;yUygzVMyqQnjqJcs9yhwjrZeHumC6L2SNr2PX6gMuZX4fd5BpKLgBC03nIiP4XUa7b0LUXc9nZoV&#10;ihmMPFTInvyeTfrnvBR/eOPr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J2jm5faAAAADgEAAA8A&#10;AAAAAAAAAQAgAAAAIgAAAGRycy9kb3ducmV2LnhtbFBLAQIUABQAAAAIAIdO4kAx0b73FQIAACsE&#10;AAAOAAAAAAAAAAEAIAAAACkBAABkcnMvZTJvRG9jLnhtbFBLBQYAAAAABgAGAFkBAACwBQAAAAA=&#10;">
                <v:fill on="f" focussize="0,0"/>
                <v:stroke color="#000000 [3213]" joinstyle="miter"/>
                <v:imagedata o:title=""/>
                <o:lock v:ext="edit" aspectratio="f"/>
              </v:rect>
            </w:pict>
          </mc:Fallback>
        </mc:AlternateContent>
      </w:r>
      <w:r>
        <w:rPr>
          <w:color w:val="auto"/>
          <w:sz w:val="24"/>
          <w:highlight w:val="none"/>
        </w:rPr>
        <mc:AlternateContent>
          <mc:Choice Requires="wps">
            <w:drawing>
              <wp:anchor distT="0" distB="0" distL="114300" distR="114300" simplePos="0" relativeHeight="251676672" behindDoc="0" locked="0" layoutInCell="1" allowOverlap="1">
                <wp:simplePos x="0" y="0"/>
                <wp:positionH relativeFrom="column">
                  <wp:posOffset>8239760</wp:posOffset>
                </wp:positionH>
                <wp:positionV relativeFrom="paragraph">
                  <wp:posOffset>5167630</wp:posOffset>
                </wp:positionV>
                <wp:extent cx="201295" cy="143510"/>
                <wp:effectExtent l="5080" t="4445" r="22225" b="23495"/>
                <wp:wrapNone/>
                <wp:docPr id="24" name="矩形 343"/>
                <wp:cNvGraphicFramePr/>
                <a:graphic xmlns:a="http://schemas.openxmlformats.org/drawingml/2006/main">
                  <a:graphicData uri="http://schemas.microsoft.com/office/word/2010/wordprocessingShape">
                    <wps:wsp>
                      <wps:cNvSpPr/>
                      <wps:spPr>
                        <a:xfrm>
                          <a:off x="0" y="0"/>
                          <a:ext cx="201295" cy="143510"/>
                        </a:xfrm>
                        <a:prstGeom prst="rect">
                          <a:avLst/>
                        </a:prstGeom>
                        <a:noFill/>
                        <a:ln w="952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rect id="矩形 343" o:spid="_x0000_s1026" o:spt="1" style="position:absolute;left:0pt;margin-left:648.8pt;margin-top:406.9pt;height:11.3pt;width:15.85pt;z-index:251676672;mso-width-relative:page;mso-height-relative:page;" filled="f" stroked="t" coordsize="21600,21600" o:gfxdata="UEsDBAoAAAAAAIdO4kAAAAAAAAAAAAAAAAAEAAAAZHJzL1BLAwQUAAAACACHTuJAw8Nc69wAAAAN&#10;AQAADwAAAGRycy9kb3ducmV2LnhtbE2PzU7DMBCE70i8g7VIXBB1flBoQ5wekKBCPaC2HDg68Ta2&#10;iO0odpPy9mxP9Dizn2ZnqvXZ9mzCMRjvBKSLBBi61ivjOgFfh7fHJbAQpVOy9w4F/GKAdX17U8lS&#10;+dntcNrHjlGIC6UUoGMcSs5Dq9HKsPADOrod/WhlJDl2XI1ypnDb8yxJCm6lcfRBywFfNbY/+5MV&#10;ED7fv7eH3cfUmc121huDx6F5EOL+Lk1egEU8x38YLvWpOtTUqfEnpwLrSWer54JYAcs0pxEXJM9W&#10;ObCGrLx4Al5X/HpF/QdQSwMEFAAAAAgAh07iQJ1YqPAWAgAAKgQAAA4AAABkcnMvZTJvRG9jLnht&#10;bK1TS44TMRDdI3EHy3vSnR9iWunMYkLYIBhp4AAVt7vbkn+4nHTCZZDYcQiOg7gGZXfIwLDJgl64&#10;y3b5Vb3n59Xt0Wh2kAGVszWfTkrOpBWuUbar+ccP2xevOMMItgHtrKz5SSK/XT9/thp8JWeud7qR&#10;gRGIxWrwNe9j9FVRoOilAZw4Ly1tti4YiDQNXdEEGAjd6GJWli+LwYXGByckIq1uxk1+RgzXALq2&#10;VUJunNgbaeOIGqSGSJSwVx75OnfbtlLE922LMjJdc2Ia80hFKN6lsVivoOoC+F6JcwtwTQtPOBlQ&#10;lopeoDYQge2D+gfKKBEcujZOhDPFSCQrQiym5RNtHnrwMnMhqdFfRMf/ByveHe4DU03NZwvOLBi6&#10;8Z9fvv34/pXNF/Mkz+CxoqwHfx/OM6QwcT22waQ/sWDHLOnpIqk8RiZokVjNbpacCdqaLubLaZa8&#10;eDzsA8Y30hmWgpoHurEsJBzeYqSClPo7JdWybqu0zremLRtqfrOcJXggJ7bkAAqNJzZouwyDTqsm&#10;HUmHMXS7Ox3YAcgN221JX2JIJf5KS/U2gP2Yl7dGnxgVZRIBql5C89o2LJ48CWbpofDUjJENZ1rS&#10;u0pRzoyg9DWZ1IS21EuSexQ4RTvXnOh+6LmSNr0Ln6kMmZX4fdpDoKJgBS3XnIiP4V0c3b33QXU9&#10;nZpmigmMLJTJnu2ePPrnPBd/fOLrX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MPDXOvcAAAADQEA&#10;AA8AAAAAAAAAAQAgAAAAIgAAAGRycy9kb3ducmV2LnhtbFBLAQIUABQAAAAIAIdO4kCdWKjwFgIA&#10;ACoEAAAOAAAAAAAAAAEAIAAAACsBAABkcnMvZTJvRG9jLnhtbFBLBQYAAAAABgAGAFkBAACzBQAA&#10;AAA=&#10;">
                <v:fill on="f" focussize="0,0"/>
                <v:stroke color="#FF0000" joinstyle="miter"/>
                <v:imagedata o:title=""/>
                <o:lock v:ext="edit" aspectratio="f"/>
              </v:rect>
            </w:pict>
          </mc:Fallback>
        </mc:AlternateContent>
      </w:r>
      <w:r>
        <w:rPr>
          <w:color w:val="auto"/>
          <w:sz w:val="24"/>
          <w:highlight w:val="none"/>
        </w:rPr>
        <mc:AlternateContent>
          <mc:Choice Requires="wps">
            <w:drawing>
              <wp:anchor distT="0" distB="0" distL="114300" distR="114300" simplePos="0" relativeHeight="251675648" behindDoc="0" locked="0" layoutInCell="1" allowOverlap="1">
                <wp:simplePos x="0" y="0"/>
                <wp:positionH relativeFrom="column">
                  <wp:posOffset>8115300</wp:posOffset>
                </wp:positionH>
                <wp:positionV relativeFrom="paragraph">
                  <wp:posOffset>4486275</wp:posOffset>
                </wp:positionV>
                <wp:extent cx="1038225" cy="982345"/>
                <wp:effectExtent l="5080" t="4445" r="4445" b="22860"/>
                <wp:wrapNone/>
                <wp:docPr id="23" name="文本框 342"/>
                <wp:cNvGraphicFramePr/>
                <a:graphic xmlns:a="http://schemas.openxmlformats.org/drawingml/2006/main">
                  <a:graphicData uri="http://schemas.microsoft.com/office/word/2010/wordprocessingShape">
                    <wps:wsp>
                      <wps:cNvSpPr txBox="1"/>
                      <wps:spPr>
                        <a:xfrm>
                          <a:off x="0" y="0"/>
                          <a:ext cx="1038225" cy="98234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55E6C85">
                            <w:pPr>
                              <w:jc w:val="center"/>
                              <w:rPr>
                                <w:rFonts w:hint="eastAsia"/>
                                <w:lang w:val="en-US" w:eastAsia="zh-CN"/>
                              </w:rPr>
                            </w:pPr>
                            <w:r>
                              <w:rPr>
                                <w:rFonts w:hint="eastAsia"/>
                                <w:lang w:val="en-US" w:eastAsia="zh-CN"/>
                              </w:rPr>
                              <w:t>图例</w:t>
                            </w:r>
                          </w:p>
                          <w:p w14:paraId="73A2B264">
                            <w:pPr>
                              <w:jc w:val="both"/>
                              <w:rPr>
                                <w:rFonts w:hint="eastAsia"/>
                                <w:sz w:val="20"/>
                                <w:szCs w:val="22"/>
                                <w:lang w:val="en-US" w:eastAsia="zh-CN"/>
                              </w:rPr>
                            </w:pPr>
                          </w:p>
                          <w:p w14:paraId="7539159F">
                            <w:pPr>
                              <w:ind w:firstLine="400" w:firstLineChars="200"/>
                              <w:jc w:val="both"/>
                              <w:rPr>
                                <w:rFonts w:hint="eastAsia"/>
                                <w:sz w:val="20"/>
                                <w:szCs w:val="22"/>
                                <w:lang w:val="en-US" w:eastAsia="zh-CN"/>
                              </w:rPr>
                            </w:pPr>
                            <w:r>
                              <w:rPr>
                                <w:rFonts w:hint="eastAsia"/>
                                <w:sz w:val="20"/>
                                <w:szCs w:val="22"/>
                                <w:lang w:val="en-US" w:eastAsia="zh-CN"/>
                              </w:rPr>
                              <w:t xml:space="preserve">佳合鹏程  </w:t>
                            </w:r>
                          </w:p>
                          <w:p w14:paraId="372E5753">
                            <w:pPr>
                              <w:ind w:firstLine="400" w:firstLineChars="200"/>
                              <w:jc w:val="both"/>
                              <w:rPr>
                                <w:rFonts w:hint="eastAsia"/>
                                <w:sz w:val="20"/>
                                <w:szCs w:val="22"/>
                                <w:lang w:val="en-US" w:eastAsia="zh-CN"/>
                              </w:rPr>
                            </w:pPr>
                            <w:r>
                              <w:rPr>
                                <w:rFonts w:hint="eastAsia"/>
                                <w:sz w:val="20"/>
                                <w:szCs w:val="22"/>
                                <w:lang w:val="en-US" w:eastAsia="zh-CN"/>
                              </w:rPr>
                              <w:t>本项目</w:t>
                            </w:r>
                          </w:p>
                        </w:txbxContent>
                      </wps:txbx>
                      <wps:bodyPr vert="horz" wrap="square" anchor="t" anchorCtr="0" upright="1"/>
                    </wps:wsp>
                  </a:graphicData>
                </a:graphic>
              </wp:anchor>
            </w:drawing>
          </mc:Choice>
          <mc:Fallback>
            <w:pict>
              <v:shape id="文本框 342" o:spid="_x0000_s1026" o:spt="202" type="#_x0000_t202" style="position:absolute;left:0pt;margin-left:639pt;margin-top:353.25pt;height:77.35pt;width:81.75pt;z-index:251675648;mso-width-relative:page;mso-height-relative:page;" fillcolor="#FFFFFF" filled="t" stroked="t" coordsize="21600,21600" o:gfxdata="UEsDBAoAAAAAAIdO4kAAAAAAAAAAAAAAAAAEAAAAZHJzL1BLAwQUAAAACACHTuJAcQN8ItsAAAAN&#10;AQAADwAAAGRycy9kb3ducmV2LnhtbE2PwU7DMBBE70j8g7VIXBC1E0ISQpwekEBwK6UqVzd2k4h4&#10;HWw3LX/P9gS3He1o5k29PNmRzcaHwaGEZCGAGWydHrCTsPl4vi2BhahQq9GhkfBjAiyby4taVdod&#10;8d3M69gxCsFQKQl9jFPFeWh7Y1VYuMkg/fbOWxVJ+o5rr44UbkeeCpFzqwakhl5N5qk37df6YCWU&#10;2ev8Gd7uVts2348P8aaYX769lNdXiXgEFs0p/pnhjE/o0BDTzh1QBzaSTouSxkQJhcjvgZ0tWZbQ&#10;taOCPEmBNzX/v6L5BVBLAwQUAAAACACHTuJARxNzPyoCAABsBAAADgAAAGRycy9lMm9Eb2MueG1s&#10;rVTNjtMwEL4j8Q6W7zTZdItK1HQltpQLAqRlH2DqOIkl/2G7TcoDwBtw4sKd5+pzMHa63T8OPZBD&#10;MrbH33zzzUwWV4OSZMedF0ZX9GKSU8I1M7XQbUVvv6xfzSnxAXQN0mhe0T339Gr58sWityUvTGdk&#10;zR1BEO3L3la0C8GWWeZZxxX4ibFc42FjnIKAS9dmtYMe0ZXMijx/nfXG1dYZxr3H3dV4SI+I7hxA&#10;0zSC8ZVhW8V1GFEdlxAwJd8J6+kysW0azsKnpvE8EFlRzDSkNwZBexPf2XIBZevAdoIdKcA5FJ7k&#10;pEBoDHqCWkEAsnXiGZQSzBlvmjBhRmVjIkkRzOIif6LNTQeWp1xQam9Povv/B8s+7j47IuqKFlNK&#10;NCis+OHnj8OvP4ff38n0sogK9daX6Hhj0TUMb82AfXO373EzJj40TsUvpkTwHPXdn/TlQyAsXsqn&#10;86KYUcLw7M28mF7OIkx2f9s6H95zo0g0KuqwfklW2H3wYXS9c4nBvJGiXgsp08K1m2vpyA6w1uv0&#10;HNEfuUlNeow+SzwAG7jBxkFKyqIIXrcp3qMb/iFwnp5/AUdiK/DdSCAhRDcolQjcJavjUL/TNQl7&#10;izprnC8aySheUyI5jmO0kmcAIc/xRO2kRgljicZSRCsMmwFhorkx9R7LhgOPenbGfcOI2O6Y6tct&#10;OIwPmuF2RVGD0bwO43xsrRNth7dSrVMEbMJUruPAxC5/uE487n8Sy7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xA3wi2wAAAA0BAAAPAAAAAAAAAAEAIAAAACIAAABkcnMvZG93bnJldi54bWxQSwEC&#10;FAAUAAAACACHTuJARxNzPyoCAABsBAAADgAAAAAAAAABACAAAAAqAQAAZHJzL2Uyb0RvYy54bWxQ&#10;SwUGAAAAAAYABgBZAQAAxgUAAAAA&#10;">
                <v:fill on="t" focussize="0,0"/>
                <v:stroke color="#000000" joinstyle="miter"/>
                <v:imagedata o:title=""/>
                <o:lock v:ext="edit" aspectratio="f"/>
                <v:textbox>
                  <w:txbxContent>
                    <w:p w14:paraId="255E6C85">
                      <w:pPr>
                        <w:jc w:val="center"/>
                        <w:rPr>
                          <w:rFonts w:hint="eastAsia"/>
                          <w:lang w:val="en-US" w:eastAsia="zh-CN"/>
                        </w:rPr>
                      </w:pPr>
                      <w:r>
                        <w:rPr>
                          <w:rFonts w:hint="eastAsia"/>
                          <w:lang w:val="en-US" w:eastAsia="zh-CN"/>
                        </w:rPr>
                        <w:t>图例</w:t>
                      </w:r>
                    </w:p>
                    <w:p w14:paraId="73A2B264">
                      <w:pPr>
                        <w:jc w:val="both"/>
                        <w:rPr>
                          <w:rFonts w:hint="eastAsia"/>
                          <w:sz w:val="20"/>
                          <w:szCs w:val="22"/>
                          <w:lang w:val="en-US" w:eastAsia="zh-CN"/>
                        </w:rPr>
                      </w:pPr>
                    </w:p>
                    <w:p w14:paraId="7539159F">
                      <w:pPr>
                        <w:ind w:firstLine="400" w:firstLineChars="200"/>
                        <w:jc w:val="both"/>
                        <w:rPr>
                          <w:rFonts w:hint="eastAsia"/>
                          <w:sz w:val="20"/>
                          <w:szCs w:val="22"/>
                          <w:lang w:val="en-US" w:eastAsia="zh-CN"/>
                        </w:rPr>
                      </w:pPr>
                      <w:r>
                        <w:rPr>
                          <w:rFonts w:hint="eastAsia"/>
                          <w:sz w:val="20"/>
                          <w:szCs w:val="22"/>
                          <w:lang w:val="en-US" w:eastAsia="zh-CN"/>
                        </w:rPr>
                        <w:t xml:space="preserve">佳合鹏程  </w:t>
                      </w:r>
                    </w:p>
                    <w:p w14:paraId="372E5753">
                      <w:pPr>
                        <w:ind w:firstLine="400" w:firstLineChars="200"/>
                        <w:jc w:val="both"/>
                        <w:rPr>
                          <w:rFonts w:hint="eastAsia"/>
                          <w:sz w:val="20"/>
                          <w:szCs w:val="22"/>
                          <w:lang w:val="en-US" w:eastAsia="zh-CN"/>
                        </w:rPr>
                      </w:pPr>
                      <w:r>
                        <w:rPr>
                          <w:rFonts w:hint="eastAsia"/>
                          <w:sz w:val="20"/>
                          <w:szCs w:val="22"/>
                          <w:lang w:val="en-US" w:eastAsia="zh-CN"/>
                        </w:rPr>
                        <w:t>本项目</w:t>
                      </w:r>
                    </w:p>
                  </w:txbxContent>
                </v:textbox>
              </v:shape>
            </w:pict>
          </mc:Fallback>
        </mc:AlternateContent>
      </w:r>
      <w:r>
        <w:rPr>
          <w:color w:val="auto"/>
          <w:sz w:val="24"/>
          <w:highlight w:val="none"/>
        </w:rPr>
        <mc:AlternateContent>
          <mc:Choice Requires="wps">
            <w:drawing>
              <wp:anchor distT="0" distB="0" distL="114300" distR="114300" simplePos="0" relativeHeight="251804672" behindDoc="0" locked="0" layoutInCell="1" allowOverlap="1">
                <wp:simplePos x="0" y="0"/>
                <wp:positionH relativeFrom="column">
                  <wp:posOffset>6277610</wp:posOffset>
                </wp:positionH>
                <wp:positionV relativeFrom="paragraph">
                  <wp:posOffset>914400</wp:posOffset>
                </wp:positionV>
                <wp:extent cx="889000" cy="381635"/>
                <wp:effectExtent l="4445" t="4445" r="20955" b="13970"/>
                <wp:wrapNone/>
                <wp:docPr id="216" name="文本框 216"/>
                <wp:cNvGraphicFramePr/>
                <a:graphic xmlns:a="http://schemas.openxmlformats.org/drawingml/2006/main">
                  <a:graphicData uri="http://schemas.microsoft.com/office/word/2010/wordprocessingShape">
                    <wps:wsp>
                      <wps:cNvSpPr txBox="1"/>
                      <wps:spPr>
                        <a:xfrm>
                          <a:off x="0" y="0"/>
                          <a:ext cx="889000" cy="381635"/>
                        </a:xfrm>
                        <a:prstGeom prst="rect">
                          <a:avLst/>
                        </a:prstGeom>
                        <a:solidFill>
                          <a:schemeClr val="bg1"/>
                        </a:solidFill>
                        <a:ln w="9525" cap="sq" cmpd="sng">
                          <a:solidFill>
                            <a:schemeClr val="tx1"/>
                          </a:solidFill>
                          <a:prstDash val="solid"/>
                          <a:miter/>
                          <a:headEnd type="none" w="med" len="med"/>
                          <a:tailEnd type="none" w="med" len="med"/>
                        </a:ln>
                      </wps:spPr>
                      <wps:txbx>
                        <w:txbxContent>
                          <w:p w14:paraId="56042F0A">
                            <w:pPr>
                              <w:rPr>
                                <w:rFonts w:hint="eastAsia" w:eastAsia="宋体"/>
                                <w:color w:val="auto"/>
                                <w:lang w:eastAsia="zh-CN"/>
                              </w:rPr>
                            </w:pPr>
                            <w:r>
                              <w:rPr>
                                <w:rFonts w:hint="eastAsia"/>
                                <w:color w:val="auto"/>
                                <w:lang w:eastAsia="zh-CN"/>
                              </w:rPr>
                              <w:t>丹锡高速</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494.3pt;margin-top:72pt;height:30.05pt;width:70pt;z-index:251804672;mso-width-relative:page;mso-height-relative:page;" fillcolor="#FFFFFF [3212]" filled="t" stroked="t" coordsize="21600,21600" o:gfxdata="UEsDBAoAAAAAAIdO4kAAAAAAAAAAAAAAAAAEAAAAZHJzL1BLAwQUAAAACACHTuJAfCW77tkAAAAM&#10;AQAADwAAAGRycy9kb3ducmV2LnhtbE2PS2+DMBCE75X6H6yt1Ftjg1BEKCaHKrn0cQglPRu8xah4&#10;jbDzaH99zak97syn2Zlye7UjO+PsB0cSkpUAhtQ5PVAvoXnfP+TAfFCk1egIJXyjh211e1OqQrsL&#10;HfBch57FEPKFkmBCmArOfWfQKr9yE1L0Pt1sVYjn3HM9q0sMtyNPhVhzqwaKH4ya8Mlg91WfrITj&#10;y2bnTP38+tbsDz8f7bA7amqkvL9LxCOwgNfwB8NSP1aHKnZq3Ym0Z6OETZ6vIxqNLIujFiJJF6mV&#10;kIosAV6V/P+I6hdQSwMEFAAAAAgAh07iQL7L3oCYAgAAUgUAAA4AAABkcnMvZTJvRG9jLnhtbK1U&#10;y24TMRTdI/EPlvd0krQpadRJFRqCkCpaqSDWjseTseQXtpNM+AD4A1Zs2PNd/Q6OPUmbFhZdkIVz&#10;7XvmPs59nF+0WpG18EFaU9L+UY8SYbitpFmW9NPH+asRJSEyUzFljSjpVgR6MXn54nzjxmJgG6sq&#10;4QmMmDDeuJI2MbpxUQTeCM3CkXXCQFlbr1nE1S+LyrMNrGtVDHq902JjfeW85SIEvM46Jd1Z9M8x&#10;aOtacjGzfKWFiZ1VLxSLSCk00gU6ydHWteDxuq6DiESVFJnGfMIJ5EU6i8k5Gy89c43kuxDYc0J4&#10;kpNm0sDpvakZi4ysvPzLlJbc22DreMStLrpEMiPIot97ws1tw5zIuYDq4O5JD//PLP+wvvFEViUd&#10;9E8pMUyj5Hc/vt/9/H336xtJj6Bo48IYyFsHbGzf2BaNs38PeEyZt7XX6R85EehB8PaeYNFGwvE4&#10;Gp31etBwqI5H/dPjYbJSPHzsfIjvhNUkCSX1qF+mla2vQuyge0jyFayS1VwqlS9+ubhUnqwZaj3P&#10;v531RzBlyKakZ8PBEHEwNHD4AkE7UBDMMnt7hA+HZhF9SqCL5BEshTVjoencZ1WCsbGWUfgsNYJV&#10;b01F4taBZIPpoikULSpKlMAwJikjI5PqOUgwpwwITPXp6pCk2C5amEniwlZb1MzbrvGD43OJQK9Y&#10;iDfMo9NRDOyCeI2jVhbR2J1ESWP913+9JzwaEFqEj8lJDK6YRzLqvUFrnvVPTmA25svJ8PUAF3+o&#10;WRxqzEpfWhSsj63jeBYTPqq9WHurP2NlTJNXqJjh8F3SuBcvYzfPWDlcTKcZtHJeLpvuAwyaY/HK&#10;3Dqe3KSaGDtdRVvL3FIPPO2YxKjlptythTTLh/eMeliFkz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KBQAAW0NvbnRlbnRfVHlwZXNdLnhtbFBL&#10;AQIUAAoAAAAAAIdO4kAAAAAAAAAAAAAAAAAGAAAAAAAAAAAAEAAAAOwDAABfcmVscy9QSwECFAAU&#10;AAAACACHTuJAihRmPNEAAACUAQAACwAAAAAAAAABACAAAAAQBAAAX3JlbHMvLnJlbHNQSwECFAAK&#10;AAAAAACHTuJAAAAAAAAAAAAAAAAABAAAAAAAAAAAABAAAAAAAAAAZHJzL1BLAQIUABQAAAAIAIdO&#10;4kB8Jbvu2QAAAAwBAAAPAAAAAAAAAAEAIAAAACIAAABkcnMvZG93bnJldi54bWxQSwECFAAUAAAA&#10;CACHTuJAvsvegJgCAABSBQAADgAAAAAAAAABACAAAAAoAQAAZHJzL2Uyb0RvYy54bWxQSwUGAAAA&#10;AAYABgBZAQAAMgYAAAAA&#10;">
                <v:fill on="t" focussize="0,0"/>
                <v:stroke color="#000000 [3213]" joinstyle="miter" endcap="square"/>
                <v:imagedata o:title=""/>
                <o:lock v:ext="edit" aspectratio="f"/>
                <v:textbox>
                  <w:txbxContent>
                    <w:p w14:paraId="56042F0A">
                      <w:pPr>
                        <w:rPr>
                          <w:rFonts w:hint="eastAsia" w:eastAsia="宋体"/>
                          <w:color w:val="auto"/>
                          <w:lang w:eastAsia="zh-CN"/>
                        </w:rPr>
                      </w:pPr>
                      <w:r>
                        <w:rPr>
                          <w:rFonts w:hint="eastAsia"/>
                          <w:color w:val="auto"/>
                          <w:lang w:eastAsia="zh-CN"/>
                        </w:rPr>
                        <w:t>丹锡高速</w:t>
                      </w:r>
                    </w:p>
                  </w:txbxContent>
                </v:textbox>
              </v:shape>
            </w:pict>
          </mc:Fallback>
        </mc:AlternateContent>
      </w:r>
      <w:r>
        <w:rPr>
          <w:color w:val="auto"/>
          <w:sz w:val="24"/>
          <w:highlight w:val="none"/>
        </w:rPr>
        <mc:AlternateContent>
          <mc:Choice Requires="wps">
            <w:drawing>
              <wp:anchor distT="0" distB="0" distL="114300" distR="114300" simplePos="0" relativeHeight="251786240" behindDoc="0" locked="0" layoutInCell="1" allowOverlap="1">
                <wp:simplePos x="0" y="0"/>
                <wp:positionH relativeFrom="column">
                  <wp:posOffset>2678430</wp:posOffset>
                </wp:positionH>
                <wp:positionV relativeFrom="paragraph">
                  <wp:posOffset>1616710</wp:posOffset>
                </wp:positionV>
                <wp:extent cx="597535" cy="381635"/>
                <wp:effectExtent l="124460" t="60960" r="141605" b="65405"/>
                <wp:wrapNone/>
                <wp:docPr id="211" name="文本框 211"/>
                <wp:cNvGraphicFramePr/>
                <a:graphic xmlns:a="http://schemas.openxmlformats.org/drawingml/2006/main">
                  <a:graphicData uri="http://schemas.microsoft.com/office/word/2010/wordprocessingShape">
                    <wps:wsp>
                      <wps:cNvSpPr txBox="1"/>
                      <wps:spPr>
                        <a:xfrm rot="17880000">
                          <a:off x="0" y="0"/>
                          <a:ext cx="597535" cy="381635"/>
                        </a:xfrm>
                        <a:prstGeom prst="rect">
                          <a:avLst/>
                        </a:prstGeom>
                        <a:solidFill>
                          <a:schemeClr val="bg1"/>
                        </a:solidFill>
                        <a:ln w="9525" cap="sq" cmpd="sng">
                          <a:solidFill>
                            <a:schemeClr val="tx1"/>
                          </a:solidFill>
                          <a:prstDash val="solid"/>
                          <a:miter/>
                          <a:headEnd type="none" w="med" len="med"/>
                          <a:tailEnd type="none" w="med" len="med"/>
                        </a:ln>
                      </wps:spPr>
                      <wps:txbx>
                        <w:txbxContent>
                          <w:p w14:paraId="5A0F94CA">
                            <w:pPr>
                              <w:rPr>
                                <w:rFonts w:hint="eastAsia" w:eastAsia="宋体"/>
                                <w:color w:val="auto"/>
                                <w:lang w:eastAsia="zh-CN"/>
                              </w:rPr>
                            </w:pPr>
                            <w:r>
                              <w:rPr>
                                <w:rFonts w:hint="eastAsia"/>
                                <w:color w:val="auto"/>
                                <w:lang w:eastAsia="zh-CN"/>
                              </w:rPr>
                              <w:t>龙王线</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210.9pt;margin-top:127.3pt;height:30.05pt;width:47.05pt;rotation:-4063232f;z-index:251786240;mso-width-relative:page;mso-height-relative:page;" fillcolor="#FFFFFF [3212]" filled="t" stroked="t" coordsize="21600,21600" o:gfxdata="UEsDBAoAAAAAAIdO4kAAAAAAAAAAAAAAAAAEAAAAZHJzL1BLAwQUAAAACACHTuJAYMqZQNkAAAAL&#10;AQAADwAAAGRycy9kb3ducmV2LnhtbE2PvU7DQBCEeyTe4bRIdOR8xk6C8ToFEg1CQhgKyotvY1vc&#10;j/Fd4vD2LBWUoxnNfFPvzs6KE81xDB5BrTIQ5LtgRt8jvL893mxBxKS90TZ4QvimCLvm8qLWlQmL&#10;f6VTm3rBJT5WGmFIaaqkjN1ATsdVmMizdwiz04nl3Esz64XLnZV5lq2l06PnhUFP9DBQ99keHYJ+&#10;5rGnryXfKus2L+bQhvxjRLy+Utk9iETn9BeGX3xGh4aZ9uHoTRQWocgVoyeEvCzWIDhRqvIOxB7h&#10;VhUbkE0t/39ofgBQSwMEFAAAAAgAh07iQNOlvGmiAgAAYQUAAA4AAABkcnMvZTJvRG9jLnhtbK1U&#10;zW4TMRC+I/EOlu90k7ShadRNFRqCkCpaqSDOjtebteQ/bCfZ8ADwBpy4cOe5+hx89iZtWjj0QA6r&#10;sefLNzPfzPj8otWKrIUP0pqS9o96lAjDbSXNsqSfPs5fjSgJkZmKKWtESbci0IvJyxfnGzcWA9tY&#10;VQlPQGLCeONK2sToxkUReCM0C0fWCQNnbb1mEUe/LCrPNmDXqhj0eq+LjfWV85aLEHA765x0x+if&#10;Q2jrWnIxs3ylhYkdqxeKRZQUGukCneRs61rweF3XQUSiSopKY/4iCOxF+haTczZeeuYayXcpsOek&#10;8KQmzaRB0HuqGYuMrLz8i0pL7m2wdTziVhddIVkRVNHvPdHmtmFO5FogdXD3oof/R8s/rG88kVVJ&#10;B/0+JYZptPzux/e7n7/vfn0j6RISbVwYA3nrgI3tG9ticPb3AZep8rb2mngLhfuno1EPvywISiSA&#10;Q+/tvd6ijYTjcnh2OjweUsLhOh71X8NGsKLjSpzOh/hOWE2SUVKPdmZStr4KsYPuIQkerJLVXCqV&#10;D365uFSerBlaP8+/HfsjmDJkU9Kz4SDlwTDP4QsM7aBIMMsc7RE+HNKmKlFnl8kjWEprxkLThc+u&#10;BGNjLaPw2WoEq96aisStg+YGy0ZTKlpUlCiB3UxWRkYm1XOQUE4ZCJja1bUlWbFdtKBJ5sJWW7Qw&#10;dwkdCY7PJRK9YiHeMI/BxyWehniNT60ssrE7i5LG+q//uk94zCO8SB+LlBRcMY9i1HuDST3rn5yA&#10;NubDyfB0gIM/9CwOPWalLy0ahllEdtlM+Kj2Zu2t/owXZJqiwsUMR+ySxr15Gbv1xgvExXSaQSvn&#10;5bLp/oC9cyxemVvHU5jUE2Onq2hrmUfqQaedkti8PJS7VyKt9uE5ox5exsk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YMqZQNkAAAALAQAADwAAAAAAAAABACAAAAAiAAAAZHJzL2Rvd25yZXYueG1s&#10;UEsBAhQAFAAAAAgAh07iQNOlvGmiAgAAYQUAAA4AAAAAAAAAAQAgAAAAKAEAAGRycy9lMm9Eb2Mu&#10;eG1sUEsFBgAAAAAGAAYAWQEAADwGAAAAAA==&#10;">
                <v:fill on="t" focussize="0,0"/>
                <v:stroke color="#000000 [3213]" joinstyle="miter" endcap="square"/>
                <v:imagedata o:title=""/>
                <o:lock v:ext="edit" aspectratio="f"/>
                <v:textbox>
                  <w:txbxContent>
                    <w:p w14:paraId="5A0F94CA">
                      <w:pPr>
                        <w:rPr>
                          <w:rFonts w:hint="eastAsia" w:eastAsia="宋体"/>
                          <w:color w:val="auto"/>
                          <w:lang w:eastAsia="zh-CN"/>
                        </w:rPr>
                      </w:pPr>
                      <w:r>
                        <w:rPr>
                          <w:rFonts w:hint="eastAsia"/>
                          <w:color w:val="auto"/>
                          <w:lang w:eastAsia="zh-CN"/>
                        </w:rPr>
                        <w:t>龙王线</w:t>
                      </w:r>
                    </w:p>
                  </w:txbxContent>
                </v:textbox>
              </v:shape>
            </w:pict>
          </mc:Fallback>
        </mc:AlternateContent>
      </w:r>
      <w:r>
        <w:rPr>
          <w:color w:val="auto"/>
          <w:sz w:val="24"/>
          <w:highlight w:val="none"/>
        </w:rPr>
        <mc:AlternateContent>
          <mc:Choice Requires="wps">
            <w:drawing>
              <wp:anchor distT="0" distB="0" distL="114300" distR="114300" simplePos="0" relativeHeight="251795456" behindDoc="0" locked="0" layoutInCell="1" allowOverlap="1">
                <wp:simplePos x="0" y="0"/>
                <wp:positionH relativeFrom="column">
                  <wp:posOffset>3477260</wp:posOffset>
                </wp:positionH>
                <wp:positionV relativeFrom="paragraph">
                  <wp:posOffset>733425</wp:posOffset>
                </wp:positionV>
                <wp:extent cx="603250" cy="381635"/>
                <wp:effectExtent l="113030" t="58420" r="114935" b="62230"/>
                <wp:wrapNone/>
                <wp:docPr id="212" name="文本框 212"/>
                <wp:cNvGraphicFramePr/>
                <a:graphic xmlns:a="http://schemas.openxmlformats.org/drawingml/2006/main">
                  <a:graphicData uri="http://schemas.microsoft.com/office/word/2010/wordprocessingShape">
                    <wps:wsp>
                      <wps:cNvSpPr txBox="1"/>
                      <wps:spPr>
                        <a:xfrm rot="17640000">
                          <a:off x="0" y="0"/>
                          <a:ext cx="603250" cy="381635"/>
                        </a:xfrm>
                        <a:prstGeom prst="rect">
                          <a:avLst/>
                        </a:prstGeom>
                        <a:solidFill>
                          <a:schemeClr val="bg1"/>
                        </a:solidFill>
                        <a:ln w="9525" cap="sq" cmpd="sng">
                          <a:solidFill>
                            <a:schemeClr val="tx1"/>
                          </a:solidFill>
                          <a:prstDash val="solid"/>
                          <a:miter/>
                          <a:headEnd type="none" w="med" len="med"/>
                          <a:tailEnd type="none" w="med" len="med"/>
                        </a:ln>
                      </wps:spPr>
                      <wps:txbx>
                        <w:txbxContent>
                          <w:p w14:paraId="0979710F">
                            <w:pPr>
                              <w:rPr>
                                <w:rFonts w:hint="eastAsia" w:eastAsia="宋体"/>
                                <w:color w:val="auto"/>
                                <w:lang w:eastAsia="zh-CN"/>
                              </w:rPr>
                            </w:pPr>
                            <w:r>
                              <w:rPr>
                                <w:rFonts w:hint="eastAsia"/>
                                <w:color w:val="auto"/>
                                <w:lang w:eastAsia="zh-CN"/>
                              </w:rPr>
                              <w:t>大洋河</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273.8pt;margin-top:57.75pt;height:30.05pt;width:47.5pt;rotation:-4325376f;z-index:251795456;mso-width-relative:page;mso-height-relative:page;" fillcolor="#FFFFFF [3212]" filled="t" stroked="t" coordsize="21600,21600" o:gfxdata="UEsDBAoAAAAAAIdO4kAAAAAAAAAAAAAAAAAEAAAAZHJzL1BLAwQUAAAACACHTuJAmF36w9YAAAAL&#10;AQAADwAAAGRycy9kb3ducmV2LnhtbE2PwU7DMBBE70j8g7VI3KiTtE4hxKkQEh9AQVWPTrIkEfE6&#10;2E4T/p7lBMedeZqdKQ+rHcUFfRgcaUg3CQikxrUDdRre317u7kGEaKg1oyPU8I0BDtX1VWmK1i30&#10;ipdj7ASHUCiMhj7GqZAyND1aEzZuQmLvw3lrIp++k603C4fbUWZJkktrBuIPvZnwucfm8zhbDec1&#10;P5399mk5dfQgM1fj9kvNWt/epMkjiIhr/IPhtz5Xh4o71W6mNohRg9rtc0bZSJUCwUS+y1ipWdmr&#10;HGRVyv8bqh9QSwMEFAAAAAgAh07iQJdHusaiAgAAYQUAAA4AAABkcnMvZTJvRG9jLnhtbK1UzW4T&#10;MRC+I/EOlu90kzRJ26ibKjQEIVW0UkGcHa83a8l/2M4fD0DfgBMX7jxXn4PP3qRNC4ceyGE1nvny&#10;zcw3Hp9fbLQiK+GDtKak3aMOJcJwW0mzKOnnT7M3p5SEyEzFlDWipFsR6MX49avztRuJnm2sqoQn&#10;IDFhtHYlbWJ0o6IIvBGahSPrhEGwtl6ziKNfFJVna7BrVfQ6nWGxtr5y3nIRArzTNkh3jP4lhLau&#10;JRdTy5damNiyeqFYREuhkS7Qca62rgWP13UdRCSqpOg05i+SwJ6nbzE+Z6OFZ66RfFcCe0kJz3rS&#10;TBokfaCassjI0su/qLTk3gZbxyNuddE2khVBF93OM21uG+ZE7gVSB/cgevh/tPzj6sYTWZW01+1R&#10;YpjGyO9/3N3//H3/6ztJTki0dmEE5K0DNm7e2g0uzt4f4Eydb2qvibdQuHsy7Hfwy4KgRQI49N4+&#10;6C02kXA4h53j3gARjtDxaXd4PEikRcuVOJ0P8b2wmiSjpB7jzKRsdRViC91DEjxYJauZVCof/GJ+&#10;qTxZMYx+ln879icwZci6pGeD3gB1MNzn8BWGdlAkmEXO9gQfDmlTl+izreQJLJU1ZaFp0+dQgrGR&#10;llH4bDWCVe9MReLWQXODZaOpFC0qSpTAbiYrIyOT6iVIKKcMBEzjaseSrLiZb0CTzLmtthhhnhJ0&#10;D47PJAq9YiHeMI+LDyeehniNT60sqrE7i5LG+m//8ic87iOiKB+LlBRcMo9m1AeDm3rW7fdBG/Oh&#10;Pzjp4eAPI/PDiFnqS4uBdXN12Uz4qPZm7a3+ghdkkrIixAxH7pLGvXkZ2/XGC8TFZJJBS+flomn/&#10;gL1zLF6ZW8dTmjQTYyfLaGuZr9SjTjslsXn5Uu5eibTah+eMenwZx3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mF36w9YAAAALAQAADwAAAAAAAAABACAAAAAiAAAAZHJzL2Rvd25yZXYueG1sUEsB&#10;AhQAFAAAAAgAh07iQJdHusaiAgAAYQUAAA4AAAAAAAAAAQAgAAAAJQEAAGRycy9lMm9Eb2MueG1s&#10;UEsFBgAAAAAGAAYAWQEAADkGAAAAAA==&#10;">
                <v:fill on="t" focussize="0,0"/>
                <v:stroke color="#000000 [3213]" joinstyle="miter" endcap="square"/>
                <v:imagedata o:title=""/>
                <o:lock v:ext="edit" aspectratio="f"/>
                <v:textbox>
                  <w:txbxContent>
                    <w:p w14:paraId="0979710F">
                      <w:pPr>
                        <w:rPr>
                          <w:rFonts w:hint="eastAsia" w:eastAsia="宋体"/>
                          <w:color w:val="auto"/>
                          <w:lang w:eastAsia="zh-CN"/>
                        </w:rPr>
                      </w:pPr>
                      <w:r>
                        <w:rPr>
                          <w:rFonts w:hint="eastAsia"/>
                          <w:color w:val="auto"/>
                          <w:lang w:eastAsia="zh-CN"/>
                        </w:rPr>
                        <w:t>大洋河</w:t>
                      </w:r>
                    </w:p>
                  </w:txbxContent>
                </v:textbox>
              </v:shape>
            </w:pict>
          </mc:Fallback>
        </mc:AlternateContent>
      </w:r>
      <w:r>
        <w:rPr>
          <w:color w:val="auto"/>
          <w:sz w:val="24"/>
          <w:highlight w:val="none"/>
        </w:rPr>
        <mc:AlternateContent>
          <mc:Choice Requires="wps">
            <w:drawing>
              <wp:anchor distT="0" distB="0" distL="114300" distR="114300" simplePos="0" relativeHeight="251789312" behindDoc="0" locked="0" layoutInCell="1" allowOverlap="1">
                <wp:simplePos x="0" y="0"/>
                <wp:positionH relativeFrom="column">
                  <wp:posOffset>2042160</wp:posOffset>
                </wp:positionH>
                <wp:positionV relativeFrom="paragraph">
                  <wp:posOffset>1134110</wp:posOffset>
                </wp:positionV>
                <wp:extent cx="914400" cy="381635"/>
                <wp:effectExtent l="198755" t="42545" r="200660" b="52705"/>
                <wp:wrapNone/>
                <wp:docPr id="210" name="文本框 210"/>
                <wp:cNvGraphicFramePr/>
                <a:graphic xmlns:a="http://schemas.openxmlformats.org/drawingml/2006/main">
                  <a:graphicData uri="http://schemas.microsoft.com/office/word/2010/wordprocessingShape">
                    <wps:wsp>
                      <wps:cNvSpPr txBox="1"/>
                      <wps:spPr>
                        <a:xfrm rot="17880000">
                          <a:off x="0" y="0"/>
                          <a:ext cx="914400" cy="381635"/>
                        </a:xfrm>
                        <a:prstGeom prst="rect">
                          <a:avLst/>
                        </a:prstGeom>
                        <a:solidFill>
                          <a:schemeClr val="bg1"/>
                        </a:solidFill>
                        <a:ln w="9525" cap="sq" cmpd="sng">
                          <a:solidFill>
                            <a:schemeClr val="tx1"/>
                          </a:solidFill>
                          <a:prstDash val="solid"/>
                          <a:miter/>
                          <a:headEnd type="none" w="med" len="med"/>
                          <a:tailEnd type="none" w="med" len="med"/>
                        </a:ln>
                      </wps:spPr>
                      <wps:txbx>
                        <w:txbxContent>
                          <w:p w14:paraId="2CCDF3BF">
                            <w:pPr>
                              <w:rPr>
                                <w:rFonts w:hint="eastAsia" w:eastAsia="宋体"/>
                                <w:color w:val="auto"/>
                                <w:lang w:eastAsia="zh-CN"/>
                              </w:rPr>
                            </w:pPr>
                            <w:r>
                              <w:rPr>
                                <w:rFonts w:hint="eastAsia"/>
                                <w:color w:val="auto"/>
                                <w:lang w:eastAsia="zh-CN"/>
                              </w:rPr>
                              <w:t>王家堡子村</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160.8pt;margin-top:89.3pt;height:30.05pt;width:72pt;rotation:-4063232f;z-index:251789312;mso-width-relative:page;mso-height-relative:page;" fillcolor="#FFFFFF [3212]" filled="t" stroked="t" coordsize="21600,21600" o:gfxdata="UEsDBAoAAAAAAIdO4kAAAAAAAAAAAAAAAAAEAAAAZHJzL1BLAwQUAAAACACHTuJAqSZfANcAAAAL&#10;AQAADwAAAGRycy9kb3ducmV2LnhtbE2PsU7EMBBEeyT+wVokOs6JD5IoxLkCiQYhIQIFpS/eSyLs&#10;dYh9l+PvWSroZjWjmbfN7uydOOESp0Aa8k0GAqkPdqJBw/vb400FIiZD1rhAqOEbI+zay4vG1Das&#10;9IqnLg2CSyjWRsOY0lxLGfsRvYmbMCOxdwiLN4nPZZB2MSuXeydVlhXSm4l4YTQzPozYf3ZHr8E8&#10;89jT16qq3PnyxR66oD4mra+v8uweRMJz+gvDLz6jQ8tM+3AkG4XTsFV5wVE2yooFJ26LOxZ7DWpb&#10;lSDbRv7/of0BUEsDBBQAAAAIAIdO4kCxfpgRngIAAGEFAAAOAAAAZHJzL2Uyb0RvYy54bWytVM1u&#10;EzEQviPxDpbvdLNp04aomyo0BCFVtFJBnB2vN2vJf9jOHw8Ab8CJC3eeq8/BZ2/SpoVDD+SwGs98&#10;+WbmG4/PLzZakZXwQVpT0fKoR4kw3NbSLCr66ePs1ZCSEJmpmbJGVHQrAr0Yv3xxvnYj0betVbXw&#10;BCQmjNauom2MblQUgbdCs3BknTAINtZrFnH0i6L2bA12rYp+r3darK2vnbdchADvtAvSHaN/DqFt&#10;GsnF1PKlFiZ2rF4oFtFSaKULdJyrbRrB43XTBBGJqig6jfmLJLDn6VuMz9lo4ZlrJd+VwJ5TwpOe&#10;NJMGSe+ppiwysvTyLyotubfBNvGIW110jWRF0EXZe6LNbcucyL1A6uDuRQ//j5Z/WN14IuuK9kto&#10;YpjGyO9+fL/7+fvu1zeSnJBo7cIIyFsHbNy8sRtcnL0/wJk63zReE2+hcHk2HPbwy4KgRQI4uLf3&#10;eotNJBzO1+XJCWCEI3Q8LE+PB4m06LgSp/MhvhNWk2RU1GOcmZStrkLsoHtIggerZD2TSuWDX8wv&#10;lScrhtHP8m/H/gimDFmjkkF/gDoY7nP4AkM7KBLMImd7hA+HtKlLNNBV8giWypqy0HbpcyjB2EjL&#10;KHy2WsHqt6YmceugucGy0VSKFjUlSmA3k5WRkUn1HCSUUwYCpnF1Y0lW3Mw3oEnm3NZbjDBPCboH&#10;x2cShV6xEG+Yx8WHE09DvManURbV2J1FSWv913/5Ex73EVGUj0VKCi6ZRzPqvcFNzUPG5uXDyeCs&#10;jxz+MDI/jJilvrQYWJmry2bCR7U3G2/1Z7wgk5QVIWY4clc07s3L2K03XiAuJpMMWjovF233B+yd&#10;Y/HK3Dqe0qSZGDtZRtvIfKUedNopic3Ll3L3SqTVPjxn1MPLOP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qSZfANcAAAALAQAADwAAAAAAAAABACAAAAAiAAAAZHJzL2Rvd25yZXYueG1sUEsBAhQA&#10;FAAAAAgAh07iQLF+mBGeAgAAYQUAAA4AAAAAAAAAAQAgAAAAJgEAAGRycy9lMm9Eb2MueG1sUEsF&#10;BgAAAAAGAAYAWQEAADYGAAAAAA==&#10;">
                <v:fill on="t" focussize="0,0"/>
                <v:stroke color="#000000 [3213]" joinstyle="miter" endcap="square"/>
                <v:imagedata o:title=""/>
                <o:lock v:ext="edit" aspectratio="f"/>
                <v:textbox>
                  <w:txbxContent>
                    <w:p w14:paraId="2CCDF3BF">
                      <w:pPr>
                        <w:rPr>
                          <w:rFonts w:hint="eastAsia" w:eastAsia="宋体"/>
                          <w:color w:val="auto"/>
                          <w:lang w:eastAsia="zh-CN"/>
                        </w:rPr>
                      </w:pPr>
                      <w:r>
                        <w:rPr>
                          <w:rFonts w:hint="eastAsia"/>
                          <w:color w:val="auto"/>
                          <w:lang w:eastAsia="zh-CN"/>
                        </w:rPr>
                        <w:t>王家堡子村</w:t>
                      </w:r>
                    </w:p>
                  </w:txbxContent>
                </v:textbox>
              </v:shape>
            </w:pict>
          </mc:Fallback>
        </mc:AlternateContent>
      </w:r>
      <w:r>
        <w:rPr>
          <w:color w:val="auto"/>
          <w:sz w:val="24"/>
          <w:highlight w:val="none"/>
        </w:rPr>
        <mc:AlternateContent>
          <mc:Choice Requires="wps">
            <w:drawing>
              <wp:anchor distT="0" distB="0" distL="114300" distR="114300" simplePos="0" relativeHeight="251793408" behindDoc="0" locked="0" layoutInCell="1" allowOverlap="1">
                <wp:simplePos x="0" y="0"/>
                <wp:positionH relativeFrom="column">
                  <wp:posOffset>1334135</wp:posOffset>
                </wp:positionH>
                <wp:positionV relativeFrom="paragraph">
                  <wp:posOffset>3382010</wp:posOffset>
                </wp:positionV>
                <wp:extent cx="581660" cy="523875"/>
                <wp:effectExtent l="4445" t="4445" r="23495" b="5080"/>
                <wp:wrapNone/>
                <wp:docPr id="207" name="文本框 207"/>
                <wp:cNvGraphicFramePr/>
                <a:graphic xmlns:a="http://schemas.openxmlformats.org/drawingml/2006/main">
                  <a:graphicData uri="http://schemas.microsoft.com/office/word/2010/wordprocessingShape">
                    <wps:wsp>
                      <wps:cNvSpPr txBox="1"/>
                      <wps:spPr>
                        <a:xfrm>
                          <a:off x="1694180" y="4925060"/>
                          <a:ext cx="581660" cy="523875"/>
                        </a:xfrm>
                        <a:prstGeom prst="rect">
                          <a:avLst/>
                        </a:prstGeom>
                        <a:solidFill>
                          <a:schemeClr val="bg1"/>
                        </a:solidFill>
                        <a:ln w="9525" cap="sq" cmpd="sng">
                          <a:solidFill>
                            <a:schemeClr val="tx1"/>
                          </a:solidFill>
                          <a:prstDash val="solid"/>
                          <a:miter/>
                          <a:headEnd type="none" w="med" len="med"/>
                          <a:tailEnd type="none" w="med" len="med"/>
                        </a:ln>
                      </wps:spPr>
                      <wps:txbx>
                        <w:txbxContent>
                          <w:p w14:paraId="567A7976">
                            <w:r>
                              <w:rPr>
                                <w:rFonts w:hint="eastAsia"/>
                              </w:rPr>
                              <w:t>华玉山水小区</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05.05pt;margin-top:266.3pt;height:41.25pt;width:45.8pt;z-index:251793408;mso-width-relative:page;mso-height-relative:page;" fillcolor="#FFFFFF [3212]" filled="t" stroked="t" coordsize="21600,21600" o:gfxdata="UEsDBAoAAAAAAIdO4kAAAAAAAAAAAAAAAAAEAAAAZHJzL1BLAwQUAAAACACHTuJAU0X1E9kAAAAL&#10;AQAADwAAAGRycy9kb3ducmV2LnhtbE2PMU/DMBCFdyT+g3WVWBC1ndIUpXE6ILEwlZSB0Y2vSVT7&#10;HMVu0vLrMROMp/fpve/K3dVZNuEYek8K5FIAQ2q86alV8Hl4e3oBFqImo60nVHDDALvq/q7UhfEz&#10;feBUx5alEgqFVtDFOBSch6ZDp8PSD0gpO/nR6ZjOseVm1HMqd5ZnQuTc6Z7SQqcHfO2wOdcXp2CP&#10;m8c5P8vn96/T961u97afolTqYSHFFljEa/yD4Vc/qUOVnI7+QiYwqyCTQiZUwXqV5cASsRJyA+yo&#10;IJdrCbwq+f8fqh9QSwMEFAAAAAgAh07iQBWXthmeAgAAVgUAAA4AAABkcnMvZTJvRG9jLnhtbK1U&#10;zW4TMRC+I/EOlu90k9CkadQNCg1BSBWtVBBnx+vNWvIftpNseAB4A05cuPNcfQ4+e5P+0UMP7MEZ&#10;j798nvlmxmdvWq3IRvggrSlp/6hHiTDcVtKsSvr50+LVmJIQmamYskaUdCcCfTN9+eJs6yZiYBur&#10;KuEJSEyYbF1JmxjdpCgCb4Rm4cg6YXBYW69ZxNavisqzLdi1Kga93qjYWl85b7kIAd55d0j3jP45&#10;hLauJRdzy9damNixeqFYREqhkS7QaY62rgWPl3UdRCSqpMg05hWXwF6mtZiescnKM9dIvg+BPSeE&#10;RzlpJg0uvaWas8jI2st/qLTk3gZbxyNuddElkhVBFv3eI22uG+ZEzgVSB3crevh/tPzj5soTWZV0&#10;0DuhxDCNkt/8/HHz68/N7+8kOSHR1oUJkNcO2Ni+tS0a5+APcKbM29rr9IucSDofnR73x5B5V9Lj&#10;08GwN9qLLdpIOADDcX8EH+EADAevxyfDxFjcETkf4nthNUlGST1qmSVmm4sQO+gBku4NVslqIZXK&#10;G79anitPNgx1X+Rvz/4ApgzZlvR0OBgiDoZmDl9haAc5glnl2x7gw33aXv6eok1hzVlouuszQ4Kx&#10;iZZR+Gw1glXvTEXizkFwg0mjKRQtKkqUwGAmKyMjk+o5SCinDARMtepqkqzYLlvQJHNpqx3q5203&#10;BMHxhUSgFyzEK+bR9SgG3oV4iaVWFtHYvUVJY/23p/wJj2bEKcLHFCUF18wjGfXBoE1BGbNxPDwZ&#10;YOMP3uV9r1nrc4tC9fHyOJ7NhI3qYNbe6i94NmbpNhwxw3FnSePBPI/dTOPZ4WI2y6C183LV4A+g&#10;xbA5Fi/MteNpn2ph7GwdbS1zK93ps1cQ45abcf80pHm+v8+ou+dw+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BTRfUT2QAAAAsBAAAPAAAAAAAAAAEAIAAAACIAAABkcnMvZG93bnJldi54bWxQSwEC&#10;FAAUAAAACACHTuJAFZe2GZ4CAABWBQAADgAAAAAAAAABACAAAAAoAQAAZHJzL2Uyb0RvYy54bWxQ&#10;SwUGAAAAAAYABgBZAQAAOAYAAAAA&#10;">
                <v:fill on="t" focussize="0,0"/>
                <v:stroke color="#000000 [3213]" joinstyle="miter" endcap="square"/>
                <v:imagedata o:title=""/>
                <o:lock v:ext="edit" aspectratio="f"/>
                <v:textbox inset="0mm,1.27mm,0mm,1.27mm">
                  <w:txbxContent>
                    <w:p w14:paraId="567A7976">
                      <w:r>
                        <w:rPr>
                          <w:rFonts w:hint="eastAsia"/>
                        </w:rPr>
                        <w:t>华玉山水小区</w:t>
                      </w:r>
                    </w:p>
                  </w:txbxContent>
                </v:textbox>
              </v:shape>
            </w:pict>
          </mc:Fallback>
        </mc:AlternateContent>
      </w:r>
    </w:p>
    <w:p w14:paraId="382A1B0E">
      <w:pPr>
        <w:jc w:val="center"/>
        <w:rPr>
          <w:color w:val="auto"/>
          <w:highlight w:val="none"/>
          <w:shd w:val="clear" w:color="auto" w:fill="auto"/>
        </w:rPr>
      </w:pPr>
      <w:r>
        <w:rPr>
          <w:color w:val="auto"/>
          <w:highlight w:val="none"/>
          <w:shd w:val="clear" w:color="auto" w:fill="auto"/>
        </w:rPr>
        <w:drawing>
          <wp:anchor distT="0" distB="0" distL="114300" distR="114300" simplePos="0" relativeHeight="251688960" behindDoc="0" locked="0" layoutInCell="1" allowOverlap="1">
            <wp:simplePos x="0" y="0"/>
            <wp:positionH relativeFrom="column">
              <wp:posOffset>8883015</wp:posOffset>
            </wp:positionH>
            <wp:positionV relativeFrom="paragraph">
              <wp:posOffset>74930</wp:posOffset>
            </wp:positionV>
            <wp:extent cx="645160" cy="685165"/>
            <wp:effectExtent l="0" t="0" r="2540" b="635"/>
            <wp:wrapNone/>
            <wp:docPr id="70"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09"/>
                    <pic:cNvPicPr>
                      <a:picLocks noChangeAspect="1"/>
                    </pic:cNvPicPr>
                  </pic:nvPicPr>
                  <pic:blipFill>
                    <a:blip r:embed="rId35"/>
                    <a:stretch>
                      <a:fillRect/>
                    </a:stretch>
                  </pic:blipFill>
                  <pic:spPr>
                    <a:xfrm>
                      <a:off x="0" y="0"/>
                      <a:ext cx="645160" cy="685165"/>
                    </a:xfrm>
                    <a:prstGeom prst="rect">
                      <a:avLst/>
                    </a:prstGeom>
                    <a:noFill/>
                    <a:ln>
                      <a:noFill/>
                    </a:ln>
                  </pic:spPr>
                </pic:pic>
              </a:graphicData>
            </a:graphic>
          </wp:anchor>
        </w:drawing>
      </w:r>
      <w:r>
        <w:rPr>
          <w:color w:val="auto"/>
          <w:sz w:val="21"/>
          <w:highlight w:val="none"/>
        </w:rPr>
        <mc:AlternateContent>
          <mc:Choice Requires="wps">
            <w:drawing>
              <wp:anchor distT="0" distB="0" distL="114300" distR="114300" simplePos="0" relativeHeight="251661312" behindDoc="0" locked="0" layoutInCell="1" allowOverlap="1">
                <wp:simplePos x="0" y="0"/>
                <wp:positionH relativeFrom="column">
                  <wp:posOffset>2379345</wp:posOffset>
                </wp:positionH>
                <wp:positionV relativeFrom="paragraph">
                  <wp:posOffset>135255</wp:posOffset>
                </wp:positionV>
                <wp:extent cx="2181225" cy="5153025"/>
                <wp:effectExtent l="116840" t="49530" r="121285" b="55245"/>
                <wp:wrapNone/>
                <wp:docPr id="93" name="直接连接符 93"/>
                <wp:cNvGraphicFramePr/>
                <a:graphic xmlns:a="http://schemas.openxmlformats.org/drawingml/2006/main">
                  <a:graphicData uri="http://schemas.microsoft.com/office/word/2010/wordprocessingShape">
                    <wps:wsp>
                      <wps:cNvCnPr/>
                      <wps:spPr>
                        <a:xfrm flipH="1">
                          <a:off x="2522855" y="774700"/>
                          <a:ext cx="2181225" cy="5153025"/>
                        </a:xfrm>
                        <a:prstGeom prst="line">
                          <a:avLst/>
                        </a:prstGeom>
                        <a:ln w="254000">
                          <a:solidFill>
                            <a:schemeClr val="tx2">
                              <a:lumMod val="40000"/>
                              <a:lumOff val="6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187.35pt;margin-top:10.65pt;height:405.75pt;width:171.75pt;z-index:251661312;mso-width-relative:page;mso-height-relative:page;" filled="f" stroked="t" coordsize="21600,21600" o:gfxdata="UEsDBAoAAAAAAIdO4kAAAAAAAAAAAAAAAAAEAAAAZHJzL1BLAwQUAAAACACHTuJAFgy9LNgAAAAK&#10;AQAADwAAAGRycy9kb3ducmV2LnhtbE2Py07DMBBF90j9B2uQ2FHngUiUZlJVIJYsCEWCnRtPk9B4&#10;HGL3+fWYVVmO7tG9Z8rlyQziQJPrLSPE8wgEcWN1zy3C+v3lPgfhvGKtBsuEcCYHy2p2U6pC2yO/&#10;0aH2rQgl7AqF0Hk/FlK6piOj3NyOxCHb2skoH86plXpSx1BuBplE0aM0quew0KmRnjpqdvXeILjV&#10;809f6+/dRX/SOvMfr18NecS72zhagPB08lcY/vSDOlTBaWP3rJ0YENLsIQsoQhKnIAKQxXkCYoOQ&#10;p0kOsirl/xeqX1BLAwQUAAAACACHTuJAtMRfGw4CAADyAwAADgAAAGRycy9lMm9Eb2MueG1srVPN&#10;jtMwEL4j8Q6W7zRp2u6WqOlKbHfhwE8l4AFcx0ks+U8et2lfghdA4gYnjtx5G5bHYOxkF1gue+Bi&#10;zXwz/jzfl8nq4qgVOQgP0pqKTic5JcJwW0vTVvT9u+snS0ogMFMzZY2o6EkAvVg/frTqXSkK21lV&#10;C0+QxEDZu4p2Ibgyy4B3QjOYWCcMFhvrNQuY+jarPeuRXausyPOzrLe+dt5yAYDoZijSkdE/hNA2&#10;jeRiY/leCxMGVi8UCygJOumArtO0TSN4eNM0IAJRFUWlIZ34CMa7eGbrFStbz1wn+TgCe8gI9zRp&#10;Jg0+eke1YYGRvZf/UGnJvQXbhAm3OhuEJEdQxTS/583bjjmRtKDV4O5Mh/9Hy18ftp7IuqJPZ5QY&#10;pvGL33z89uPD55/fP+F58/ULwQra1DsosfvSbP2Ygdv6qPnYeE0aJd0L3KfkAuoix4oWi6JYLhaU&#10;nCp6fj4/z0e/xTEQHuvT5bQosM6xYTFdzHJMkDwbOCO38xCeC6tJDCqqpImGsJIdXkIYWm9bImzs&#10;tVQKcVYqQ/o4wjzHZwlnuKoNrgiG2qFcMC0lTLX4D/DgEydYJet4P14H3+4ulScHhpuzvHo2v5ql&#10;JrXXr2w9wJF6lIQwLtoAn93CqGOkSZr+4o9Tbxh0w5VUGqUrg93R7cHfGO1sfUq2JxxXIfGNaxt3&#10;7c883f79q65/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YMvSzYAAAACgEAAA8AAAAAAAAAAQAg&#10;AAAAIgAAAGRycy9kb3ducmV2LnhtbFBLAQIUABQAAAAIAIdO4kC0xF8bDgIAAPIDAAAOAAAAAAAA&#10;AAEAIAAAACcBAABkcnMvZTJvRG9jLnhtbFBLBQYAAAAABgAGAFkBAACnBQAAAAA=&#10;">
                <v:fill on="f" focussize="0,0"/>
                <v:stroke weight="20pt" color="#8EB4E3 [1311]" joinstyle="round"/>
                <v:imagedata o:title=""/>
                <o:lock v:ext="edit" aspectratio="f"/>
              </v:line>
            </w:pict>
          </mc:Fallback>
        </mc:AlternateContent>
      </w:r>
      <w:r>
        <w:rPr>
          <w:rFonts w:ascii="宋体" w:hAnsi="宋体" w:eastAsia="宋体" w:cs="宋体"/>
          <w:color w:val="auto"/>
          <w:sz w:val="24"/>
          <w:szCs w:val="24"/>
          <w:highlight w:val="none"/>
        </w:rPr>
        <w:drawing>
          <wp:anchor distT="0" distB="0" distL="114300" distR="114300" simplePos="0" relativeHeight="251660288" behindDoc="0" locked="0" layoutInCell="1" allowOverlap="1">
            <wp:simplePos x="0" y="0"/>
            <wp:positionH relativeFrom="column">
              <wp:posOffset>568960</wp:posOffset>
            </wp:positionH>
            <wp:positionV relativeFrom="page">
              <wp:posOffset>749935</wp:posOffset>
            </wp:positionV>
            <wp:extent cx="8990965" cy="6080125"/>
            <wp:effectExtent l="19050" t="19050" r="19685" b="34925"/>
            <wp:wrapNone/>
            <wp:docPr id="126"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8" descr="IMG_256"/>
                    <pic:cNvPicPr>
                      <a:picLocks noChangeAspect="1"/>
                    </pic:cNvPicPr>
                  </pic:nvPicPr>
                  <pic:blipFill>
                    <a:blip r:embed="rId37"/>
                    <a:srcRect t="6554"/>
                    <a:stretch>
                      <a:fillRect/>
                    </a:stretch>
                  </pic:blipFill>
                  <pic:spPr>
                    <a:xfrm>
                      <a:off x="0" y="0"/>
                      <a:ext cx="8990965" cy="6080125"/>
                    </a:xfrm>
                    <a:prstGeom prst="rect">
                      <a:avLst/>
                    </a:prstGeom>
                    <a:noFill/>
                    <a:ln w="19050">
                      <a:solidFill>
                        <a:schemeClr val="tx1"/>
                      </a:solidFill>
                    </a:ln>
                  </pic:spPr>
                </pic:pic>
              </a:graphicData>
            </a:graphic>
          </wp:anchor>
        </w:drawing>
      </w:r>
    </w:p>
    <w:p w14:paraId="579732D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b/>
          <w:bCs/>
          <w:color w:val="auto"/>
          <w:sz w:val="28"/>
          <w:szCs w:val="28"/>
          <w:highlight w:val="none"/>
          <w:shd w:val="clear" w:color="auto" w:fill="auto"/>
          <w:lang w:eastAsia="zh-CN" w:bidi="ar"/>
        </w:rPr>
      </w:pPr>
      <w:r>
        <w:rPr>
          <w:color w:val="auto"/>
          <w:sz w:val="24"/>
          <w:highlight w:val="none"/>
        </w:rPr>
        <mc:AlternateContent>
          <mc:Choice Requires="wps">
            <w:drawing>
              <wp:anchor distT="0" distB="0" distL="114300" distR="114300" simplePos="0" relativeHeight="251802624" behindDoc="0" locked="0" layoutInCell="1" allowOverlap="1">
                <wp:simplePos x="0" y="0"/>
                <wp:positionH relativeFrom="column">
                  <wp:posOffset>5495925</wp:posOffset>
                </wp:positionH>
                <wp:positionV relativeFrom="paragraph">
                  <wp:posOffset>86995</wp:posOffset>
                </wp:positionV>
                <wp:extent cx="914400" cy="381635"/>
                <wp:effectExtent l="4445" t="4445" r="14605" b="13970"/>
                <wp:wrapNone/>
                <wp:docPr id="222" name="文本框 222"/>
                <wp:cNvGraphicFramePr/>
                <a:graphic xmlns:a="http://schemas.openxmlformats.org/drawingml/2006/main">
                  <a:graphicData uri="http://schemas.microsoft.com/office/word/2010/wordprocessingShape">
                    <wps:wsp>
                      <wps:cNvSpPr txBox="1"/>
                      <wps:spPr>
                        <a:xfrm>
                          <a:off x="0" y="0"/>
                          <a:ext cx="914400" cy="381635"/>
                        </a:xfrm>
                        <a:prstGeom prst="rect">
                          <a:avLst/>
                        </a:prstGeom>
                        <a:noFill/>
                        <a:ln w="9525" cap="sq" cmpd="sng">
                          <a:solidFill>
                            <a:schemeClr val="tx1"/>
                          </a:solidFill>
                          <a:prstDash val="solid"/>
                          <a:miter/>
                          <a:headEnd type="none" w="med" len="med"/>
                          <a:tailEnd type="none" w="med" len="med"/>
                        </a:ln>
                      </wps:spPr>
                      <wps:txbx>
                        <w:txbxContent>
                          <w:p w14:paraId="04BBA0B2">
                            <w:pPr>
                              <w:rPr>
                                <w:rFonts w:hint="eastAsia"/>
                                <w:color w:val="FFFFFF" w:themeColor="background1"/>
                                <w:lang w:eastAsia="zh-CN"/>
                                <w14:textFill>
                                  <w14:solidFill>
                                    <w14:schemeClr w14:val="bg1"/>
                                  </w14:solidFill>
                                </w14:textFill>
                              </w:rPr>
                            </w:pPr>
                            <w:r>
                              <w:rPr>
                                <w:rFonts w:hint="eastAsia"/>
                                <w:color w:val="FFFFFF" w:themeColor="background1"/>
                                <w:lang w:eastAsia="zh-CN"/>
                                <w14:textFill>
                                  <w14:solidFill>
                                    <w14:schemeClr w14:val="bg1"/>
                                  </w14:solidFill>
                                </w14:textFill>
                              </w:rPr>
                              <w:t>庙沟村</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432.75pt;margin-top:6.85pt;height:30.05pt;width:72pt;z-index:251802624;mso-width-relative:page;mso-height-relative:page;" filled="f" stroked="t" coordsize="21600,21600" o:gfxdata="UEsDBAoAAAAAAIdO4kAAAAAAAAAAAAAAAAAEAAAAZHJzL1BLAwQUAAAACACHTuJAt3Oc9dgAAAAK&#10;AQAADwAAAGRycy9kb3ducmV2LnhtbE2PPU/DMBCGdyT+g3WV2KhdojQhjdMBBIIJ0TIwOvE1ieqP&#10;ELtp+PdcJzrevY/ee67cztawCcfQeydhtRTA0DVe966V8LV/uc+BhaicVsY7lPCLAbbV7U2pCu3P&#10;7hOnXWwZlbhQKAldjEPBeWg6tCos/YCOsoMfrYo0ji3XozpTuTX8QYg1t6p3dKFTAz512Bx3Jyth&#10;9uM+SZ8zXr+b9vDzqt+mj+O3lHeLldgAizjHfxgu+qQOFTnV/uR0YEZCvk5TQilIMmAXQIhH2tQS&#10;siQHXpX8+oXqD1BLAwQUAAAACACHTuJAofEk4o4CAAApBQAADgAAAGRycy9lMm9Eb2MueG1srVTN&#10;bhMxEL4j8Q6W73STbVNKlE0VGoqQKlqpIM6O15u15D9sJ9nwAPAGnLhw57n6HHz2Jk0pHHogh83Y&#10;8/mbmc8znpx3WpG18EFaU9Hh0YASYbitpVlW9OOHyxdnlITITM2UNaKiWxHo+fT5s8nGjUVpW6tq&#10;4QlITBhvXEXbGN24KAJvhWbhyDph4Gys1yxi6ZdF7dkG7FoV5WBwWmysr523XISA3XnvpDtG/xRC&#10;2zSSi7nlKy1M7Fm9UCyipNBKF+g0Z9s0gsfrpgkiElVRVBrzF0FgL9K3mE7YeOmZayXfpcCeksKj&#10;mjSTBkHvqeYsMrLy8i8qLbm3wTbxiFtd9IVkRVDFcPBIm9uWOZFrgdTB3Yse/h8tf7++8UTWFS3L&#10;khLDNK787vu3ux+/7n5+JWkTEm1cGAN564CN3WvboXH2+wGbqfKu8Tr9oyYCPwTe3gssukg4Nl8N&#10;T04G8HC4js+Gp8ejxFIcDjsf4lthNUlGRT3uL8vK1lch9tA9JMUy9lIqle9QGbJBgFE5Aj1DX4bP&#10;MLRDZcEsM0mwStbpQDoa/HJxoTxZs9QZ+bfL5Q9YijZnoe1x2ZVgbKxlFD5brWD1G1OTuHXQzmBo&#10;aEpFi5oSJTBjycrIyKR6ChKCKANdkuy9vMmK3aIDTTIXtt7iKrzt+zk4fimR6BUL8YZ5NDA0xojH&#10;a3waZZGN3VmUtNZ/+dd+wqOv4EX6GIik4Ip5FKPeGXRcvjtMUF6cjF6WiOEfehYPPWalLyyUHeIx&#10;cTybCR/V3my81Z/wEsxSVLiY4Yhd0bg3L2I/pnhJuJjNMmjlvFy2OABazI9j8crcOp7WfTvMVtE2&#10;MnfKQaedkpig3Gu7aU8j+nCdUYcXbvo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t3Oc9dgAAAAK&#10;AQAADwAAAAAAAAABACAAAAAiAAAAZHJzL2Rvd25yZXYueG1sUEsBAhQAFAAAAAgAh07iQKHxJOKO&#10;AgAAKQUAAA4AAAAAAAAAAQAgAAAAJwEAAGRycy9lMm9Eb2MueG1sUEsFBgAAAAAGAAYAWQEAACcG&#10;AAAAAA==&#10;">
                <v:fill on="f" focussize="0,0"/>
                <v:stroke color="#000000 [3213]" joinstyle="miter" endcap="square"/>
                <v:imagedata o:title=""/>
                <o:lock v:ext="edit" aspectratio="f"/>
                <v:textbox>
                  <w:txbxContent>
                    <w:p w14:paraId="04BBA0B2">
                      <w:pPr>
                        <w:rPr>
                          <w:rFonts w:hint="eastAsia"/>
                          <w:color w:val="FFFFFF" w:themeColor="background1"/>
                          <w:lang w:eastAsia="zh-CN"/>
                          <w14:textFill>
                            <w14:solidFill>
                              <w14:schemeClr w14:val="bg1"/>
                            </w14:solidFill>
                          </w14:textFill>
                        </w:rPr>
                      </w:pPr>
                      <w:r>
                        <w:rPr>
                          <w:rFonts w:hint="eastAsia"/>
                          <w:color w:val="FFFFFF" w:themeColor="background1"/>
                          <w:lang w:eastAsia="zh-CN"/>
                          <w14:textFill>
                            <w14:solidFill>
                              <w14:schemeClr w14:val="bg1"/>
                            </w14:solidFill>
                          </w14:textFill>
                        </w:rPr>
                        <w:t>庙沟村</w:t>
                      </w:r>
                    </w:p>
                  </w:txbxContent>
                </v:textbox>
              </v:shape>
            </w:pict>
          </mc:Fallback>
        </mc:AlternateContent>
      </w:r>
    </w:p>
    <w:p w14:paraId="1089F7A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b/>
          <w:bCs/>
          <w:color w:val="auto"/>
          <w:sz w:val="28"/>
          <w:szCs w:val="28"/>
          <w:highlight w:val="none"/>
          <w:shd w:val="clear" w:color="auto" w:fill="auto"/>
          <w:lang w:eastAsia="zh-CN" w:bidi="ar"/>
        </w:rPr>
        <w:sectPr>
          <w:pgSz w:w="16838" w:h="11906" w:orient="landscape"/>
          <w:pgMar w:top="1134" w:right="567" w:bottom="1134" w:left="567" w:header="851" w:footer="851" w:gutter="0"/>
          <w:pgNumType w:fmt="decimal"/>
          <w:cols w:space="720" w:num="1"/>
          <w:docGrid w:type="lines" w:linePitch="312" w:charSpace="0"/>
        </w:sectPr>
      </w:pPr>
      <w:r>
        <w:rPr>
          <w:color w:val="auto"/>
          <w:sz w:val="21"/>
          <w:highlight w:val="none"/>
        </w:rPr>
        <mc:AlternateContent>
          <mc:Choice Requires="wps">
            <w:drawing>
              <wp:anchor distT="0" distB="0" distL="114300" distR="114300" simplePos="0" relativeHeight="251812864" behindDoc="0" locked="0" layoutInCell="1" allowOverlap="1">
                <wp:simplePos x="0" y="0"/>
                <wp:positionH relativeFrom="column">
                  <wp:posOffset>3596640</wp:posOffset>
                </wp:positionH>
                <wp:positionV relativeFrom="paragraph">
                  <wp:posOffset>2397125</wp:posOffset>
                </wp:positionV>
                <wp:extent cx="534035" cy="282575"/>
                <wp:effectExtent l="0" t="0" r="0" b="0"/>
                <wp:wrapNone/>
                <wp:docPr id="179" name="文本框 382"/>
                <wp:cNvGraphicFramePr/>
                <a:graphic xmlns:a="http://schemas.openxmlformats.org/drawingml/2006/main">
                  <a:graphicData uri="http://schemas.microsoft.com/office/word/2010/wordprocessingShape">
                    <wps:wsp>
                      <wps:cNvSpPr txBox="1"/>
                      <wps:spPr>
                        <a:xfrm>
                          <a:off x="0" y="0"/>
                          <a:ext cx="534035" cy="282575"/>
                        </a:xfrm>
                        <a:prstGeom prst="rect">
                          <a:avLst/>
                        </a:prstGeom>
                        <a:noFill/>
                        <a:ln>
                          <a:noFill/>
                        </a:ln>
                      </wps:spPr>
                      <wps:txbx>
                        <w:txbxContent>
                          <w:p w14:paraId="6242E7AE">
                            <w:pPr>
                              <w:rPr>
                                <w:rFonts w:hint="default" w:eastAsia="宋体"/>
                                <w:color w:val="FFFFFF"/>
                                <w:lang w:val="en-US" w:eastAsia="zh-CN"/>
                              </w:rPr>
                            </w:pPr>
                            <w:r>
                              <w:rPr>
                                <w:rFonts w:hint="eastAsia"/>
                                <w:color w:val="FFFFFF"/>
                                <w:lang w:val="en-US" w:eastAsia="zh-CN"/>
                              </w:rPr>
                              <w:t>55m</w:t>
                            </w:r>
                          </w:p>
                        </w:txbxContent>
                      </wps:txbx>
                      <wps:bodyPr vert="horz" wrap="square" anchor="t" anchorCtr="0" upright="1"/>
                    </wps:wsp>
                  </a:graphicData>
                </a:graphic>
              </wp:anchor>
            </w:drawing>
          </mc:Choice>
          <mc:Fallback>
            <w:pict>
              <v:shape id="文本框 382" o:spid="_x0000_s1026" o:spt="202" type="#_x0000_t202" style="position:absolute;left:0pt;margin-left:283.2pt;margin-top:188.75pt;height:22.25pt;width:42.05pt;z-index:251812864;mso-width-relative:page;mso-height-relative:page;" filled="f" stroked="f" coordsize="21600,21600" o:gfxdata="UEsDBAoAAAAAAIdO4kAAAAAAAAAAAAAAAAAEAAAAZHJzL1BLAwQUAAAACACHTuJAfLJrk9gAAAAL&#10;AQAADwAAAGRycy9kb3ducmV2LnhtbE2PTU/DMAyG70j8h8hI3Fiy0nZQ6u4A4gpifEjcstZrKxqn&#10;arK1/HvMCW62/Oj185bbxQ3qRFPoPSOsVwYUce2bnluEt9fHqxtQIVpu7OCZEL4pwLY6Pytt0fiZ&#10;X+i0i62SEA6FRehiHAutQ92Rs2HlR2K5HfzkbJR1anUz2VnC3aATY3LtbM/yobMj3XdUf+2ODuH9&#10;6fD5kZrn9sFl4+wXo9ndasTLi7W5AxVpiX8w/OqLOlTitPdHboIaELI8TwVFuN5sMlBC5JmRYY+Q&#10;JokBXZX6f4fqB1BLAwQUAAAACACHTuJAaQ8Jls8BAACEAwAADgAAAGRycy9lMm9Eb2MueG1srVPN&#10;jtMwEL4j7TtYvm+TTSlboqYrsdVyQYC08ACu4zSW4p+dcZuUB4A34MSFO8/V52DstF1YLnvg4oxn&#10;xt/M981kcTOYju0UoHa24leTnDNlpau13VT886e7yzlnGIStReesqvheIb9ZXrxY9L5UhWtdVytg&#10;BGKx7H3F2xB8mWUoW2UETpxXloKNAyMCXWGT1SB6QjddVuT5q6x3UHtwUiGSdzUG+RERngPomkZL&#10;tXJya5QNIyqoTgSihK32yJep26ZRMnxoGlSBdRUnpiGdVITsdTyz5UKUGxC+1fLYgnhOC084GaEt&#10;FT1DrUQQbAv6HyijJTh0TZhIZ7KRSFKEWFzlT7S5b4VXiQtJjf4sOv4/WPl+9xGYrmkTrl9zZoWh&#10;kR++fzv8+HX4+ZVN50WUqPdYUua9p9wwvHEDpZ/8SM7IfGjAxC9xYhQngfdngdUQmCTnbPoyn844&#10;kxQq5sXsehZRssfHHjC8Vc6waFQcaH5JVrF7h2FMPaXEWtbd6a5LM+zsXw7CjJ4sdj52GK0wrIcj&#10;nbWr98SGfgSq0zr4wllPa1BxfNgKUJwJK8ld8XAyb8O4N1sPetPSqyRBqkDDSTSOixSn/+c99fH4&#10;8yx/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Hyya5PYAAAACwEAAA8AAAAAAAAAAQAgAAAAIgAA&#10;AGRycy9kb3ducmV2LnhtbFBLAQIUABQAAAAIAIdO4kBpDwmWzwEAAIQDAAAOAAAAAAAAAAEAIAAA&#10;ACcBAABkcnMvZTJvRG9jLnhtbFBLBQYAAAAABgAGAFkBAABoBQAAAAA=&#10;">
                <v:fill on="f" focussize="0,0"/>
                <v:stroke on="f"/>
                <v:imagedata o:title=""/>
                <o:lock v:ext="edit" aspectratio="f"/>
                <v:textbox>
                  <w:txbxContent>
                    <w:p w14:paraId="6242E7AE">
                      <w:pPr>
                        <w:rPr>
                          <w:rFonts w:hint="default" w:eastAsia="宋体"/>
                          <w:color w:val="FFFFFF"/>
                          <w:lang w:val="en-US" w:eastAsia="zh-CN"/>
                        </w:rPr>
                      </w:pPr>
                      <w:r>
                        <w:rPr>
                          <w:rFonts w:hint="eastAsia"/>
                          <w:color w:val="FFFFFF"/>
                          <w:lang w:val="en-US" w:eastAsia="zh-CN"/>
                        </w:rPr>
                        <w:t>55m</w:t>
                      </w:r>
                    </w:p>
                  </w:txbxContent>
                </v:textbox>
              </v:shape>
            </w:pict>
          </mc:Fallback>
        </mc:AlternateContent>
      </w:r>
      <w:r>
        <w:rPr>
          <w:color w:val="auto"/>
          <w:highlight w:val="none"/>
        </w:rPr>
        <w:drawing>
          <wp:anchor distT="0" distB="0" distL="114300" distR="114300" simplePos="0" relativeHeight="251706368" behindDoc="0" locked="0" layoutInCell="1" allowOverlap="1">
            <wp:simplePos x="0" y="0"/>
            <wp:positionH relativeFrom="column">
              <wp:posOffset>7555230</wp:posOffset>
            </wp:positionH>
            <wp:positionV relativeFrom="page">
              <wp:posOffset>5668645</wp:posOffset>
            </wp:positionV>
            <wp:extent cx="1952625" cy="1152525"/>
            <wp:effectExtent l="0" t="0" r="0" b="0"/>
            <wp:wrapNone/>
            <wp:docPr id="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8"/>
                    <pic:cNvPicPr>
                      <a:picLocks noChangeAspect="1"/>
                    </pic:cNvPicPr>
                  </pic:nvPicPr>
                  <pic:blipFill>
                    <a:blip r:embed="rId38"/>
                    <a:srcRect b="19868"/>
                    <a:stretch>
                      <a:fillRect/>
                    </a:stretch>
                  </pic:blipFill>
                  <pic:spPr>
                    <a:xfrm>
                      <a:off x="0" y="0"/>
                      <a:ext cx="1952625" cy="1152525"/>
                    </a:xfrm>
                    <a:prstGeom prst="rect">
                      <a:avLst/>
                    </a:prstGeom>
                    <a:noFill/>
                    <a:ln>
                      <a:noFill/>
                    </a:ln>
                  </pic:spPr>
                </pic:pic>
              </a:graphicData>
            </a:graphic>
          </wp:anchor>
        </w:drawing>
      </w:r>
      <w:r>
        <w:rPr>
          <w:color w:val="auto"/>
          <w:sz w:val="21"/>
          <w:highlight w:val="none"/>
        </w:rPr>
        <mc:AlternateContent>
          <mc:Choice Requires="wps">
            <w:drawing>
              <wp:anchor distT="0" distB="0" distL="114300" distR="114300" simplePos="0" relativeHeight="251807744" behindDoc="0" locked="0" layoutInCell="1" allowOverlap="1">
                <wp:simplePos x="0" y="0"/>
                <wp:positionH relativeFrom="column">
                  <wp:posOffset>4402455</wp:posOffset>
                </wp:positionH>
                <wp:positionV relativeFrom="paragraph">
                  <wp:posOffset>701675</wp:posOffset>
                </wp:positionV>
                <wp:extent cx="768350" cy="436245"/>
                <wp:effectExtent l="432435" t="4445" r="18415" b="16510"/>
                <wp:wrapNone/>
                <wp:docPr id="59" name="矩形标注 59"/>
                <wp:cNvGraphicFramePr/>
                <a:graphic xmlns:a="http://schemas.openxmlformats.org/drawingml/2006/main">
                  <a:graphicData uri="http://schemas.microsoft.com/office/word/2010/wordprocessingShape">
                    <wps:wsp>
                      <wps:cNvSpPr/>
                      <wps:spPr>
                        <a:xfrm>
                          <a:off x="5974715" y="3046095"/>
                          <a:ext cx="768350" cy="436245"/>
                        </a:xfrm>
                        <a:prstGeom prst="wedgeRectCallout">
                          <a:avLst>
                            <a:gd name="adj1" fmla="val -105702"/>
                            <a:gd name="adj2" fmla="val 44032"/>
                          </a:avLst>
                        </a:pr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EA76BD6">
                            <w:pPr>
                              <w:jc w:val="center"/>
                              <w:rPr>
                                <w:rFonts w:hint="eastAsia" w:eastAsia="宋体"/>
                                <w:color w:val="auto"/>
                                <w:lang w:eastAsia="zh-CN"/>
                              </w:rPr>
                            </w:pPr>
                            <w:r>
                              <w:rPr>
                                <w:rFonts w:hint="eastAsia"/>
                                <w:color w:val="FFFFFF" w:themeColor="background1"/>
                                <w:lang w:eastAsia="zh-CN"/>
                                <w14:textFill>
                                  <w14:solidFill>
                                    <w14:schemeClr w14:val="bg1"/>
                                  </w14:solidFill>
                                </w14:textFill>
                              </w:rPr>
                              <w:t>大洋河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46.65pt;margin-top:55.25pt;height:34.35pt;width:60.5pt;z-index:251807744;v-text-anchor:middle;mso-width-relative:page;mso-height-relative:page;" filled="f" stroked="t" coordsize="21600,21600" o:gfxdata="UEsDBAoAAAAAAIdO4kAAAAAAAAAAAAAAAAAEAAAAZHJzL1BLAwQUAAAACACHTuJAxVYieNYAAAAL&#10;AQAADwAAAGRycy9kb3ducmV2LnhtbE2PwU7DMBBE70j8g7VIXBC13UJJQ5wekHrhlgJ3J94mUeN1&#10;FDtt6deznOC4M0+zM8X24gdxwin2gQzohQKB1ATXU2vg82P3mIGIyZKzQyA08I0RtuXtTWFzF85U&#10;4WmfWsEhFHNroEtpzKWMTYfexkUYkdg7hMnbxOfUSjfZM4f7QS6VWktve+IPnR3xrcPmuJ+9gVr7&#10;7HrQEqtR+4fq3aqv46yMub/T6hVEwkv6g+G3PleHkjvVYSYXxWBgvVmtGGVDq2cQTGT6iZWalZfN&#10;EmRZyP8byh9QSwMEFAAAAAgAh07iQCRN/R+oAgAAMAUAAA4AAABkcnMvZTJvRG9jLnhtbK1UzW7U&#10;MBC+I/EOlu9tsv/dVbPValdFSBWtKIiz13E2QY5tbO9mywvwGCBOcObM41Beg89O2i6FAwd6SGcy&#10;334z881MTs/2tSQ7YV2lVUZ7xyklQnGdV2qT0devzo9OKHGeqZxJrURGb4SjZ/OnT04bMxN9XWqZ&#10;C0tAotysMRktvTezJHG8FDVzx9oIhWChbc08XLtJcssasNcy6afpOGm0zY3VXDiHt6s2SDtG+y+E&#10;uigqLlaab2uhfMtqhWQeLbmyMo7OY7VFIbi/LAonPJEZRac+PpEE9jo8k/kpm20sM2XFuxLYv5Tw&#10;qKeaVQpJ76lWzDOytdUfVHXFrXa68Mdc10nbSFQEXfTSR9pcl8yI2AukduZedPf/aPmL3ZUlVZ7R&#10;0ZQSxWpM/OfHrz++f7799OH22xeC19CoMW4G6LW5sp3nYIaG94Wtw3+0QvaBZTKc9EaU3GR0kA7H&#10;6XTUaiz2nnAAJuOTwQjqcwCGg3F/GOPJA5Gxzj8TuibByGgj8o14iTkumZR666PKbHfhfJQ772pm&#10;+dseJUUtMb0dk+Sol44mab+b7wGqf4gaDtNBxCB/xwnrroKQQOnzSsq4JVKRJqPTUR/dcYbNL7Bx&#10;MGsD9ZzaUMLkBifFvY1FOi2rPPw68Di7WS+lJagNaxf/Qm3I9hsspF4xV7a4GOpgUgEdxtAKHyy/&#10;X++7aax1foM5Wt0uuDP8vALVBXP+illoAsVx8/4Sj0Jq9KE7i5JS2/d/ex/wWDREKWlwIWjy3ZZZ&#10;QYl8rrCC0x7kw0lFZzia9OHYw8j6MKK29VKjd0wJ1UUz4L28Mwur6zf4NCxCVoSY4sjdytk5S99e&#10;Lj4uXCwWEYYzMsxfqGvDA3k7s8XW66LyQeAgVKtO5+CQou7d0YdLPfQj6uFDN/8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xVYieNYAAAALAQAADwAAAAAAAAABACAAAAAiAAAAZHJzL2Rvd25yZXYu&#10;eG1sUEsBAhQAFAAAAAgAh07iQCRN/R+oAgAAMAUAAA4AAAAAAAAAAQAgAAAAJQEAAGRycy9lMm9E&#10;b2MueG1sUEsFBgAAAAAGAAYAWQEAAD8GAAAAAA==&#10;" adj="-12032,20311">
                <v:fill on="f" focussize="0,0"/>
                <v:stroke color="#000000 [3213]" joinstyle="round"/>
                <v:imagedata o:title=""/>
                <o:lock v:ext="edit" aspectratio="f"/>
                <v:textbox>
                  <w:txbxContent>
                    <w:p w14:paraId="7EA76BD6">
                      <w:pPr>
                        <w:jc w:val="center"/>
                        <w:rPr>
                          <w:rFonts w:hint="eastAsia" w:eastAsia="宋体"/>
                          <w:color w:val="auto"/>
                          <w:lang w:eastAsia="zh-CN"/>
                        </w:rPr>
                      </w:pPr>
                      <w:r>
                        <w:rPr>
                          <w:rFonts w:hint="eastAsia"/>
                          <w:color w:val="FFFFFF" w:themeColor="background1"/>
                          <w:lang w:eastAsia="zh-CN"/>
                          <w14:textFill>
                            <w14:solidFill>
                              <w14:schemeClr w14:val="bg1"/>
                            </w14:solidFill>
                          </w14:textFill>
                        </w:rPr>
                        <w:t>大洋河</w:t>
                      </w:r>
                    </w:p>
                  </w:txbxContent>
                </v:textbox>
              </v:shape>
            </w:pict>
          </mc:Fallback>
        </mc:AlternateContent>
      </w:r>
      <w:r>
        <w:rPr>
          <w:color w:val="auto"/>
          <w:sz w:val="21"/>
          <w:highlight w:val="none"/>
        </w:rPr>
        <mc:AlternateContent>
          <mc:Choice Requires="wps">
            <w:drawing>
              <wp:anchor distT="0" distB="0" distL="114300" distR="114300" simplePos="0" relativeHeight="251811840" behindDoc="0" locked="0" layoutInCell="1" allowOverlap="1">
                <wp:simplePos x="0" y="0"/>
                <wp:positionH relativeFrom="column">
                  <wp:posOffset>3689350</wp:posOffset>
                </wp:positionH>
                <wp:positionV relativeFrom="paragraph">
                  <wp:posOffset>2434590</wp:posOffset>
                </wp:positionV>
                <wp:extent cx="281940" cy="120015"/>
                <wp:effectExtent l="0" t="12065" r="3810" b="20320"/>
                <wp:wrapNone/>
                <wp:docPr id="176" name="自选图形 444"/>
                <wp:cNvGraphicFramePr/>
                <a:graphic xmlns:a="http://schemas.openxmlformats.org/drawingml/2006/main">
                  <a:graphicData uri="http://schemas.microsoft.com/office/word/2010/wordprocessingShape">
                    <wps:wsp>
                      <wps:cNvCnPr/>
                      <wps:spPr>
                        <a:xfrm flipH="1" flipV="1">
                          <a:off x="0" y="0"/>
                          <a:ext cx="281940" cy="120015"/>
                        </a:xfrm>
                        <a:prstGeom prst="straightConnector1">
                          <a:avLst/>
                        </a:prstGeom>
                        <a:ln w="9525" cap="flat" cmpd="sng">
                          <a:solidFill>
                            <a:schemeClr val="bg1"/>
                          </a:solidFill>
                          <a:prstDash val="solid"/>
                          <a:headEnd type="arrow" w="med" len="med"/>
                          <a:tailEnd type="arrow" w="med" len="med"/>
                        </a:ln>
                      </wps:spPr>
                      <wps:bodyPr/>
                    </wps:wsp>
                  </a:graphicData>
                </a:graphic>
              </wp:anchor>
            </w:drawing>
          </mc:Choice>
          <mc:Fallback>
            <w:pict>
              <v:shape id="自选图形 444" o:spid="_x0000_s1026" o:spt="32" type="#_x0000_t32" style="position:absolute;left:0pt;flip:x y;margin-left:290.5pt;margin-top:191.7pt;height:9.45pt;width:22.2pt;z-index:251811840;mso-width-relative:page;mso-height-relative:page;" filled="f" stroked="t" coordsize="21600,21600" o:gfxdata="UEsDBAoAAAAAAIdO4kAAAAAAAAAAAAAAAAAEAAAAZHJzL1BLAwQUAAAACACHTuJAKCFmGNwAAAAL&#10;AQAADwAAAGRycy9kb3ducmV2LnhtbE2PwU7DMBBE70j8g7VI3KidpKlCyKaHIiQkDqilEhzd2CRR&#10;43VkO03L12NO9DarGc2+qdZnM7CTdr63hJAsBDBNjVU9tQj7j5eHApgPkpQcLGmEi/awrm9vKlkq&#10;O9NWn3ahZbGEfCkRuhDGknPfdNpIv7Cjpuh9W2dkiKdruXJyjuVm4KkQK25kT/FDJ0e96XRz3E0G&#10;4Ws77t3M87f3y+PrcUOfP/M0PSPe3yXiCVjQ5/Afhj/8iA51ZDrYiZRnA0JeJHFLQMiKbAksJlZp&#10;HsUBYSnSDHhd8esN9S9QSwMEFAAAAAgAh07iQDDjD+AIAgAAAQQAAA4AAABkcnMvZTJvRG9jLnht&#10;bK1TvY4TMRDukXgHyz3ZJEqOu1U2VyQECgQn8dNPvN5dS/7T2JdNOjrEM9BR8g7H25wEb8HYGwIc&#10;TQq2WI09M9/M9814cb03mu0kBuVsxSejMWfSClcr21b83dvNk0vOQgRbg3ZWVvwgA79ePn606H0p&#10;p65zupbICMSGsvcV72L0ZVEE0UkDYeS8tORsHBqIdMS2qBF6Qje6mI7HF0XvsPbohAyBbteDkx8R&#10;8RxA1zRKyLUTt0baOKCi1BCJUuiUD3yZu20aKeLrpgkyMl1xYhrzn4qQvU3/YrmAskXwnRLHFuCc&#10;Fh5wMqAsFT1BrSECu0X1D5RRAl1wTRwJZ4qBSFaEWEzGD7R504GXmQtJHfxJ9PD/YMWr3Q0yVdMm&#10;PL3gzIKhkX//+PXHh0/3n7/d331hs9ksqdT7UFLwyt7g8RT8DSbK+wYNa7TyLwiEZ+t9spKPCLJ9&#10;VvtwUlvuIxN0Ob2cXM1oDoJcE9qMyTzVKQbAlOwxxOfSGZaMioeIoNourpy1NFeHQwnYvQxxSPyV&#10;kJK1ZX3Fr+bTOVUA2tOG9oNM44lrsG1uLzit6o3SOmUEbLcrjWwHtCub/B0b+issFVlD6Ia47Eph&#10;UHYS6me2ZvHgSUNAdD1PPRhZc6YlPbZk5dAISp8VSmpoS6Ik9Qe9k7V19SGPId/TZmTZjlucVu/P&#10;c87+/XKXP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oIWYY3AAAAAsBAAAPAAAAAAAAAAEAIAAA&#10;ACIAAABkcnMvZG93bnJldi54bWxQSwECFAAUAAAACACHTuJAMOMP4AgCAAABBAAADgAAAAAAAAAB&#10;ACAAAAArAQAAZHJzL2Uyb0RvYy54bWxQSwUGAAAAAAYABgBZAQAApQUAAAAA&#10;">
                <v:fill on="f" focussize="0,0"/>
                <v:stroke color="#FFFFFF [3212]" joinstyle="round" startarrow="open" endarrow="open"/>
                <v:imagedata o:title=""/>
                <o:lock v:ext="edit" aspectratio="f"/>
              </v:shape>
            </w:pict>
          </mc:Fallback>
        </mc:AlternateContent>
      </w:r>
      <w:r>
        <w:rPr>
          <w:color w:val="auto"/>
          <w:sz w:val="21"/>
          <w:highlight w:val="none"/>
        </w:rPr>
        <mc:AlternateContent>
          <mc:Choice Requires="wps">
            <w:drawing>
              <wp:anchor distT="0" distB="0" distL="114300" distR="114300" simplePos="0" relativeHeight="251703296" behindDoc="0" locked="0" layoutInCell="1" allowOverlap="1">
                <wp:simplePos x="0" y="0"/>
                <wp:positionH relativeFrom="column">
                  <wp:posOffset>6355080</wp:posOffset>
                </wp:positionH>
                <wp:positionV relativeFrom="paragraph">
                  <wp:posOffset>2635250</wp:posOffset>
                </wp:positionV>
                <wp:extent cx="534035" cy="282575"/>
                <wp:effectExtent l="0" t="0" r="0" b="0"/>
                <wp:wrapNone/>
                <wp:docPr id="139" name="文本框 382"/>
                <wp:cNvGraphicFramePr/>
                <a:graphic xmlns:a="http://schemas.openxmlformats.org/drawingml/2006/main">
                  <a:graphicData uri="http://schemas.microsoft.com/office/word/2010/wordprocessingShape">
                    <wps:wsp>
                      <wps:cNvSpPr txBox="1"/>
                      <wps:spPr>
                        <a:xfrm>
                          <a:off x="0" y="0"/>
                          <a:ext cx="534035" cy="282575"/>
                        </a:xfrm>
                        <a:prstGeom prst="rect">
                          <a:avLst/>
                        </a:prstGeom>
                        <a:noFill/>
                        <a:ln>
                          <a:noFill/>
                        </a:ln>
                      </wps:spPr>
                      <wps:txbx>
                        <w:txbxContent>
                          <w:p w14:paraId="6A8B1BE2">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500m</w:t>
                            </w:r>
                          </w:p>
                        </w:txbxContent>
                      </wps:txbx>
                      <wps:bodyPr vert="horz" wrap="square" anchor="t" anchorCtr="0" upright="1"/>
                    </wps:wsp>
                  </a:graphicData>
                </a:graphic>
              </wp:anchor>
            </w:drawing>
          </mc:Choice>
          <mc:Fallback>
            <w:pict>
              <v:shape id="文本框 382" o:spid="_x0000_s1026" o:spt="202" type="#_x0000_t202" style="position:absolute;left:0pt;margin-left:500.4pt;margin-top:207.5pt;height:22.25pt;width:42.05pt;z-index:251703296;mso-width-relative:page;mso-height-relative:page;" filled="f" stroked="f" coordsize="21600,21600" o:gfxdata="UEsDBAoAAAAAAIdO4kAAAAAAAAAAAAAAAAAEAAAAZHJzL1BLAwQUAAAACACHTuJAIW/0v9gAAAAN&#10;AQAADwAAAGRycy9kb3ducmV2LnhtbE2PzU7DMBCE70i8g7VI3Kg3KEFNiNMDiCsV5Ufi5ibbJCJe&#10;R7HbpG/P9gTHmR3NflNuFjeoE02h92wgWSEo4to3PbcGPt5f7tagQrTc2MEzGThTgE11fVXaovEz&#10;v9FpF1slJRwKa6CLcSy0DnVHzoaVH4nldvCTs1Hk1OpmsrOUu0HfIz5oZ3uWD50d6amj+md3dAY+&#10;Xw/fXylu22eXjbNfULPLtTG3Nwk+goq0xL8wXPAFHSph2vsjN0ENohFR2KOBNMlk1SWC6zQHtRcr&#10;yzPQVan/r6h+AVBLAwQUAAAACACHTuJAylJ/u84BAACEAwAADgAAAGRycy9lMm9Eb2MueG1srVPB&#10;jtMwEL0j7T9YvtNkUwolaroSVMsFAdIuH+A6TmMp9ng9bpPyAfAHnLhw3+/qd+zYabuwXPbAxRnP&#10;jN/MezNZXA2mYzvlUYOt+OUk50xZCbW2m4p/vb1+OecMg7C16MCqiu8V8qvlxYtF70pVQAtdrTwj&#10;EItl7yrehuDKLEPZKiNwAk5ZCjbgjQh09Zus9qIndNNlRZ6/znrwtfMgFSJ5V2OQHxH9cwChabRU&#10;K5Bbo2wYUb3qRCBK2GqHfJm6bRolw+emQRVYV3FiGtJJRchexzNbLkS58cK1Wh5bEM9p4QknI7Sl&#10;omeolQiCbb3+B8po6QGhCRMJJhuJJEWIxWX+RJubVjiVuJDU6M6i4/+DlZ92XzzTNW3C9C1nVhga&#10;+eHnj8Ov+8Pv72w6L6JEvcOSMm8c5YbhHQyUfvIjOSPzofEmfokTozgJvD8LrIbAJDln01f5dMaZ&#10;pFAxL2ZvZhEle3zsPIYPCgyLRsU9zS/JKnYfMYypp5RYy8K17ro0w87+5SDM6Mli52OH0QrDejjS&#10;WUO9Jzb0I1CdFvw3znpag4rj3VZ4xZmwktwVDyfzfRj3Zuu83rT0KkmQKtBwEo3jIsXp/3lPfTz+&#10;PMs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IW/0v9gAAAANAQAADwAAAAAAAAABACAAAAAiAAAA&#10;ZHJzL2Rvd25yZXYueG1sUEsBAhQAFAAAAAgAh07iQMpSf7vOAQAAhAMAAA4AAAAAAAAAAQAgAAAA&#10;JwEAAGRycy9lMm9Eb2MueG1sUEsFBgAAAAAGAAYAWQEAAGcFAAAAAA==&#10;">
                <v:fill on="f" focussize="0,0"/>
                <v:stroke on="f"/>
                <v:imagedata o:title=""/>
                <o:lock v:ext="edit" aspectratio="f"/>
                <v:textbox>
                  <w:txbxContent>
                    <w:p w14:paraId="6A8B1BE2">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500m</w:t>
                      </w:r>
                    </w:p>
                  </w:txbxContent>
                </v:textbox>
              </v:shape>
            </w:pict>
          </mc:Fallback>
        </mc:AlternateContent>
      </w:r>
      <w:r>
        <w:rPr>
          <w:color w:val="auto"/>
          <w:sz w:val="21"/>
          <w:highlight w:val="none"/>
        </w:rPr>
        <mc:AlternateContent>
          <mc:Choice Requires="wps">
            <w:drawing>
              <wp:anchor distT="0" distB="0" distL="114300" distR="114300" simplePos="0" relativeHeight="251702272" behindDoc="0" locked="0" layoutInCell="1" allowOverlap="1">
                <wp:simplePos x="0" y="0"/>
                <wp:positionH relativeFrom="column">
                  <wp:posOffset>5351145</wp:posOffset>
                </wp:positionH>
                <wp:positionV relativeFrom="paragraph">
                  <wp:posOffset>2599055</wp:posOffset>
                </wp:positionV>
                <wp:extent cx="2343785" cy="605790"/>
                <wp:effectExtent l="0" t="26035" r="18415" b="34925"/>
                <wp:wrapNone/>
                <wp:docPr id="131" name="自选图形 444"/>
                <wp:cNvGraphicFramePr/>
                <a:graphic xmlns:a="http://schemas.openxmlformats.org/drawingml/2006/main">
                  <a:graphicData uri="http://schemas.microsoft.com/office/word/2010/wordprocessingShape">
                    <wps:wsp>
                      <wps:cNvCnPr/>
                      <wps:spPr>
                        <a:xfrm>
                          <a:off x="0" y="0"/>
                          <a:ext cx="2343785" cy="605790"/>
                        </a:xfrm>
                        <a:prstGeom prst="straightConnector1">
                          <a:avLst/>
                        </a:prstGeom>
                        <a:ln w="9525" cap="flat" cmpd="sng">
                          <a:solidFill>
                            <a:schemeClr val="bg1"/>
                          </a:solidFill>
                          <a:prstDash val="solid"/>
                          <a:headEnd type="arrow" w="med" len="med"/>
                          <a:tailEnd type="arrow" w="med" len="med"/>
                        </a:ln>
                      </wps:spPr>
                      <wps:bodyPr/>
                    </wps:wsp>
                  </a:graphicData>
                </a:graphic>
              </wp:anchor>
            </w:drawing>
          </mc:Choice>
          <mc:Fallback>
            <w:pict>
              <v:shape id="自选图形 444" o:spid="_x0000_s1026" o:spt="32" type="#_x0000_t32" style="position:absolute;left:0pt;margin-left:421.35pt;margin-top:204.65pt;height:47.7pt;width:184.55pt;z-index:251702272;mso-width-relative:page;mso-height-relative:page;" filled="f" stroked="t" coordsize="21600,21600" o:gfxdata="UEsDBAoAAAAAAIdO4kAAAAAAAAAAAAAAAAAEAAAAZHJzL1BLAwQUAAAACACHTuJA8hmOi9oAAAAM&#10;AQAADwAAAGRycy9kb3ducmV2LnhtbE2Py07DMBBF90j8gzVI7KjtEEhJM+kCVCHEqi0bdm48TaL6&#10;EWI3LX+Pu6LL0Rzde261PFvDJhpD7x2CnAlg5Bqve9cifG1XD3NgISqnlfGOEH4pwLK+valUqf3J&#10;rWnaxJalEBdKhdDFOJSch6Yjq8LMD+TSb+9Hq2I6x5brUZ1SuDU8E+KZW9W71NCpgV47ag6bo0Ww&#10;h/ftuviRw3frPz5pyldcvBnE+zspFsAineM/DBf9pA51ctr5o9OBGYR5nhUJRcjFyyOwC5FJmdbs&#10;EJ5EXgCvK349ov4DUEsDBBQAAAAIAIdO4kCyrXzk/wEAAO4DAAAOAAAAZHJzL2Uyb0RvYy54bWyt&#10;U0uOEzEQ3SNxB8t70vnOJ0pnFglhg2Ak4AAVt7vbkn8qe9LJjh3iDOxYcgfmNiPBLSi7QwaGTRb0&#10;wl12Vb2q91xe3OyNZjuJQTlb8tFgyJm0wlXKNiX/8H7z4oqzEMFWoJ2VJT/IwG+Wz58tOj+XY9c6&#10;XUlkBGLDvPMlb2P086IIopUGwsB5aclZOzQQaYtNUSF0hG50MR4OL4rOYeXRCRkCna57Jz8i4jmA&#10;rq6VkGsn7oy0sUdFqSESpdAqH/gyd1vXUsS3dR1kZLrkxDTmlYqQvU1rsVzAvEHwrRLHFuCcFp5w&#10;MqAsFT1BrSECu0P1D5RRAl1wdRwIZ4qeSFaEWIyGT7R514KXmQtJHfxJ9PD/YMWb3S0yVdEkTEac&#10;WTB05T8+ffv58fPDl/uH71/ZdDpNKnU+zCl4ZW/xuAv+FhPlfY0m/YkM22dlDydl5T4yQYfjyXRy&#10;eTXjTJDvYji7vM7SF4/ZHkN8JZ1hySh5iAiqaePKWUuX6HCU5YXd6xCpPiX+TkiltWVdya9n41QB&#10;aChrGgYyjSdiwTY5Nzitqo3SOmUEbLYrjWwHNBib/CWWhPtXWCqyhtD2cdnVj0wroXppKxYPngQD&#10;RNfx1IORFWda0stKFiHCPILSZ4VScW2phyR1L26ytq46ZM3zOY1B7vI4smnO/tzn7Mdnuvw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8hmOi9oAAAAMAQAADwAAAAAAAAABACAAAAAiAAAAZHJzL2Rv&#10;d25yZXYueG1sUEsBAhQAFAAAAAgAh07iQLKtfOT/AQAA7gMAAA4AAAAAAAAAAQAgAAAAKQEAAGRy&#10;cy9lMm9Eb2MueG1sUEsFBgAAAAAGAAYAWQEAAJoFAAAAAA==&#10;">
                <v:fill on="f" focussize="0,0"/>
                <v:stroke color="#FFFFFF [3212]" joinstyle="round" startarrow="open" endarrow="open"/>
                <v:imagedata o:title=""/>
                <o:lock v:ext="edit" aspectratio="f"/>
              </v:shape>
            </w:pict>
          </mc:Fallback>
        </mc:AlternateContent>
      </w:r>
      <w:r>
        <w:rPr>
          <w:color w:val="auto"/>
          <w:sz w:val="21"/>
          <w:highlight w:val="none"/>
        </w:rPr>
        <mc:AlternateContent>
          <mc:Choice Requires="wps">
            <w:drawing>
              <wp:anchor distT="0" distB="0" distL="114300" distR="114300" simplePos="0" relativeHeight="251678720" behindDoc="0" locked="0" layoutInCell="1" allowOverlap="1">
                <wp:simplePos x="0" y="0"/>
                <wp:positionH relativeFrom="column">
                  <wp:posOffset>4548505</wp:posOffset>
                </wp:positionH>
                <wp:positionV relativeFrom="paragraph">
                  <wp:posOffset>3030855</wp:posOffset>
                </wp:positionV>
                <wp:extent cx="534035" cy="282575"/>
                <wp:effectExtent l="0" t="0" r="0" b="0"/>
                <wp:wrapNone/>
                <wp:docPr id="41" name="文本框 384"/>
                <wp:cNvGraphicFramePr/>
                <a:graphic xmlns:a="http://schemas.openxmlformats.org/drawingml/2006/main">
                  <a:graphicData uri="http://schemas.microsoft.com/office/word/2010/wordprocessingShape">
                    <wps:wsp>
                      <wps:cNvSpPr txBox="1"/>
                      <wps:spPr>
                        <a:xfrm>
                          <a:off x="0" y="0"/>
                          <a:ext cx="534035" cy="282575"/>
                        </a:xfrm>
                        <a:prstGeom prst="rect">
                          <a:avLst/>
                        </a:prstGeom>
                        <a:noFill/>
                        <a:ln>
                          <a:noFill/>
                        </a:ln>
                      </wps:spPr>
                      <wps:txbx>
                        <w:txbxContent>
                          <w:p w14:paraId="535FCCC5">
                            <w:pPr>
                              <w:rPr>
                                <w:rFonts w:hint="default" w:eastAsia="宋体"/>
                                <w:color w:val="FFFFFF"/>
                                <w:lang w:val="en-US" w:eastAsia="zh-CN"/>
                              </w:rPr>
                            </w:pPr>
                            <w:r>
                              <w:rPr>
                                <w:rFonts w:hint="eastAsia"/>
                                <w:color w:val="FFFFFF"/>
                                <w:lang w:val="en-US" w:eastAsia="zh-CN"/>
                              </w:rPr>
                              <w:t>290m</w:t>
                            </w:r>
                          </w:p>
                        </w:txbxContent>
                      </wps:txbx>
                      <wps:bodyPr wrap="square" upright="1"/>
                    </wps:wsp>
                  </a:graphicData>
                </a:graphic>
              </wp:anchor>
            </w:drawing>
          </mc:Choice>
          <mc:Fallback>
            <w:pict>
              <v:shape id="文本框 384" o:spid="_x0000_s1026" o:spt="202" type="#_x0000_t202" style="position:absolute;left:0pt;margin-left:358.15pt;margin-top:238.65pt;height:22.25pt;width:42.05pt;z-index:251678720;mso-width-relative:page;mso-height-relative:page;" filled="f" stroked="f" coordsize="21600,21600" o:gfxdata="UEsDBAoAAAAAAIdO4kAAAAAAAAAAAAAAAAAEAAAAZHJzL1BLAwQUAAAACACHTuJA9LdUINkAAAAL&#10;AQAADwAAAGRycy9kb3ducmV2LnhtbE2PTU/DMAyG70j8h8hI3FjS0a1dqbsDiCuI8SHtljVZW9E4&#10;VZOt5d9jTuxmy49eP2+5nV0vznYMnSeEZKFAWKq96ahB+Hh/vstBhKjJ6N6TRfixAbbV9VWpC+Mn&#10;erPnXWwEh1AoNEIb41BIGerWOh0WfrDEt6MfnY68jo00o5443PVyqdRaOt0Rf2j1YB9bW3/vTg7h&#10;8+W4/0rVa/PkVsPkZyXJbSTi7U2iHkBEO8d/GP70WR0qdjr4E5kgeoQsWd8zipBmGQ9M5EqlIA4I&#10;q2WSg6xKedmh+gVQSwMEFAAAAAgAh07iQKdhCF+4AQAAXgMAAA4AAABkcnMvZTJvRG9jLnhtbK1T&#10;S44TMRDdI3EHy3vizg+iVjojoWjYIEAa5gCO205b8g+Xk+5cAG7Aig17zpVzUHZnMjBsZsHGbVeV&#10;X733yr2+GawhRxlBe9fQ6aSiRDrhW+32Db3/fPtqRQkk7lpuvJMNPUmgN5uXL9Z9qOXMd960MhIE&#10;cVD3oaFdSqFmDEQnLYeJD9JhUvloecJj3LM28h7RrWGzqnrNeh/bEL2QABjdjkl6QYzPAfRKaSG3&#10;XhysdGlEjdLwhJKg0wHoprBVSor0USmQiZiGotJUVmyC+11e2WbN633kodPiQoE/h8ITTZZrh02v&#10;UFueODlE/Q+U1SJ68CpNhLdsFFIcQRXT6ok3dx0PsmhBqyFcTYf/Bys+HD9FotuGLqaUOG5x4ufv&#10;384/fp1/fiXz1SI71AeosfAuYGka3voB381DHDCYhQ8q2vxFSQTz6O/p6q8cEhEYXM4X1XxJicDU&#10;bDVbvllmFPZ4OURI76S3JG8aGnF8xVV+fA9pLH0oyb2cv9XGlBEa91cAMXOEZeYjw7xLw264yNn5&#10;9oRqepx8Q+HLgUdJySFEve+wcVFXLqPtheHlieS5/nkuLR5/i81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9LdUINkAAAALAQAADwAAAAAAAAABACAAAAAiAAAAZHJzL2Rvd25yZXYueG1sUEsBAhQA&#10;FAAAAAgAh07iQKdhCF+4AQAAXgMAAA4AAAAAAAAAAQAgAAAAKAEAAGRycy9lMm9Eb2MueG1sUEsF&#10;BgAAAAAGAAYAWQEAAFIFAAAAAA==&#10;">
                <v:fill on="f" focussize="0,0"/>
                <v:stroke on="f"/>
                <v:imagedata o:title=""/>
                <o:lock v:ext="edit" aspectratio="f"/>
                <v:textbox>
                  <w:txbxContent>
                    <w:p w14:paraId="535FCCC5">
                      <w:pPr>
                        <w:rPr>
                          <w:rFonts w:hint="default" w:eastAsia="宋体"/>
                          <w:color w:val="FFFFFF"/>
                          <w:lang w:val="en-US" w:eastAsia="zh-CN"/>
                        </w:rPr>
                      </w:pPr>
                      <w:r>
                        <w:rPr>
                          <w:rFonts w:hint="eastAsia"/>
                          <w:color w:val="FFFFFF"/>
                          <w:lang w:val="en-US" w:eastAsia="zh-CN"/>
                        </w:rPr>
                        <w:t>290m</w:t>
                      </w:r>
                    </w:p>
                  </w:txbxContent>
                </v:textbox>
              </v:shape>
            </w:pict>
          </mc:Fallback>
        </mc:AlternateContent>
      </w:r>
      <w:r>
        <w:rPr>
          <w:color w:val="auto"/>
          <w:sz w:val="21"/>
          <w:highlight w:val="none"/>
        </w:rPr>
        <mc:AlternateContent>
          <mc:Choice Requires="wps">
            <w:drawing>
              <wp:anchor distT="0" distB="0" distL="114300" distR="114300" simplePos="0" relativeHeight="251687936" behindDoc="0" locked="0" layoutInCell="1" allowOverlap="1">
                <wp:simplePos x="0" y="0"/>
                <wp:positionH relativeFrom="column">
                  <wp:posOffset>4759325</wp:posOffset>
                </wp:positionH>
                <wp:positionV relativeFrom="paragraph">
                  <wp:posOffset>2749550</wp:posOffset>
                </wp:positionV>
                <wp:extent cx="278765" cy="1405890"/>
                <wp:effectExtent l="31750" t="0" r="32385" b="3810"/>
                <wp:wrapNone/>
                <wp:docPr id="68" name="自选图形 3"/>
                <wp:cNvGraphicFramePr/>
                <a:graphic xmlns:a="http://schemas.openxmlformats.org/drawingml/2006/main">
                  <a:graphicData uri="http://schemas.microsoft.com/office/word/2010/wordprocessingShape">
                    <wps:wsp>
                      <wps:cNvCnPr/>
                      <wps:spPr>
                        <a:xfrm flipV="1">
                          <a:off x="0" y="0"/>
                          <a:ext cx="278765" cy="1405890"/>
                        </a:xfrm>
                        <a:prstGeom prst="straightConnector1">
                          <a:avLst/>
                        </a:prstGeom>
                        <a:ln w="9525" cap="flat" cmpd="sng">
                          <a:solidFill>
                            <a:schemeClr val="bg1"/>
                          </a:solidFill>
                          <a:prstDash val="solid"/>
                          <a:headEnd type="arrow" w="med" len="med"/>
                          <a:tailEnd type="arrow" w="med" len="med"/>
                        </a:ln>
                      </wps:spPr>
                      <wps:bodyPr/>
                    </wps:wsp>
                  </a:graphicData>
                </a:graphic>
              </wp:anchor>
            </w:drawing>
          </mc:Choice>
          <mc:Fallback>
            <w:pict>
              <v:shape id="自选图形 3" o:spid="_x0000_s1026" o:spt="32" type="#_x0000_t32" style="position:absolute;left:0pt;flip:y;margin-left:374.75pt;margin-top:216.5pt;height:110.7pt;width:21.95pt;z-index:251687936;mso-width-relative:page;mso-height-relative:page;" filled="f" stroked="t" coordsize="21600,21600" o:gfxdata="UEsDBAoAAAAAAIdO4kAAAAAAAAAAAAAAAAAEAAAAZHJzL1BLAwQUAAAACACHTuJAhoYl5dgAAAAL&#10;AQAADwAAAGRycy9kb3ducmV2LnhtbE2PQU+EMBCF7yb+h2ZMvLllhQVBhk00kXhcd/XebSsQaUva&#10;suC/dzzpcTJf3vtevV/NyC7ah8FZhO0mAaatdGqwHcL76eXuAViIwioxOqsRvnWAfXN9VYtKucW+&#10;6csxdoxCbKgEQh/jVHEeZK+NCBs3aUu/T+eNiHT6jisvFgo3I79PkpwbMVhq6MWkn3stv46zQTgY&#10;//GaF8uhPMmnuZ2WNsi1Rby92SaPwKJe4x8Mv/qkDg05nd1sVWAjQpGVO0IRsjSlUUQUZZoBOyPk&#10;uywD3tT8/4bmB1BLAwQUAAAACACHTuJANpRuyQQCAAD1AwAADgAAAGRycy9lMm9Eb2MueG1srVO9&#10;jhMxEO6ReAfLPdkkkFxulc0VCaFBEImffuL1Zi35Tx5fNunoEM9AR8k7HG9zErwFY28IcDQp2GI1&#10;9sx8M9834/nNwWi2lwGVsxUfDYacSStcreyu4u/erp/MOMMItgbtrKz4USK/WTx+NO98KceudbqW&#10;gRGIxbLzFW9j9GVRoGilARw4Ly05GxcMRDqGXVEH6Ajd6GI8HE6LzoXaByckIt2ueic/IYZLAF3T&#10;KCFXTtwaaWOPGqSGSJSwVR75InfbNFLE102DMjJdcWIa85+KkL1N/2Ixh3IXwLdKnFqAS1p4wMmA&#10;slT0DLWCCOw2qH+gjBLBoWviQDhT9ESyIsRiNHygzZsWvMxcSGr0Z9Hx/8GKV/tNYKqu+JTmbsHQ&#10;xL9//Prjw6f7z9/u776wp0mizmNJkUu7CacT+k1IfA9NMKzRyr+nXcoKECd2yAIfzwLLQ2SCLsdX&#10;s6vphDNBrtGz4WR2nSdQ9DgJzweML6QzLBkVxxhA7dq4dNbSLF3oa8D+JUbqhBJ/JaRkbVlX8evJ&#10;OJUA2s2GdoJM44kf2l3uD51W9VppnTIw7LZLHdgeaD/W+Ut8CfevsFRkBdj2cdnVb04roX5uaxaP&#10;noSDEFzHUw9G1pxpSQ8sWYQIZQSlLwql4tpSD0n0XuZkbV19zOrne9qG3OVpc9O6/XnO2b9f6+I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hoYl5dgAAAALAQAADwAAAAAAAAABACAAAAAiAAAAZHJz&#10;L2Rvd25yZXYueG1sUEsBAhQAFAAAAAgAh07iQDaUbskEAgAA9QMAAA4AAAAAAAAAAQAgAAAAJwEA&#10;AGRycy9lMm9Eb2MueG1sUEsFBgAAAAAGAAYAWQEAAJ0FAAAAAA==&#10;">
                <v:fill on="f" focussize="0,0"/>
                <v:stroke color="#FFFFFF [3212]" joinstyle="round" startarrow="open" endarrow="open"/>
                <v:imagedata o:title=""/>
                <o:lock v:ext="edit" aspectratio="f"/>
              </v:shape>
            </w:pict>
          </mc:Fallback>
        </mc:AlternateContent>
      </w:r>
      <w:r>
        <w:rPr>
          <w:color w:val="auto"/>
          <w:sz w:val="21"/>
          <w:highlight w:val="none"/>
        </w:rPr>
        <mc:AlternateContent>
          <mc:Choice Requires="wps">
            <w:drawing>
              <wp:anchor distT="0" distB="0" distL="114300" distR="114300" simplePos="0" relativeHeight="251705344" behindDoc="0" locked="0" layoutInCell="1" allowOverlap="1">
                <wp:simplePos x="0" y="0"/>
                <wp:positionH relativeFrom="column">
                  <wp:posOffset>4523740</wp:posOffset>
                </wp:positionH>
                <wp:positionV relativeFrom="paragraph">
                  <wp:posOffset>1985645</wp:posOffset>
                </wp:positionV>
                <wp:extent cx="534035" cy="282575"/>
                <wp:effectExtent l="0" t="0" r="0" b="0"/>
                <wp:wrapNone/>
                <wp:docPr id="141" name="文本框 382"/>
                <wp:cNvGraphicFramePr/>
                <a:graphic xmlns:a="http://schemas.openxmlformats.org/drawingml/2006/main">
                  <a:graphicData uri="http://schemas.microsoft.com/office/word/2010/wordprocessingShape">
                    <wps:wsp>
                      <wps:cNvSpPr txBox="1"/>
                      <wps:spPr>
                        <a:xfrm>
                          <a:off x="0" y="0"/>
                          <a:ext cx="534035" cy="282575"/>
                        </a:xfrm>
                        <a:prstGeom prst="rect">
                          <a:avLst/>
                        </a:prstGeom>
                        <a:noFill/>
                        <a:ln>
                          <a:noFill/>
                        </a:ln>
                      </wps:spPr>
                      <wps:txbx>
                        <w:txbxContent>
                          <w:p w14:paraId="0C825F58">
                            <w:pPr>
                              <w:rPr>
                                <w:rFonts w:hint="default" w:eastAsia="宋体"/>
                                <w:color w:val="FFFFFF"/>
                                <w:lang w:val="en-US" w:eastAsia="zh-CN"/>
                              </w:rPr>
                            </w:pPr>
                            <w:r>
                              <w:rPr>
                                <w:rFonts w:hint="eastAsia"/>
                                <w:color w:val="FFFFFF"/>
                                <w:lang w:val="en-US" w:eastAsia="zh-CN"/>
                              </w:rPr>
                              <w:t>50m</w:t>
                            </w:r>
                          </w:p>
                        </w:txbxContent>
                      </wps:txbx>
                      <wps:bodyPr vert="horz" wrap="square" anchor="t" anchorCtr="0" upright="1"/>
                    </wps:wsp>
                  </a:graphicData>
                </a:graphic>
              </wp:anchor>
            </w:drawing>
          </mc:Choice>
          <mc:Fallback>
            <w:pict>
              <v:shape id="文本框 382" o:spid="_x0000_s1026" o:spt="202" type="#_x0000_t202" style="position:absolute;left:0pt;margin-left:356.2pt;margin-top:156.35pt;height:22.25pt;width:42.05pt;z-index:251705344;mso-width-relative:page;mso-height-relative:page;" filled="f" stroked="f" coordsize="21600,21600" o:gfxdata="UEsDBAoAAAAAAIdO4kAAAAAAAAAAAAAAAAAEAAAAZHJzL1BLAwQUAAAACACHTuJAJJS37dkAAAAL&#10;AQAADwAAAGRycy9kb3ducmV2LnhtbE2PTU/DMAyG70j8h8hI3FjSsq5baboDiCuI8SHtljVeW9E4&#10;VZOt5d9jTuxo+9Hr5y23s+vFGcfQedKQLBQIpNrbjhoNH+/Pd2sQIRqypveEGn4wwLa6vipNYf1E&#10;b3jexUZwCIXCaGhjHAopQ92iM2HhByS+Hf3oTORxbKQdzcThrpepUivpTEf8oTUDPrZYf+9OTsPn&#10;y3H/tVSvzZPLhsnPSpLbSK1vbxL1ACLiHP9h+NNndajY6eBPZIPoNeRJumRUw32S5iCYyDerDMSB&#10;N1megqxKedmh+gVQSwMEFAAAAAgAh07iQL6qVxTOAQAAhAMAAA4AAABkcnMvZTJvRG9jLnhtbK1T&#10;wY7TMBC9I/EPlu80abqFKmq6ElTLBQHSwge4jtNYij1m7DYpHwB/wIkLd76r37Fjp+3C7mUPe3HG&#10;M+M3895MlteD6dheoddgKz6d5JwpK6HWdlvxr19uXi0480HYWnRgVcUPyvPr1csXy96VqoAWuloh&#10;IxDry95VvA3BlVnmZauM8BNwylKwATQi0BW3WY2iJ3TTZUWev856wNohSOU9eddjkJ8Q8SmA0DRa&#10;qjXInVE2jKioOhGIkm+183yVum0aJcOnpvEqsK7ixDSkk4qQvYlntlqKcovCtVqeWhBPaeEBJyO0&#10;paIXqLUIgu1QP4IyWiJ4aMJEgslGIkkRYjHNH2hz2wqnEheS2ruL6P75YOXH/WdkuqZNuJpyZoWh&#10;kR9//Tz+/nv884PNFkWUqHe+pMxbR7lheAsDpZ/9npyR+dCgiV/ixChOAh8uAqshMEnO+ewqn805&#10;kxQqFsX8zTyiZPePHfrwXoFh0ag40vySrGL/wYcx9ZwSa1m40V2XZtjZ/xyEGT1Z7HzsMFph2Awn&#10;OhuoD8SGfgSq0wJ+56ynNai4/7YTqDgTVpK74uFsvgvj3uwc6m1Lr5IEqQINJ9E4LVKc/r/31Mf9&#10;z7O6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CSUt+3ZAAAACwEAAA8AAAAAAAAAAQAgAAAAIgAA&#10;AGRycy9kb3ducmV2LnhtbFBLAQIUABQAAAAIAIdO4kC+qlcUzgEAAIQDAAAOAAAAAAAAAAEAIAAA&#10;ACgBAABkcnMvZTJvRG9jLnhtbFBLBQYAAAAABgAGAFkBAABoBQAAAAA=&#10;">
                <v:fill on="f" focussize="0,0"/>
                <v:stroke on="f"/>
                <v:imagedata o:title=""/>
                <o:lock v:ext="edit" aspectratio="f"/>
                <v:textbox>
                  <w:txbxContent>
                    <w:p w14:paraId="0C825F58">
                      <w:pPr>
                        <w:rPr>
                          <w:rFonts w:hint="default" w:eastAsia="宋体"/>
                          <w:color w:val="FFFFFF"/>
                          <w:lang w:val="en-US" w:eastAsia="zh-CN"/>
                        </w:rPr>
                      </w:pPr>
                      <w:r>
                        <w:rPr>
                          <w:rFonts w:hint="eastAsia"/>
                          <w:color w:val="FFFFFF"/>
                          <w:lang w:val="en-US" w:eastAsia="zh-CN"/>
                        </w:rPr>
                        <w:t>50m</w:t>
                      </w:r>
                    </w:p>
                  </w:txbxContent>
                </v:textbox>
              </v:shape>
            </w:pict>
          </mc:Fallback>
        </mc:AlternateContent>
      </w:r>
      <w:r>
        <w:rPr>
          <w:color w:val="auto"/>
          <w:sz w:val="21"/>
          <w:highlight w:val="none"/>
        </w:rPr>
        <mc:AlternateContent>
          <mc:Choice Requires="wps">
            <w:drawing>
              <wp:anchor distT="0" distB="0" distL="114300" distR="114300" simplePos="0" relativeHeight="251709440" behindDoc="0" locked="0" layoutInCell="1" allowOverlap="1">
                <wp:simplePos x="0" y="0"/>
                <wp:positionH relativeFrom="column">
                  <wp:posOffset>5039995</wp:posOffset>
                </wp:positionH>
                <wp:positionV relativeFrom="paragraph">
                  <wp:posOffset>111125</wp:posOffset>
                </wp:positionV>
                <wp:extent cx="400050" cy="2228850"/>
                <wp:effectExtent l="33655" t="0" r="42545" b="0"/>
                <wp:wrapNone/>
                <wp:docPr id="28" name="自选图形 444"/>
                <wp:cNvGraphicFramePr/>
                <a:graphic xmlns:a="http://schemas.openxmlformats.org/drawingml/2006/main">
                  <a:graphicData uri="http://schemas.microsoft.com/office/word/2010/wordprocessingShape">
                    <wps:wsp>
                      <wps:cNvCnPr/>
                      <wps:spPr>
                        <a:xfrm flipV="1">
                          <a:off x="0" y="0"/>
                          <a:ext cx="400050" cy="2228850"/>
                        </a:xfrm>
                        <a:prstGeom prst="straightConnector1">
                          <a:avLst/>
                        </a:prstGeom>
                        <a:ln w="9525" cap="flat" cmpd="sng">
                          <a:solidFill>
                            <a:schemeClr val="bg1"/>
                          </a:solidFill>
                          <a:prstDash val="solid"/>
                          <a:headEnd type="arrow" w="med" len="med"/>
                          <a:tailEnd type="arrow" w="med" len="med"/>
                        </a:ln>
                      </wps:spPr>
                      <wps:bodyPr/>
                    </wps:wsp>
                  </a:graphicData>
                </a:graphic>
              </wp:anchor>
            </w:drawing>
          </mc:Choice>
          <mc:Fallback>
            <w:pict>
              <v:shape id="自选图形 444" o:spid="_x0000_s1026" o:spt="32" type="#_x0000_t32" style="position:absolute;left:0pt;flip:y;margin-left:396.85pt;margin-top:8.75pt;height:175.5pt;width:31.5pt;z-index:251709440;mso-width-relative:page;mso-height-relative:page;" filled="f" stroked="t" coordsize="21600,21600" o:gfxdata="UEsDBAoAAAAAAIdO4kAAAAAAAAAAAAAAAAAEAAAAZHJzL1BLAwQUAAAACACHTuJAClBHL9cAAAAK&#10;AQAADwAAAGRycy9kb3ducmV2LnhtbE2Py07DMBBF90j8gzVI7KhTqjyaxqkEEhHL0pa9aw9J1NiO&#10;bKcJf8+wguXMPbpzptovZmA39KF3VsB6lQBDq5zubSvgfHp7KoCFKK2Wg7Mo4BsD7Ov7u0qW2s32&#10;A2/H2DIqsaGUAroYx5LzoDo0MqzciJayL+eNjDT6lmsvZyo3A39Okowb2Vu60MkRXztU1+NkBByM&#10;/3zP8vmwPamXqRnnJqilEeLxYZ3sgEVc4h8Mv/qkDjU5XdxkdWCDgHy7yQmlIE+BEVCkGS0uAjZZ&#10;kQKvK/7/hfoHUEsDBBQAAAAIAIdO4kDgyk10AgIAAPcDAAAOAAAAZHJzL2Uyb0RvYy54bWytU82O&#10;0zAQviPxDpbvNNmoRSVquoeWckGwEj/3qeM0lvwnj7dpb9wQz8CNI+8Ab7PS8haMnVJgufRADtGM&#10;Z+ab+T6PF9cHo9leBlTONvxqUnImrXCtsruGv3u7eTLnDCPYFrSzsuFHifx6+fjRYvC1rFzvdCsD&#10;IxCL9eAb3sfo66JA0UsDOHFeWgp2LhiI5IZd0QYYCN3ooirLp8XgQuuDExKRTtdjkJ8QwyWAruuU&#10;kGsnbo20cUQNUkMkStgrj3yZp+06KeLrrkMZmW44MY35T03I3qZ/sVxAvQvgeyVOI8AlIzzgZEBZ&#10;anqGWkMEdhvUP1BGieDQdXEinClGIlkRYnFVPtDmTQ9eZi4kNfqz6Pj/YMWr/U1gqm14RfduwdCN&#10;33/8+uPDp7vP3+++fWHT6TSJNHisKXdlb8LJQ38TEuNDFwzrtPLvaZuyBsSKHbLEx7PE8hCZoMNp&#10;WZYzEl9QqKqq+ZwcAixGnITnA8YX0hmWjIZjDKB2fVw5a+k2XRh7wP4lxrHwV0Eq1pYNDX82q2bU&#10;Amg7O9oKMo0nhmh3eT50WrUbpXWqwLDbrnRge6AN2eTvNNBfaanJGrAf83IopUHdS2if25bFoyfp&#10;IAQ38DSDkS1nWtITS1ZOjaD0RamkhrYkShJ9lDlZW9ces/r5nPYhy3ba3bRwf/q5+vd7Xf4E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ClBHL9cAAAAKAQAADwAAAAAAAAABACAAAAAiAAAAZHJzL2Rv&#10;d25yZXYueG1sUEsBAhQAFAAAAAgAh07iQODKTXQCAgAA9wMAAA4AAAAAAAAAAQAgAAAAJgEAAGRy&#10;cy9lMm9Eb2MueG1sUEsFBgAAAAAGAAYAWQEAAJoFAAAAAA==&#10;">
                <v:fill on="f" focussize="0,0"/>
                <v:stroke color="#FFFFFF [3212]" joinstyle="round" startarrow="open" endarrow="open"/>
                <v:imagedata o:title=""/>
                <o:lock v:ext="edit" aspectratio="f"/>
              </v:shape>
            </w:pict>
          </mc:Fallback>
        </mc:AlternateContent>
      </w:r>
      <w:r>
        <w:rPr>
          <w:color w:val="auto"/>
          <w:sz w:val="21"/>
          <w:highlight w:val="none"/>
        </w:rPr>
        <mc:AlternateContent>
          <mc:Choice Requires="wps">
            <w:drawing>
              <wp:anchor distT="0" distB="0" distL="114300" distR="114300" simplePos="0" relativeHeight="251704320" behindDoc="0" locked="0" layoutInCell="1" allowOverlap="1">
                <wp:simplePos x="0" y="0"/>
                <wp:positionH relativeFrom="column">
                  <wp:posOffset>4899025</wp:posOffset>
                </wp:positionH>
                <wp:positionV relativeFrom="paragraph">
                  <wp:posOffset>2047240</wp:posOffset>
                </wp:positionV>
                <wp:extent cx="71755" cy="190500"/>
                <wp:effectExtent l="15875" t="0" r="26670" b="0"/>
                <wp:wrapNone/>
                <wp:docPr id="140" name="自选图形 444"/>
                <wp:cNvGraphicFramePr/>
                <a:graphic xmlns:a="http://schemas.openxmlformats.org/drawingml/2006/main">
                  <a:graphicData uri="http://schemas.microsoft.com/office/word/2010/wordprocessingShape">
                    <wps:wsp>
                      <wps:cNvCnPr/>
                      <wps:spPr>
                        <a:xfrm flipV="1">
                          <a:off x="0" y="0"/>
                          <a:ext cx="71755" cy="190500"/>
                        </a:xfrm>
                        <a:prstGeom prst="straightConnector1">
                          <a:avLst/>
                        </a:prstGeom>
                        <a:ln w="9525" cap="flat" cmpd="sng">
                          <a:solidFill>
                            <a:schemeClr val="bg1"/>
                          </a:solidFill>
                          <a:prstDash val="solid"/>
                          <a:headEnd type="arrow" w="med" len="med"/>
                          <a:tailEnd type="arrow" w="med" len="med"/>
                        </a:ln>
                      </wps:spPr>
                      <wps:bodyPr/>
                    </wps:wsp>
                  </a:graphicData>
                </a:graphic>
              </wp:anchor>
            </w:drawing>
          </mc:Choice>
          <mc:Fallback>
            <w:pict>
              <v:shape id="自选图形 444" o:spid="_x0000_s1026" o:spt="32" type="#_x0000_t32" style="position:absolute;left:0pt;flip:y;margin-left:385.75pt;margin-top:161.2pt;height:15pt;width:5.65pt;z-index:251704320;mso-width-relative:page;mso-height-relative:page;" filled="f" stroked="t" coordsize="21600,21600" o:gfxdata="UEsDBAoAAAAAAIdO4kAAAAAAAAAAAAAAAAAEAAAAZHJzL1BLAwQUAAAACACHTuJATvsHktcAAAAL&#10;AQAADwAAAGRycy9kb3ducmV2LnhtbE2PTU+DQBCG7yb+h82YeLMLaEtFliaaSDzWVu/b3RGI7Cxh&#10;l4L/3vFkj/POk/ej3C2uF2ccQ+dJQbpKQCAZbztqFHwcX++2IELUZHXvCRX8YIBddX1V6sL6md7x&#10;fIiNYBMKhVbQxjgUUgbTotNh5Qck/n350enI59hIO+qZzV0vsyTZSKc74oRWD/jSovk+TE7B3o2f&#10;b5t83j8ezfNUD3MdzFIrdXuTJk8gIi7xH4a/+lwdKu508hPZIHoFeZ6uGVVwn2UPIJjItxmPObGy&#10;ZkVWpbzcUP0CUEsDBBQAAAAIAIdO4kBPVxbXAwIAAPYDAAAOAAAAZHJzL2Uyb0RvYy54bWytU72O&#10;EzEQ7pF4B8s92U2UcNwqmysSQoMgEj/9xOvNWvKfPL5s0tEhnoGOknfg3uYkeAvG3hDgaFKwxWrs&#10;8XzzfZ/H85uD0WwvAypnaz4elZxJK1yj7K7m796unzzjDCPYBrSzsuZHifxm8fjRvPeVnLjO6UYG&#10;RiAWq97XvIvRV0WBopMGcOS8tJRsXTAQaRl2RROgJ3Sji0lZPi16FxofnJCItLsakvyEGC4BdG2r&#10;hFw5cWukjQNqkBoiScJOeeSLzLZtpYiv2xZlZLrmpDTmPzWheJv+xWIO1S6A75Q4UYBLKDzQZEBZ&#10;anqGWkEEdhvUP1BGieDQtXEknCkGIdkRUjEuH3jzpgMvsxayGv3ZdPx/sOLVfhOYamgSpuSJBUNX&#10;/v3j1x8fPt1/vrv/9oVNp9PkUu+xosNLuwmnFfpNSJIPbTCs1cq/J5BsAslih+zx8eyxPEQmaPNq&#10;fDWbcSYoM74uZ2W+gmJASWg+YHwhnWEpqDnGAGrXxaWzli7ThaED7F9iJB5U+KsgFWvL+ppfzyap&#10;A9BwtjQUFBpPAtHuMjt0WjVrpXWqwLDbLnVge6ABWecvqSXcv46lJivAbjiXU8PodBKa57Zh8ejJ&#10;OAjB9TxxMLLhTEt6YSkiRKgiKH3RUWquLXFIlg8mp2jrmmP2Pu/TOGSWp9FN8/bnOlf/fq6L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E77B5LXAAAACwEAAA8AAAAAAAAAAQAgAAAAIgAAAGRycy9k&#10;b3ducmV2LnhtbFBLAQIUABQAAAAIAIdO4kBPVxbXAwIAAPYDAAAOAAAAAAAAAAEAIAAAACYBAABk&#10;cnMvZTJvRG9jLnhtbFBLBQYAAAAABgAGAFkBAACbBQAAAAA=&#10;">
                <v:fill on="f" focussize="0,0"/>
                <v:stroke color="#FFFFFF [3212]" joinstyle="round" startarrow="open" endarrow="open"/>
                <v:imagedata o:title=""/>
                <o:lock v:ext="edit" aspectratio="f"/>
              </v:shape>
            </w:pict>
          </mc:Fallback>
        </mc:AlternateContent>
      </w:r>
      <w:r>
        <w:rPr>
          <w:color w:val="auto"/>
          <w:sz w:val="21"/>
          <w:highlight w:val="none"/>
        </w:rPr>
        <mc:AlternateContent>
          <mc:Choice Requires="wps">
            <w:drawing>
              <wp:anchor distT="0" distB="0" distL="114300" distR="114300" simplePos="0" relativeHeight="251724800" behindDoc="0" locked="0" layoutInCell="1" allowOverlap="1">
                <wp:simplePos x="0" y="0"/>
                <wp:positionH relativeFrom="column">
                  <wp:posOffset>2343785</wp:posOffset>
                </wp:positionH>
                <wp:positionV relativeFrom="paragraph">
                  <wp:posOffset>3307080</wp:posOffset>
                </wp:positionV>
                <wp:extent cx="534035" cy="282575"/>
                <wp:effectExtent l="0" t="0" r="0" b="0"/>
                <wp:wrapNone/>
                <wp:docPr id="39" name="文本框 382"/>
                <wp:cNvGraphicFramePr/>
                <a:graphic xmlns:a="http://schemas.openxmlformats.org/drawingml/2006/main">
                  <a:graphicData uri="http://schemas.microsoft.com/office/word/2010/wordprocessingShape">
                    <wps:wsp>
                      <wps:cNvSpPr txBox="1"/>
                      <wps:spPr>
                        <a:xfrm>
                          <a:off x="0" y="0"/>
                          <a:ext cx="534035" cy="282575"/>
                        </a:xfrm>
                        <a:prstGeom prst="rect">
                          <a:avLst/>
                        </a:prstGeom>
                        <a:noFill/>
                        <a:ln>
                          <a:noFill/>
                        </a:ln>
                      </wps:spPr>
                      <wps:txbx>
                        <w:txbxContent>
                          <w:p w14:paraId="53F07086">
                            <w:pPr>
                              <w:rPr>
                                <w:rFonts w:hint="default" w:eastAsia="宋体"/>
                                <w:color w:val="FFFFFF"/>
                                <w:lang w:val="en-US" w:eastAsia="zh-CN"/>
                              </w:rPr>
                            </w:pPr>
                            <w:r>
                              <w:rPr>
                                <w:rFonts w:hint="eastAsia"/>
                                <w:color w:val="FFFFFF"/>
                                <w:lang w:val="en-US" w:eastAsia="zh-CN"/>
                              </w:rPr>
                              <w:t>420m</w:t>
                            </w:r>
                          </w:p>
                        </w:txbxContent>
                      </wps:txbx>
                      <wps:bodyPr vert="horz" wrap="square" anchor="t" anchorCtr="0" upright="1"/>
                    </wps:wsp>
                  </a:graphicData>
                </a:graphic>
              </wp:anchor>
            </w:drawing>
          </mc:Choice>
          <mc:Fallback>
            <w:pict>
              <v:shape id="文本框 382" o:spid="_x0000_s1026" o:spt="202" type="#_x0000_t202" style="position:absolute;left:0pt;margin-left:184.55pt;margin-top:260.4pt;height:22.25pt;width:42.05pt;z-index:251724800;mso-width-relative:page;mso-height-relative:page;" filled="f" stroked="f" coordsize="21600,21600" o:gfxdata="UEsDBAoAAAAAAIdO4kAAAAAAAAAAAAAAAAAEAAAAZHJzL1BLAwQUAAAACACHTuJAqJQGQNgAAAAL&#10;AQAADwAAAGRycy9kb3ducmV2LnhtbE2PTU/DMAyG70j8h8hI3FjSdq220nQHEFcQ40PaLWu8tqJx&#10;qiZby7/HnOBo+9Hr5612ixvEBafQe9KQrBQIpMbbnloN729PdxsQIRqyZvCEGr4xwK6+vqpMaf1M&#10;r3jZx1ZwCIXSaOhiHEspQ9OhM2HlRyS+nfzkTORxaqWdzMzhbpCpUoV0pif+0JkRHzpsvvZnp+Hj&#10;+XT4XKuX9tHl4+wXJcltpda3N4m6BxFxiX8w/OqzOtTsdPRnskEMGrJimzCqIU8Vd2BinWcpiCNv&#10;ijwDWVfyf4f6B1BLAwQUAAAACACHTuJAkMZUuc4BAACDAwAADgAAAGRycy9lMm9Eb2MueG1srVPB&#10;jtMwEL0j7T9YvtNkUwolaroSVMsFAdIuH+A6TmMp9ng9bpPyAfAHnLhw3+/qd+zYabuwXPbAxRnP&#10;jN/MezNZXA2mYzvlUYOt+OUk50xZCbW2m4p/vb1+OecMg7C16MCqiu8V8qvlxYtF70pVQAtdrTwj&#10;EItl7yrehuDKLEPZKiNwAk5ZCjbgjQh09Zus9qIndNNlRZ6/znrwtfMgFSJ5V2OQHxH9cwChabRU&#10;K5Bbo2wYUb3qRCBK2GqHfJm6bRolw+emQRVYV3FiGtJJRchexzNbLkS58cK1Wh5bEM9p4QknI7Sl&#10;omeolQiCbb3+B8po6QGhCRMJJhuJJEWIxWX+RJubVjiVuJDU6M6i4/+DlZ92XzzTdcWnbzmzwtDE&#10;Dz9/HH7dH35/Z9N5ERXqHZaUeOMoNQzvYKC9OfmRnJH40HgTv0SJUZz03Z/1VUNgkpyz6at8OuNM&#10;UqiYF7M3s4iSPT52HsMHBYZFo+KexpdUFbuPGMbUU0qsZeFad10aYWf/chBm9GSx87HDaIVhPRzp&#10;rKHeExv6D6hOC/4bZz1tQcXxbiu84kxYSe6Kh5P5Poxrs3Veb1p6lSRIFWg2icZxj+Lw/7ynPh7/&#10;neU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qJQGQNgAAAALAQAADwAAAAAAAAABACAAAAAiAAAA&#10;ZHJzL2Rvd25yZXYueG1sUEsBAhQAFAAAAAgAh07iQJDGVLnOAQAAgwMAAA4AAAAAAAAAAQAgAAAA&#10;JwEAAGRycy9lMm9Eb2MueG1sUEsFBgAAAAAGAAYAWQEAAGcFAAAAAA==&#10;">
                <v:fill on="f" focussize="0,0"/>
                <v:stroke on="f"/>
                <v:imagedata o:title=""/>
                <o:lock v:ext="edit" aspectratio="f"/>
                <v:textbox>
                  <w:txbxContent>
                    <w:p w14:paraId="53F07086">
                      <w:pPr>
                        <w:rPr>
                          <w:rFonts w:hint="default" w:eastAsia="宋体"/>
                          <w:color w:val="FFFFFF"/>
                          <w:lang w:val="en-US" w:eastAsia="zh-CN"/>
                        </w:rPr>
                      </w:pPr>
                      <w:r>
                        <w:rPr>
                          <w:rFonts w:hint="eastAsia"/>
                          <w:color w:val="FFFFFF"/>
                          <w:lang w:val="en-US" w:eastAsia="zh-CN"/>
                        </w:rPr>
                        <w:t>420m</w:t>
                      </w:r>
                    </w:p>
                  </w:txbxContent>
                </v:textbox>
              </v:shape>
            </w:pict>
          </mc:Fallback>
        </mc:AlternateContent>
      </w:r>
      <w:r>
        <w:rPr>
          <w:color w:val="auto"/>
          <w:sz w:val="21"/>
          <w:highlight w:val="none"/>
        </w:rPr>
        <mc:AlternateContent>
          <mc:Choice Requires="wps">
            <w:drawing>
              <wp:anchor distT="0" distB="0" distL="114300" distR="114300" simplePos="0" relativeHeight="251686912" behindDoc="0" locked="0" layoutInCell="1" allowOverlap="1">
                <wp:simplePos x="0" y="0"/>
                <wp:positionH relativeFrom="column">
                  <wp:posOffset>2249805</wp:posOffset>
                </wp:positionH>
                <wp:positionV relativeFrom="paragraph">
                  <wp:posOffset>2760345</wp:posOffset>
                </wp:positionV>
                <wp:extent cx="1660525" cy="1160145"/>
                <wp:effectExtent l="0" t="0" r="15875" b="1905"/>
                <wp:wrapNone/>
                <wp:docPr id="67" name="自选图形 2"/>
                <wp:cNvGraphicFramePr/>
                <a:graphic xmlns:a="http://schemas.openxmlformats.org/drawingml/2006/main">
                  <a:graphicData uri="http://schemas.microsoft.com/office/word/2010/wordprocessingShape">
                    <wps:wsp>
                      <wps:cNvCnPr/>
                      <wps:spPr>
                        <a:xfrm flipH="1">
                          <a:off x="0" y="0"/>
                          <a:ext cx="1660525" cy="1160145"/>
                        </a:xfrm>
                        <a:prstGeom prst="straightConnector1">
                          <a:avLst/>
                        </a:prstGeom>
                        <a:ln w="9525" cap="flat" cmpd="sng">
                          <a:solidFill>
                            <a:schemeClr val="bg1"/>
                          </a:solidFill>
                          <a:prstDash val="solid"/>
                          <a:headEnd type="arrow" w="med" len="med"/>
                          <a:tailEnd type="arrow" w="med" len="med"/>
                        </a:ln>
                      </wps:spPr>
                      <wps:bodyPr/>
                    </wps:wsp>
                  </a:graphicData>
                </a:graphic>
              </wp:anchor>
            </w:drawing>
          </mc:Choice>
          <mc:Fallback>
            <w:pict>
              <v:shape id="自选图形 2" o:spid="_x0000_s1026" o:spt="32" type="#_x0000_t32" style="position:absolute;left:0pt;flip:x;margin-left:177.15pt;margin-top:217.35pt;height:91.35pt;width:130.75pt;z-index:251686912;mso-width-relative:page;mso-height-relative:page;" filled="f" stroked="t" coordsize="21600,21600" o:gfxdata="UEsDBAoAAAAAAIdO4kAAAAAAAAAAAAAAAAAEAAAAZHJzL1BLAwQUAAAACACHTuJAsxPXitcAAAAL&#10;AQAADwAAAGRycy9kb3ducmV2LnhtbE2PwU6EMBCG7ya+QzMm3tyCsKBI2UQTicd1V+/ddgQinZK2&#10;LPj2dk96m8l8+ef7691qRnZG5wdLAtJNAgxJWT1QJ+Dj+Hr3AMwHSVqOllDAD3rYNddXtay0Xegd&#10;z4fQsRhCvpIC+hCminOvejTSb+yEFG9f1hkZ4uo6rp1cYrgZ+X2SFNzIgeKHXk740qP6PsxGwN64&#10;z7eiXPaPR/U8t9PSerW2QtzepMkTsIBr+IPhoh/VoYlOJzuT9mwUkG3zLKIC8iwvgUWiSLexzOky&#10;lDnwpub/OzS/UEsDBBQAAAAIAIdO4kC3hpJKAAIAAPYDAAAOAAAAZHJzL2Uyb0RvYy54bWytUz2u&#10;EzEQ7pG4g+We7G5EAqyyeUVCoEDwJOAAE683a8l/Gvtlk44OcQY6Su7Au82T4BaMvSHAo0mBC2vs&#10;mflmvs/jxdXBaLaXGJSzDa8mJWfSCtcqu2v4+3ebR085CxFsC9pZ2fCjDPxq+fDBYvC1nLre6VYi&#10;IxAb6sE3vI/R10URRC8NhInz0pKzc2gg0hF3RYswELrRxbQs58XgsPXohAyBbtejk58Q8RJA13VK&#10;yLUTN0baOKKi1BCJUuiVD3yZu+06KeKbrgsyMt1wYhrzTkXI3qa9WC6g3iH4XolTC3BJC/c4GVCW&#10;ip6h1hCB3aD6B8oogS64Lk6EM8VIJCtCLKrynjZve/AycyGpgz+LHv4frHi9v0am2obPn3BmwdCL&#10;f//49ceHT3efb+++fWHTJNHgQ02RK3uNp1Pw15j4Hjo0rNPKv6RZygoQJ3bIAh/PAstDZIIuq/m8&#10;nE1nnAnyVdW8rB7PEn4xAiVAjyG+kM6wZDQ8RAS16+PKWUuP6XAsAvtXIY6JvxJSsrZsaPizsQTQ&#10;cHY0FFTNeCIY7C43GJxW7UZpnTIC7rYrjWwPNCCbvE4N/RWWiqwh9GNcdqUwqHsJ7XPbsnj0pBwg&#10;uoGnHoxsOdOSfliycmgEpS8KJTW0JVGS6qPOydq69pjlz/c0Dlm20+imefvznLN/f9flT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LMT14rXAAAACwEAAA8AAAAAAAAAAQAgAAAAIgAAAGRycy9kb3du&#10;cmV2LnhtbFBLAQIUABQAAAAIAIdO4kC3hpJKAAIAAPYDAAAOAAAAAAAAAAEAIAAAACYBAABkcnMv&#10;ZTJvRG9jLnhtbFBLBQYAAAAABgAGAFkBAACYBQAAAAA=&#10;">
                <v:fill on="f" focussize="0,0"/>
                <v:stroke color="#FFFFFF [3212]" joinstyle="round" startarrow="open" endarrow="open"/>
                <v:imagedata o:title=""/>
                <o:lock v:ext="edit" aspectratio="f"/>
              </v:shape>
            </w:pict>
          </mc:Fallback>
        </mc:AlternateContent>
      </w:r>
      <w:r>
        <w:rPr>
          <w:color w:val="auto"/>
          <w:sz w:val="21"/>
          <w:highlight w:val="none"/>
        </w:rPr>
        <mc:AlternateContent>
          <mc:Choice Requires="wps">
            <w:drawing>
              <wp:anchor distT="0" distB="0" distL="114300" distR="114300" simplePos="0" relativeHeight="251697152" behindDoc="0" locked="0" layoutInCell="1" allowOverlap="1">
                <wp:simplePos x="0" y="0"/>
                <wp:positionH relativeFrom="column">
                  <wp:posOffset>3505200</wp:posOffset>
                </wp:positionH>
                <wp:positionV relativeFrom="paragraph">
                  <wp:posOffset>1955165</wp:posOffset>
                </wp:positionV>
                <wp:extent cx="534035" cy="282575"/>
                <wp:effectExtent l="0" t="0" r="0" b="0"/>
                <wp:wrapNone/>
                <wp:docPr id="36" name="文本框 382"/>
                <wp:cNvGraphicFramePr/>
                <a:graphic xmlns:a="http://schemas.openxmlformats.org/drawingml/2006/main">
                  <a:graphicData uri="http://schemas.microsoft.com/office/word/2010/wordprocessingShape">
                    <wps:wsp>
                      <wps:cNvSpPr txBox="1"/>
                      <wps:spPr>
                        <a:xfrm>
                          <a:off x="0" y="0"/>
                          <a:ext cx="534035" cy="282575"/>
                        </a:xfrm>
                        <a:prstGeom prst="rect">
                          <a:avLst/>
                        </a:prstGeom>
                        <a:noFill/>
                        <a:ln>
                          <a:noFill/>
                        </a:ln>
                      </wps:spPr>
                      <wps:txbx>
                        <w:txbxContent>
                          <w:p w14:paraId="76C93104">
                            <w:pPr>
                              <w:rPr>
                                <w:rFonts w:hint="default" w:eastAsia="宋体"/>
                                <w:color w:val="FFFFFF"/>
                                <w:lang w:val="en-US" w:eastAsia="zh-CN"/>
                              </w:rPr>
                            </w:pPr>
                            <w:r>
                              <w:rPr>
                                <w:rFonts w:hint="eastAsia"/>
                                <w:color w:val="FFFFFF"/>
                                <w:lang w:val="en-US" w:eastAsia="zh-CN"/>
                              </w:rPr>
                              <w:t>180m</w:t>
                            </w:r>
                          </w:p>
                        </w:txbxContent>
                      </wps:txbx>
                      <wps:bodyPr vert="horz" wrap="square" anchor="t" anchorCtr="0" upright="1"/>
                    </wps:wsp>
                  </a:graphicData>
                </a:graphic>
              </wp:anchor>
            </w:drawing>
          </mc:Choice>
          <mc:Fallback>
            <w:pict>
              <v:shape id="文本框 382" o:spid="_x0000_s1026" o:spt="202" type="#_x0000_t202" style="position:absolute;left:0pt;margin-left:276pt;margin-top:153.95pt;height:22.25pt;width:42.05pt;z-index:251697152;mso-width-relative:page;mso-height-relative:page;" filled="f" stroked="f" coordsize="21600,21600" o:gfxdata="UEsDBAoAAAAAAIdO4kAAAAAAAAAAAAAAAAAEAAAAZHJzL1BLAwQUAAAACACHTuJAONDi9NkAAAAL&#10;AQAADwAAAGRycy9kb3ducmV2LnhtbE2PwU7DMBBE70j8g7VI3KidtAk0xOkBxBVEgUq9ufE2iYjX&#10;Uew24e9ZTvQ4O6PZN+Vmdr044xg6TxqShQKBVHvbUaPh8+Pl7gFEiIas6T2hhh8MsKmur0pTWD/R&#10;O563sRFcQqEwGtoYh0LKULfoTFj4AYm9ox+diSzHRtrRTFzuepkqlUtnOuIPrRnwqcX6e3tyGr5e&#10;j/vdSr01zy4bJj8rSW4ttb69SdQjiIhz/A/DHz6jQ8VMB38iG0SvIctS3hI1LNX9GgQn8mWegDjw&#10;JUtXIKtSXm6ofgFQSwMEFAAAAAgAh07iQMFoK3XOAQAAgwMAAA4AAABkcnMvZTJvRG9jLnhtbK1T&#10;zW7bMAy+D9g7CLovdp2mC4w4BbaguwzbgLYPoMhyLMD6KanEzh5ge4Oddtl9z5XnKCUn6dZdethF&#10;pkjqI7+P9OJ6MB3bKUDtbMUvJjlnykpXa7up+P3dzZs5ZxiErUXnrKr4XiG/Xr5+teh9qQrXuq5W&#10;wAjEYtn7irch+DLLULbKCJw4rywFGwdGBLrCJqtB9IRuuqzI86usd1B7cFIhknc1BvkREV4C6JpG&#10;S7VycmuUDSMqqE4EooSt9siXqdumUTJ8bhpUgXUVJ6YhnVSE7HU8s+VClBsQvtXy2IJ4SQvPOBmh&#10;LRU9Q61EEGwL+h8ooyU4dE2YSGeykUhShFhc5M+0uW2FV4kLSY3+LDr+P1j5afcFmK4rPr3izApD&#10;Ez/8+H74+fvw6xubzouoUO+xpMRbT6lheOcG2puTH8kZiQ8NmPglSozipO/+rK8aApPknE0v8+mM&#10;M0mhYl7M3s4iSvb02AOGD8oZFo2KA40vqSp2HzGMqaeUWMu6G911aYSd/ctBmNGTxc7HDqMVhvVw&#10;pLN29Z7Y0H9AdVoHXznraQsqjg9bAYozYSW5Kx5O5vswrs3Wg9609CpJkCrQbBKN4x7F4f95T308&#10;/TvLR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DjQ4vTZAAAACwEAAA8AAAAAAAAAAQAgAAAAIgAA&#10;AGRycy9kb3ducmV2LnhtbFBLAQIUABQAAAAIAIdO4kDBaCt1zgEAAIMDAAAOAAAAAAAAAAEAIAAA&#10;ACgBAABkcnMvZTJvRG9jLnhtbFBLBQYAAAAABgAGAFkBAABoBQAAAAA=&#10;">
                <v:fill on="f" focussize="0,0"/>
                <v:stroke on="f"/>
                <v:imagedata o:title=""/>
                <o:lock v:ext="edit" aspectratio="f"/>
                <v:textbox>
                  <w:txbxContent>
                    <w:p w14:paraId="76C93104">
                      <w:pPr>
                        <w:rPr>
                          <w:rFonts w:hint="default" w:eastAsia="宋体"/>
                          <w:color w:val="FFFFFF"/>
                          <w:lang w:val="en-US" w:eastAsia="zh-CN"/>
                        </w:rPr>
                      </w:pPr>
                      <w:r>
                        <w:rPr>
                          <w:rFonts w:hint="eastAsia"/>
                          <w:color w:val="FFFFFF"/>
                          <w:lang w:val="en-US" w:eastAsia="zh-CN"/>
                        </w:rPr>
                        <w:t>180m</w:t>
                      </w:r>
                    </w:p>
                  </w:txbxContent>
                </v:textbox>
              </v:shape>
            </w:pict>
          </mc:Fallback>
        </mc:AlternateContent>
      </w:r>
      <w:r>
        <w:rPr>
          <w:color w:val="auto"/>
          <w:sz w:val="24"/>
          <w:highlight w:val="none"/>
        </w:rPr>
        <mc:AlternateContent>
          <mc:Choice Requires="wps">
            <w:drawing>
              <wp:anchor distT="0" distB="0" distL="114300" distR="114300" simplePos="0" relativeHeight="251800576" behindDoc="0" locked="0" layoutInCell="1" allowOverlap="1">
                <wp:simplePos x="0" y="0"/>
                <wp:positionH relativeFrom="column">
                  <wp:posOffset>2443480</wp:posOffset>
                </wp:positionH>
                <wp:positionV relativeFrom="paragraph">
                  <wp:posOffset>1036320</wp:posOffset>
                </wp:positionV>
                <wp:extent cx="914400" cy="381635"/>
                <wp:effectExtent l="198755" t="42545" r="200660" b="52705"/>
                <wp:wrapNone/>
                <wp:docPr id="225" name="文本框 225"/>
                <wp:cNvGraphicFramePr/>
                <a:graphic xmlns:a="http://schemas.openxmlformats.org/drawingml/2006/main">
                  <a:graphicData uri="http://schemas.microsoft.com/office/word/2010/wordprocessingShape">
                    <wps:wsp>
                      <wps:cNvSpPr txBox="1"/>
                      <wps:spPr>
                        <a:xfrm rot="17880000">
                          <a:off x="0" y="0"/>
                          <a:ext cx="914400" cy="381635"/>
                        </a:xfrm>
                        <a:prstGeom prst="rect">
                          <a:avLst/>
                        </a:prstGeom>
                        <a:solidFill>
                          <a:schemeClr val="bg1"/>
                        </a:solidFill>
                        <a:ln w="9525" cap="sq" cmpd="sng">
                          <a:solidFill>
                            <a:schemeClr val="tx1"/>
                          </a:solidFill>
                          <a:prstDash val="solid"/>
                          <a:miter/>
                          <a:headEnd type="none" w="med" len="med"/>
                          <a:tailEnd type="none" w="med" len="med"/>
                        </a:ln>
                      </wps:spPr>
                      <wps:txbx>
                        <w:txbxContent>
                          <w:p w14:paraId="0FACD7EB">
                            <w:pPr>
                              <w:rPr>
                                <w:rFonts w:hint="eastAsia" w:eastAsia="宋体"/>
                                <w:color w:val="auto"/>
                                <w:lang w:eastAsia="zh-CN"/>
                              </w:rPr>
                            </w:pPr>
                            <w:r>
                              <w:rPr>
                                <w:rFonts w:hint="eastAsia"/>
                                <w:color w:val="auto"/>
                                <w:lang w:eastAsia="zh-CN"/>
                              </w:rPr>
                              <w:t>王家堡子村</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192.4pt;margin-top:81.6pt;height:30.05pt;width:72pt;rotation:-4063232f;z-index:251800576;mso-width-relative:page;mso-height-relative:page;" fillcolor="#FFFFFF [3212]" filled="t" stroked="t" coordsize="21600,21600" o:gfxdata="UEsDBAoAAAAAAIdO4kAAAAAAAAAAAAAAAAAEAAAAZHJzL1BLAwQUAAAACACHTuJA0n4VOtcAAAAL&#10;AQAADwAAAGRycy9kb3ducmV2LnhtbE2PvU7DQBCEeyTe4bSR6MjZZwiW8TkFEg1CQjgUlBvfxrZy&#10;P8Z3icPbs1RQ7s5o5pt6e3FWnGmOY/Aa8nUGgnwXzOh7DR+759sSREzoDdrgScM3Rdg211c1ViYs&#10;/p3ObeoFh/hYoYYhpamSMnYDOYzrMJFn7RBmh4nPuZdmxoXDnZUqyzbS4ei5YcCJngbqju3JacBX&#10;Lnv5WlSZW/fwZg5tUJ+j1jerPHsEkeiS/szwi8/o0DDTPpy8icJqKMo7Rk8sbAoFgh33quTPXoNS&#10;RQGyqeX/Dc0PUEsDBBQAAAAIAIdO4kBwuuGInwIAAGEFAAAOAAAAZHJzL2Uyb0RvYy54bWytVM1u&#10;EzEQviPxDpbvdJP0L0TdVKEhCKmilQri7Hi9WUv+w3aSDQ9A34ATF+48V5+Dz96kTUsPPbAHazz+&#10;9puZbzw+O2+1Iivhg7SmpP2DHiXCcFtJsyjpl8+zN0NKQmSmYsoaUdKNCPR8/PrV2dqNxMA2VlXC&#10;E5CYMFq7kjYxulFRBN4IzcKBdcLgsLZes4itXxSVZ2uwa1UMer2TYm195bzlIgR4p90h3TL6lxDa&#10;upZcTC1famFix+qFYhElhUa6QMc527oWPF7VdRCRqJKi0phXBIE9T2sxPmOjhWeukXybAntJCk9q&#10;0kwaBL2nmrLIyNLLf6i05N4GW8cDbnXRFZIVQRX93hNtbhrmRK4FUgd3L3r4f7T80+raE1mVdDA4&#10;psQwjZbf/by9+/Xn7vcPkpyQaO3CCMgbB2xs39kWF2fnD3Cmytvaa+ItFO6fDoc9fFkQlEgAh96b&#10;e71FGwmH823/6AgwwnF0OOyfHOZgRceVOJ0P8YOwmiSjpB7tzKRsdRki8gJ0B0nwYJWsZlKpvPGL&#10;+YXyZMXQ+ln+Usr45RFMGbJGJsepes5wn8M3GNpBkWAWOdojfNinTVWigGdoU1pTFpoufGZIMDbS&#10;MgqfrUaw6r2pSNw4aG4wbDSlokVFiRKYzWRlZGRSvQSJ2pRBialdXVuSFdt5C5pkzm21QQtzl6B7&#10;cHwmkeglC/GaeVx8OPE0xCsstbLIxm4tShrrvz/nT3jcR5wifQxSUnDJPIpRHw1uam4yJi9vjo5P&#10;B4jh90/m+ydmqS8sGtbP2WUz4aPambW3+itekEmKiiNmOGKXNO7Mi9iNN14gLiaTDFo6LxdN9wPm&#10;zrF4aW4cT2FST4ydLKOtZb5SDzptlcTk5WuzfSXSaO/vM+rhZRz/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NJ+FTrXAAAACwEAAA8AAAAAAAAAAQAgAAAAIgAAAGRycy9kb3ducmV2LnhtbFBLAQIU&#10;ABQAAAAIAIdO4kBwuuGInwIAAGEFAAAOAAAAAAAAAAEAIAAAACYBAABkcnMvZTJvRG9jLnhtbFBL&#10;BQYAAAAABgAGAFkBAAA3BgAAAAA=&#10;">
                <v:fill on="t" focussize="0,0"/>
                <v:stroke color="#000000 [3213]" joinstyle="miter" endcap="square"/>
                <v:imagedata o:title=""/>
                <o:lock v:ext="edit" aspectratio="f"/>
                <v:textbox>
                  <w:txbxContent>
                    <w:p w14:paraId="0FACD7EB">
                      <w:pPr>
                        <w:rPr>
                          <w:rFonts w:hint="eastAsia" w:eastAsia="宋体"/>
                          <w:color w:val="auto"/>
                          <w:lang w:eastAsia="zh-CN"/>
                        </w:rPr>
                      </w:pPr>
                      <w:r>
                        <w:rPr>
                          <w:rFonts w:hint="eastAsia"/>
                          <w:color w:val="auto"/>
                          <w:lang w:eastAsia="zh-CN"/>
                        </w:rPr>
                        <w:t>王家堡子村</w:t>
                      </w:r>
                    </w:p>
                  </w:txbxContent>
                </v:textbox>
              </v:shape>
            </w:pict>
          </mc:Fallback>
        </mc:AlternateContent>
      </w:r>
      <w:r>
        <w:rPr>
          <w:color w:val="auto"/>
          <w:sz w:val="24"/>
          <w:highlight w:val="none"/>
        </w:rPr>
        <mc:AlternateContent>
          <mc:Choice Requires="wps">
            <w:drawing>
              <wp:anchor distT="0" distB="0" distL="114300" distR="114300" simplePos="0" relativeHeight="251801600" behindDoc="0" locked="0" layoutInCell="1" allowOverlap="1">
                <wp:simplePos x="0" y="0"/>
                <wp:positionH relativeFrom="column">
                  <wp:posOffset>1400810</wp:posOffset>
                </wp:positionH>
                <wp:positionV relativeFrom="paragraph">
                  <wp:posOffset>3886835</wp:posOffset>
                </wp:positionV>
                <wp:extent cx="581660" cy="523875"/>
                <wp:effectExtent l="4445" t="4445" r="23495" b="5080"/>
                <wp:wrapNone/>
                <wp:docPr id="223" name="文本框 223"/>
                <wp:cNvGraphicFramePr/>
                <a:graphic xmlns:a="http://schemas.openxmlformats.org/drawingml/2006/main">
                  <a:graphicData uri="http://schemas.microsoft.com/office/word/2010/wordprocessingShape">
                    <wps:wsp>
                      <wps:cNvSpPr txBox="1"/>
                      <wps:spPr>
                        <a:xfrm>
                          <a:off x="0" y="0"/>
                          <a:ext cx="581660" cy="523875"/>
                        </a:xfrm>
                        <a:prstGeom prst="rect">
                          <a:avLst/>
                        </a:prstGeom>
                        <a:solidFill>
                          <a:schemeClr val="bg1"/>
                        </a:solidFill>
                        <a:ln w="9525" cap="sq" cmpd="sng">
                          <a:solidFill>
                            <a:schemeClr val="tx1"/>
                          </a:solidFill>
                          <a:prstDash val="solid"/>
                          <a:miter/>
                          <a:headEnd type="none" w="med" len="med"/>
                          <a:tailEnd type="none" w="med" len="med"/>
                        </a:ln>
                      </wps:spPr>
                      <wps:txbx>
                        <w:txbxContent>
                          <w:p w14:paraId="1955FAD0">
                            <w:r>
                              <w:rPr>
                                <w:rFonts w:hint="eastAsia"/>
                              </w:rPr>
                              <w:t>华玉山水小区</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10.3pt;margin-top:306.05pt;height:41.25pt;width:45.8pt;z-index:251801600;mso-width-relative:page;mso-height-relative:page;" fillcolor="#FFFFFF [3212]" filled="t" stroked="t" coordsize="21600,21600" o:gfxdata="UEsDBAoAAAAAAIdO4kAAAAAAAAAAAAAAAAAEAAAAZHJzL1BLAwQUAAAACACHTuJA/EIX5tkAAAAL&#10;AQAADwAAAGRycy9kb3ducmV2LnhtbE2PPU/DMBCGdyT+g3VILIj6g8pAiNMBiYWppAyMbnxNosbn&#10;KHaTll+PmWC8u0fvPW+5OfuBzTjFPpABuRLAkJrgemoNfO7e7p+AxWTJ2SEQGrhghE11fVXawoWF&#10;PnCuU8tyCMXCGuhSGgvOY9Oht3EVRqR8O4TJ25THqeVusksO9wNXQmjubU/5Q2dHfO2wOdYnb2CL&#10;j3eLPsr1+9fh+1K326GfkzTm9kaKF2AJz+kPhl/9rA5VdtqHE7nIBgNKCZ1RA1oqCSwTD1IpYPu8&#10;eV5r4FXJ/3eofgBQSwMEFAAAAAgAh07iQDvMYXiTAgAASgUAAA4AAABkcnMvZTJvRG9jLnhtbK1U&#10;zW4TMRC+I/EOlu90ky1pS9RNFRqCkCpaqSDOjtebteQ/bCfZ8ADwBpy4cOe5+hx89ib9o4ce2MPu&#10;eGb2m5lvZnx61mlF1sIHaU1FhwcDSoThtpZmWdHPn+avTigJkZmaKWtERbci0LPJyxenGzcWpW2t&#10;qoUnADFhvHEVbWN046IIvBWahQPrhIGxsV6ziKNfFrVnG6BrVZSDwVGxsb523nIRArSz3kh3iP45&#10;gLZpJBczy1damNijeqFYREmhlS7QSc62aQSPl00TRCSqoqg05jeCQF6kdzE5ZeOlZ66VfJcCe04K&#10;j2rSTBoEvYWascjIyst/oLTk3gbbxANuddEXkhlBFcPBI26uW+ZErgVUB3dLevh/sPzj+soTWVe0&#10;LA8pMUyj5Tc/f9z8+nPz+ztJSlC0cWEMz2sH39i9tR0GZ68PUKbKu8br9EVNBHYQvL0lWHSRcChH&#10;J8OjI1g4TKPy8OR4lFCKu5+dD/G9sJokoaIe/cu0svVFiL3r3iXFClbJei6Vyge/XJwrT9YMvZ7n&#10;Z4f+wE0Zsqnom1E5Qh4MAxy+QtAOFASzzNEe+If7sIP8PAWb0pqx0PbhM0JyY2Mto/BZagWr35ma&#10;xK0DyQbbRVMqWtSUKIFlTFL2jEyq53iCOWVAYOpP34ckxW7RASaJC1tv0TNv+8EPjs8lEr1gIV4x&#10;j0lHM3AXxEu8GmWRjd1JlLTWf3tKn/wxgLAifWxOYnDFPIpRHwxGE5AxC69HxyUOfq9d3NealT63&#10;aNQQt43jWUy+Ue3Fxlv9BVfFNEWDiRmOmBWNe/E89nuMq4aL6TQ7rZyXyxY/ABYL5li8MNeOp3Pq&#10;hbHTVbSNzKN0x8+OQaxYHsbddZB2+P45e91dgZO/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EIX&#10;5tkAAAALAQAADwAAAAAAAAABACAAAAAiAAAAZHJzL2Rvd25yZXYueG1sUEsBAhQAFAAAAAgAh07i&#10;QDvMYXiTAgAASgUAAA4AAAAAAAAAAQAgAAAAKAEAAGRycy9lMm9Eb2MueG1sUEsFBgAAAAAGAAYA&#10;WQEAAC0GAAAAAA==&#10;">
                <v:fill on="t" focussize="0,0"/>
                <v:stroke color="#000000 [3213]" joinstyle="miter" endcap="square"/>
                <v:imagedata o:title=""/>
                <o:lock v:ext="edit" aspectratio="f"/>
                <v:textbox inset="0mm,1.27mm,0mm,1.27mm">
                  <w:txbxContent>
                    <w:p w14:paraId="1955FAD0">
                      <w:r>
                        <w:rPr>
                          <w:rFonts w:hint="eastAsia"/>
                        </w:rPr>
                        <w:t>华玉山水小区</w:t>
                      </w:r>
                    </w:p>
                  </w:txbxContent>
                </v:textbox>
              </v:shape>
            </w:pict>
          </mc:Fallback>
        </mc:AlternateContent>
      </w:r>
      <w:r>
        <w:rPr>
          <w:color w:val="auto"/>
          <w:sz w:val="24"/>
          <w:highlight w:val="none"/>
        </w:rPr>
        <mc:AlternateContent>
          <mc:Choice Requires="wps">
            <w:drawing>
              <wp:anchor distT="0" distB="0" distL="114300" distR="114300" simplePos="0" relativeHeight="251799552" behindDoc="0" locked="0" layoutInCell="1" allowOverlap="1">
                <wp:simplePos x="0" y="0"/>
                <wp:positionH relativeFrom="column">
                  <wp:posOffset>4909185</wp:posOffset>
                </wp:positionH>
                <wp:positionV relativeFrom="paragraph">
                  <wp:posOffset>4525010</wp:posOffset>
                </wp:positionV>
                <wp:extent cx="914400" cy="381635"/>
                <wp:effectExtent l="4445" t="4445" r="14605" b="13970"/>
                <wp:wrapNone/>
                <wp:docPr id="227" name="文本框 227"/>
                <wp:cNvGraphicFramePr/>
                <a:graphic xmlns:a="http://schemas.openxmlformats.org/drawingml/2006/main">
                  <a:graphicData uri="http://schemas.microsoft.com/office/word/2010/wordprocessingShape">
                    <wps:wsp>
                      <wps:cNvSpPr txBox="1"/>
                      <wps:spPr>
                        <a:xfrm>
                          <a:off x="0" y="0"/>
                          <a:ext cx="914400" cy="381635"/>
                        </a:xfrm>
                        <a:prstGeom prst="rect">
                          <a:avLst/>
                        </a:prstGeom>
                        <a:noFill/>
                        <a:ln w="9525" cap="sq" cmpd="sng">
                          <a:solidFill>
                            <a:schemeClr val="tx1"/>
                          </a:solidFill>
                          <a:prstDash val="solid"/>
                          <a:miter/>
                          <a:headEnd type="none" w="med" len="med"/>
                          <a:tailEnd type="none" w="med" len="med"/>
                        </a:ln>
                      </wps:spPr>
                      <wps:txbx>
                        <w:txbxContent>
                          <w:p w14:paraId="36D63E56">
                            <w:pPr>
                              <w:rPr>
                                <w:rFonts w:hint="eastAsia" w:eastAsia="宋体"/>
                                <w:color w:val="FFFFFF" w:themeColor="background1"/>
                                <w:lang w:eastAsia="zh-CN"/>
                                <w14:textFill>
                                  <w14:solidFill>
                                    <w14:schemeClr w14:val="bg1"/>
                                  </w14:solidFill>
                                </w14:textFill>
                              </w:rPr>
                            </w:pPr>
                            <w:r>
                              <w:rPr>
                                <w:rFonts w:hint="eastAsia"/>
                                <w:color w:val="FFFFFF" w:themeColor="background1"/>
                                <w:lang w:eastAsia="zh-CN"/>
                                <w14:textFill>
                                  <w14:solidFill>
                                    <w14:schemeClr w14:val="bg1"/>
                                  </w14:solidFill>
                                </w14:textFill>
                              </w:rPr>
                              <w:t>东山村</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386.55pt;margin-top:356.3pt;height:30.05pt;width:72pt;z-index:251799552;mso-width-relative:page;mso-height-relative:page;" filled="f" stroked="t" coordsize="21600,21600" o:gfxdata="UEsDBAoAAAAAAIdO4kAAAAAAAAAAAAAAAAAEAAAAZHJzL1BLAwQUAAAACACHTuJASz+hS9gAAAAL&#10;AQAADwAAAGRycy9kb3ducmV2LnhtbE2PMU/DMBCFdyT+g3VIbNRxKmoIcTqAQHRCtAyMTuwmUe1z&#10;iN00/PteJ9ju7j29+165nr1jkx1jH1CBWGTALDbB9Ngq+Nq93j0Ai0mj0S6gVfBrI6yr66tSFyac&#10;8NNO29QyCsFYaAVdSkPBeWw663VchMEiafswep1oHVtuRn2icO94nmUr7nWP9KHTg33ubHPYHr2C&#10;OYy75f2L5PXGtfufN/M+fRy+lbq9EdkTsGTn9GeGCz6hQ0VMdTiiicwpkHIpyEqDyFfAyPEoJF3q&#10;i5RL4FXJ/3eozlBLAwQUAAAACACHTuJAhpIv844CAAApBQAADgAAAGRycy9lMm9Eb2MueG1srVTN&#10;bhMxEL4j8Q6W73STtGlLlE0VGoqQKlqpIM6O15u15D9sJ9nwAPQNOHHhznP1OfjszU8pHHogh83Y&#10;8/mbmc8zHl+0WpGV8EFaU9L+UY8SYbitpFmU9NPHq1fnlITITMWUNaKkGxHoxeTli/HajcTANlZV&#10;whOQmDBau5I2MbpRUQTeCM3CkXXCwFlbr1nE0i+KyrM12LUqBr3eabG2vnLechECdmedk24Z/XMI&#10;bV1LLmaWL7UwsWP1QrGIkkIjXaCTnG1dCx5v6jqISFRJUWnMXwSBPU/fYjJmo4VnrpF8mwJ7TgpP&#10;atJMGgTdU81YZGTp5V9UWnJvg63jEbe66ArJiqCKfu+JNncNcyLXAqmD24se/h8t/7C69URWJR0M&#10;zigxTOPKH77fP/z49fDzG0mbkGjtwgjIOwdsbN/YFo2z2w/YTJW3tdfpHzUR+CHwZi+waCPh2Hzd&#10;PznpwcPhOj7vnx4PE0txOOx8iO+E1SQZJfW4vywrW12H2EF3kBTL2CupVL5DZcgaAYaDIegZ+jJ8&#10;gaEdKgtmkUmCVbJKB9LR4BfzS+XJiqXOyL9tLn/AUrQZC02Hy64EYyMto/DZagSr3pqKxI2DdgZD&#10;Q1MqWlSUKIEZS1ZGRibVc5AQRBnokmTv5E1WbOctaJI5t9UGV+Ft18/B8SuJRK9ZiLfMo4GhMUY8&#10;3uBTK4ts7NaipLH+67/2Ex59BS/Sx0AkBZfMoxj13qDj8t1hgvLiZHg2QAz/2DN/7DFLfWmhbB+P&#10;iePZTPiodmbtrf6Ml2CaosLFDEfsksadeRm7McVLwsV0mkFL5+WiwQHQYn4ci9fmzvG07tphuoy2&#10;lrlTDjptlcQE5V7bTnsa0cfrjDq8cJP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Sz+hS9gAAAAL&#10;AQAADwAAAAAAAAABACAAAAAiAAAAZHJzL2Rvd25yZXYueG1sUEsBAhQAFAAAAAgAh07iQIaSL/OO&#10;AgAAKQUAAA4AAAAAAAAAAQAgAAAAJwEAAGRycy9lMm9Eb2MueG1sUEsFBgAAAAAGAAYAWQEAACcG&#10;AAAAAA==&#10;">
                <v:fill on="f" focussize="0,0"/>
                <v:stroke color="#000000 [3213]" joinstyle="miter" endcap="square"/>
                <v:imagedata o:title=""/>
                <o:lock v:ext="edit" aspectratio="f"/>
                <v:textbox>
                  <w:txbxContent>
                    <w:p w14:paraId="36D63E56">
                      <w:pPr>
                        <w:rPr>
                          <w:rFonts w:hint="eastAsia" w:eastAsia="宋体"/>
                          <w:color w:val="FFFFFF" w:themeColor="background1"/>
                          <w:lang w:eastAsia="zh-CN"/>
                          <w14:textFill>
                            <w14:solidFill>
                              <w14:schemeClr w14:val="bg1"/>
                            </w14:solidFill>
                          </w14:textFill>
                        </w:rPr>
                      </w:pPr>
                      <w:r>
                        <w:rPr>
                          <w:rFonts w:hint="eastAsia"/>
                          <w:color w:val="FFFFFF" w:themeColor="background1"/>
                          <w:lang w:eastAsia="zh-CN"/>
                          <w14:textFill>
                            <w14:solidFill>
                              <w14:schemeClr w14:val="bg1"/>
                            </w14:solidFill>
                          </w14:textFill>
                        </w:rPr>
                        <w:t>东山村</w:t>
                      </w:r>
                    </w:p>
                  </w:txbxContent>
                </v:textbox>
              </v:shape>
            </w:pict>
          </mc:Fallback>
        </mc:AlternateContent>
      </w:r>
      <w:r>
        <w:rPr>
          <w:color w:val="auto"/>
          <w:sz w:val="21"/>
          <w:highlight w:val="none"/>
        </w:rPr>
        <mc:AlternateContent>
          <mc:Choice Requires="wps">
            <w:drawing>
              <wp:anchor distT="0" distB="0" distL="114300" distR="114300" simplePos="0" relativeHeight="251710464" behindDoc="0" locked="0" layoutInCell="1" allowOverlap="1">
                <wp:simplePos x="0" y="0"/>
                <wp:positionH relativeFrom="column">
                  <wp:posOffset>5343525</wp:posOffset>
                </wp:positionH>
                <wp:positionV relativeFrom="paragraph">
                  <wp:posOffset>1089025</wp:posOffset>
                </wp:positionV>
                <wp:extent cx="534035" cy="282575"/>
                <wp:effectExtent l="0" t="0" r="0" b="0"/>
                <wp:wrapNone/>
                <wp:docPr id="55" name="文本框 382"/>
                <wp:cNvGraphicFramePr/>
                <a:graphic xmlns:a="http://schemas.openxmlformats.org/drawingml/2006/main">
                  <a:graphicData uri="http://schemas.microsoft.com/office/word/2010/wordprocessingShape">
                    <wps:wsp>
                      <wps:cNvSpPr txBox="1"/>
                      <wps:spPr>
                        <a:xfrm>
                          <a:off x="0" y="0"/>
                          <a:ext cx="534035" cy="282575"/>
                        </a:xfrm>
                        <a:prstGeom prst="rect">
                          <a:avLst/>
                        </a:prstGeom>
                        <a:noFill/>
                        <a:ln>
                          <a:noFill/>
                        </a:ln>
                      </wps:spPr>
                      <wps:txbx>
                        <w:txbxContent>
                          <w:p w14:paraId="40DD710B">
                            <w:pPr>
                              <w:rPr>
                                <w:rFonts w:hint="default" w:eastAsia="宋体"/>
                                <w:color w:val="FFFFFF"/>
                                <w:lang w:val="en-US" w:eastAsia="zh-CN"/>
                              </w:rPr>
                            </w:pPr>
                            <w:r>
                              <w:rPr>
                                <w:rFonts w:hint="eastAsia"/>
                                <w:color w:val="FFFFFF"/>
                                <w:lang w:val="en-US" w:eastAsia="zh-CN"/>
                              </w:rPr>
                              <w:t>450m</w:t>
                            </w:r>
                          </w:p>
                        </w:txbxContent>
                      </wps:txbx>
                      <wps:bodyPr vert="horz" wrap="square" anchor="t" anchorCtr="0" upright="1"/>
                    </wps:wsp>
                  </a:graphicData>
                </a:graphic>
              </wp:anchor>
            </w:drawing>
          </mc:Choice>
          <mc:Fallback>
            <w:pict>
              <v:shape id="文本框 382" o:spid="_x0000_s1026" o:spt="202" type="#_x0000_t202" style="position:absolute;left:0pt;margin-left:420.75pt;margin-top:85.75pt;height:22.25pt;width:42.05pt;z-index:251710464;mso-width-relative:page;mso-height-relative:page;" filled="f" stroked="f" coordsize="21600,21600" o:gfxdata="UEsDBAoAAAAAAIdO4kAAAAAAAAAAAAAAAAAEAAAAZHJzL1BLAwQUAAAACACHTuJAweqkqdcAAAAL&#10;AQAADwAAAGRycy9kb3ducmV2LnhtbE2PwU7DMAyG70i8Q2QkbixptZata7oDiCuIDZB2yxqvrWic&#10;qsnW8vZ4J7jZ+j/9/lxuZ9eLC46h86QhWSgQSLW3HTUaPvYvDysQIRqypveEGn4wwLa6vSlNYf1E&#10;73jZxUZwCYXCaGhjHAopQ92iM2HhByTOTn50JvI6NtKOZuJy18tUqVw60xFfaM2ATy3W37uz0/D5&#10;ejp8LdVb8+yyYfKzkuTWUuv7u0RtQESc4x8MV31Wh4qdjv5MNohew2qZZIxy8HgdmFinWQ7iqCFN&#10;cgWyKuX/H6pfUEsDBBQAAAAIAIdO4kDDRffyzQEAAIMDAAAOAAAAZHJzL2Uyb0RvYy54bWytU82O&#10;0zAQviPxDpbvNNmUQBU1XQmq5YIAaeEBXMdpLMU/zLhNygPAG3Diwp3n6nMwdtouu3vZAxdnPDP+&#10;Zr5vJsvr0fRsrwC1szW/muWcKStdo+225l8+37xYcIZB2Eb0zqqaHxTy69XzZ8vBV6pwnesbBYxA&#10;LFaDr3kXgq+yDGWnjMCZ88pSsHVgRKArbLMGxEDops+KPH+VDQ4aD04qRPKupyA/IcJTAF3baqnW&#10;Tu6MsmFCBdWLQJSw0x75KnXbtkqGj22LKrC+5sQ0pJOKkL2JZ7ZaimoLwndanloQT2nhAScjtKWi&#10;F6i1CILtQD+CMlqCQ9eGmXQmm4gkRYjFVf5Am9tOeJW4kNToL6Lj/4OVH/afgOmm5mXJmRWGJn78&#10;+eP468/x93c2XxRRocFjRYm3nlLD+MaNtDdnP5IzEh9bMPFLlBjFSd/DRV81BibJWc5f5nMqIylU&#10;LIrydRlRsrvHHjC8U86waNQcaHxJVbF/j2FKPafEWtbd6L5PI+ztPQdhRk8WO586jFYYN+OJzsY1&#10;B2JD/wHV6Rx842ygLag5ft0JUJwJK8ld83A234ZpbXYe9LajV0mCVIFmk2ic9igO/9976uPu31n9&#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MHqpKnXAAAACwEAAA8AAAAAAAAAAQAgAAAAIgAAAGRy&#10;cy9kb3ducmV2LnhtbFBLAQIUABQAAAAIAIdO4kDDRffyzQEAAIMDAAAOAAAAAAAAAAEAIAAAACYB&#10;AABkcnMvZTJvRG9jLnhtbFBLBQYAAAAABgAGAFkBAABlBQAAAAA=&#10;">
                <v:fill on="f" focussize="0,0"/>
                <v:stroke on="f"/>
                <v:imagedata o:title=""/>
                <o:lock v:ext="edit" aspectratio="f"/>
                <v:textbox>
                  <w:txbxContent>
                    <w:p w14:paraId="40DD710B">
                      <w:pPr>
                        <w:rPr>
                          <w:rFonts w:hint="default" w:eastAsia="宋体"/>
                          <w:color w:val="FFFFFF"/>
                          <w:lang w:val="en-US" w:eastAsia="zh-CN"/>
                        </w:rPr>
                      </w:pPr>
                      <w:r>
                        <w:rPr>
                          <w:rFonts w:hint="eastAsia"/>
                          <w:color w:val="FFFFFF"/>
                          <w:lang w:val="en-US" w:eastAsia="zh-CN"/>
                        </w:rPr>
                        <w:t>450m</w:t>
                      </w:r>
                    </w:p>
                  </w:txbxContent>
                </v:textbox>
              </v:shape>
            </w:pict>
          </mc:Fallback>
        </mc:AlternateContent>
      </w:r>
      <w:r>
        <w:rPr>
          <w:color w:val="auto"/>
          <w:sz w:val="28"/>
          <w:highlight w:val="none"/>
        </w:rPr>
        <mc:AlternateContent>
          <mc:Choice Requires="wps">
            <w:drawing>
              <wp:anchor distT="0" distB="0" distL="114300" distR="114300" simplePos="0" relativeHeight="251698176" behindDoc="0" locked="0" layoutInCell="1" allowOverlap="1">
                <wp:simplePos x="0" y="0"/>
                <wp:positionH relativeFrom="column">
                  <wp:posOffset>2467610</wp:posOffset>
                </wp:positionH>
                <wp:positionV relativeFrom="paragraph">
                  <wp:posOffset>5207000</wp:posOffset>
                </wp:positionV>
                <wp:extent cx="4342130" cy="448310"/>
                <wp:effectExtent l="5080" t="4445" r="15240" b="23495"/>
                <wp:wrapNone/>
                <wp:docPr id="37" name="文本框 37"/>
                <wp:cNvGraphicFramePr/>
                <a:graphic xmlns:a="http://schemas.openxmlformats.org/drawingml/2006/main">
                  <a:graphicData uri="http://schemas.microsoft.com/office/word/2010/wordprocessingShape">
                    <wps:wsp>
                      <wps:cNvSpPr txBox="1"/>
                      <wps:spPr>
                        <a:xfrm>
                          <a:off x="4112895" y="6440170"/>
                          <a:ext cx="4342130" cy="448310"/>
                        </a:xfrm>
                        <a:prstGeom prst="rect">
                          <a:avLst/>
                        </a:prstGeom>
                        <a:solidFill>
                          <a:schemeClr val="bg1"/>
                        </a:solidFill>
                        <a:ln w="9525" cap="sq" cmpd="sng">
                          <a:solidFill>
                            <a:schemeClr val="tx1"/>
                          </a:solidFill>
                          <a:prstDash val="sysDot"/>
                          <a:miter/>
                          <a:headEnd type="none" w="med" len="med"/>
                          <a:tailEnd type="none" w="med" len="med"/>
                        </a:ln>
                      </wps:spPr>
                      <wps:txbx>
                        <w:txbxContent>
                          <w:p w14:paraId="6C77EF38">
                            <w:pPr>
                              <w:jc w:val="center"/>
                            </w:pPr>
                            <w:r>
                              <w:rPr>
                                <w:rFonts w:hint="eastAsia" w:ascii="Times New Roman" w:hAnsi="Times New Roman"/>
                                <w:b/>
                                <w:bCs/>
                                <w:color w:val="auto"/>
                                <w:sz w:val="28"/>
                                <w:szCs w:val="28"/>
                                <w:highlight w:val="none"/>
                                <w:shd w:val="clear" w:color="auto" w:fill="auto"/>
                                <w:lang w:eastAsia="zh-CN" w:bidi="ar"/>
                              </w:rPr>
                              <w:t>附图</w:t>
                            </w:r>
                            <w:r>
                              <w:rPr>
                                <w:rFonts w:hint="eastAsia" w:ascii="Times New Roman" w:hAnsi="Times New Roman"/>
                                <w:b/>
                                <w:bCs/>
                                <w:color w:val="auto"/>
                                <w:sz w:val="28"/>
                                <w:szCs w:val="28"/>
                                <w:highlight w:val="none"/>
                                <w:shd w:val="clear" w:color="auto" w:fill="auto"/>
                                <w:lang w:val="en-US" w:eastAsia="zh-CN" w:bidi="ar"/>
                              </w:rPr>
                              <w:t xml:space="preserve">3   </w:t>
                            </w:r>
                            <w:r>
                              <w:rPr>
                                <w:rFonts w:hint="eastAsia"/>
                                <w:b/>
                                <w:bCs/>
                                <w:color w:val="auto"/>
                                <w:sz w:val="28"/>
                                <w:szCs w:val="28"/>
                                <w:highlight w:val="none"/>
                                <w:shd w:val="clear" w:color="auto" w:fill="auto"/>
                                <w:lang w:val="en-US" w:eastAsia="zh-CN" w:bidi="ar"/>
                              </w:rPr>
                              <w:t>项目</w:t>
                            </w:r>
                            <w:r>
                              <w:rPr>
                                <w:rFonts w:hint="eastAsia" w:ascii="Times New Roman" w:hAnsi="Times New Roman" w:eastAsia="宋体" w:cs="Times New Roman"/>
                                <w:b/>
                                <w:bCs/>
                                <w:color w:val="auto"/>
                                <w:sz w:val="28"/>
                                <w:szCs w:val="28"/>
                                <w:highlight w:val="none"/>
                                <w:shd w:val="clear" w:color="auto" w:fill="auto"/>
                                <w:lang w:eastAsia="zh-CN" w:bidi="ar"/>
                              </w:rPr>
                              <w:t>调查范围</w:t>
                            </w:r>
                            <w:r>
                              <w:rPr>
                                <w:rFonts w:hint="eastAsia" w:cs="Times New Roman"/>
                                <w:b/>
                                <w:bCs/>
                                <w:color w:val="auto"/>
                                <w:sz w:val="28"/>
                                <w:szCs w:val="28"/>
                                <w:highlight w:val="none"/>
                                <w:shd w:val="clear" w:color="auto" w:fill="auto"/>
                                <w:lang w:eastAsia="zh-CN" w:bidi="ar"/>
                              </w:rPr>
                              <w:t>及</w:t>
                            </w:r>
                            <w:r>
                              <w:rPr>
                                <w:rFonts w:hint="eastAsia" w:ascii="Times New Roman" w:hAnsi="Times New Roman" w:eastAsia="宋体" w:cs="Times New Roman"/>
                                <w:b/>
                                <w:bCs/>
                                <w:color w:val="auto"/>
                                <w:sz w:val="28"/>
                                <w:szCs w:val="28"/>
                                <w:highlight w:val="none"/>
                                <w:shd w:val="clear" w:color="auto" w:fill="auto"/>
                                <w:lang w:eastAsia="zh-CN" w:bidi="ar"/>
                              </w:rPr>
                              <w:t>环境保护目标分布图</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94.3pt;margin-top:410pt;height:35.3pt;width:341.9pt;z-index:251698176;mso-width-relative:page;mso-height-relative:page;" fillcolor="#FFFFFF [3212]" filled="t" stroked="t" coordsize="21600,21600" o:gfxdata="UEsDBAoAAAAAAIdO4kAAAAAAAAAAAAAAAAAEAAAAZHJzL1BLAwQUAAAACACHTuJABwzGT9gAAAAM&#10;AQAADwAAAGRycy9kb3ducmV2LnhtbE2PwU7DMAyG70i8Q2QkbizpQG1Xmk5iCMGVMXFOG9N2NE7X&#10;ZOt4e7wTHG1/+v/P5frsBnHCKfSeNCQLBQKp8banVsPu4+UuBxGiIWsGT6jhBwOsq+ur0hTWz/SO&#10;p21sBYdQKIyGLsaxkDI0HToTFn5E4tuXn5yJPE6ttJOZOdwNcqlUKp3piRs6M+Kmw+Z7e3Qa9ofd&#10;Z+L2dfL0+pYd6nnePK+yXuvbm0Q9goh4jn8wXPRZHSp2qv2RbBCDhvs8TxnVkHMPiAuhsuUDiJpX&#10;K5WCrEr5/4nqF1BLAwQUAAAACACHTuJAnjvOf6UCAABeBQAADgAAAGRycy9lMm9Eb2MueG1srVTL&#10;bhMxFN0j8Q+W93QySdqmUSdVaAhCqmilglg7Hk/Gkl/YzosPgD9gxYY939Xv4NhJ2rR00QWzmLn2&#10;PXPu+55frLUiS+GDtKai5VGHEmG4raWZV/Tzp+mbASUhMlMzZY2o6EYEejF6/ep85Yaia1urauEJ&#10;SEwYrlxF2xjdsCgCb4Vm4cg6YaBsrNcs4ujnRe3ZCuxaFd1O56RYWV87b7kIAbeTrZLuGP1LCG3T&#10;SC4mli+0MHHL6oViESGFVrpAR9nbphE8XjdNEJGoiiLSmN8wAnmW3sXonA3nnrlW8p0L7CUuPIlJ&#10;M2lg9J5qwiIjCy//odKSextsE4+41cU2kJwRRFF2nuTmtmVO5FiQ6uDukx7+Hy3/uLzxRNYV7Z1S&#10;YphGxe9+/rj79efu93eCOyRo5cIQuFsHZFy/tWu0zf4+4DLFvW68Tl9ERKDvl2V3cHZMyaaiJ/1+&#10;pzzdpVqsI+EJ0Ot3yx6qwIHo9we9MgOKBybnQ3wvrCZJqKhHKXOG2fIqRHgF6B6SDAerZD2VSuWD&#10;n88ulSdLhrJP85Mcxi+PYMqQVUXPjrtwlDP0cvgKQTtkI5h5tvYIHw5pO/l5jja5NWGh3ZoPmzCx&#10;MeHYUMsofJZawep3piZx45Bxg0mjyRctakqUwGAmKSMjk+olSASnDGJM1dpWJUlxPVuDJokzW29Q&#10;QW+3QxAcn0p4esVCvGEeXY9qYC/Ea7waZeGN3UmUtNZ/e+4+4dGM0MJ9TFFK4YJ5BKM+GLTpWYni&#10;Y+zyoX982sXBH2pmhxqz0JcWFSuxgRzPYsJHtRcbb/UXrI9xsgoVMxy2Kxr34mXczjbWDxfjcQYt&#10;nJfzFj+AFkPnWLwyt46nc6qJseNFtI3MPfWQp10mMXa5b3YrIs314TmjHtbi6C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AHDMZP2AAAAAwBAAAPAAAAAAAAAAEAIAAAACIAAABkcnMvZG93bnJldi54&#10;bWxQSwECFAAUAAAACACHTuJAnjvOf6UCAABeBQAADgAAAAAAAAABACAAAAAnAQAAZHJzL2Uyb0Rv&#10;Yy54bWxQSwUGAAAAAAYABgBZAQAAPgYAAAAA&#10;">
                <v:fill on="t" focussize="0,0"/>
                <v:stroke color="#000000 [3213]" joinstyle="miter" dashstyle="1 1" endcap="square"/>
                <v:imagedata o:title=""/>
                <o:lock v:ext="edit" aspectratio="f"/>
                <v:textbox>
                  <w:txbxContent>
                    <w:p w14:paraId="6C77EF38">
                      <w:pPr>
                        <w:jc w:val="center"/>
                      </w:pPr>
                      <w:r>
                        <w:rPr>
                          <w:rFonts w:hint="eastAsia" w:ascii="Times New Roman" w:hAnsi="Times New Roman"/>
                          <w:b/>
                          <w:bCs/>
                          <w:color w:val="auto"/>
                          <w:sz w:val="28"/>
                          <w:szCs w:val="28"/>
                          <w:highlight w:val="none"/>
                          <w:shd w:val="clear" w:color="auto" w:fill="auto"/>
                          <w:lang w:eastAsia="zh-CN" w:bidi="ar"/>
                        </w:rPr>
                        <w:t>附图</w:t>
                      </w:r>
                      <w:r>
                        <w:rPr>
                          <w:rFonts w:hint="eastAsia" w:ascii="Times New Roman" w:hAnsi="Times New Roman"/>
                          <w:b/>
                          <w:bCs/>
                          <w:color w:val="auto"/>
                          <w:sz w:val="28"/>
                          <w:szCs w:val="28"/>
                          <w:highlight w:val="none"/>
                          <w:shd w:val="clear" w:color="auto" w:fill="auto"/>
                          <w:lang w:val="en-US" w:eastAsia="zh-CN" w:bidi="ar"/>
                        </w:rPr>
                        <w:t xml:space="preserve">3   </w:t>
                      </w:r>
                      <w:r>
                        <w:rPr>
                          <w:rFonts w:hint="eastAsia"/>
                          <w:b/>
                          <w:bCs/>
                          <w:color w:val="auto"/>
                          <w:sz w:val="28"/>
                          <w:szCs w:val="28"/>
                          <w:highlight w:val="none"/>
                          <w:shd w:val="clear" w:color="auto" w:fill="auto"/>
                          <w:lang w:val="en-US" w:eastAsia="zh-CN" w:bidi="ar"/>
                        </w:rPr>
                        <w:t>项目</w:t>
                      </w:r>
                      <w:r>
                        <w:rPr>
                          <w:rFonts w:hint="eastAsia" w:ascii="Times New Roman" w:hAnsi="Times New Roman" w:eastAsia="宋体" w:cs="Times New Roman"/>
                          <w:b/>
                          <w:bCs/>
                          <w:color w:val="auto"/>
                          <w:sz w:val="28"/>
                          <w:szCs w:val="28"/>
                          <w:highlight w:val="none"/>
                          <w:shd w:val="clear" w:color="auto" w:fill="auto"/>
                          <w:lang w:eastAsia="zh-CN" w:bidi="ar"/>
                        </w:rPr>
                        <w:t>调查范围</w:t>
                      </w:r>
                      <w:r>
                        <w:rPr>
                          <w:rFonts w:hint="eastAsia" w:cs="Times New Roman"/>
                          <w:b/>
                          <w:bCs/>
                          <w:color w:val="auto"/>
                          <w:sz w:val="28"/>
                          <w:szCs w:val="28"/>
                          <w:highlight w:val="none"/>
                          <w:shd w:val="clear" w:color="auto" w:fill="auto"/>
                          <w:lang w:eastAsia="zh-CN" w:bidi="ar"/>
                        </w:rPr>
                        <w:t>及</w:t>
                      </w:r>
                      <w:r>
                        <w:rPr>
                          <w:rFonts w:hint="eastAsia" w:ascii="Times New Roman" w:hAnsi="Times New Roman" w:eastAsia="宋体" w:cs="Times New Roman"/>
                          <w:b/>
                          <w:bCs/>
                          <w:color w:val="auto"/>
                          <w:sz w:val="28"/>
                          <w:szCs w:val="28"/>
                          <w:highlight w:val="none"/>
                          <w:shd w:val="clear" w:color="auto" w:fill="auto"/>
                          <w:lang w:eastAsia="zh-CN" w:bidi="ar"/>
                        </w:rPr>
                        <w:t>环境保护目标分布图</w:t>
                      </w:r>
                    </w:p>
                  </w:txbxContent>
                </v:textbox>
              </v:shape>
            </w:pict>
          </mc:Fallback>
        </mc:AlternateContent>
      </w:r>
      <w:r>
        <w:rPr>
          <w:color w:val="auto"/>
          <w:sz w:val="21"/>
          <w:highlight w:val="none"/>
        </w:rPr>
        <mc:AlternateContent>
          <mc:Choice Requires="wps">
            <w:drawing>
              <wp:anchor distT="0" distB="0" distL="114300" distR="114300" simplePos="0" relativeHeight="251685888" behindDoc="0" locked="0" layoutInCell="1" allowOverlap="1">
                <wp:simplePos x="0" y="0"/>
                <wp:positionH relativeFrom="column">
                  <wp:posOffset>3313430</wp:posOffset>
                </wp:positionH>
                <wp:positionV relativeFrom="paragraph">
                  <wp:posOffset>2018030</wp:posOffset>
                </wp:positionV>
                <wp:extent cx="718185" cy="380365"/>
                <wp:effectExtent l="0" t="3810" r="5715" b="15875"/>
                <wp:wrapNone/>
                <wp:docPr id="66" name="自选图形 444"/>
                <wp:cNvGraphicFramePr/>
                <a:graphic xmlns:a="http://schemas.openxmlformats.org/drawingml/2006/main">
                  <a:graphicData uri="http://schemas.microsoft.com/office/word/2010/wordprocessingShape">
                    <wps:wsp>
                      <wps:cNvCnPr/>
                      <wps:spPr>
                        <a:xfrm flipH="1" flipV="1">
                          <a:off x="0" y="0"/>
                          <a:ext cx="718185" cy="380365"/>
                        </a:xfrm>
                        <a:prstGeom prst="straightConnector1">
                          <a:avLst/>
                        </a:prstGeom>
                        <a:ln w="9525" cap="flat" cmpd="sng">
                          <a:solidFill>
                            <a:schemeClr val="bg1"/>
                          </a:solidFill>
                          <a:prstDash val="solid"/>
                          <a:headEnd type="arrow" w="med" len="med"/>
                          <a:tailEnd type="arrow" w="med" len="med"/>
                        </a:ln>
                      </wps:spPr>
                      <wps:bodyPr/>
                    </wps:wsp>
                  </a:graphicData>
                </a:graphic>
              </wp:anchor>
            </w:drawing>
          </mc:Choice>
          <mc:Fallback>
            <w:pict>
              <v:shape id="自选图形 444" o:spid="_x0000_s1026" o:spt="32" type="#_x0000_t32" style="position:absolute;left:0pt;flip:x y;margin-left:260.9pt;margin-top:158.9pt;height:29.95pt;width:56.55pt;z-index:251685888;mso-width-relative:page;mso-height-relative:page;" filled="f" stroked="t" coordsize="21600,21600" o:gfxdata="UEsDBAoAAAAAAIdO4kAAAAAAAAAAAAAAAAAEAAAAZHJzL1BLAwQUAAAACACHTuJAy6w0ONwAAAAL&#10;AQAADwAAAGRycy9kb3ducmV2LnhtbE2PQU/DMAyF70j8h8hI3Fjaja1babrDEBISB7QxiR2zxrTV&#10;GqdK0nXj12NOcLOfn977XKwvthNn9KF1pCCdJCCQKmdaqhXsP14eliBC1GR05wgVXDHAury9KXRu&#10;3EhbPO9iLTiEQq4VNDH2uZShatDqMHE9Et++nLc68uprabweOdx2cpokC2l1S9zQ6B43DVan3WAV&#10;HLb93o9y/vZ+Xb2eNvT5PQ7Ds1L3d2nyBCLiJf6Z4Ref0aFkpqMbyATRKZhPU0aPCmZpxgM7FrPH&#10;FYgjK1mWgSwL+f+H8gdQSwMEFAAAAAgAh07iQG6HYMwHAgAAAAQAAA4AAABkcnMvZTJvRG9jLnht&#10;bK1TvY4TMRDukXgHyz3ZJJeEsMrmioRAgeAkfvqJ15u15D+Nfdmko0M8Ax0l7wBvcxK8BWNvCHA0&#10;KXBhjT0z38z3eby4PhjN9hKDcrbio8GQM2mFq5XdVfztm82jOWchgq1BOysrfpSBXy8fPlh0vpRj&#10;1zpdS2QEYkPZ+Yq3MfqyKIJopYEwcF5acjYODUQ64q6oETpCN7oYD4ezonNYe3RChkC3697JT4h4&#10;CaBrGiXk2olbI23sUVFqiEQptMoHvszdNo0U8VXTBBmZrjgxjXmnImRv014sF1DuEHyrxKkFuKSF&#10;e5wMKEtFz1BriMBuUf0DZZRAF1wTB8KZoieSFSEWo+E9bV634GXmQlIHfxY9/D9Y8XJ/g0zVFZ/N&#10;OLNg6MW/f/jy4/3Hu0/f7r5+ZpPJJInU+VBS7Mre4OkU/A0mxocGDWu08s9pmni23iUr+YgfO2Sx&#10;j2ex5SEyQZePR/PRfMqZINfVfHg1m6Y6RQ+Ykj2G+Ew6w5JR8RAR1K6NK2ctPavDvgTsX4TYJ/5K&#10;SMnasq7iT6bjVAFoTBsaDzKNJ6rB7nJ7wWlVb5TWKSPgbrvSyPZAo7LJ69TQX2GpyBpC28dlVwqD&#10;spVQP7U1i0dPGgKi63jqwciaMy3pryUrh0ZQ+qJQUkNbEiWp3+udrK2rj/kZ8j0NRpbtNMRp8v48&#10;5+zfH3f5E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MusNDjcAAAACwEAAA8AAAAAAAAAAQAgAAAA&#10;IgAAAGRycy9kb3ducmV2LnhtbFBLAQIUABQAAAAIAIdO4kBuh2DMBwIAAAAEAAAOAAAAAAAAAAEA&#10;IAAAACsBAABkcnMvZTJvRG9jLnhtbFBLBQYAAAAABgAGAFkBAACkBQAAAAA=&#10;">
                <v:fill on="f" focussize="0,0"/>
                <v:stroke color="#FFFFFF [3212]" joinstyle="round" startarrow="open" endarrow="open"/>
                <v:imagedata o:title=""/>
                <o:lock v:ext="edit" aspectratio="f"/>
              </v:shape>
            </w:pict>
          </mc:Fallback>
        </mc:AlternateContent>
      </w:r>
    </w:p>
    <w:p w14:paraId="4B931C5D">
      <w:pPr>
        <w:pStyle w:val="16"/>
        <w:ind w:left="0" w:leftChars="0" w:firstLine="0" w:firstLineChars="0"/>
        <w:jc w:val="center"/>
        <w:rPr>
          <w:color w:val="auto"/>
          <w:sz w:val="32"/>
          <w:highlight w:val="none"/>
        </w:rPr>
        <w:sectPr>
          <w:pgSz w:w="16838" w:h="11906" w:orient="landscape"/>
          <w:pgMar w:top="1134" w:right="567" w:bottom="1134" w:left="567" w:header="851" w:footer="851" w:gutter="0"/>
          <w:pgNumType w:fmt="decimal"/>
          <w:cols w:space="720" w:num="1"/>
          <w:docGrid w:type="lines" w:linePitch="312" w:charSpace="0"/>
        </w:sectPr>
      </w:pPr>
      <w:r>
        <w:rPr>
          <w:color w:val="auto"/>
          <w:sz w:val="32"/>
          <w:highlight w:val="none"/>
        </w:rPr>
        <mc:AlternateContent>
          <mc:Choice Requires="wps">
            <w:drawing>
              <wp:anchor distT="0" distB="0" distL="114300" distR="114300" simplePos="0" relativeHeight="251827200" behindDoc="0" locked="0" layoutInCell="1" allowOverlap="1">
                <wp:simplePos x="0" y="0"/>
                <wp:positionH relativeFrom="column">
                  <wp:posOffset>2915920</wp:posOffset>
                </wp:positionH>
                <wp:positionV relativeFrom="paragraph">
                  <wp:posOffset>267970</wp:posOffset>
                </wp:positionV>
                <wp:extent cx="914400" cy="914400"/>
                <wp:effectExtent l="0" t="0" r="0" b="0"/>
                <wp:wrapNone/>
                <wp:docPr id="92" name="文本框 92"/>
                <wp:cNvGraphicFramePr/>
                <a:graphic xmlns:a="http://schemas.openxmlformats.org/drawingml/2006/main">
                  <a:graphicData uri="http://schemas.microsoft.com/office/word/2010/wordprocessingShape">
                    <wps:wsp>
                      <wps:cNvSpPr txBox="1"/>
                      <wps:spPr>
                        <a:xfrm rot="1440000">
                          <a:off x="7974965" y="1633220"/>
                          <a:ext cx="914400" cy="914400"/>
                        </a:xfrm>
                        <a:prstGeom prst="rect">
                          <a:avLst/>
                        </a:prstGeom>
                        <a:noFill/>
                        <a:ln w="9525" cap="sq" cmpd="sng">
                          <a:noFill/>
                          <a:prstDash val="solid"/>
                          <a:miter/>
                          <a:headEnd type="none" w="med" len="med"/>
                          <a:tailEnd type="none" w="med" len="med"/>
                        </a:ln>
                      </wps:spPr>
                      <wps:txbx>
                        <w:txbxContent>
                          <w:p w14:paraId="6FA0F1BE">
                            <w:pPr>
                              <w:rPr>
                                <w:rFonts w:hint="eastAsia" w:eastAsia="宋体"/>
                                <w:lang w:eastAsia="zh-CN"/>
                              </w:rPr>
                            </w:pPr>
                            <w:r>
                              <w:rPr>
                                <w:rFonts w:hint="eastAsia"/>
                                <w:lang w:eastAsia="zh-CN"/>
                              </w:rPr>
                              <w:t>门卫</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229.6pt;margin-top:21.1pt;height:72pt;width:72pt;rotation:1572864f;z-index:251827200;mso-width-relative:page;mso-height-relative:page;" filled="f" stroked="f" coordsize="21600,21600" o:gfxdata="UEsDBAoAAAAAAIdO4kAAAAAAAAAAAAAAAAAEAAAAZHJzL1BLAwQUAAAACACHTuJA+U0G9dgAAAAK&#10;AQAADwAAAGRycy9kb3ducmV2LnhtbE2PzU7DMBCE70i8g7VI3KjdlEZpGqcSCJB6bEGIoxNvk0C8&#10;jmL3J2/PcqKnndV+mp0pNhfXixOOofOkYT5TIJBqbztqNHy8vz5kIEI0ZE3vCTVMGGBT3t4UJrf+&#10;TDs87WMj2IRCbjS0MQ65lKFu0Zkw8wMS3w5+dCbyOjbSjubM5q6XiVKpdKYj/tCaAZ9brH/2R6ch&#10;7r7D9Pn0tXhR0/aQbZs3v6wSre/v5moNIuIl/sPwF5+jQ8mZKn8kG0Sv4XG5ShhlkfBkIFULFhWT&#10;WZqALAt5XaH8BVBLAwQUAAAACACHTuJAuGzI3IkCAAAYBQAADgAAAGRycy9lMm9Eb2MueG1srVTN&#10;bhMxEL4j8Q6W73STNG1J1E0VGoqQKlqpIM6O15u15D9sJ9nwAPAGnLhw57n6HHz2btqocOiBPViz&#10;M99+M/N5Zs8vWq3IRvggrSnp8GhAiTDcVtKsSvrp49Wr15SEyEzFlDWipDsR6MXs5YvzrZuKkW2s&#10;qoQnIDFhunUlbWJ006IIvBGahSPrhEGwtl6ziFe/KirPtmDXqhgNBqfF1vrKectFCPAuuiDtGf1z&#10;CG1dSy4Wlq+1MLFj9UKxiJZCI12gs1xtXQseb+o6iEhUSdFpzCeSwF6ms5ids+nKM9dI3pfAnlPC&#10;k540kwZJH6gWLDKy9vIvKi25t8HW8YhbXXSNZEXQxXDwRJu7hjmRe4HUwT2IHv4fLf+wufVEViWd&#10;jCgxTOPG7398v//5+/7XNwIfBNq6MAXuzgEZ2ze2xdjs/QHO1Hdbe028hb7D8XiAJ6uB/gjQZ5Oz&#10;8eT0hJIdwqfHx6NRL7xoI+EATPJHlHAAeht5i4420Tsf4jthNUlGST3uNSdgm+sQO+gekuDGXkml&#10;8t0qQ7YgPRkhPWeY1/AFhnboOJhVJjlAJ5IFCw3ZMAxMsEpW3YhoGYXPhI1g1VtTkbhz0MpgR2jK&#10;oEVFiRJYqWRlZGRSPQeJPpVBu0nnTs9kxXbZgiaZS1vtoH2WF4MbHL+SKPSahXjLPOYVTmx0vMFR&#10;K4tqbG9R0lj/9V/+hMcYIYryMf9JmDXzaEa9NxiwfA1YmPwyPjnDlRF/GFkeRsxaX1ooNszVZTPh&#10;o9qbtbf6MxZ/nrIixAxH7pLGvXkZu63Ej4OL+TyD1s7LVdN9gHVxLF6bO8dTmu6W5+toa5kH4FGn&#10;XkksTB6hfrnTRh6+Z9TjD232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PlNBvXYAAAACgEAAA8A&#10;AAAAAAAAAQAgAAAAIgAAAGRycy9kb3ducmV2LnhtbFBLAQIUABQAAAAIAIdO4kC4bMjciQIAABgF&#10;AAAOAAAAAAAAAAEAIAAAACcBAABkcnMvZTJvRG9jLnhtbFBLBQYAAAAABgAGAFkBAAAiBgAAAAA=&#10;">
                <v:fill on="f" focussize="0,0"/>
                <v:stroke on="f" joinstyle="miter" endcap="square"/>
                <v:imagedata o:title=""/>
                <o:lock v:ext="edit" aspectratio="f"/>
                <v:textbox>
                  <w:txbxContent>
                    <w:p w14:paraId="6FA0F1BE">
                      <w:pPr>
                        <w:rPr>
                          <w:rFonts w:hint="eastAsia" w:eastAsia="宋体"/>
                          <w:lang w:eastAsia="zh-CN"/>
                        </w:rPr>
                      </w:pPr>
                      <w:r>
                        <w:rPr>
                          <w:rFonts w:hint="eastAsia"/>
                          <w:lang w:eastAsia="zh-CN"/>
                        </w:rPr>
                        <w:t>门卫</w:t>
                      </w:r>
                    </w:p>
                  </w:txbxContent>
                </v:textbox>
              </v:shape>
            </w:pict>
          </mc:Fallback>
        </mc:AlternateContent>
      </w:r>
      <w:r>
        <w:rPr>
          <w:color w:val="auto"/>
          <w:sz w:val="32"/>
          <w:highlight w:val="none"/>
        </w:rPr>
        <mc:AlternateContent>
          <mc:Choice Requires="wps">
            <w:drawing>
              <wp:anchor distT="0" distB="0" distL="114300" distR="114300" simplePos="0" relativeHeight="251779072" behindDoc="0" locked="0" layoutInCell="1" allowOverlap="1">
                <wp:simplePos x="0" y="0"/>
                <wp:positionH relativeFrom="column">
                  <wp:posOffset>6426835</wp:posOffset>
                </wp:positionH>
                <wp:positionV relativeFrom="paragraph">
                  <wp:posOffset>2834640</wp:posOffset>
                </wp:positionV>
                <wp:extent cx="890270" cy="302895"/>
                <wp:effectExtent l="0" t="0" r="0" b="0"/>
                <wp:wrapNone/>
                <wp:docPr id="185" name="文本框 185"/>
                <wp:cNvGraphicFramePr/>
                <a:graphic xmlns:a="http://schemas.openxmlformats.org/drawingml/2006/main">
                  <a:graphicData uri="http://schemas.microsoft.com/office/word/2010/wordprocessingShape">
                    <wps:wsp>
                      <wps:cNvSpPr txBox="1"/>
                      <wps:spPr>
                        <a:xfrm>
                          <a:off x="0" y="0"/>
                          <a:ext cx="890270" cy="302895"/>
                        </a:xfrm>
                        <a:prstGeom prst="rect">
                          <a:avLst/>
                        </a:prstGeom>
                        <a:noFill/>
                        <a:ln w="9525" cap="sq" cmpd="sng">
                          <a:noFill/>
                          <a:prstDash val="solid"/>
                          <a:miter/>
                          <a:headEnd type="none" w="med" len="med"/>
                          <a:tailEnd type="none" w="med" len="med"/>
                        </a:ln>
                      </wps:spPr>
                      <wps:txbx>
                        <w:txbxContent>
                          <w:p w14:paraId="61982AED">
                            <w:pPr>
                              <w:rPr>
                                <w:rFonts w:hint="default" w:eastAsia="宋体"/>
                                <w:color w:val="auto"/>
                                <w:sz w:val="20"/>
                                <w:szCs w:val="22"/>
                                <w:lang w:val="en-US" w:eastAsia="zh-CN"/>
                              </w:rPr>
                            </w:pPr>
                            <w:r>
                              <w:rPr>
                                <w:rFonts w:hint="eastAsia"/>
                                <w:color w:val="auto"/>
                                <w:sz w:val="20"/>
                                <w:szCs w:val="22"/>
                                <w:lang w:val="en-US" w:eastAsia="zh-CN"/>
                              </w:rPr>
                              <w:t>DA002</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506.05pt;margin-top:223.2pt;height:23.85pt;width:70.1pt;z-index:251779072;mso-width-relative:page;mso-height-relative:page;" filled="f" stroked="f" coordsize="21600,21600" o:gfxdata="UEsDBAoAAAAAAIdO4kAAAAAAAAAAAAAAAAAEAAAAZHJzL1BLAwQUAAAACACHTuJATpsfddoAAAAN&#10;AQAADwAAAGRycy9kb3ducmV2LnhtbE2Py07DMBBF90j8gzVI7KjtENoS4lTi0SUqlC7Kzk2GJMIe&#10;R7H74O+ZrmB5Z47unCkXJ+/EAcfYBzKgJwoEUh2anloDm4/lzRxETJYa6wKhgR+MsKguL0pbNOFI&#10;73hYp1ZwCcXCGuhSGgopY92ht3ESBiTefYXR28RxbGUz2iOXeyczpabS2574QmcHfOqw/l7vvYHV&#10;oOLbq0qf7jm4F/e43M5mcmvM9ZVWDyASntIfDGd9VoeKnXZhT00UjrPSmWbWQJ5PcxBnRN9ltyB2&#10;PLrPNciqlP+/qH4BUEsDBBQAAAAIAIdO4kDgeaypfgIAAAAFAAAOAAAAZHJzL2Uyb0RvYy54bWyt&#10;VM1uEzEQviPxDpbvdJPQ0iTqpgoNRUgVrVQQZ8frzVryH7aTbHgA+gacuHDnufocfPYmTVQ45MDF&#10;O/bMfjPf5xlfXLZakZXwQVpT0v5JjxJhuK2kWZT086frV0NKQmSmYsoaUdKNCPRy8vLFxdqNxcA2&#10;VlXCE4CYMF67kjYxunFRBN4IzcKJdcLAWVuvWcTWL4rKszXQtSoGvd6bYm195bzlIgSczjon3SL6&#10;YwBtXUsuZpYvtTCxQ/VCsQhKoZEu0Emutq4Fj7d1HUQkqqRgGvOKJLDnaS0mF2y88Mw1km9LYMeU&#10;8IyTZtIg6RPUjEVGll7+BaUl9zbYOp5wq4uOSFYELPq9Z9rcN8yJzAVSB/ckevh/sPzj6s4TWaET&#10;hmeUGKZx5Y8/Hh5//n789Z2kQ0i0dmGMyHuH2Ni+tS3Cd+cBh4l5W3udvuBE4IfAmyeBRRsJx+Fw&#10;1Bucw8Phet0bDEcZvdj/7HyI74XVJBkl9bi/LCtb3YSIQhC6C0m5jL2WSuU7VIasSzo6G4AFZ+jL&#10;8BWGdmAWzCKDHEQnkBkLDVkxNEawSlZdK2gZhc+AjWDVO1ORuHGQxGAWaMqgRUWJEhidZOXIyKQ6&#10;JhLFKwMOSc1OtWTFdt4CJplzW22gsLddmwbHryUKvWEh3jGPvoR0mNx4i6VWFtXYrUVJY/23f52n&#10;eLQLvCgffZ6EWTIPMuqDQSON+qengI15c3p2PsDGH3rmhx6z1FcWivXxRjiezRQf1c6svdVfMODT&#10;lBUuZjhylzTuzKvYTR8eCC6m0xy0dF4uGvwAWIyFY/HG3Due9t0tT5fR1jI3wF6nrZIYjNwX2yFO&#10;k3e4z1H7h2vy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E6bH3XaAAAADQEAAA8AAAAAAAAAAQAg&#10;AAAAIgAAAGRycy9kb3ducmV2LnhtbFBLAQIUABQAAAAIAIdO4kDgeaypfgIAAAAFAAAOAAAAAAAA&#10;AAEAIAAAACkBAABkcnMvZTJvRG9jLnhtbFBLBQYAAAAABgAGAFkBAAAZBgAAAAA=&#10;">
                <v:fill on="f" focussize="0,0"/>
                <v:stroke on="f" joinstyle="miter" endcap="square"/>
                <v:imagedata o:title=""/>
                <o:lock v:ext="edit" aspectratio="f"/>
                <v:textbox>
                  <w:txbxContent>
                    <w:p w14:paraId="61982AED">
                      <w:pPr>
                        <w:rPr>
                          <w:rFonts w:hint="default" w:eastAsia="宋体"/>
                          <w:color w:val="auto"/>
                          <w:sz w:val="20"/>
                          <w:szCs w:val="22"/>
                          <w:lang w:val="en-US" w:eastAsia="zh-CN"/>
                        </w:rPr>
                      </w:pPr>
                      <w:r>
                        <w:rPr>
                          <w:rFonts w:hint="eastAsia"/>
                          <w:color w:val="auto"/>
                          <w:sz w:val="20"/>
                          <w:szCs w:val="22"/>
                          <w:lang w:val="en-US" w:eastAsia="zh-CN"/>
                        </w:rPr>
                        <w:t>DA002</w:t>
                      </w:r>
                    </w:p>
                  </w:txbxContent>
                </v:textbox>
              </v:shape>
            </w:pict>
          </mc:Fallback>
        </mc:AlternateContent>
      </w:r>
      <w:r>
        <w:rPr>
          <w:color w:val="auto"/>
          <w:sz w:val="32"/>
          <w:highlight w:val="none"/>
        </w:rPr>
        <mc:AlternateContent>
          <mc:Choice Requires="wps">
            <w:drawing>
              <wp:anchor distT="0" distB="0" distL="114300" distR="114300" simplePos="0" relativeHeight="251825152" behindDoc="0" locked="0" layoutInCell="1" allowOverlap="1">
                <wp:simplePos x="0" y="0"/>
                <wp:positionH relativeFrom="column">
                  <wp:posOffset>5363210</wp:posOffset>
                </wp:positionH>
                <wp:positionV relativeFrom="paragraph">
                  <wp:posOffset>4776470</wp:posOffset>
                </wp:positionV>
                <wp:extent cx="732790" cy="560705"/>
                <wp:effectExtent l="684530" t="268605" r="30480" b="27940"/>
                <wp:wrapNone/>
                <wp:docPr id="63" name="圆角矩形标注 63"/>
                <wp:cNvGraphicFramePr/>
                <a:graphic xmlns:a="http://schemas.openxmlformats.org/drawingml/2006/main">
                  <a:graphicData uri="http://schemas.microsoft.com/office/word/2010/wordprocessingShape">
                    <wps:wsp>
                      <wps:cNvSpPr/>
                      <wps:spPr>
                        <a:xfrm>
                          <a:off x="5723255" y="5496560"/>
                          <a:ext cx="732790" cy="560705"/>
                        </a:xfrm>
                        <a:prstGeom prst="wedgeRoundRectCallout">
                          <a:avLst>
                            <a:gd name="adj1" fmla="val -141681"/>
                            <a:gd name="adj2" fmla="val -95629"/>
                            <a:gd name="adj3" fmla="val 16667"/>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93395B3">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循环水走向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22.3pt;margin-top:376.1pt;height:44.15pt;width:57.7pt;z-index:251825152;v-text-anchor:middle;mso-width-relative:page;mso-height-relative:page;" filled="f" stroked="t" coordsize="21600,21600" o:gfxdata="UEsDBAoAAAAAAIdO4kAAAAAAAAAAAAAAAAAEAAAAZHJzL1BLAwQUAAAACACHTuJA76k9tNoAAAAL&#10;AQAADwAAAGRycy9kb3ducmV2LnhtbE2Py27CMBBF95X6D9ZU6q7YRJBCiMMCqRJSpaJSFl2aeIgj&#10;4nGIzaN/32HVLkf36M655fLmO3HBIbaBNIxHCgRSHWxLjYbd19vLDERMhqzpAqGGH4ywrB4fSlPY&#10;cKVPvGxTI7iEYmE0uJT6QspYO/QmjkKPxNkhDN4kPodG2sFcudx3MlMql960xB+c6XHlsD5uz17D&#10;auNUe+gHv3Ef811mv0/r9/VJ6+ensVqASHhLfzDc9VkdKnbahzPZKDoNs8kkZ1TD6zTLQDAxzxWv&#10;298jNQVZlfL/huoXUEsDBBQAAAAIAIdO4kCH1eWdwQIAAGEFAAAOAAAAZHJzL2Uyb0RvYy54bWyt&#10;VM1uEzEQviPxDpbv7Wa3yaaJuqmiREVIFa1aEGfH680u8h+2k015ALhzRgJxAc6ceZwWHoOx123T&#10;lkMP5LAZ78x+M983Mz443AiO1szYRskCp7s9jJikqmzkssCvXh7t7GNkHZEl4UqyAl8wiw8nT58c&#10;tHrMMlUrXjKDAETacasLXDunx0liac0EsbtKMwnOShlBHBzNMikNaQFd8CTr9fKkVabURlFmLbyd&#10;d04cEc1jAFVVNZTNFV0JJl2HahgnDijZutEWT0K1VcWoO6kqyxziBQamLjwhCdgL/0wmB2S8NETX&#10;DY0lkMeUcI+TII2EpDdQc+IIWpnmAZRoqFFWVW6XKpF0RIIiwCLt3dPmvCaaBS4gtdU3otv/B0tf&#10;rE8NasoC53sYSSKg45ef3v/59vH35x+Xv75efflw9fM7Aico1Wo7hg/O9amJJwump72pjPD/QAht&#10;CjwYZnvZYIDRBdj9UT7Io9Js4xCFgOFeNhxBD6gPyHvD3sDjJ7dA2lj3jCmBvFHglpVLdqZWsjyD&#10;ls4I52rlguBkfWxdUL6M5ZPyTYpRJTg0ck042kn7ab6fxlZvRWV3okaDPBs9DAJVbqHSPM+HsdKY&#10;GGq+rtVXIdVRw3mYKi5RW+Bs0O95ogRWpYIRBVNokNvKJUaEL2EHqTOBilW8Kf3nHsia5WLGDQIG&#10;MKfhFxPfCfO558TWXVxwxTAuQVDfsa5H3nKbxSY2bqHKC2i8Ud1GWE2PGoA6JtadEgPKQc1wSbgT&#10;eFRcAREVLYxqZd79672Ph8kEL0YtrBSQfLsihmHEn0uY2VHa7wOsC4c+zAgczLZnse2RKzFTwB16&#10;CdUF08c7fm1WRonXcJdMfVZwEUkhdydnPMxct+pwG1E2nYYw2DtN3LE819SDd02brpyqGudn0AvV&#10;qRMPsHlhNOMt4Vd7+xyibm/GyV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DvqT202gAAAAsBAAAP&#10;AAAAAAAAAAEAIAAAACIAAABkcnMvZG93bnJldi54bWxQSwECFAAUAAAACACHTuJAh9XlncECAABh&#10;BQAADgAAAAAAAAABACAAAAApAQAAZHJzL2Uyb0RvYy54bWxQSwUGAAAAAAYABgBZAQAAXAYAAAAA&#10;" adj="-19803,-9856,14400">
                <v:fill on="f" focussize="0,0"/>
                <v:stroke weight="2pt" color="#000000 [3213]" joinstyle="round"/>
                <v:imagedata o:title=""/>
                <o:lock v:ext="edit" aspectratio="f"/>
                <v:textbox>
                  <w:txbxContent>
                    <w:p w14:paraId="293395B3">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循环水走向</w:t>
                      </w:r>
                    </w:p>
                  </w:txbxContent>
                </v:textbox>
              </v:shape>
            </w:pict>
          </mc:Fallback>
        </mc:AlternateContent>
      </w:r>
      <w:r>
        <w:rPr>
          <w:color w:val="auto"/>
          <w:sz w:val="32"/>
          <w:highlight w:val="none"/>
        </w:rPr>
        <mc:AlternateContent>
          <mc:Choice Requires="wps">
            <w:drawing>
              <wp:anchor distT="0" distB="0" distL="114300" distR="114300" simplePos="0" relativeHeight="251824128" behindDoc="0" locked="0" layoutInCell="1" allowOverlap="1">
                <wp:simplePos x="0" y="0"/>
                <wp:positionH relativeFrom="column">
                  <wp:posOffset>3336925</wp:posOffset>
                </wp:positionH>
                <wp:positionV relativeFrom="paragraph">
                  <wp:posOffset>445135</wp:posOffset>
                </wp:positionV>
                <wp:extent cx="425450" cy="509905"/>
                <wp:effectExtent l="93980" t="72390" r="109220" b="84455"/>
                <wp:wrapNone/>
                <wp:docPr id="61" name="文本框 61"/>
                <wp:cNvGraphicFramePr/>
                <a:graphic xmlns:a="http://schemas.openxmlformats.org/drawingml/2006/main">
                  <a:graphicData uri="http://schemas.microsoft.com/office/word/2010/wordprocessingShape">
                    <wps:wsp>
                      <wps:cNvSpPr txBox="1"/>
                      <wps:spPr>
                        <a:xfrm rot="1500000">
                          <a:off x="5789930" y="1198245"/>
                          <a:ext cx="425450" cy="509905"/>
                        </a:xfrm>
                        <a:prstGeom prst="rect">
                          <a:avLst/>
                        </a:prstGeom>
                        <a:solidFill>
                          <a:srgbClr val="FF0000"/>
                        </a:solidFill>
                        <a:ln w="9525" cap="sq" cmpd="sng">
                          <a:solidFill>
                            <a:schemeClr val="tx1"/>
                          </a:solidFill>
                          <a:prstDash val="solid"/>
                          <a:miter/>
                          <a:headEnd type="none" w="med" len="med"/>
                          <a:tailEnd type="none" w="med" len="med"/>
                        </a:ln>
                      </wps:spPr>
                      <wps:txbx>
                        <w:txbxContent>
                          <w:p w14:paraId="51FE9C67">
                            <w:pPr>
                              <w:rPr>
                                <w:rFonts w:hint="eastAsia" w:eastAsia="宋体"/>
                                <w:lang w:eastAsia="zh-CN"/>
                              </w:rPr>
                            </w:pPr>
                            <w:r>
                              <w:rPr>
                                <w:rFonts w:hint="eastAsia"/>
                                <w:lang w:eastAsia="zh-CN"/>
                              </w:rPr>
                              <w:t>洗车平台</w:t>
                            </w:r>
                          </w:p>
                        </w:txbxContent>
                      </wps:txbx>
                      <wps:bodyPr rot="0" spcFirstLastPara="0" vertOverflow="overflow" horzOverflow="overflow" vert="horz" wrap="square" lIns="0" tIns="45720" rIns="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262.75pt;margin-top:35.05pt;height:40.15pt;width:33.5pt;rotation:1638400f;z-index:251824128;mso-width-relative:page;mso-height-relative:page;" fillcolor="#FF0000" filled="t" stroked="t" coordsize="21600,21600" o:gfxdata="UEsDBAoAAAAAAIdO4kAAAAAAAAAAAAAAAAAEAAAAZHJzL1BLAwQUAAAACACHTuJAOyp2W9YAAAAK&#10;AQAADwAAAGRycy9kb3ducmV2LnhtbE2PwU7DMAyG70i8Q2QkbixptQArTadqEidO3RBnrwltRZOU&#10;xtu6t8ec4Gj70+/vL7eLH8XZzWmIwUC2UiBcaKMdQmfg/fD68AwiEQaLYwzOwNUl2Fa3NyUWNl5C&#10;48576gSHhFSggZ5oKqRMbe88plWcXODbZ5w9Eo9zJ+2MFw73o8yVepQeh8Afepzcrnft1/7kDWwo&#10;q5f1gXD3RuPHd9PVzXWojbm/y9QLCHIL/cHwq8/qULHTMZ6CTWI0oHOtGTXwpDIQDOhNzosjk1qt&#10;QVal/F+h+gFQSwMEFAAAAAgAh07iQHVVOMWoAgAAYgUAAA4AAABkcnMvZTJvRG9jLnhtbK1UzW4T&#10;MRC+I/EOlu90k5Btm6ibKjQEIVW0UkGcHa83a8l/2M4fDwBvwIkLd56rz8Fnb9I/OPRADqvxzJeZ&#10;bz7P+Ox8qxVZCx+kNRXtH/UoEYbbWpplRT99nL86pSREZmqmrBEV3YlAzycvX5xt3FgMbGtVLTxB&#10;EhPGG1fRNkY3LorAW6FZOLJOGAQb6zWLOPplUXu2QXatikGvd1xsrK+dt1yEAO+sC9J9Rv+chLZp&#10;JBczy1damNhl9UKxiJZCK12gk8y2aQSPV00TRCSqoug05i+KwF6kbzE5Y+OlZ66VfE+BPYfCk540&#10;kwZF71LNWGRk5eVfqbTk3gbbxCNuddE1khVBF/3eE21uWuZE7gVSB3cnevh/afmH9bUnsq7ocZ8S&#10;wzRu/PbH99ufv29/fSPwQaCNC2PgbhyQcfvGbjE2B3+AM/W9bbwm3kLfftlLv6wG+iNAlyeno9Fr&#10;SL5DuD86HQzLTnixjYQDMByUwxJxDkDZG416OV50aVN650N8J6wmyaiox73mAmx9GSIoAnqAJHiw&#10;StZzqVQ++OXiQnmyZpiB+TyT6/7yCKYM2VR0VA5K8GAY7PAFhnaQJphlrvYIHx6mzS3naQKTR7BE&#10;a8ZC25XPoa53LaPwefxaweq3piZx56C+wdbRREWLmhIlsKTJysjIpHoOEiSUgSrp5robSlbcLrZI&#10;k8yFrXe4zXxh0D04PpcgeslCvGYeGwAn3oh4hU+jLNjYvUVJa/3Xf/kTHoOJKOhjo5KCK+bRjHpv&#10;MLJIGbMxLE8GOPiDd/HQa1b6wuKiMI1glc2EjepgNt7qz3hCpqkaQsxw1KxoPJgXsdtvPEFcTKcZ&#10;tHJeLtvuD1g8x+KluXE8lUkjYux0FW0j8yjd67NXEKuXJ2z/TKTdfnjOqPuncfI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Oyp2W9YAAAAKAQAADwAAAAAAAAABACAAAAAiAAAAZHJzL2Rvd25yZXYu&#10;eG1sUEsBAhQAFAAAAAgAh07iQHVVOMWoAgAAYgUAAA4AAAAAAAAAAQAgAAAAJQEAAGRycy9lMm9E&#10;b2MueG1sUEsFBgAAAAAGAAYAWQEAAD8GAAAAAA==&#10;">
                <v:fill on="t" focussize="0,0"/>
                <v:stroke color="#000000 [3213]" joinstyle="miter" endcap="square"/>
                <v:imagedata o:title=""/>
                <o:lock v:ext="edit" aspectratio="f"/>
                <v:textbox inset="0mm,1.27mm,0mm,1.27mm">
                  <w:txbxContent>
                    <w:p w14:paraId="51FE9C67">
                      <w:pPr>
                        <w:rPr>
                          <w:rFonts w:hint="eastAsia" w:eastAsia="宋体"/>
                          <w:lang w:eastAsia="zh-CN"/>
                        </w:rPr>
                      </w:pPr>
                      <w:r>
                        <w:rPr>
                          <w:rFonts w:hint="eastAsia"/>
                          <w:lang w:eastAsia="zh-CN"/>
                        </w:rPr>
                        <w:t>洗车平台</w:t>
                      </w:r>
                    </w:p>
                  </w:txbxContent>
                </v:textbox>
              </v:shape>
            </w:pict>
          </mc:Fallback>
        </mc:AlternateContent>
      </w:r>
      <w:r>
        <w:rPr>
          <w:color w:val="auto"/>
          <w:sz w:val="32"/>
          <w:highlight w:val="none"/>
        </w:rPr>
        <mc:AlternateContent>
          <mc:Choice Requires="wps">
            <w:drawing>
              <wp:anchor distT="0" distB="0" distL="114300" distR="114300" simplePos="0" relativeHeight="251823104" behindDoc="0" locked="0" layoutInCell="1" allowOverlap="1">
                <wp:simplePos x="0" y="0"/>
                <wp:positionH relativeFrom="column">
                  <wp:posOffset>3400425</wp:posOffset>
                </wp:positionH>
                <wp:positionV relativeFrom="paragraph">
                  <wp:posOffset>3559175</wp:posOffset>
                </wp:positionV>
                <wp:extent cx="1305560" cy="877570"/>
                <wp:effectExtent l="0" t="0" r="8890" b="17780"/>
                <wp:wrapNone/>
                <wp:docPr id="60" name="直接箭头连接符 60"/>
                <wp:cNvGraphicFramePr/>
                <a:graphic xmlns:a="http://schemas.openxmlformats.org/drawingml/2006/main">
                  <a:graphicData uri="http://schemas.microsoft.com/office/word/2010/wordprocessingShape">
                    <wps:wsp>
                      <wps:cNvCnPr>
                        <a:endCxn id="111" idx="1"/>
                      </wps:cNvCnPr>
                      <wps:spPr>
                        <a:xfrm flipH="1" flipV="1">
                          <a:off x="0" y="0"/>
                          <a:ext cx="1305560" cy="877570"/>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67.75pt;margin-top:280.25pt;height:69.1pt;width:102.8pt;z-index:251823104;mso-width-relative:page;mso-height-relative:page;" filled="f" stroked="t" coordsize="21600,21600" o:gfxdata="UEsDBAoAAAAAAIdO4kAAAAAAAAAAAAAAAAAEAAAAZHJzL1BLAwQUAAAACACHTuJAYSTlfNgAAAAL&#10;AQAADwAAAGRycy9kb3ducmV2LnhtbE2Py07DMBBF90j8gzVI7KidgtMmxOkiEntIeXTpxm4c1Y8o&#10;dtPw9wwr2N3RHN05U+0WZ8mspzgELyBbMSDad0ENvhfwvn952AKJSXolbfBawLeOsKtvbypZqnD1&#10;b3puU0+wxMdSCjApjSWlsTPaybgKo/a4O4XJyYTj1FM1ySuWO0vXjOXUycHjBSNH3RjdnduLE9CY&#10;fmlH/vXxavcz/yzOrikOayHu7zL2DCTpJf3B8KuP6lCj0zFcvIrECuCPnCOKIWcYkNg8ZRmQo4C8&#10;2G6A1hX9/0P9A1BLAwQUAAAACACHTuJAPcioBh8CAAAMBAAADgAAAGRycy9lMm9Eb2MueG1srVPN&#10;jtMwEL4j8Q6W7zRJ2W6rqOlKtBQOCFbi5+46TmLJfxp7m/YleAEkTrAn4LR3ngaWx2DslO6yXPbA&#10;xRpnZr755vOX+dlOK7IV4KU1FS1GOSXCcFtL01b07Zv1oxklPjBTM2WNqOheeHq2ePhg3rtSjG1n&#10;VS2AIIjxZe8q2oXgyizzvBOa+ZF1wmCysaBZwCu0WQ2sR3StsnGen2a9hdqB5cJ7/LoakvSACPcB&#10;tE0juVhZfqGFCQMqCMUCruQ76TxdJLZNI3h41TReBKIqipuGdOIQjDfxzBZzVrbAXCf5gQK7D4U7&#10;O2kmDQ49Qq1YYOQC5D9QWnKw3jZhxK3OhkWSIrhFkd/R5nXHnEi7oNTeHUX3/w+Wv9yeA5F1RU9R&#10;EsM0vvj1h6uf7z9ff/v649PVr+8fY/zlkmAexeqdL7Fnac4hritMvdyZ1F8UBcVgh56KhdlflfHi&#10;3dCza0CTRkn3PJam6F2MIh4KQhABqeyPryN2gfAI+zifTCJLjrnZdDqZJkYZKyNi7HbgwzNhNYlB&#10;RX0AJtsuLK0xaAQLwwy2feFDZHjTEJuNXUulkh+UIX1Fx5OTPE5jaPIGzYWhdiiUNy0lTLX49/AA&#10;iba3StaxPQJ5aDdLBWTL0HMn61nxZJUEwcztsshxxXw31KXU4MbApHpqahL2Dh+DAdj+0K/MQddB&#10;yijqxtb7c/ijN5ok7XUwdHTh7XvqvvmJF7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YSTlfNgA&#10;AAALAQAADwAAAAAAAAABACAAAAAiAAAAZHJzL2Rvd25yZXYueG1sUEsBAhQAFAAAAAgAh07iQD3I&#10;qAYfAgAADAQAAA4AAAAAAAAAAQAgAAAAJwEAAGRycy9lMm9Eb2MueG1sUEsFBgAAAAAGAAYAWQEA&#10;ALgFAAAAAA==&#10;">
                <v:fill on="f" focussize="0,0"/>
                <v:stroke weight="2pt" color="#4F81BD [3204]" joinstyle="round" endarrow="open"/>
                <v:imagedata o:title=""/>
                <o:lock v:ext="edit" aspectratio="f"/>
              </v:shape>
            </w:pict>
          </mc:Fallback>
        </mc:AlternateContent>
      </w:r>
      <w:r>
        <w:rPr>
          <w:color w:val="auto"/>
          <w:sz w:val="32"/>
          <w:highlight w:val="none"/>
        </w:rPr>
        <mc:AlternateContent>
          <mc:Choice Requires="wps">
            <w:drawing>
              <wp:anchor distT="0" distB="0" distL="114300" distR="114300" simplePos="0" relativeHeight="251822080" behindDoc="0" locked="0" layoutInCell="1" allowOverlap="1">
                <wp:simplePos x="0" y="0"/>
                <wp:positionH relativeFrom="column">
                  <wp:posOffset>4592320</wp:posOffset>
                </wp:positionH>
                <wp:positionV relativeFrom="paragraph">
                  <wp:posOffset>4408170</wp:posOffset>
                </wp:positionV>
                <wp:extent cx="142240" cy="311785"/>
                <wp:effectExtent l="11430" t="0" r="17780" b="12065"/>
                <wp:wrapNone/>
                <wp:docPr id="58" name="直接箭头连接符 58"/>
                <wp:cNvGraphicFramePr/>
                <a:graphic xmlns:a="http://schemas.openxmlformats.org/drawingml/2006/main">
                  <a:graphicData uri="http://schemas.microsoft.com/office/word/2010/wordprocessingShape">
                    <wps:wsp>
                      <wps:cNvCnPr>
                        <a:stCxn id="25" idx="3"/>
                      </wps:cNvCnPr>
                      <wps:spPr>
                        <a:xfrm flipV="1">
                          <a:off x="0" y="0"/>
                          <a:ext cx="142240" cy="31178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61.6pt;margin-top:347.1pt;height:24.55pt;width:11.2pt;z-index:251822080;mso-width-relative:page;mso-height-relative:page;" filled="f" stroked="t" coordsize="21600,21600" o:gfxdata="UEsDBAoAAAAAAIdO4kAAAAAAAAAAAAAAAAAEAAAAZHJzL1BLAwQUAAAACACHTuJAuiOZktwAAAAL&#10;AQAADwAAAGRycy9kb3ducmV2LnhtbE2PTU/DMAyG70j8h8hIXNCWri0dlKY7IO2AkDbYJiFuaWPa&#10;ao1TmuyDf493gttr+dHrx8XibHtxxNF3jhTMphEIpNqZjhoFu+1y8gDCB01G945QwQ96WJTXV4XO&#10;jTvROx43oRFcQj7XCtoQhlxKX7dotZ+6AYl3X260OvA4NtKM+sTltpdxFGXS6o74QqsHfG6x3m8O&#10;VkH8lspq+H5drleNfdnvPu/wA1dK3d7MoicQAc/hD4aLPqtDyU6VO5Dxolcwj5OYUQXZY8qBiXl6&#10;n4GoLiFJQJaF/P9D+QtQSwMEFAAAAAgAh07iQJlo2cQZAgAA/wMAAA4AAABkcnMvZTJvRG9jLnht&#10;bK1TzY7TMBC+I/EOlu80TbeFKmq6Ei3lgqASP/ep4ySW/Cfb27QvwQsgcQJOC6e98zSwPAZjJ3TZ&#10;5bIHLsnYM983M9+MF+cHJcmeOy+MLmk+GlPCNTOV0E1J377ZPJpT4gPoCqTRvKRH7un58uGDRWcL&#10;PjGtkRV3BEm0Lzpb0jYEW2SZZy1X4EfGco3O2jgFAY+uySoHHbIrmU3G48dZZ1xlnWHce7xd9046&#10;MLr7EJq6FoyvDbtQXIee1XEJAVvyrbCeLlO1dc1ZeFXXngciS4qdhvTFJGjv4jdbLqBoHNhWsKEE&#10;uE8Jd3pSIDQmPVGtIQC5cOIfKiWYM97UYcSMyvpGkiLYRT6+o83rFixPvaDU3p5E9/+Plr3cbx0R&#10;VUlnOHcNCid+/eHq5/vP19++/vh09ev7x2hffiHoR7E66wvErPTWxXZ9WB10gk9mFP+Hkp7FsOxW&#10;XDx42yMOtVOklsK+w+VLkqEIBHE4keNpIvwQCMPLfDqZTNHD0HWW50/ms8QORaSJBVjnw3NuFIlG&#10;SX1wIJo2rIzWOHvj+hSwf+FDLOsGEMHabISUaQWkJl1JJ7PpOGYD3Osa9wlNZVEbrxtKQDb4YFhw&#10;qWpvpKgiPMngmt1KOrIHXLPpZp4/XQ913gqLNa7Bt31ccsUwKAII+UxXJBwt6g/OmW7ASz2I2esX&#10;ldyZ6rh1f0TGvUh9DTscF+/vc0LfvNvl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LojmZLcAAAA&#10;CwEAAA8AAAAAAAAAAQAgAAAAIgAAAGRycy9kb3ducmV2LnhtbFBLAQIUABQAAAAIAIdO4kCZaNnE&#10;GQIAAP8DAAAOAAAAAAAAAAEAIAAAACsBAABkcnMvZTJvRG9jLnhtbFBLBQYAAAAABgAGAFkBAAC2&#10;BQAAAAA=&#10;">
                <v:fill on="f" focussize="0,0"/>
                <v:stroke weight="2pt" color="#4F81BD [3204]" joinstyle="round" endarrow="open"/>
                <v:imagedata o:title=""/>
                <o:lock v:ext="edit" aspectratio="f"/>
              </v:shape>
            </w:pict>
          </mc:Fallback>
        </mc:AlternateContent>
      </w:r>
      <w:r>
        <w:rPr>
          <w:color w:val="auto"/>
          <w:sz w:val="32"/>
          <w:highlight w:val="none"/>
        </w:rPr>
        <mc:AlternateContent>
          <mc:Choice Requires="wps">
            <w:drawing>
              <wp:anchor distT="0" distB="0" distL="114300" distR="114300" simplePos="0" relativeHeight="251821056" behindDoc="0" locked="0" layoutInCell="1" allowOverlap="1">
                <wp:simplePos x="0" y="0"/>
                <wp:positionH relativeFrom="column">
                  <wp:posOffset>3210560</wp:posOffset>
                </wp:positionH>
                <wp:positionV relativeFrom="paragraph">
                  <wp:posOffset>3874770</wp:posOffset>
                </wp:positionV>
                <wp:extent cx="374650" cy="375285"/>
                <wp:effectExtent l="8890" t="8890" r="16510" b="15875"/>
                <wp:wrapNone/>
                <wp:docPr id="56" name="直接箭头连接符 56"/>
                <wp:cNvGraphicFramePr/>
                <a:graphic xmlns:a="http://schemas.openxmlformats.org/drawingml/2006/main">
                  <a:graphicData uri="http://schemas.microsoft.com/office/word/2010/wordprocessingShape">
                    <wps:wsp>
                      <wps:cNvCnPr>
                        <a:endCxn id="25" idx="1"/>
                      </wps:cNvCnPr>
                      <wps:spPr>
                        <a:xfrm>
                          <a:off x="0" y="0"/>
                          <a:ext cx="374650" cy="37528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52.8pt;margin-top:305.1pt;height:29.55pt;width:29.5pt;z-index:251821056;mso-width-relative:page;mso-height-relative:page;" filled="f" stroked="t" coordsize="21600,21600" o:gfxdata="UEsDBAoAAAAAAIdO4kAAAAAAAAAAAAAAAAAEAAAAZHJzL1BLAwQUAAAACACHTuJA6TYacNsAAAAL&#10;AQAADwAAAGRycy9kb3ducmV2LnhtbE2Py07DMBBF90j8gzVI7KidQlwIcbpAQCXKorQsWLrJ5FHi&#10;cRS7D/h6hhUs587RnTP5/OR6ccAxdJ4MJBMFAqn0VUeNgffN09UtiBAtVbb3hAa+MMC8OD/LbVb5&#10;I73hYR0bwSUUMmugjXHIpAxli86GiR+QeFf70dnI49jIarRHLne9nCqlpbMd8YXWDvjQYvm53jsD&#10;3x82bF4XL7t6ueqeV7Nd/biY1cZcXiTqHkTEU/yD4Vef1aFgp63fUxVEbyBVqWbUgE7UFAQTqb7h&#10;ZMuJvrsGWeTy/w/FD1BLAwQUAAAACACHTuJAN3fOqRUCAAD2AwAADgAAAGRycy9lMm9Eb2MueG1s&#10;rVPNjtMwEL4j8Q6W7zRtt+1WUdOVaCkXBJWAB5g6TmLJf7K9TfsSvAASJ+AEnPbO08DyGIydtLDL&#10;ZQ9cEjsz3zfzfTNZXB2UJHvuvDC6oKPBkBKumSmFrgv69s3myZwSH0CXII3mBT1yT6+Wjx8tWpvz&#10;sWmMLLkjSKJ93tqCNiHYPMs8a7gCPzCWawxWxikIeHV1VjpokV3JbDwczrLWuNI6w7j3+HXdBWnP&#10;6B5CaKpKML427FpxHTpWxyUElOQbYT1dpm6rirPwqqo8D0QWFJWG9MQieN7FZ7ZcQF47sI1gfQvw&#10;kBbuaVIgNBY9U60hALl24h8qJZgz3lRhwIzKOiHJEVQxGt7z5nUDlictaLW3Z9P9/6NlL/dbR0RZ&#10;0OmMEg0KJ377/ubnu0+3377++Hjz6/uHeP7ymWAczWqtzxGz0lsX5XJdrg464cdTiu8DrlTMy+4k&#10;xou3HeRQORWhqJ1gNg7ieB4EPwTC8OPF5WQ2xQjD0MXldDyfJk7IT2DrfHjOjSLxUFAfHIi6CSuj&#10;NY7cuFEaBuxf+BCbgfwEiJW12Qgp0+SlJm1Bx9PJMFYDXOcK1wiPyqIlXteUgKzxP2HBJUpvpCgj&#10;PBJ5V+9W0pE94HZNNvPR03Xf5520WHsNvunyUiimQR5AyGe6JOFo0XZwzrQ9Xurews616N/OlMet&#10;O1mL65B09asb9+3ve0L/+V2Xv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pNhpw2wAAAAsBAAAP&#10;AAAAAAAAAAEAIAAAACIAAABkcnMvZG93bnJldi54bWxQSwECFAAUAAAACACHTuJAN3fOqRUCAAD2&#10;AwAADgAAAAAAAAABACAAAAAqAQAAZHJzL2Uyb0RvYy54bWxQSwUGAAAAAAYABgBZAQAAsQUAAAAA&#10;">
                <v:fill on="f" focussize="0,0"/>
                <v:stroke weight="2pt" color="#4F81BD [3204]" joinstyle="round" endarrow="open"/>
                <v:imagedata o:title=""/>
                <o:lock v:ext="edit" aspectratio="f"/>
              </v:shape>
            </w:pict>
          </mc:Fallback>
        </mc:AlternateContent>
      </w:r>
      <w:r>
        <w:rPr>
          <w:color w:val="auto"/>
          <w:sz w:val="32"/>
          <w:highlight w:val="none"/>
        </w:rPr>
        <mc:AlternateContent>
          <mc:Choice Requires="wps">
            <w:drawing>
              <wp:anchor distT="0" distB="0" distL="114300" distR="114300" simplePos="0" relativeHeight="251820032" behindDoc="0" locked="0" layoutInCell="1" allowOverlap="1">
                <wp:simplePos x="0" y="0"/>
                <wp:positionH relativeFrom="column">
                  <wp:posOffset>3191510</wp:posOffset>
                </wp:positionH>
                <wp:positionV relativeFrom="paragraph">
                  <wp:posOffset>3499485</wp:posOffset>
                </wp:positionV>
                <wp:extent cx="76200" cy="438150"/>
                <wp:effectExtent l="39370" t="1905" r="17780" b="17145"/>
                <wp:wrapNone/>
                <wp:docPr id="54" name="直接箭头连接符 54"/>
                <wp:cNvGraphicFramePr/>
                <a:graphic xmlns:a="http://schemas.openxmlformats.org/drawingml/2006/main">
                  <a:graphicData uri="http://schemas.microsoft.com/office/word/2010/wordprocessingShape">
                    <wps:wsp>
                      <wps:cNvCnPr/>
                      <wps:spPr>
                        <a:xfrm flipH="1">
                          <a:off x="3542030" y="4279265"/>
                          <a:ext cx="76200" cy="438150"/>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51.3pt;margin-top:275.55pt;height:34.5pt;width:6pt;z-index:251820032;mso-width-relative:page;mso-height-relative:page;" filled="f" stroked="t" coordsize="21600,21600" o:gfxdata="UEsDBAoAAAAAAIdO4kAAAAAAAAAAAAAAAAAEAAAAZHJzL1BLAwQUAAAACACHTuJAsXxdttoAAAAL&#10;AQAADwAAAGRycy9kb3ducmV2LnhtbE2PTUvEMBCG74L/IYzgRdwkZVukNt2DsAcRVl0XxFvajG3Z&#10;ZlKb7If/3vGkt/l4eOeZanX2ozjiHIdABvRCgUBqgxuoM7B7W9/egYjJkrNjIDTwjRFW9eVFZUsX&#10;TvSKx23qBIdQLK2BPqWplDK2PXobF2FC4t1nmL1N3M6ddLM9cbgfZaZUIb0diC/0dsKHHtv99uAN&#10;ZC9L2UxfT+vnTecf97uPG3zHjTHXV1rdg0h4Tn8w/OqzOtTs1IQDuShGA7nKCka5yLUGwUSulzxp&#10;DBSZ0iDrSv7/of4BUEsDBBQAAAAIAIdO4kB8tSL6FAIAAOMDAAAOAAAAZHJzL2Uyb0RvYy54bWyt&#10;U0uOEzEQ3SNxB8t70knnM0OUzkgkBBYIIgEHcNx2tyX/VPakk0twASRWwApYzZ7TwHAMyu4wwLCZ&#10;BRur7HK95/eqvLg4GE32AoJytqKjwZASYbmrlW0q+vrV5sE5JSEyWzPtrKjoUQR6sbx/b9H5uShd&#10;63QtgCCIDfPOV7SN0c+LIvBWGBYGzguLSenAsIhbaIoaWIfoRhflcDgrOge1B8dFCHi67pP0hAh3&#10;AXRSKi7Wjl8aYWOPCkKziJJCq3ygy/xaKQWPL6QMIhJdUVQa84okGO/SWiwXbN4A863ipyewuzzh&#10;libDlEXSG6g1i4xcgvoHyigOLjgZB9yZoheSHUEVo+Etb162zIusBa0O/sb08P9g+fP9FoiqKzqd&#10;UGKZwY5fv736/ubD9ZfP395f/fj6LsWfPhLMo1mdD3OsWdktnHbBbyEpP0gwRGrln+JUZS9QHTlU&#10;dDydlMMxGn6s6KQ8e1jOpr3t4hAJxwtnM5wLSnjKj89H09yVokdMyB5CfCKcISmoaIjAVNPGlbMW&#10;++ugZ2P7ZyHim7DwV0Eqtm6jtM5t1pZ0FS2nk8zGcHYlzgwSG4/6g20oYbrBT8EjZAHBaVWn8gQU&#10;oNmtNJA9w1GabM5Hj9ZJBtL9dS1xr1lo+3s51auNTOnHtibx6NFjBuC6U722CJOM7a1M0c7Vx+xw&#10;PsfeZ6LTnKbh+nOfq3//zeV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sXxdttoAAAALAQAADwAA&#10;AAAAAAABACAAAAAiAAAAZHJzL2Rvd25yZXYueG1sUEsBAhQAFAAAAAgAh07iQHy1IvoUAgAA4wMA&#10;AA4AAAAAAAAAAQAgAAAAKQEAAGRycy9lMm9Eb2MueG1sUEsFBgAAAAAGAAYAWQEAAK8FAAAAAA==&#10;">
                <v:fill on="f" focussize="0,0"/>
                <v:stroke weight="2pt" color="#4F81BD [3204]" joinstyle="round" endarrow="open"/>
                <v:imagedata o:title=""/>
                <o:lock v:ext="edit" aspectratio="f"/>
              </v:shape>
            </w:pict>
          </mc:Fallback>
        </mc:AlternateContent>
      </w:r>
      <w:r>
        <w:rPr>
          <w:color w:val="auto"/>
          <w:sz w:val="32"/>
          <w:highlight w:val="none"/>
        </w:rPr>
        <mc:AlternateContent>
          <mc:Choice Requires="wps">
            <w:drawing>
              <wp:anchor distT="0" distB="0" distL="114300" distR="114300" simplePos="0" relativeHeight="251810816" behindDoc="0" locked="0" layoutInCell="1" allowOverlap="1">
                <wp:simplePos x="0" y="0"/>
                <wp:positionH relativeFrom="column">
                  <wp:posOffset>2592705</wp:posOffset>
                </wp:positionH>
                <wp:positionV relativeFrom="paragraph">
                  <wp:posOffset>1468120</wp:posOffset>
                </wp:positionV>
                <wp:extent cx="4882515" cy="2091055"/>
                <wp:effectExtent l="6350" t="6350" r="6985" b="17145"/>
                <wp:wrapNone/>
                <wp:docPr id="111" name="任意多边形 111"/>
                <wp:cNvGraphicFramePr/>
                <a:graphic xmlns:a="http://schemas.openxmlformats.org/drawingml/2006/main">
                  <a:graphicData uri="http://schemas.microsoft.com/office/word/2010/wordprocessingShape">
                    <wps:wsp>
                      <wps:cNvSpPr/>
                      <wps:spPr>
                        <a:xfrm>
                          <a:off x="2971800" y="2188210"/>
                          <a:ext cx="4882515" cy="2091055"/>
                        </a:xfrm>
                        <a:custGeom>
                          <a:avLst/>
                          <a:gdLst>
                            <a:gd name="connisteX0" fmla="*/ 0 w 4882515"/>
                            <a:gd name="connsiteY0" fmla="*/ 1692910 h 2091055"/>
                            <a:gd name="connisteX1" fmla="*/ 807720 w 4882515"/>
                            <a:gd name="connsiteY1" fmla="*/ 2091055 h 2091055"/>
                            <a:gd name="connisteX2" fmla="*/ 1337945 w 4882515"/>
                            <a:gd name="connsiteY2" fmla="*/ 1017905 h 2091055"/>
                            <a:gd name="connisteX3" fmla="*/ 3143250 w 4882515"/>
                            <a:gd name="connsiteY3" fmla="*/ 1900555 h 2091055"/>
                            <a:gd name="connisteX4" fmla="*/ 3333750 w 4882515"/>
                            <a:gd name="connsiteY4" fmla="*/ 1470025 h 2091055"/>
                            <a:gd name="connisteX5" fmla="*/ 4369435 w 4882515"/>
                            <a:gd name="connsiteY5" fmla="*/ 1987550 h 2091055"/>
                            <a:gd name="connisteX6" fmla="*/ 4882515 w 4882515"/>
                            <a:gd name="connsiteY6" fmla="*/ 927735 h 2091055"/>
                            <a:gd name="connisteX7" fmla="*/ 2957195 w 4882515"/>
                            <a:gd name="connsiteY7" fmla="*/ 0 h 2091055"/>
                            <a:gd name="connisteX8" fmla="*/ 2447925 w 4882515"/>
                            <a:gd name="connsiteY8" fmla="*/ 1056005 h 2091055"/>
                            <a:gd name="connisteX9" fmla="*/ 1536700 w 4882515"/>
                            <a:gd name="connsiteY9" fmla="*/ 633730 h 2091055"/>
                            <a:gd name="connisteX10" fmla="*/ 712470 w 4882515"/>
                            <a:gd name="connsiteY10" fmla="*/ 231775 h 2091055"/>
                            <a:gd name="connisteX11" fmla="*/ 0 w 4882515"/>
                            <a:gd name="connsiteY11" fmla="*/ 1692910 h 209105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Lst>
                          <a:rect l="l" t="t" r="r" b="b"/>
                          <a:pathLst>
                            <a:path w="4882515" h="2091055">
                              <a:moveTo>
                                <a:pt x="0" y="1692910"/>
                              </a:moveTo>
                              <a:lnTo>
                                <a:pt x="807720" y="2091055"/>
                              </a:lnTo>
                              <a:lnTo>
                                <a:pt x="1337945" y="1017905"/>
                              </a:lnTo>
                              <a:lnTo>
                                <a:pt x="3143250" y="1900555"/>
                              </a:lnTo>
                              <a:lnTo>
                                <a:pt x="3333750" y="1470025"/>
                              </a:lnTo>
                              <a:lnTo>
                                <a:pt x="4369435" y="1987550"/>
                              </a:lnTo>
                              <a:lnTo>
                                <a:pt x="4882515" y="927735"/>
                              </a:lnTo>
                              <a:lnTo>
                                <a:pt x="2957195" y="0"/>
                              </a:lnTo>
                              <a:lnTo>
                                <a:pt x="2447925" y="1056005"/>
                              </a:lnTo>
                              <a:lnTo>
                                <a:pt x="1536700" y="633730"/>
                              </a:lnTo>
                              <a:lnTo>
                                <a:pt x="712470" y="231775"/>
                              </a:lnTo>
                              <a:lnTo>
                                <a:pt x="0" y="1692910"/>
                              </a:lnTo>
                              <a:close/>
                            </a:path>
                          </a:pathLst>
                        </a:cu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04.15pt;margin-top:115.6pt;height:164.65pt;width:384.45pt;z-index:251810816;mso-width-relative:page;mso-height-relative:page;" filled="f" stroked="t" coordsize="4882515,2091055" o:gfxdata="UEsDBAoAAAAAAIdO4kAAAAAAAAAAAAAAAAAEAAAAZHJzL1BLAwQUAAAACACHTuJAcy+JBdwAAAAM&#10;AQAADwAAAGRycy9kb3ducmV2LnhtbE2PwU7DMAyG70i8Q2QkLmhL2rG1lKY7wCZxQEJ0iHPWeE2h&#10;caom28rbk53gZsuf/v9zuZ5sz044+s6RhGQugCE1TnfUSvjYbWc5MB8UadU7Qgk/6GFdXV+VqtDu&#10;TO94qkPLYgj5QkkwIQwF574xaJWfuwEp3g5utCrEdWy5HtU5htuep0KsuFUdxQajBnwy2HzXRxtL&#10;6ny7mT7vnt+6r43oHrLp5fVgpLy9ScQjsIBT+IPhoh/VoYpOe3ck7Vkv4V7ki4hKSBdJCuxCJFkW&#10;p72E5UosgVcl//9E9QtQSwMEFAAAAAgAh07iQBRzg30ZBAAANA4AAA4AAABkcnMvZTJvRG9jLnht&#10;bK1Xy47bNhTdB+g/EFoW6EjUw7KM8WSRwWRTtAEmBdolR6IsARIpkBzbs+8++yyL/EQQpF/TFP2M&#10;Xj5k03lYMhAvbMq65754ee7l9fN936EtFbLlbB3gqyhAlJW8atlmHfz2+u6nZYCkIqwiHWd0HTxR&#10;GTy/+eHZ9W5Y0Zg3vKuoQKCEydVuWAeNUsMqDGXZ0J7IKz5QBi9rLnqi4FFswkqQHWjvuzCOokW4&#10;46IaBC+plPDvrX0ZOI1ijkJe121Jb3n52FOmrFZBO6IgJNm0gwxujLd1TUv1a11LqlC3DiBSZb7B&#10;CKwf9Hd4c01WG0GGpi2dC2SOC5/F1JOWgdGDqluiCHoU7Req+rYUXPJaXZW8D20gJiMQBY4+y819&#10;QwZqYoFUy+GQdPn91Ja/bF8J1FZQCRgHiJEetvyfDx/+/fPNp3dv//v7/aePfyH9ChK1G+QK5O+H&#10;V8I9SVjqqPe16PUvxIP26yAucryMIMVPsMbLZYxdouleoRIEUvgvw1mASi0RFTjKMm0hPKoqH6V6&#10;SblRS7Y/S2V3qoKVyXPlfC05Y61U9HcwV/cdbN6PIYrQDo02HM4Tl62if/jieFHE4ANqkOcL7OUX&#10;NiBDBxvLKM/jGYZ8jFM/bSj2DOEkyYs0mw7pBBThvIiyaUuJZynBaRJnM2LyQbiIYPdmWEp9SwkE&#10;NceSD8JpHkXxDEtQWIdtSpNFkSYzsueDcLHMM3BvsiAWviVb1NP75IOKOM/Bu0lDuWcoLrIcFzNC&#10;8kEzggHiP6QtTtO8gFxPniMfBMd4AcUwHU3hWcJZsoB9nbbkgxZQPsmMkIB4jjHlOIYKmjZ0AooT&#10;nOczQtLsecjeHCO+/FcJCMhwM9IdaUYGLPfMUSCsENFNOzKdZ+BSc6/Ph0Cu+tHxneVXQGn+nACD&#10;cz7Y0D/4Mw8MPOSDY8fs88BALT44uQgMbOGD04vAQAA+eGxI89yGM+2DFxdZhnPqg/OLwHAAffDy&#10;IjCcKR9cXATW58RH2y4/u0z0iTmBn1SZVeNKXcAcpye4zkxwKkAwwQkzwT1oj8lqIEqfkHGJdt6M&#10;0RxHDP2+51v6mhtJpQ+MDcKdQBf/UaZjvqzt+cZtb1IAV0ex8Xcwql3nNvLYNmRnYJQbf628679W&#10;3rbV8/K2i1p52xzPyrte6PSbFndefhzTYJtsozor7vqSUW8Gvm8mxnUX64htGmc1ux5h5C31nxW3&#10;RG+kLX2flf5aAYz7UnZcUkucusTMhHqoNV2i3pTK+F3bdaYcO6YrEMfQ12DGJXBLquF2Ast+gElb&#10;sk2ASLeB61ephCFvybu20nBdl1JsHl50Am0JlPzdXQQfF8CJ2CCkuiWysXLm1SFOcFRP63Y+16sH&#10;Xj2Zsd38D5cJE4q7+Ojbiv9s0MfL3s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gYAAFtDb250ZW50X1R5cGVzXS54bWxQSwECFAAKAAAAAACH&#10;TuJAAAAAAAAAAAAAAAAABgAAAAAAAAAAABAAAABwBQAAX3JlbHMvUEsBAhQAFAAAAAgAh07iQIoU&#10;ZjzRAAAAlAEAAAsAAAAAAAAAAQAgAAAAlAUAAF9yZWxzLy5yZWxzUEsBAhQACgAAAAAAh07iQAAA&#10;AAAAAAAAAAAAAAQAAAAAAAAAAAAQAAAAAAAAAGRycy9QSwECFAAUAAAACACHTuJAcy+JBdwAAAAM&#10;AQAADwAAAAAAAAABACAAAAAiAAAAZHJzL2Rvd25yZXYueG1sUEsBAhQAFAAAAAgAh07iQBRzg30Z&#10;BAAANA4AAA4AAAAAAAAAAQAgAAAAKwEAAGRycy9lMm9Eb2MueG1sUEsFBgAAAAAGAAYAWQEAALYH&#10;AAAAAA==&#10;" path="m0,1692910l807720,2091055,1337945,1017905,3143250,1900555,3333750,1470025,4369435,1987550,4882515,927735,2957195,0,2447925,1056005,1536700,633730,712470,231775,0,1692910xe">
                <v:path o:connectlocs="0,1692910;807720,2091055;1337945,1017905;3143250,1900555;3333750,1470025;4369435,1987550;4882515,927735;2957195,0;2447925,1056005;1536700,633730;712470,231775;0,1692910" o:connectangles="0,0,0,0,0,0,0,0,0,0,0,0"/>
                <v:fill on="f" focussize="0,0"/>
                <v:stroke weight="1pt" color="#FF0000 [2404]" joinstyle="round"/>
                <v:imagedata o:title=""/>
                <o:lock v:ext="edit" aspectratio="f"/>
              </v:shape>
            </w:pict>
          </mc:Fallback>
        </mc:AlternateContent>
      </w:r>
      <w:r>
        <w:rPr>
          <w:color w:val="auto"/>
          <w:sz w:val="32"/>
          <w:highlight w:val="none"/>
        </w:rPr>
        <mc:AlternateContent>
          <mc:Choice Requires="wps">
            <w:drawing>
              <wp:anchor distT="0" distB="0" distL="114300" distR="114300" simplePos="0" relativeHeight="251772928" behindDoc="0" locked="0" layoutInCell="1" allowOverlap="1">
                <wp:simplePos x="0" y="0"/>
                <wp:positionH relativeFrom="column">
                  <wp:posOffset>6438900</wp:posOffset>
                </wp:positionH>
                <wp:positionV relativeFrom="paragraph">
                  <wp:posOffset>2839720</wp:posOffset>
                </wp:positionV>
                <wp:extent cx="76200" cy="76200"/>
                <wp:effectExtent l="4445" t="4445" r="14605" b="14605"/>
                <wp:wrapNone/>
                <wp:docPr id="173" name="自选图形 445"/>
                <wp:cNvGraphicFramePr/>
                <a:graphic xmlns:a="http://schemas.openxmlformats.org/drawingml/2006/main">
                  <a:graphicData uri="http://schemas.microsoft.com/office/word/2010/wordprocessingShape">
                    <wps:wsp>
                      <wps:cNvSpPr/>
                      <wps:spPr>
                        <a:xfrm>
                          <a:off x="0" y="0"/>
                          <a:ext cx="76200" cy="76200"/>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C000"/>
                        </a:solidFill>
                        <a:ln w="9525" cap="flat" cmpd="sng">
                          <a:solidFill>
                            <a:srgbClr val="00B050"/>
                          </a:solidFill>
                          <a:prstDash val="solid"/>
                          <a:headEnd type="none" w="med" len="med"/>
                          <a:tailEnd type="none" w="med" len="med"/>
                        </a:ln>
                      </wps:spPr>
                      <wps:bodyPr vert="horz" wrap="square" anchor="t" anchorCtr="0" upright="1"/>
                    </wps:wsp>
                  </a:graphicData>
                </a:graphic>
              </wp:anchor>
            </w:drawing>
          </mc:Choice>
          <mc:Fallback>
            <w:pict>
              <v:shape id="自选图形 445" o:spid="_x0000_s1026" o:spt="100" style="position:absolute;left:0pt;margin-left:507pt;margin-top:223.6pt;height:6pt;width:6pt;z-index:251772928;mso-width-relative:page;mso-height-relative:page;" fillcolor="#FFC000" filled="t" stroked="t" coordsize="21600,21600" o:gfxdata="UEsDBAoAAAAAAIdO4kAAAAAAAAAAAAAAAAAEAAAAZHJzL1BLAwQUAAAACACHTuJA8id/8tsAAAAN&#10;AQAADwAAAGRycy9kb3ducmV2LnhtbE2PzU7DMBCE70i8g7VIXBC1E0KgIU4l/q5IhFbl6CZLEhGv&#10;o9hNWp6e7QmOMzua/SZfHWwvJhx950hDtFAgkCpXd9RoWH+8Xt+D8MFQbXpHqOGIHlbF+VlustrN&#10;9I5TGRrBJeQzo6ENYcik9FWL1viFG5D49uVGawLLsZH1aGYut72MlUqlNR3xh9YM+NRi9V3urYbt&#10;y9uS1M3n8WozT9Oj2v6UVfqs9eVFpB5ABDyEvzCc8BkdCmbauT3VXvSsVZTwmKAhSe5iEKeIilO2&#10;dmzdLmOQRS7/ryh+AVBLAwQUAAAACACHTuJAtNWSrGQDAAB5CQAADgAAAGRycy9lMm9Eb2MueG1s&#10;rVbNbtswDL4P2DsIPg5o7fw1adCkWJtll2Er2uwBVFmODdiWJimxu9Nuw55htx33DtvbFNjeYqRk&#10;Oz9NuqzYJaFk8iP5kaJ0dl5mKVlypRORj7zWceARnjMRJvl85L2fTY8GHtGG5iFNRc5H3h3X3vn4&#10;+bOzQg55W8QiDbkiAJLrYSFHXmyMHPq+ZjHPqD4WkufwMRIqowaWau6HihaAnqV+OwhO/EKoUCrB&#10;uNawO3EfvQpRHQIooihhfCLYIuO5caiKp9RASjpOpPbGNtoo4sy8iyLNDUlHHmRq7C84AfkWf/3x&#10;GR3OFZVxwqoQ6CEhbOWU0SQHpw3UhBpKFip5AJUlTAktInPMROa7RCwjkEUr2OLmJqaS21yAai0b&#10;0vX/g2Vvl1eKJCF0Qr/jkZxmUPJfn7///vTl/uvP+x/fSLfbQ5YKqYegfCOvVLXSIGLKZaQy/Idk&#10;SGmZvWuY5aUhDDb7J1B6jzD44kTA8FembKHNay4sDF2+0caVJQTJkhpWgZnyjUeiLIUSvfBJp3XS&#10;IQVpt04Au7JoFGfbivEexes1xdag2+nvhbx4oLmGCdnM63hpXKfAyrzKASRC8Yi1+4HtFCk00tUK&#10;BshMTRnAgCYmvc8As7b6VnA8bpu0Bhs+HL7ztNvgdEO/cWH5QGp3hLVpskqjKcffbZBtm8pjfjYi&#10;c+DI1mPZbFPc+NmmzIVYVUjBsMAxYZsMBoUpoYdgVJgSWgSGhSkvXJdJarDAWCQUSQFFtT1I4lrC&#10;b5lY8pmwWmZ1MNbjXmlQxWaCFNd1XiReidq8xL6xhgH2ii7sRq8Lq7rzDwA4qg2eCvB01496ZqnQ&#10;HHrsIWNo5vrDHhLXh7tIc4rImZP2UdZQYN2tONtjj9vIcE3YP5o/2bDxs9txTRh0L/afPZ1NT2JL&#10;r01TLdIknCZpivxqNb+9TBVZUmjz6fSy6h4w2VBLc2zp0167BxObwhUfwdUKYibhmtD53I6vDYsN&#10;4CC4CHp2IG8DS6XNhOrYBWAR3ImKOQ1f5SExdxKunxzeHR6GkPHQIymHZwpKtmaGJukhmuA6hTHq&#10;47XlLiqUbkV4B9cdvH7gfMdCfQQ3cPdDVh8WVIFTmjPYhrNei5cGVlDIhVTJPAarlh2HCAY3sqW+&#10;ej3glb++ts5XL6bx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NgFAABbQ29udGVudF9UeXBlc10ueG1sUEsBAhQACgAAAAAAh07iQAAAAAAAAAAA&#10;AAAAAAYAAAAAAAAAAAAQAAAAugQAAF9yZWxzL1BLAQIUABQAAAAIAIdO4kCKFGY80QAAAJQBAAAL&#10;AAAAAAAAAAEAIAAAAN4EAABfcmVscy8ucmVsc1BLAQIUAAoAAAAAAIdO4kAAAAAAAAAAAAAAAAAE&#10;AAAAAAAAAAAAEAAAAAAAAABkcnMvUEsBAhQAFAAAAAgAh07iQPInf/LbAAAADQEAAA8AAAAAAAAA&#10;AQAgAAAAIgAAAGRycy9kb3ducmV2LnhtbFBLAQIUABQAAAAIAIdO4kC01ZKsZAMAAHkJAAAOAAAA&#10;AAAAAAEAIAAAACoBAABkcnMvZTJvRG9jLnhtbFBLBQYAAAAABgAGAFkBAAAABw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B050" joinstyle="round"/>
                <v:imagedata o:title=""/>
                <o:lock v:ext="edit" aspectratio="f"/>
              </v:shape>
            </w:pict>
          </mc:Fallback>
        </mc:AlternateContent>
      </w:r>
      <w:r>
        <w:rPr>
          <w:color w:val="auto"/>
          <w:sz w:val="32"/>
          <w:highlight w:val="none"/>
        </w:rPr>
        <mc:AlternateContent>
          <mc:Choice Requires="wps">
            <w:drawing>
              <wp:anchor distT="0" distB="0" distL="114300" distR="114300" simplePos="0" relativeHeight="251778048" behindDoc="0" locked="0" layoutInCell="1" allowOverlap="1">
                <wp:simplePos x="0" y="0"/>
                <wp:positionH relativeFrom="column">
                  <wp:posOffset>6622415</wp:posOffset>
                </wp:positionH>
                <wp:positionV relativeFrom="paragraph">
                  <wp:posOffset>2527935</wp:posOffset>
                </wp:positionV>
                <wp:extent cx="890270" cy="302895"/>
                <wp:effectExtent l="0" t="0" r="0" b="0"/>
                <wp:wrapNone/>
                <wp:docPr id="184" name="文本框 184"/>
                <wp:cNvGraphicFramePr/>
                <a:graphic xmlns:a="http://schemas.openxmlformats.org/drawingml/2006/main">
                  <a:graphicData uri="http://schemas.microsoft.com/office/word/2010/wordprocessingShape">
                    <wps:wsp>
                      <wps:cNvSpPr txBox="1"/>
                      <wps:spPr>
                        <a:xfrm>
                          <a:off x="0" y="0"/>
                          <a:ext cx="890270" cy="302895"/>
                        </a:xfrm>
                        <a:prstGeom prst="rect">
                          <a:avLst/>
                        </a:prstGeom>
                        <a:noFill/>
                        <a:ln w="9525" cap="sq" cmpd="sng">
                          <a:noFill/>
                          <a:prstDash val="solid"/>
                          <a:miter/>
                          <a:headEnd type="none" w="med" len="med"/>
                          <a:tailEnd type="none" w="med" len="med"/>
                        </a:ln>
                      </wps:spPr>
                      <wps:txbx>
                        <w:txbxContent>
                          <w:p w14:paraId="6DB276A0">
                            <w:pPr>
                              <w:rPr>
                                <w:rFonts w:hint="default" w:eastAsia="宋体"/>
                                <w:color w:val="auto"/>
                                <w:sz w:val="20"/>
                                <w:szCs w:val="22"/>
                                <w:lang w:val="en-US" w:eastAsia="zh-CN"/>
                              </w:rPr>
                            </w:pPr>
                            <w:r>
                              <w:rPr>
                                <w:rFonts w:hint="eastAsia"/>
                                <w:color w:val="auto"/>
                                <w:sz w:val="20"/>
                                <w:szCs w:val="22"/>
                                <w:lang w:val="en-US" w:eastAsia="zh-CN"/>
                              </w:rPr>
                              <w:t>DA003</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521.45pt;margin-top:199.05pt;height:23.85pt;width:70.1pt;z-index:251778048;mso-width-relative:page;mso-height-relative:page;" filled="f" stroked="f" coordsize="21600,21600" o:gfxdata="UEsDBAoAAAAAAIdO4kAAAAAAAAAAAAAAAAAEAAAAZHJzL1BLAwQUAAAACACHTuJA0e51ktoAAAAN&#10;AQAADwAAAGRycy9kb3ducmV2LnhtbE2Py07DMBBF90j8gzVI7KidNtA0xKnEo0tUKCzKzo2HJMIe&#10;R7H74O+ZrmA3V3N050y1PHknDjjGPpCGbKJAIDXB9tRq+Hhf3RQgYjJkjQuEGn4wwrK+vKhMacOR&#10;3vCwSa3gEoql0dClNJRSxqZDb+IkDEi8+wqjN4nj2Eo7miOXeyenSt1Jb3riC50Z8LHD5nuz9xrW&#10;g4qvLyp9uqfgnt3Dajufy63W11eZugeR8JT+YDjrszrU7LQLe7JROM4qny6Y1TBbFBmIM5IVM552&#10;GvL8tgBZV/L/F/UvUEsDBBQAAAAIAIdO4kB4QUtUfgIAAAAFAAAOAAAAZHJzL2Uyb0RvYy54bWyt&#10;VM1uEzEQviPxDpbvdJOQ0CTqpgoNRUgVrVQQZ8frzVryH7aTbHgA+gacuHDnufocfPYmbVQ49MDF&#10;O/bMfjPf5xmfnbdakY3wQVpT0v5JjxJhuK2kWZX086fLV2NKQmSmYsoaUdKdCPR89vLF2dZNxcA2&#10;VlXCE4CYMN26kjYxumlRBN4IzcKJdcLAWVuvWcTWr4rKsy3QtSoGvd6bYmt95bzlIgScLjon3SP6&#10;5wDaupZcLCxfa2Fih+qFYhGUQiNdoLNcbV0LHq/rOohIVEnBNOYVSWAv01rMzth05ZlrJN+XwJ5T&#10;whNOmkmDpA9QCxYZWXv5F5SW3Ntg63jCrS46IlkRsOj3nmhz2zAnMhdIHdyD6OH/wfKPmxtPZIVO&#10;GA8pMUzjyu9/3N3//H3/6ztJh5Bo68IUkbcOsbF9a1uEH84DDhPztvY6fcGJwA+Bdw8CizYSjsPx&#10;pDc4hYfD9bo3GE9GCaV4/Nn5EN8Lq0kySupxf1lWtrkKsQs9hKRcxl5KpfIdKkO2JZ2MBiPAM/Rl&#10;+ApDOzALZpVBjqITyIKFhmwYGiNYJauuFbSMwmfARrDqnalI3DlIYjALNGXQoqJECYxOsnJkZFI9&#10;JxI8lQHdpGanWrJiu2wBk8ylrXZQ2NuuTYPjlxKFXrEQb5hHX0I6TG68xlIri2rs3qKksf7bv85T&#10;PNoFXpSPPk/CrJkHGfXBoJEm/eEQsDFvhqPTATb+2LM89pi1vrBQrI83wvFspvioDmbtrf6CAZ+n&#10;rHAxw5G7pPFgXsRu+vBAcDGf56C183LV4AfAYiwci1fm1vG07255vo62lrkBHnXaK4nByC20H+I0&#10;ecf7HPX4cM3+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NHudZLaAAAADQEAAA8AAAAAAAAAAQAg&#10;AAAAIgAAAGRycy9kb3ducmV2LnhtbFBLAQIUABQAAAAIAIdO4kB4QUtUfgIAAAAFAAAOAAAAAAAA&#10;AAEAIAAAACkBAABkcnMvZTJvRG9jLnhtbFBLBQYAAAAABgAGAFkBAAAZBgAAAAA=&#10;">
                <v:fill on="f" focussize="0,0"/>
                <v:stroke on="f" joinstyle="miter" endcap="square"/>
                <v:imagedata o:title=""/>
                <o:lock v:ext="edit" aspectratio="f"/>
                <v:textbox>
                  <w:txbxContent>
                    <w:p w14:paraId="6DB276A0">
                      <w:pPr>
                        <w:rPr>
                          <w:rFonts w:hint="default" w:eastAsia="宋体"/>
                          <w:color w:val="auto"/>
                          <w:sz w:val="20"/>
                          <w:szCs w:val="22"/>
                          <w:lang w:val="en-US" w:eastAsia="zh-CN"/>
                        </w:rPr>
                      </w:pPr>
                      <w:r>
                        <w:rPr>
                          <w:rFonts w:hint="eastAsia"/>
                          <w:color w:val="auto"/>
                          <w:sz w:val="20"/>
                          <w:szCs w:val="22"/>
                          <w:lang w:val="en-US" w:eastAsia="zh-CN"/>
                        </w:rPr>
                        <w:t>DA003</w:t>
                      </w:r>
                    </w:p>
                  </w:txbxContent>
                </v:textbox>
              </v:shape>
            </w:pict>
          </mc:Fallback>
        </mc:AlternateContent>
      </w:r>
      <w:r>
        <w:rPr>
          <w:color w:val="auto"/>
          <w:sz w:val="32"/>
          <w:highlight w:val="none"/>
        </w:rPr>
        <mc:AlternateContent>
          <mc:Choice Requires="wps">
            <w:drawing>
              <wp:anchor distT="0" distB="0" distL="114300" distR="114300" simplePos="0" relativeHeight="251773952" behindDoc="0" locked="0" layoutInCell="1" allowOverlap="1">
                <wp:simplePos x="0" y="0"/>
                <wp:positionH relativeFrom="column">
                  <wp:posOffset>6542405</wp:posOffset>
                </wp:positionH>
                <wp:positionV relativeFrom="paragraph">
                  <wp:posOffset>2599690</wp:posOffset>
                </wp:positionV>
                <wp:extent cx="76200" cy="76200"/>
                <wp:effectExtent l="4445" t="4445" r="14605" b="14605"/>
                <wp:wrapNone/>
                <wp:docPr id="175" name="自选图形 445"/>
                <wp:cNvGraphicFramePr/>
                <a:graphic xmlns:a="http://schemas.openxmlformats.org/drawingml/2006/main">
                  <a:graphicData uri="http://schemas.microsoft.com/office/word/2010/wordprocessingShape">
                    <wps:wsp>
                      <wps:cNvSpPr/>
                      <wps:spPr>
                        <a:xfrm>
                          <a:off x="0" y="0"/>
                          <a:ext cx="76200" cy="76200"/>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C000"/>
                        </a:solidFill>
                        <a:ln w="9525" cap="flat" cmpd="sng">
                          <a:solidFill>
                            <a:srgbClr val="00B050"/>
                          </a:solidFill>
                          <a:prstDash val="solid"/>
                          <a:headEnd type="none" w="med" len="med"/>
                          <a:tailEnd type="none" w="med" len="med"/>
                        </a:ln>
                      </wps:spPr>
                      <wps:bodyPr vert="horz" wrap="square" anchor="t" anchorCtr="0" upright="1"/>
                    </wps:wsp>
                  </a:graphicData>
                </a:graphic>
              </wp:anchor>
            </w:drawing>
          </mc:Choice>
          <mc:Fallback>
            <w:pict>
              <v:shape id="自选图形 445" o:spid="_x0000_s1026" o:spt="100" style="position:absolute;left:0pt;margin-left:515.15pt;margin-top:204.7pt;height:6pt;width:6pt;z-index:251773952;mso-width-relative:page;mso-height-relative:page;" fillcolor="#FFC000" filled="t" stroked="t" coordsize="21600,21600" o:gfxdata="UEsDBAoAAAAAAIdO4kAAAAAAAAAAAAAAAAAEAAAAZHJzL1BLAwQUAAAACACHTuJAWI4t4doAAAAN&#10;AQAADwAAAGRycy9kb3ducmV2LnhtbE2PS0/DMBCE70j8B2uRuKDWzkNVG+JU4nVFIoDK0U2WJCJe&#10;R7GbtPx6tqdynNlPszP59mh7MeHoO0caoqUCgVS5uqNGw8f7y2INwgdDtekdoYYTetgW11e5yWo3&#10;0xtOZWgEh5DPjIY2hCGT0lctWuOXbkDi27cbrQksx0bWo5k53PYyVmolremIP7RmwMcWq5/yYDXs&#10;nl83pJKv093nPE0PavdbVqsnrW9vInUPIuAxXGA41+fqUHCnvTtQ7UXPWiUqYVZDqjYpiDOi0pit&#10;PVtxlIIscvl/RfEHUEsDBBQAAAAIAIdO4kCu7fppZAMAAHkJAAAOAAAAZHJzL2Uyb0RvYy54bWyt&#10;Vs1u2zAMvg/YOwg+DmjtpEmTBk2KtVl2GbaizR5AleXYgG1pkhI7O+027Bl223HvsL1Nge0tRkq2&#10;89Oky4pdEkomP5IfKVHnF2WWkgVXOhH50GsdBx7hORNhks+G3vvp5KjvEW1oHtJU5HzoLbn2LkbP&#10;n50XcsDbIhZpyBUBkFwPCjn0YmPkwPc1i3lG9bGQPIePkVAZNbBUMz9UtAD0LPXbQXDqF0KFUgnG&#10;tYbdsfvoVYjqEEARRQnjY8HmGc+NQ1U8pQZS0nEitTey0UYRZ+ZdFGluSDr0IFNjf8EJyHf464/O&#10;6WCmqIwTVoVADwlhK6eMJjk4baDG1FAyV8kDqCxhSmgRmWMmMt8lYhmBLFrBFje3MZXc5gJUa9mQ&#10;rv8fLHu7uFYkCaETel2P5DSDkv/6/P33py/3X3/e//hGOp0uslRIPQDlW3mtqpUGEVMuI5XhPyRD&#10;SsvssmGWl4Yw2OydQuk9wuCLEwHDX5myuTavubAwdPFGG1eWECRLalgFZso3HomyFEr0wicnrdMT&#10;UpB26xSwK4tGcbqtGO9RvFlTbPU7J729kJcPNNcwIZtZHS+N6xRYmVc5gEQoHrF2L7CdIoVGulpB&#10;H5mpKQMY0MSk9xlg1lbfCo7HbZNWf8OHw3eedhucbeg3LiwfSO2OsDZNVmk05fi7DbJtU3nMz0Zk&#10;DhzZeiybbYobP9uUuRCrCim4LPCasE0GF4UpoYfgqjAltAhcFqa8dF0mqcECY5FQJAUU1fYgiWsJ&#10;v2ViwafCapnVwViPe6VBFZsKUtzUeZF4JWrzEvvGGgbYK7qwG90OrOrOPwDgqDZ4KsDTXT/qmaVC&#10;c+ixh4yhmesPe0hcH+4izSkiZ07aR1lDgXW34myPPW4jwzVh/2j+ZMPGz27HNWHQvdh/9nQ2PYkt&#10;vXabapEm4SRJU+RXq9ndVarIgkKbTyZXVfeAyYZammNLn3XbMBAYhREfwWgFMZMwJnQ+s9fXhsUG&#10;cBBcBl17IW8DS6XNmOrYBWAR3ImKOQ1f5SExSwnjJ4d3h4chZDz0SMrhmYKSrZmhSXqIJrhO4Rr1&#10;cWy5QYXSnQiXMO7g9QPnOxbqI7iB2Q9ZfZhTBU5pzmAbznotXhlYQSHnUiWzGKxa9jpEMJjIlvrq&#10;9YAjf31tna9eTKM/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1wUAAFtDb250ZW50X1R5cGVzXS54bWxQSwECFAAKAAAAAACHTuJAAAAAAAAAAAAA&#10;AAAABgAAAAAAAAAAABAAAAC5BAAAX3JlbHMvUEsBAhQAFAAAAAgAh07iQIoUZjzRAAAAlAEAAAsA&#10;AAAAAAAAAQAgAAAA3QQAAF9yZWxzLy5yZWxzUEsBAhQACgAAAAAAh07iQAAAAAAAAAAAAAAAAAQA&#10;AAAAAAAAAAAQAAAAAAAAAGRycy9QSwECFAAUAAAACACHTuJAWI4t4doAAAANAQAADwAAAAAAAAAB&#10;ACAAAAAiAAAAZHJzL2Rvd25yZXYueG1sUEsBAhQAFAAAAAgAh07iQK7t+mlkAwAAeQkAAA4AAAAA&#10;AAAAAQAgAAAAKQEAAGRycy9lMm9Eb2MueG1sUEsFBgAAAAAGAAYAWQEAAP8GA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B050" joinstyle="round"/>
                <v:imagedata o:title=""/>
                <o:lock v:ext="edit" aspectratio="f"/>
              </v:shape>
            </w:pict>
          </mc:Fallback>
        </mc:AlternateContent>
      </w:r>
      <w:r>
        <w:rPr>
          <w:color w:val="auto"/>
          <w:sz w:val="32"/>
          <w:highlight w:val="none"/>
        </w:rPr>
        <mc:AlternateContent>
          <mc:Choice Requires="wps">
            <w:drawing>
              <wp:anchor distT="0" distB="0" distL="114300" distR="114300" simplePos="0" relativeHeight="251777024" behindDoc="0" locked="0" layoutInCell="1" allowOverlap="1">
                <wp:simplePos x="0" y="0"/>
                <wp:positionH relativeFrom="column">
                  <wp:posOffset>6656705</wp:posOffset>
                </wp:positionH>
                <wp:positionV relativeFrom="paragraph">
                  <wp:posOffset>2269490</wp:posOffset>
                </wp:positionV>
                <wp:extent cx="890270" cy="302895"/>
                <wp:effectExtent l="0" t="0" r="0" b="0"/>
                <wp:wrapNone/>
                <wp:docPr id="183" name="文本框 183"/>
                <wp:cNvGraphicFramePr/>
                <a:graphic xmlns:a="http://schemas.openxmlformats.org/drawingml/2006/main">
                  <a:graphicData uri="http://schemas.microsoft.com/office/word/2010/wordprocessingShape">
                    <wps:wsp>
                      <wps:cNvSpPr txBox="1"/>
                      <wps:spPr>
                        <a:xfrm>
                          <a:off x="0" y="0"/>
                          <a:ext cx="890270" cy="302895"/>
                        </a:xfrm>
                        <a:prstGeom prst="rect">
                          <a:avLst/>
                        </a:prstGeom>
                        <a:noFill/>
                        <a:ln w="9525" cap="sq" cmpd="sng">
                          <a:noFill/>
                          <a:prstDash val="solid"/>
                          <a:miter/>
                          <a:headEnd type="none" w="med" len="med"/>
                          <a:tailEnd type="none" w="med" len="med"/>
                        </a:ln>
                      </wps:spPr>
                      <wps:txbx>
                        <w:txbxContent>
                          <w:p w14:paraId="370680E2">
                            <w:pPr>
                              <w:rPr>
                                <w:rFonts w:hint="default" w:eastAsia="宋体"/>
                                <w:color w:val="auto"/>
                                <w:sz w:val="20"/>
                                <w:szCs w:val="22"/>
                                <w:lang w:val="en-US" w:eastAsia="zh-CN"/>
                              </w:rPr>
                            </w:pPr>
                            <w:r>
                              <w:rPr>
                                <w:rFonts w:hint="eastAsia"/>
                                <w:color w:val="auto"/>
                                <w:sz w:val="20"/>
                                <w:szCs w:val="22"/>
                                <w:lang w:val="en-US" w:eastAsia="zh-CN"/>
                              </w:rPr>
                              <w:t>DA004</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524.15pt;margin-top:178.7pt;height:23.85pt;width:70.1pt;z-index:251777024;mso-width-relative:page;mso-height-relative:page;" filled="f" stroked="f" coordsize="21600,21600" o:gfxdata="UEsDBAoAAAAAAIdO4kAAAAAAAAAAAAAAAAAEAAAAZHJzL1BLAwQUAAAACACHTuJAaHRWZtoAAAAN&#10;AQAADwAAAGRycy9kb3ducmV2LnhtbE2Py27CMBBF95X4B2sqdVfslIREIQ5SHyyrAu0CdiaeJhH2&#10;OIrNo39fs2qXV3N075lqebWGnXH0vSMJyVQAQ2qc7qmV8PW5eiyA+aBIK+MIJfygh2U9uatUqd2F&#10;NnjehpbFEvKlktCFMJSc+6ZDq/zUDUjx9u1Gq0KMY8v1qC6x3Br+JMScW9VTXOjUgC8dNsftyUr4&#10;GIRfv4uwN6/OvJnn1S7P+U7Kh/tELIAFvIY/GG76UR3q6HRwJ9KemZhFWswiK2GW5SmwG5IURQbs&#10;ICEVWQK8rvj/L+pfUEsDBBQAAAAIAIdO4kBz4G3IfgIAAAAFAAAOAAAAZHJzL2Uyb0RvYy54bWyt&#10;VM1uEzEQviPxDpbvdJO0oUnUTRUaipAqWqkgzo7Xm7XkP2wn2fAA8AacuHDnufocfPYmaVQ49MDF&#10;O/bMfjPf5xlfXLZakbXwQVpT0v5JjxJhuK2kWZb008frVyNKQmSmYsoaUdKtCPRy+vLFxcZNxMA2&#10;VlXCE4CYMNm4kjYxuklRBN4IzcKJdcLAWVuvWcTWL4vKsw3QtSoGvd7rYmN95bzlIgSczjsn3SH6&#10;5wDaupZczC1faWFih+qFYhGUQiNdoNNcbV0LHm/rOohIVEnBNOYVSWAv0lpML9hk6ZlrJN+VwJ5T&#10;whNOmkmDpAeoOYuMrLz8C0pL7m2wdTzhVhcdkawIWPR7T7S5b5gTmQukDu4gevh/sPzD+s4TWaET&#10;RqeUGKZx5Q8/vj/8/P3w6xtJh5Bo48IEkfcOsbF9Y1uE788DDhPztvY6fcGJwA+BtweBRRsJx+Fo&#10;3Bucw8PhOu0NRuNhQikef3Y+xHfCapKMknrcX5aVrW9C7EL3ISmXsddSqXyHypBNScfDwRDwDH0Z&#10;vsDQDsyCWWaQo+gEMmehIWuGxghWyaprBS2j8BmwEax6ayoStw6SGMwCTRm0qChRAqOTrBwZmVTP&#10;iQRPZUA3qdmplqzYLlrAJHNhqy0U9rZr0+D4tUShNyzEO+bRl5AOkxtvsdTKohq7syhprP/6r/MU&#10;j3aBF+Wjz5MwK+ZBRr03aKRx/+wMsDFvzobnA2z8sWdx7DErfWWhWB9vhOPZTPFR7c3aW/0ZAz5L&#10;WeFihiN3SePevIrd9OGB4GI2y0Er5+WywQ+AxVg4Fm/MveNp393ybBVtLXMDPOq0UxKDkVtoN8Rp&#10;8o73Oerx4Zr+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Gh0VmbaAAAADQEAAA8AAAAAAAAAAQAg&#10;AAAAIgAAAGRycy9kb3ducmV2LnhtbFBLAQIUABQAAAAIAIdO4kBz4G3IfgIAAAAFAAAOAAAAAAAA&#10;AAEAIAAAACkBAABkcnMvZTJvRG9jLnhtbFBLBQYAAAAABgAGAFkBAAAZBgAAAAA=&#10;">
                <v:fill on="f" focussize="0,0"/>
                <v:stroke on="f" joinstyle="miter" endcap="square"/>
                <v:imagedata o:title=""/>
                <o:lock v:ext="edit" aspectratio="f"/>
                <v:textbox>
                  <w:txbxContent>
                    <w:p w14:paraId="370680E2">
                      <w:pPr>
                        <w:rPr>
                          <w:rFonts w:hint="default" w:eastAsia="宋体"/>
                          <w:color w:val="auto"/>
                          <w:sz w:val="20"/>
                          <w:szCs w:val="22"/>
                          <w:lang w:val="en-US" w:eastAsia="zh-CN"/>
                        </w:rPr>
                      </w:pPr>
                      <w:r>
                        <w:rPr>
                          <w:rFonts w:hint="eastAsia"/>
                          <w:color w:val="auto"/>
                          <w:sz w:val="20"/>
                          <w:szCs w:val="22"/>
                          <w:lang w:val="en-US" w:eastAsia="zh-CN"/>
                        </w:rPr>
                        <w:t>DA004</w:t>
                      </w:r>
                    </w:p>
                  </w:txbxContent>
                </v:textbox>
              </v:shape>
            </w:pict>
          </mc:Fallback>
        </mc:AlternateContent>
      </w:r>
      <w:r>
        <w:rPr>
          <w:color w:val="auto"/>
          <w:sz w:val="32"/>
          <w:highlight w:val="none"/>
        </w:rPr>
        <mc:AlternateContent>
          <mc:Choice Requires="wps">
            <w:drawing>
              <wp:anchor distT="0" distB="0" distL="114300" distR="114300" simplePos="0" relativeHeight="251771904" behindDoc="0" locked="0" layoutInCell="1" allowOverlap="1">
                <wp:simplePos x="0" y="0"/>
                <wp:positionH relativeFrom="column">
                  <wp:posOffset>6642100</wp:posOffset>
                </wp:positionH>
                <wp:positionV relativeFrom="paragraph">
                  <wp:posOffset>2371090</wp:posOffset>
                </wp:positionV>
                <wp:extent cx="76200" cy="76200"/>
                <wp:effectExtent l="4445" t="4445" r="14605" b="14605"/>
                <wp:wrapNone/>
                <wp:docPr id="172" name="自选图形 445"/>
                <wp:cNvGraphicFramePr/>
                <a:graphic xmlns:a="http://schemas.openxmlformats.org/drawingml/2006/main">
                  <a:graphicData uri="http://schemas.microsoft.com/office/word/2010/wordprocessingShape">
                    <wps:wsp>
                      <wps:cNvSpPr/>
                      <wps:spPr>
                        <a:xfrm>
                          <a:off x="0" y="0"/>
                          <a:ext cx="76200" cy="76200"/>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C000"/>
                        </a:solidFill>
                        <a:ln w="9525" cap="flat" cmpd="sng">
                          <a:solidFill>
                            <a:srgbClr val="00B050"/>
                          </a:solidFill>
                          <a:prstDash val="solid"/>
                          <a:headEnd type="none" w="med" len="med"/>
                          <a:tailEnd type="none" w="med" len="med"/>
                        </a:ln>
                      </wps:spPr>
                      <wps:bodyPr vert="horz" wrap="square" anchor="t" anchorCtr="0" upright="1"/>
                    </wps:wsp>
                  </a:graphicData>
                </a:graphic>
              </wp:anchor>
            </w:drawing>
          </mc:Choice>
          <mc:Fallback>
            <w:pict>
              <v:shape id="自选图形 445" o:spid="_x0000_s1026" o:spt="100" style="position:absolute;left:0pt;margin-left:523pt;margin-top:186.7pt;height:6pt;width:6pt;z-index:251771904;mso-width-relative:page;mso-height-relative:page;" fillcolor="#FFC000" filled="t" stroked="t" coordsize="21600,21600" o:gfxdata="UEsDBAoAAAAAAIdO4kAAAAAAAAAAAAAAAAAEAAAAZHJzL1BLAwQUAAAACACHTuJAOTwG+tsAAAAN&#10;AQAADwAAAGRycy9kb3ducmV2LnhtbE2PzU7DMBCE70i8g7VIXBC1S9IQQpxK/F0rEUDl6CZLEhGv&#10;o9hNWp6e7QmOMzua/SZfH2wvJhx950jDcqFAIFWu7qjR8P72cp2C8MFQbXpHqOGIHtbF+VlustrN&#10;9IpTGRrBJeQzo6ENYcik9FWL1viFG5D49uVGawLLsZH1aGYut728USqR1nTEH1oz4GOL1Xe5txq2&#10;z5s7UtHn8epjnqYHtf0pq+RJ68uLpboHEfAQ/sJwwmd0KJhp5/ZUe9GzVnHCY4KG6DaKQZwiapWy&#10;tWMrXcUgi1z+X1H8AlBLAwQUAAAACACHTuJAcNzRO2UDAAB5CQAADgAAAGRycy9lMm9Eb2MueG1s&#10;rVbNbtswDL4P2DsIPg5o7aRJkwZNirVZdhm2os0eQJXl2IBtaZISOzvtNuwZdttx77C9TYHtLUZK&#10;tvPTpMuKXRJKJj+SHylK5xdllpIFVzoR+dBrHQce4TkTYZLPht776eSo7xFtaB7SVOR86C259i5G&#10;z5+dF3LA2yIWacgVAZBcDwo59GJj5MD3NYt5RvWxkDyHj5FQGTWwVDM/VLQA9Cz120Fw6hdChVIJ&#10;xrWG3bH76FWI6hBAEUUJ42PB5hnPjUNVPKUGUtJxIrU3stFGEWfmXRRpbkg69CBTY3/BCch3+OuP&#10;zulgpqiME1aFQA8JYSunjCY5OG2gxtRQMlfJA6gsYUpoEZljJjLfJWIZgSxawRY3tzGV3OYCVGvZ&#10;kK7/Hyx7u7hWJAmhE3ptj+Q0g5L/+vz996cv919/3v/4RjqdLrJUSD0A5Vt5raqVBhFTLiOV4T8k&#10;Q0rL7LJhlpeGMNjsnULpPcLgixMBw1+Zsrk2r7mwMHTxRhtXlhAkS2pYBWbKNx6JshRK9MInJ63T&#10;E1KQdusUsCuLRnG6rRjvUbxZU2z1Oye9vZCXDzTXMCGbWR0vjesUWJlXOYBEKB6xdi+wnSKFRrpa&#10;QR+ZqSkDGNDEpPcZYNZW3wqOx22TVn/Dh8N3nnYbnG3oNy4sH0jtjrA2TVZpNOX4uw2ybVN5zM9G&#10;ZA4c2Xosm22KGz/blLkQqwopGBY4JmyTwaAwJfQQjApTQovAsDDlpesySQ0WGIuEIimgqLYHSVxL&#10;+C0TCz4VVsusDsZ63CsNqthUkOKmzovEK1Gbl9g31jDAXtGF3eh2YFV3/gEAR7XBUwGe7vpRzywV&#10;mkOPPWQMzVx/2EPi+nAXaU4ROXPSPsoaCqy7FWd77HEbGa4J+0fzJxs2fnY7rgmD7sX+s6ez6Uls&#10;6bVpqkWahJMkTZFfrWZ3V6kiCwptPplcVd0DJhtqaY4tfdZtd2FiU7jiI7haQcwkXBM6n9nxtWGx&#10;ARwEl0HXDuRtYKm0GVMduwAsgjtRMafhqzwkZinh+snh3eFhCBkPPZJyeKagZGtmaJIeogmuUxij&#10;Pl5b7qJC6U6ES7ju4PUD5zsW6iO4gbsfsvowpwqc0pzBNpz1WrwysIJCzqVKZjFYtew4RDC4kS31&#10;1esBr/z1tXW+ejGN/g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ZBQAAW0NvbnRlbnRfVHlwZXNdLnhtbFBLAQIUAAoAAAAAAIdO4kAAAAAAAAAA&#10;AAAAAAAGAAAAAAAAAAAAEAAAALsEAABfcmVscy9QSwECFAAUAAAACACHTuJAihRmPNEAAACUAQAA&#10;CwAAAAAAAAABACAAAADfBAAAX3JlbHMvLnJlbHNQSwECFAAKAAAAAACHTuJAAAAAAAAAAAAAAAAA&#10;BAAAAAAAAAAAABAAAAAAAAAAZHJzL1BLAQIUABQAAAAIAIdO4kA5PAb62wAAAA0BAAAPAAAAAAAA&#10;AAEAIAAAACIAAABkcnMvZG93bnJldi54bWxQSwECFAAUAAAACACHTuJAcNzRO2UDAAB5CQAADgAA&#10;AAAAAAABACAAAAAqAQAAZHJzL2Uyb0RvYy54bWxQSwUGAAAAAAYABgBZAQAAAQc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B050" joinstyle="round"/>
                <v:imagedata o:title=""/>
                <o:lock v:ext="edit" aspectratio="f"/>
              </v:shape>
            </w:pict>
          </mc:Fallback>
        </mc:AlternateContent>
      </w:r>
      <w:r>
        <w:rPr>
          <w:color w:val="auto"/>
          <w:sz w:val="32"/>
          <w:highlight w:val="none"/>
        </w:rPr>
        <mc:AlternateContent>
          <mc:Choice Requires="wps">
            <w:drawing>
              <wp:anchor distT="0" distB="0" distL="114300" distR="114300" simplePos="0" relativeHeight="251809792" behindDoc="0" locked="0" layoutInCell="1" allowOverlap="1">
                <wp:simplePos x="0" y="0"/>
                <wp:positionH relativeFrom="column">
                  <wp:posOffset>6062345</wp:posOffset>
                </wp:positionH>
                <wp:positionV relativeFrom="paragraph">
                  <wp:posOffset>1753870</wp:posOffset>
                </wp:positionV>
                <wp:extent cx="890270" cy="302895"/>
                <wp:effectExtent l="0" t="0" r="0" b="0"/>
                <wp:wrapNone/>
                <wp:docPr id="181" name="文本框 181"/>
                <wp:cNvGraphicFramePr/>
                <a:graphic xmlns:a="http://schemas.openxmlformats.org/drawingml/2006/main">
                  <a:graphicData uri="http://schemas.microsoft.com/office/word/2010/wordprocessingShape">
                    <wps:wsp>
                      <wps:cNvSpPr txBox="1"/>
                      <wps:spPr>
                        <a:xfrm>
                          <a:off x="0" y="0"/>
                          <a:ext cx="890270" cy="302895"/>
                        </a:xfrm>
                        <a:prstGeom prst="rect">
                          <a:avLst/>
                        </a:prstGeom>
                        <a:noFill/>
                        <a:ln w="9525" cap="sq" cmpd="sng">
                          <a:noFill/>
                          <a:prstDash val="solid"/>
                          <a:miter/>
                          <a:headEnd type="none" w="med" len="med"/>
                          <a:tailEnd type="none" w="med" len="med"/>
                        </a:ln>
                      </wps:spPr>
                      <wps:txbx>
                        <w:txbxContent>
                          <w:p w14:paraId="6F915248">
                            <w:pPr>
                              <w:rPr>
                                <w:rFonts w:hint="eastAsia" w:eastAsia="宋体"/>
                                <w:sz w:val="20"/>
                                <w:szCs w:val="22"/>
                                <w:lang w:eastAsia="zh-CN"/>
                              </w:rPr>
                            </w:pPr>
                            <w:r>
                              <w:rPr>
                                <w:rFonts w:hint="eastAsia"/>
                                <w:sz w:val="20"/>
                                <w:szCs w:val="22"/>
                                <w:lang w:eastAsia="zh-CN"/>
                              </w:rPr>
                              <w:t>危废贮存点</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477.35pt;margin-top:138.1pt;height:23.85pt;width:70.1pt;z-index:251809792;mso-width-relative:page;mso-height-relative:page;" filled="f" stroked="f" coordsize="21600,21600" o:gfxdata="UEsDBAoAAAAAAIdO4kAAAAAAAAAAAAAAAAAEAAAAZHJzL1BLAwQUAAAACACHTuJAOVA9T9oAAAAM&#10;AQAADwAAAGRycy9kb3ducmV2LnhtbE2Py07DMBBF90j8gzVI7KjdtDQkZFKJR5eoUFiUnRsPSYQ9&#10;jmL3wd/jrmA5ukf3nqmWJ2fFgcbQe0aYThQI4sabnluEj/fVzR2IEDUbbT0Twg8FWNaXF5UujT/y&#10;Gx02sRWphEOpEboYh1LK0HTkdJj4gThlX350OqZzbKUZ9TGVOyszpRbS6Z7TQqcHeuyo+d7sHcJ6&#10;UOH1RcVP++Tts31YbfNcbhGvr6bqHkSkU/yD4ayf1KFOTju/ZxOERShu53lCEbJ8kYE4E6qYFyB2&#10;CLNsVoCsK/n/ifoXUEsDBBQAAAAIAIdO4kACl9LofQIAAAAFAAAOAAAAZHJzL2Uyb0RvYy54bWyt&#10;VM1uEzEQviPxDpbvdJPQ0CTqpgoNRUgVrVQQZ8frzVryH7aTbHgA+gacuHDnufIcfPYmbVQ49MBl&#10;dzwz+818n2f2/KLViqyFD9KakvZPepQIw20lzbKknz9dvRpREiIzFVPWiJJuRaAX05cvzjduIga2&#10;saoSngDEhMnGlbSJ0U2KIvBGaBZOrBMGwdp6zSKOfllUnm2ArlUx6PXeFBvrK+ctFyHAO++CdI/o&#10;nwNo61pyMbd8pYWJHaoXikVQCo10gU5zt3UteLyp6yAiUSUF05ifKAJ7kZ7F9JxNlp65RvJ9C+w5&#10;LTzhpJk0KPoANWeRkZWXf0Fpyb0Nto4n3OqiI5IVAYt+74k2dw1zInOB1ME9iB7+Hyz/uL71RFaY&#10;hFGfEsM0rnz343738/fu13eSnJBo48IEmXcOubF9a1ukH/wBzsS8rb1Ob3AiiEPg7YPAoo2Ewzka&#10;9wZniHCEXvcGo/EwoRSPHzsf4nthNUlGST3uL8vK1tchdqmHlFTL2CupVL5DZcimpOPhYAh4hrkM&#10;X2FoB2bBLDPIUXYCmbPQkDXDYASrZNWNgpZR+AzYCFa9MxWJWwdJDHaBpgpaVJQogdVJVs6MTKrn&#10;ZIKnMqCb1OxUS1ZsFy1gkrmw1RYKe9uNaXD8SqLRaxbiLfOYS0iHzY03eNTKohu7tyhprP/2L3/K&#10;x7ggivYx50mYFfMgoz4YDNK4f3oK2JgPp8OzAQ7+OLI4jpiVvrRQDKOC7rKZ8qM6mLW3+gsWfJaq&#10;IsQMR+2SxoN5Gbvtww+Ci9ksJ62cl8sGHwAWa+FYvDZ3jqdzd8uzVbS1zAPwqNNeSSxGHqH9EqfN&#10;Oz7nrMcf1/Q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OVA9T9oAAAAMAQAADwAAAAAAAAABACAA&#10;AAAiAAAAZHJzL2Rvd25yZXYueG1sUEsBAhQAFAAAAAgAh07iQAKX0uh9AgAAAAUAAA4AAAAAAAAA&#10;AQAgAAAAKQEAAGRycy9lMm9Eb2MueG1sUEsFBgAAAAAGAAYAWQEAABgGAAAAAA==&#10;">
                <v:fill on="f" focussize="0,0"/>
                <v:stroke on="f" joinstyle="miter" endcap="square"/>
                <v:imagedata o:title=""/>
                <o:lock v:ext="edit" aspectratio="f"/>
                <v:textbox>
                  <w:txbxContent>
                    <w:p w14:paraId="6F915248">
                      <w:pPr>
                        <w:rPr>
                          <w:rFonts w:hint="eastAsia" w:eastAsia="宋体"/>
                          <w:sz w:val="20"/>
                          <w:szCs w:val="22"/>
                          <w:lang w:eastAsia="zh-CN"/>
                        </w:rPr>
                      </w:pPr>
                      <w:r>
                        <w:rPr>
                          <w:rFonts w:hint="eastAsia"/>
                          <w:sz w:val="20"/>
                          <w:szCs w:val="22"/>
                          <w:lang w:eastAsia="zh-CN"/>
                        </w:rPr>
                        <w:t>危废贮存点</w:t>
                      </w:r>
                    </w:p>
                  </w:txbxContent>
                </v:textbox>
              </v:shape>
            </w:pict>
          </mc:Fallback>
        </mc:AlternateContent>
      </w:r>
      <w:r>
        <w:rPr>
          <w:color w:val="auto"/>
          <w:sz w:val="32"/>
          <w:highlight w:val="none"/>
        </w:rPr>
        <mc:AlternateContent>
          <mc:Choice Requires="wps">
            <w:drawing>
              <wp:anchor distT="0" distB="0" distL="114300" distR="114300" simplePos="0" relativeHeight="251774976" behindDoc="0" locked="0" layoutInCell="1" allowOverlap="1">
                <wp:simplePos x="0" y="0"/>
                <wp:positionH relativeFrom="column">
                  <wp:posOffset>2660650</wp:posOffset>
                </wp:positionH>
                <wp:positionV relativeFrom="paragraph">
                  <wp:posOffset>3526155</wp:posOffset>
                </wp:positionV>
                <wp:extent cx="668655" cy="302895"/>
                <wp:effectExtent l="0" t="0" r="0" b="0"/>
                <wp:wrapNone/>
                <wp:docPr id="177" name="文本框 177"/>
                <wp:cNvGraphicFramePr/>
                <a:graphic xmlns:a="http://schemas.openxmlformats.org/drawingml/2006/main">
                  <a:graphicData uri="http://schemas.microsoft.com/office/word/2010/wordprocessingShape">
                    <wps:wsp>
                      <wps:cNvSpPr txBox="1"/>
                      <wps:spPr>
                        <a:xfrm rot="1680000">
                          <a:off x="1844040" y="3674110"/>
                          <a:ext cx="668655" cy="302895"/>
                        </a:xfrm>
                        <a:prstGeom prst="rect">
                          <a:avLst/>
                        </a:prstGeom>
                        <a:noFill/>
                        <a:ln w="9525" cap="sq" cmpd="sng">
                          <a:noFill/>
                          <a:prstDash val="solid"/>
                          <a:miter/>
                          <a:headEnd type="none" w="med" len="med"/>
                          <a:tailEnd type="none" w="med" len="med"/>
                        </a:ln>
                      </wps:spPr>
                      <wps:txbx>
                        <w:txbxContent>
                          <w:p w14:paraId="7DE99048">
                            <w:pPr>
                              <w:rPr>
                                <w:rFonts w:hint="eastAsia" w:eastAsia="宋体"/>
                                <w:sz w:val="20"/>
                                <w:szCs w:val="22"/>
                                <w:lang w:eastAsia="zh-CN"/>
                              </w:rPr>
                            </w:pPr>
                            <w:r>
                              <w:rPr>
                                <w:rFonts w:hint="eastAsia"/>
                                <w:sz w:val="20"/>
                                <w:szCs w:val="22"/>
                                <w:lang w:eastAsia="zh-CN"/>
                              </w:rPr>
                              <w:t>化粪池</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209.5pt;margin-top:277.65pt;height:23.85pt;width:52.65pt;rotation:1835008f;z-index:251774976;mso-width-relative:page;mso-height-relative:page;" filled="f" stroked="f" coordsize="21600,21600" o:gfxdata="UEsDBAoAAAAAAIdO4kAAAAAAAAAAAAAAAAAEAAAAZHJzL1BLAwQUAAAACACHTuJAY9KykNwAAAAL&#10;AQAADwAAAGRycy9kb3ducmV2LnhtbE2PzU7DMBCE70i8g7VIXBC181dByKYCJHqqVKXAgZubbJOo&#10;8TqK3bS8PeYEt1nNaPabYnUxg5hpcr1lhGihQBDXtum5Rfh4f7t/AOG85kYPlgnhmxysyuurQueN&#10;PXNF8863IpSwyzVC5/2YS+nqjox2CzsSB+9gJ6N9OKdWNpM+h3IzyFippTS65/Ch0yO9dlQfdyeD&#10;sL373Lxs1uZY1UmlXDqvnw9fMeLtTaSeQHi6+L8w/OIHdCgD096euHFiQEijx7DFI2RZloAIiSxO&#10;g9gjLFWiQJaF/L+h/AFQSwMEFAAAAAgAh07iQFF49OuPAgAAGgUAAA4AAABkcnMvZTJvRG9jLnht&#10;bK1Uy25TMRDdI/EPlvf0JiGvRrmpQkMRUkUrFcTa8fXNteQXtvPiA+APWLFhz3f1Ozj2TdqosOiC&#10;LKzxzMmZmeOZO73YaUU2wgdpTUm7Zx1KhOG2kmZV0k8fr16NKQmRmYopa0RJ9yLQi9nLF9Otm4ie&#10;bayqhCcgMWGydSVtYnSTogi8EZqFM+uEQbC2XrOIq18VlWdbsGtV9DqdYbG1vnLechECvIs2SA+M&#10;/jmEtq4lFwvL11qY2LJ6oVhES6GRLtBZrrauBY83dR1EJKqk6DTmE0lgL9NZzKZssvLMNZIfSmDP&#10;KeFJT5pJg6QPVAsWGVl7+ReVltzbYOt4xq0u2kayIuii23mizV3DnMi9QOrgHkQP/4+Wf9jceiIr&#10;TMJoRIlhGk9+/+P7/c/f97++keSERFsXJkDeOWDj7o3dAX70BzhT57vaa+ItFO4Oxx38sh7okCT0&#10;uN/v9CH6vqSvh6N+t3uQXuwi4QAMh+PhYEAJT4BOb3w+SPxFS5vonQ/xnbCaJKOkHi+bE7DNdYgt&#10;9AhJcGOvpFL5dZUh25KeD3qJnmFiwxcY2qHnYFaZ5ASdSBYsNGTDMDLBKlm1Q6JlFD4TNoJVb01F&#10;4t5BLIMtoSmDFhUlSmCpkpWRkUn1HCT6VAbtJp1bPZMVd8sdaJK5tNUe2md5oWJw/Eqi0GsW4i3z&#10;mFg4sdPxBketLKqxB4uSxvqv//InPAYJUZSPDUjCrJlHM+q9wYidd/FmWJl86Q9GPVz8aWR5GjFr&#10;fWmhWDdXl82Ej+po1t7qz1j9ecqKEDMcuUsaj+ZlbPcSnw4u5vMMWjsvV037ByyMY/Ha3Dme0rSv&#10;PF9HW8s8AI86HZTEyuQROqx32snTe0Y9ftJmf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Bj0rKQ&#10;3AAAAAsBAAAPAAAAAAAAAAEAIAAAACIAAABkcnMvZG93bnJldi54bWxQSwECFAAUAAAACACHTuJA&#10;UXj0648CAAAaBQAADgAAAAAAAAABACAAAAArAQAAZHJzL2Uyb0RvYy54bWxQSwUGAAAAAAYABgBZ&#10;AQAALAYAAAAA&#10;">
                <v:fill on="f" focussize="0,0"/>
                <v:stroke on="f" joinstyle="miter" endcap="square"/>
                <v:imagedata o:title=""/>
                <o:lock v:ext="edit" aspectratio="f"/>
                <v:textbox>
                  <w:txbxContent>
                    <w:p w14:paraId="7DE99048">
                      <w:pPr>
                        <w:rPr>
                          <w:rFonts w:hint="eastAsia" w:eastAsia="宋体"/>
                          <w:sz w:val="20"/>
                          <w:szCs w:val="22"/>
                          <w:lang w:eastAsia="zh-CN"/>
                        </w:rPr>
                      </w:pPr>
                      <w:r>
                        <w:rPr>
                          <w:rFonts w:hint="eastAsia"/>
                          <w:sz w:val="20"/>
                          <w:szCs w:val="22"/>
                          <w:lang w:eastAsia="zh-CN"/>
                        </w:rPr>
                        <w:t>化粪池</w:t>
                      </w:r>
                    </w:p>
                  </w:txbxContent>
                </v:textbox>
              </v:shape>
            </w:pict>
          </mc:Fallback>
        </mc:AlternateContent>
      </w:r>
      <w:r>
        <w:rPr>
          <w:color w:val="auto"/>
          <w:sz w:val="32"/>
          <w:highlight w:val="none"/>
        </w:rPr>
        <mc:AlternateContent>
          <mc:Choice Requires="wps">
            <w:drawing>
              <wp:anchor distT="0" distB="0" distL="114300" distR="114300" simplePos="0" relativeHeight="251663360" behindDoc="0" locked="0" layoutInCell="1" allowOverlap="1">
                <wp:simplePos x="0" y="0"/>
                <wp:positionH relativeFrom="column">
                  <wp:posOffset>180975</wp:posOffset>
                </wp:positionH>
                <wp:positionV relativeFrom="page">
                  <wp:posOffset>716915</wp:posOffset>
                </wp:positionV>
                <wp:extent cx="9658985" cy="6082030"/>
                <wp:effectExtent l="9525" t="9525" r="27940" b="23495"/>
                <wp:wrapNone/>
                <wp:docPr id="203" name="文本框 203"/>
                <wp:cNvGraphicFramePr/>
                <a:graphic xmlns:a="http://schemas.openxmlformats.org/drawingml/2006/main">
                  <a:graphicData uri="http://schemas.microsoft.com/office/word/2010/wordprocessingShape">
                    <wps:wsp>
                      <wps:cNvSpPr txBox="1"/>
                      <wps:spPr>
                        <a:xfrm>
                          <a:off x="522605" y="734060"/>
                          <a:ext cx="9658985" cy="6082030"/>
                        </a:xfrm>
                        <a:prstGeom prst="rect">
                          <a:avLst/>
                        </a:prstGeom>
                        <a:noFill/>
                        <a:ln w="19050" cap="sq" cmpd="sng">
                          <a:solidFill>
                            <a:schemeClr val="tx1"/>
                          </a:solidFill>
                          <a:prstDash val="solid"/>
                          <a:miter/>
                          <a:headEnd type="none" w="med" len="med"/>
                          <a:tailEnd type="none" w="med" len="med"/>
                        </a:ln>
                      </wps:spPr>
                      <wps:txbx>
                        <w:txbxContent>
                          <w:p w14:paraId="4D1986D5"/>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4.25pt;margin-top:56.45pt;height:478.9pt;width:760.55pt;mso-position-vertical-relative:page;z-index:251663360;mso-width-relative:page;mso-height-relative:page;" filled="f" stroked="t" coordsize="21600,21600" o:gfxdata="UEsDBAoAAAAAAIdO4kAAAAAAAAAAAAAAAAAEAAAAZHJzL1BLAwQUAAAACACHTuJA0s3DutkAAAAM&#10;AQAADwAAAGRycy9kb3ducmV2LnhtbE2PPU/DMBCGdyT+g3VILBW1E0iahjgdKnUqCwUxu/GRRMTn&#10;KHbT9t9znWC7j0fvPVdtLm4QM06h96QhWSoQSI23PbUaPj92TwWIEA1ZM3hCDVcMsKnv7ypTWn+m&#10;d5wPsRUcQqE0GroYx1LK0HToTFj6EYl3335yJnI7tdJO5szhbpCpUrl0pie+0JkRtx02P4eT0zBn&#10;Xzt/3Tb750U6tBYXxT53b1o/PiTqFUTES/yD4abP6lCz09GfyAYxaEiLjEmeJ+kaxA3IXtY5iCNX&#10;aqVWIOtK/n+i/gVQSwMEFAAAAAgAh07iQFExUNCdAgAANgUAAA4AAABkcnMvZTJvRG9jLnhtbK1U&#10;y24TMRTdI/EPlvd0JmmSJlEnVWgoQqpopYJYOx5PxpJf2M6LD4A/YMWGPd/V7+DYkz4oLLpgFp5r&#10;3+P7OPden57ttCIb4YO0pqK9o5ISYbitpVlV9OOHi1djSkJkpmbKGlHRvQj0bPbyxenWTUXftlbV&#10;whMYMWG6dRVtY3TTogi8FZqFI+uEgbKxXrOIrV8VtWdbWNeq6JflqNhaXztvuQgBp4tOSQ8W/XMM&#10;2qaRXCwsX2thYmfVC8UiUgqtdIHOcrRNI3i8apogIlEVRaYxr3ACeZnWYnbKpivPXCv5IQT2nBCe&#10;5KSZNHB6b2rBIiNrL/8ypSX3NtgmHnGriy6RzAiy6JVPuLlpmRM5F1Ad3D3p4f+Z5e83157IuqL9&#10;8pgSwzRKfvv92+2PX7c/v5J0CIq2LkyBvHHAxt1ru0Pj3J0HHKbMd43X6Y+cCPTDfn9UDinZV/Tk&#10;eFCODlSLXSQc6sloOJ6MoecAjMoxHGVE8WDI+RDfCqtJEirqUctMMdtchoigAL2DJL/GXkilcj2V&#10;IVtEOCmHKDNnaNLwGYJ2SDOYVbYSrJJ1upHuBr9anitPNiy1Sf5SevDwByy5W7DQdris6hpIyyh8&#10;dt0KVr8xNYl7ByINJoimWLSoKVECA5ekjIxMqucgEYQyiCXVoOM6SXG33MFMEpe23qMu3nbNHRy/&#10;kAj0koV4zTy6GSRg3uMVlkZZRGMPEiWt9V/+dZ7waDJoET6mIzG4Zh7JqHcG7TfpDQZpnPJmMDzp&#10;Y+Mfa5aPNWatzy2Y7eFlcTyLCR/Vndh4qz/hWZgnr1Axw+G7ovFOPI/dzOJZ4WI+z6C183LV4gLM&#10;Ypgci5fmxvG07/phvo62kblVHng6MIlxyvU9jH6a18f7jHp47m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NLNw7rZAAAADAEAAA8AAAAAAAAAAQAgAAAAIgAAAGRycy9kb3ducmV2LnhtbFBLAQIU&#10;ABQAAAAIAIdO4kBRMVDQnQIAADYFAAAOAAAAAAAAAAEAIAAAACgBAABkcnMvZTJvRG9jLnhtbFBL&#10;BQYAAAAABgAGAFkBAAA3BgAAAAA=&#10;">
                <v:fill on="f" focussize="0,0"/>
                <v:stroke weight="1.5pt" color="#000000 [3213]" joinstyle="miter" endcap="square"/>
                <v:imagedata o:title=""/>
                <o:lock v:ext="edit" aspectratio="f"/>
                <v:textbox>
                  <w:txbxContent>
                    <w:p w14:paraId="4D1986D5"/>
                  </w:txbxContent>
                </v:textbox>
              </v:shape>
            </w:pict>
          </mc:Fallback>
        </mc:AlternateContent>
      </w:r>
      <w:r>
        <w:rPr>
          <w:color w:val="auto"/>
          <w:sz w:val="24"/>
          <w:highlight w:val="none"/>
        </w:rPr>
        <mc:AlternateContent>
          <mc:Choice Requires="wps">
            <w:drawing>
              <wp:anchor distT="0" distB="0" distL="114300" distR="114300" simplePos="0" relativeHeight="251719680" behindDoc="0" locked="0" layoutInCell="1" allowOverlap="1">
                <wp:simplePos x="0" y="0"/>
                <wp:positionH relativeFrom="column">
                  <wp:posOffset>3595370</wp:posOffset>
                </wp:positionH>
                <wp:positionV relativeFrom="paragraph">
                  <wp:posOffset>2886075</wp:posOffset>
                </wp:positionV>
                <wp:extent cx="1989455" cy="1169670"/>
                <wp:effectExtent l="168275" t="389890" r="185420" b="402590"/>
                <wp:wrapNone/>
                <wp:docPr id="14" name="文本框 14"/>
                <wp:cNvGraphicFramePr/>
                <a:graphic xmlns:a="http://schemas.openxmlformats.org/drawingml/2006/main">
                  <a:graphicData uri="http://schemas.microsoft.com/office/word/2010/wordprocessingShape">
                    <wps:wsp>
                      <wps:cNvSpPr txBox="1"/>
                      <wps:spPr>
                        <a:xfrm rot="1560000">
                          <a:off x="0" y="0"/>
                          <a:ext cx="1989455" cy="1169670"/>
                        </a:xfrm>
                        <a:prstGeom prst="rect">
                          <a:avLst/>
                        </a:prstGeom>
                        <a:noFill/>
                        <a:ln w="19050" cap="sq" cmpd="sng">
                          <a:solidFill>
                            <a:srgbClr val="000000"/>
                          </a:solidFill>
                          <a:prstDash val="solid"/>
                          <a:miter/>
                          <a:headEnd type="none" w="med" len="med"/>
                          <a:tailEnd type="none" w="med" len="med"/>
                        </a:ln>
                      </wps:spPr>
                      <wps:txbx>
                        <w:txbxContent>
                          <w:p w14:paraId="7B394660">
                            <w:pPr>
                              <w:rPr>
                                <w:rFonts w:hint="default" w:eastAsia="宋体"/>
                                <w:lang w:val="en-US" w:eastAsia="zh-CN"/>
                              </w:rPr>
                            </w:pPr>
                            <w:r>
                              <w:rPr>
                                <w:rFonts w:hint="eastAsia"/>
                                <w:lang w:eastAsia="zh-CN"/>
                              </w:rPr>
                              <w:t>佳合鹏程</w:t>
                            </w:r>
                            <w:r>
                              <w:rPr>
                                <w:rFonts w:hint="eastAsia"/>
                                <w:lang w:val="en-US" w:eastAsia="zh-CN"/>
                              </w:rPr>
                              <w:t>1#厂房剩余部分</w:t>
                            </w:r>
                          </w:p>
                        </w:txbxContent>
                      </wps:txbx>
                      <wps:bodyPr rot="0" spcFirstLastPara="0" vertOverflow="overflow" horzOverflow="overflow" vert="horz" wrap="square" lIns="91440" tIns="45720" rIns="91440" bIns="45720" numCol="1" spcCol="0" rtlCol="0" fromWordArt="0" anchor="ctr" anchorCtr="0" forceAA="0" upright="0" compatLnSpc="1">
                        <a:noAutofit/>
                      </wps:bodyPr>
                    </wps:wsp>
                  </a:graphicData>
                </a:graphic>
              </wp:anchor>
            </w:drawing>
          </mc:Choice>
          <mc:Fallback>
            <w:pict>
              <v:shape id="_x0000_s1026" o:spid="_x0000_s1026" o:spt="202" type="#_x0000_t202" style="position:absolute;left:0pt;margin-left:283.1pt;margin-top:227.25pt;height:92.1pt;width:156.65pt;rotation:1703936f;z-index:251719680;v-text-anchor:middle;mso-width-relative:page;mso-height-relative:page;" filled="f" stroked="t" coordsize="21600,21600" o:gfxdata="UEsDBAoAAAAAAIdO4kAAAAAAAAAAAAAAAAAEAAAAZHJzL1BLAwQUAAAACACHTuJAJNShOdwAAAAL&#10;AQAADwAAAGRycy9kb3ducmV2LnhtbE2PPU/DMBCGdyT+g3VILIjabZM0DblUAilTxUDpwOjEJg7E&#10;5yh2P/LvMRNsd7pH7z1vubvagZ315HtHCMuFAKapdaqnDuH4Xj/mwHyQpOTgSCPM2sOuur0pZaHc&#10;hd70+RA6FkPIFxLBhDAWnPvWaCv9wo2a4u3TTVaGuE4dV5O8xHA78JUQGbeyp/jByFG/GN1+H04W&#10;4XVvmjrd7ufnr9oeG/uQrGfxgXh/txRPwIK+hj8YfvWjOlTRqXEnUp4NCGmWrSKKkKRJCiwS+WYb&#10;hwYhW+cb4FXJ/3eofgBQSwMEFAAAAAgAh07iQIOCOr+aAgAAOgUAAA4AAABkcnMvZTJvRG9jLnht&#10;bK1UzW4TMRC+I/EOlu90s1WSNlE3VWgoQqpopYI4O15v1pL/sJ1kwwPAG3Diwp3n6nPw2Zu0pXDo&#10;gT2sxp5vv5n5ZmbPzjutyEb4IK2paHk0oEQYbmtpVhX9+OHy1SklITJTM2WNqOhOBHo+e/nibOum&#10;4ti2VtXCE5CYMN26irYxumlRBN4KzcKRdcLA2VivWcTRr4rasy3YtSqOB4NxsbW+dt5yEQJuF72T&#10;7hn9cwht00guFpavtTCxZ/VCsYiSQitdoLOcbdMIHq+bJohIVEVRacxvBIG9TO9idsamK89cK/k+&#10;BfacFJ7UpJk0CHpPtWCRkbWXf1Fpyb0NtolH3OqiLyQrgirKwRNtblvmRK4FUgd3L3r4f7T8/ebG&#10;E1ljEoaUGKbR8bvv3+5+/Lr7+ZXgDgJtXZgCd+uAjN1r2wF8uA+4THV3jdfEW+hbjsYDPFkN1EeA&#10;hti7e7FFFwlPFJPTyXA0ooTDV5bjyfgkt6PoyRKp8yG+FVaTZFTUo5uZlm2uQkRigB4gCW7spVQq&#10;d1QZsk0hBiPE5gxjGj7D0A6FBrPKLMEqWacv0rfBr5YXypMNS4OSn1QiIvwBS+EWLLQ9Lrv6EdIy&#10;Cp9Dt4LVb0xN4s5BS4MdoikXLWpKlMDKJSsjI5PqOUgkoQxySX3o9U5W7JYdaJK5tPUOvcnyo97g&#10;+KVEolcsxBvmMc+4xMbHa7waZZGN3VuUtNZ/+dd9wmPM4EX62I+k4Jp5FKPeGQzgpBwOQRvzYTg6&#10;OcbBP/YsH3vMWl9YKFvm7LKZ8FEdzMZb/Qk/hnmKChczHLEryqM/HC5iv7f4tXAxn2fY2nm5avtP&#10;sFCOxStz63gK1E/EfB1tI/OwPCi11xIrlTu8X/+0s4/PGfXwy5v9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CTUoTncAAAACwEAAA8AAAAAAAAAAQAgAAAAIgAAAGRycy9kb3ducmV2LnhtbFBLAQIU&#10;ABQAAAAIAIdO4kCDgjq/mgIAADoFAAAOAAAAAAAAAAEAIAAAACsBAABkcnMvZTJvRG9jLnhtbFBL&#10;BQYAAAAABgAGAFkBAAA3BgAAAAA=&#10;">
                <v:fill on="f" focussize="0,0"/>
                <v:stroke weight="1.5pt" color="#000000" joinstyle="miter" endcap="square"/>
                <v:imagedata o:title=""/>
                <o:lock v:ext="edit" aspectratio="f"/>
                <v:textbox>
                  <w:txbxContent>
                    <w:p w14:paraId="7B394660">
                      <w:pPr>
                        <w:rPr>
                          <w:rFonts w:hint="default" w:eastAsia="宋体"/>
                          <w:lang w:val="en-US" w:eastAsia="zh-CN"/>
                        </w:rPr>
                      </w:pPr>
                      <w:r>
                        <w:rPr>
                          <w:rFonts w:hint="eastAsia"/>
                          <w:lang w:eastAsia="zh-CN"/>
                        </w:rPr>
                        <w:t>佳合鹏程</w:t>
                      </w:r>
                      <w:r>
                        <w:rPr>
                          <w:rFonts w:hint="eastAsia"/>
                          <w:lang w:val="en-US" w:eastAsia="zh-CN"/>
                        </w:rPr>
                        <w:t>1#厂房剩余部分</w:t>
                      </w:r>
                    </w:p>
                  </w:txbxContent>
                </v:textbox>
              </v:shape>
            </w:pict>
          </mc:Fallback>
        </mc:AlternateContent>
      </w:r>
      <w:r>
        <w:rPr>
          <w:color w:val="auto"/>
          <w:sz w:val="24"/>
          <w:highlight w:val="none"/>
        </w:rPr>
        <mc:AlternateContent>
          <mc:Choice Requires="wps">
            <w:drawing>
              <wp:anchor distT="0" distB="0" distL="114300" distR="114300" simplePos="0" relativeHeight="251808768" behindDoc="0" locked="0" layoutInCell="1" allowOverlap="1">
                <wp:simplePos x="0" y="0"/>
                <wp:positionH relativeFrom="column">
                  <wp:posOffset>6267450</wp:posOffset>
                </wp:positionH>
                <wp:positionV relativeFrom="page">
                  <wp:posOffset>2594610</wp:posOffset>
                </wp:positionV>
                <wp:extent cx="207010" cy="222885"/>
                <wp:effectExtent l="43815" t="39370" r="53975" b="42545"/>
                <wp:wrapNone/>
                <wp:docPr id="32" name="文本框 32"/>
                <wp:cNvGraphicFramePr/>
                <a:graphic xmlns:a="http://schemas.openxmlformats.org/drawingml/2006/main">
                  <a:graphicData uri="http://schemas.microsoft.com/office/word/2010/wordprocessingShape">
                    <wps:wsp>
                      <wps:cNvSpPr txBox="1"/>
                      <wps:spPr>
                        <a:xfrm rot="1500000">
                          <a:off x="0" y="0"/>
                          <a:ext cx="207010" cy="222885"/>
                        </a:xfrm>
                        <a:prstGeom prst="rect">
                          <a:avLst/>
                        </a:prstGeom>
                        <a:solidFill>
                          <a:srgbClr val="FF0000"/>
                        </a:solidFill>
                        <a:ln w="9525" cap="sq" cmpd="sng">
                          <a:solidFill>
                            <a:schemeClr val="tx1"/>
                          </a:solidFill>
                          <a:prstDash val="solid"/>
                          <a:miter/>
                          <a:headEnd type="none" w="med" len="med"/>
                          <a:tailEnd type="none" w="med" len="med"/>
                        </a:ln>
                      </wps:spPr>
                      <wps:txbx>
                        <w:txbxContent>
                          <w:p w14:paraId="0926A8DB"/>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493.5pt;margin-top:204.3pt;height:17.55pt;width:16.3pt;mso-position-vertical-relative:page;rotation:1638400f;z-index:251808768;mso-width-relative:page;mso-height-relative:page;" fillcolor="#FF0000" filled="t" stroked="t" coordsize="21600,21600" o:gfxdata="UEsDBAoAAAAAAIdO4kAAAAAAAAAAAAAAAAAEAAAAZHJzL1BLAwQUAAAACACHTuJAz0uE7dkAAAAM&#10;AQAADwAAAGRycy9kb3ducmV2LnhtbE2PzU7DMBCE70i8g7VI3KgdGqVpiNNDJZB6JIAEt228xBHx&#10;OsTuD2+Pe4Lb7s5o9pt6c3ajONIcBs8asoUCQdx5M3Cv4fXl8a4EESKywdEzafihAJvm+qrGyvgT&#10;P9Oxjb1IIRwq1GBjnCopQ2fJYVj4iThpn352GNM699LMeErhbpT3ShXS4cDpg8WJtpa6r/bgNOC2&#10;ZVq+ZU8ccl/YHe/ev7sPrW9vMvUAItI5/pnhgp/QoUlMe39gE8SoYV2uUpeoIVdlAeLiUNk6Tft0&#10;ypcrkE0t/5dofgFQSwMEFAAAAAgAh07iQFGDuIGhAgAAXgUAAA4AAABkcnMvZTJvRG9jLnhtbK1U&#10;zW4TMRC+I/EOlu90k6WBNuqmCg1BSBWtVBBnx+vNWvIftpNseAB4A05cuPNcfQ4+e5M2LRx6IIfV&#10;eObL55lvZnx23mlF1sIHaU1Fh0cDSoThtpZmWdFPH+cvTigJkZmaKWtERbci0PPJ82dnGzcWpW2t&#10;qoUnIDFhvHEVbWN046IIvBWahSPrhEGwsV6ziKNfFrVnG7BrVZSDwatiY33tvOUiBHhnfZDuGP1T&#10;CG3TSC5mlq+0MLFn9UKxiJJCK12gk5xt0wger5omiEhURVFpzF9cAnuRvsXkjI2XnrlW8l0K7Ckp&#10;PKpJM2lw6R3VjEVGVl7+RaUl9zbYJh5xq4u+kKwIqhgOHmlz0zInci2QOrg70cP/o+Uf1teeyLqi&#10;L0tKDNPo+O2P77c/f9/++kbgg0AbF8bA3TggY/fGdhibvT/AmeruGq+Jt9B3OBqkX1YD9RGgIfb2&#10;TmzRRcLhLAevUTElHKGyLE9ORomz6KkSpfMhvhNWk2RU1KOXmZStL0PsoXtIggerZD2XSuWDXy4u&#10;lCdrhr7P5zmh/i8PYMqQTUVPR+UIeTAMc/gCQzvIEcwy3/YAHw5pc5l5gpD0A1hKa8ZC21+fQ/2g&#10;aRmFRx5s3ApWvzU1iVsHxQ02jaZUtKgpUQKLmayMjEyqpyCRhDIQMHWr70qyYrfoQJPMha236GBu&#10;EnQPjs8lEr1kIV4zj6mHE+9CvMKnURbZ2J1FSWv913/5Ex7DiCjSxxYlBVfMoxj13mBMT4fHx6CN&#10;+XA8el3i4A8ji8OIWekLi4YNc3bZTPio9mbjrf6M52OabkWIGY67Kxr35kXsdxvPDxfTaQatnJfL&#10;Fn8ALZbOsXhpbhxP59QJY6eraBuZR+pep52SWLs8lLsnIu314Tmj7p/FyR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DPS4Tt2QAAAAwBAAAPAAAAAAAAAAEAIAAAACIAAABkcnMvZG93bnJldi54bWxQ&#10;SwECFAAUAAAACACHTuJAUYO4gaECAABeBQAADgAAAAAAAAABACAAAAAoAQAAZHJzL2Uyb0RvYy54&#10;bWxQSwUGAAAAAAYABgBZAQAAOwYAAAAA&#10;">
                <v:fill on="t" focussize="0,0"/>
                <v:stroke color="#000000 [3213]" joinstyle="miter" endcap="square"/>
                <v:imagedata o:title=""/>
                <o:lock v:ext="edit" aspectratio="f"/>
                <v:textbox>
                  <w:txbxContent>
                    <w:p w14:paraId="0926A8DB"/>
                  </w:txbxContent>
                </v:textbox>
              </v:shape>
            </w:pict>
          </mc:Fallback>
        </mc:AlternateContent>
      </w:r>
      <w:r>
        <w:rPr>
          <w:color w:val="auto"/>
          <w:sz w:val="32"/>
          <w:highlight w:val="none"/>
        </w:rPr>
        <mc:AlternateContent>
          <mc:Choice Requires="wps">
            <w:drawing>
              <wp:anchor distT="0" distB="0" distL="114300" distR="114300" simplePos="0" relativeHeight="251806720" behindDoc="0" locked="0" layoutInCell="1" allowOverlap="1">
                <wp:simplePos x="0" y="0"/>
                <wp:positionH relativeFrom="column">
                  <wp:posOffset>1402080</wp:posOffset>
                </wp:positionH>
                <wp:positionV relativeFrom="paragraph">
                  <wp:posOffset>1584325</wp:posOffset>
                </wp:positionV>
                <wp:extent cx="637540" cy="287655"/>
                <wp:effectExtent l="0" t="0" r="0" b="0"/>
                <wp:wrapNone/>
                <wp:docPr id="221" name="文本框 221"/>
                <wp:cNvGraphicFramePr/>
                <a:graphic xmlns:a="http://schemas.openxmlformats.org/drawingml/2006/main">
                  <a:graphicData uri="http://schemas.microsoft.com/office/word/2010/wordprocessingShape">
                    <wps:wsp>
                      <wps:cNvSpPr txBox="1"/>
                      <wps:spPr>
                        <a:xfrm>
                          <a:off x="0" y="0"/>
                          <a:ext cx="637540" cy="287655"/>
                        </a:xfrm>
                        <a:prstGeom prst="rect">
                          <a:avLst/>
                        </a:prstGeom>
                        <a:noFill/>
                        <a:ln w="9525" cap="sq" cmpd="sng">
                          <a:noFill/>
                          <a:prstDash val="solid"/>
                          <a:miter/>
                          <a:headEnd type="none" w="med" len="med"/>
                          <a:tailEnd type="none" w="med" len="med"/>
                        </a:ln>
                      </wps:spPr>
                      <wps:txbx>
                        <w:txbxContent>
                          <w:p w14:paraId="5FA4AB9F">
                            <w:pPr>
                              <w:rPr>
                                <w:rFonts w:hint="eastAsia" w:eastAsia="宋体"/>
                                <w:lang w:eastAsia="zh-CN"/>
                              </w:rPr>
                            </w:pPr>
                            <w:r>
                              <w:rPr>
                                <w:rFonts w:hint="eastAsia" w:eastAsia="宋体"/>
                                <w:lang w:eastAsia="zh-CN"/>
                              </w:rPr>
                              <w:t>龙王线</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110.4pt;margin-top:124.75pt;height:22.65pt;width:50.2pt;z-index:251806720;mso-width-relative:page;mso-height-relative:page;" filled="f" stroked="f" coordsize="21600,21600" o:gfxdata="UEsDBAoAAAAAAIdO4kAAAAAAAAAAAAAAAAAEAAAAZHJzL1BLAwQUAAAACACHTuJAsboRKdkAAAAL&#10;AQAADwAAAGRycy9kb3ducmV2LnhtbE2PS0/DMBCE70j8B2uRuFE7ptA2xKnEo0dUKBzKzY2XJMJe&#10;R7H74N+znOC2Ozua+bZanoIXBxxTH8lAMVEgkJroemoNvL+truYgUrbkrI+EBr4xwbI+P6ts6eKR&#10;XvGwya3gEEqlNdDlPJRSpqbDYNMkDkh8+4xjsJnXsZVutEcOD15qpW5lsD1xQ2cHfOiw+drsg4H1&#10;oNLLs8of/jH6J3+/2s5mcmvM5UWh7kBkPOU/M/ziMzrUzLSLe3JJeANaK0bPPEwXNyDYca0LDWLH&#10;ymI6B1lX8v8P9Q9QSwMEFAAAAAgAh07iQNdHGUp9AgAAAAUAAA4AAABkcnMvZTJvRG9jLnhtbK1U&#10;zW4TMRC+I/EOlu90k6XpT9RNFRqKkCpaqSDOjtebteQ/bCfZ8ADwBpy4cOe58hx89iZtVDj0wGV3&#10;PDP7zcznb/bistOKrIQP0pqKDo8GlAjDbS3NoqKfPl6/OqMkRGZqpqwRFd2IQC8nL19crN1YlLa1&#10;qhaeAMSE8dpVtI3RjYsi8FZoFo6sEwbBxnrNIo5+UdSerYGuVVEOBifF2vraectFCPDO+iDdIfrn&#10;ANqmkVzMLF9qYWKP6oViESOFVrpAJ7nbphE83jZNEJGoimLSmJ8oAnuensXkgo0XnrlW8l0L7Dkt&#10;PJlJM2lQ9AFqxiIjSy//gtKSextsE4+41UU/SGYEUwwHT7i5b5kTeRZQHdwD6eH/wfIPqztPZF3R&#10;shxSYpjGlW9/fN/+/L399Y0kJyhauzBG5r1Dbuze2A7C2fsDnGnyrvE6vTETQRwEbx4IFl0kHM6T&#10;16ejY0Q4QuXZ6clolFCKx4+dD/GdsJoko6Ie95dpZaubEPvUfUqqZey1VCrfoTJkXdHzUTkCPIMu&#10;wxcY2mGyYBYZ5CA7gcxYaMmKQRjBKln3UtAyCp8BW8Hqt6YmceNAicEu0FRBi5oSJbA6ycqZkUn1&#10;nEzMqQzGTWz2rCUrdvMOMMmc23oDhr3tZRocv5Zo9IaFeMc8dAnqsLnxFo9GWXRjdxYlrfVf/+VP&#10;+ZALomgfOk/ELJnHMOq9gZDOh8fpRmI+HI9OSxz8YWR+GDFLfWXBGKSC7rKZ8qPam423+jMWfJqq&#10;IsQMR+2Kxr15Ffvtww+Ci+k0Jy2dl4u2/wBr4Vi8MfeOpzL9LU+X0TYyC+CRpx2TWIwsod0Sp807&#10;POesxx/X5A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CxuhEp2QAAAAsBAAAPAAAAAAAAAAEAIAAA&#10;ACIAAABkcnMvZG93bnJldi54bWxQSwECFAAUAAAACACHTuJA10cZSn0CAAAABQAADgAAAAAAAAAB&#10;ACAAAAAoAQAAZHJzL2Uyb0RvYy54bWxQSwUGAAAAAAYABgBZAQAAFwYAAAAA&#10;">
                <v:fill on="f" focussize="0,0"/>
                <v:stroke on="f" joinstyle="miter" endcap="square"/>
                <v:imagedata o:title=""/>
                <o:lock v:ext="edit" aspectratio="f"/>
                <v:textbox>
                  <w:txbxContent>
                    <w:p w14:paraId="5FA4AB9F">
                      <w:pPr>
                        <w:rPr>
                          <w:rFonts w:hint="eastAsia" w:eastAsia="宋体"/>
                          <w:lang w:eastAsia="zh-CN"/>
                        </w:rPr>
                      </w:pPr>
                      <w:r>
                        <w:rPr>
                          <w:rFonts w:hint="eastAsia" w:eastAsia="宋体"/>
                          <w:lang w:eastAsia="zh-CN"/>
                        </w:rPr>
                        <w:t>龙王线</w:t>
                      </w:r>
                    </w:p>
                  </w:txbxContent>
                </v:textbox>
              </v:shape>
            </w:pict>
          </mc:Fallback>
        </mc:AlternateContent>
      </w:r>
      <w:r>
        <w:rPr>
          <w:color w:val="auto"/>
          <w:sz w:val="32"/>
          <w:highlight w:val="none"/>
        </w:rPr>
        <mc:AlternateContent>
          <mc:Choice Requires="wps">
            <w:drawing>
              <wp:anchor distT="0" distB="0" distL="114300" distR="114300" simplePos="0" relativeHeight="251783168" behindDoc="0" locked="0" layoutInCell="1" allowOverlap="1">
                <wp:simplePos x="0" y="0"/>
                <wp:positionH relativeFrom="column">
                  <wp:posOffset>1525270</wp:posOffset>
                </wp:positionH>
                <wp:positionV relativeFrom="paragraph">
                  <wp:posOffset>1949450</wp:posOffset>
                </wp:positionV>
                <wp:extent cx="914400" cy="287655"/>
                <wp:effectExtent l="313690" t="0" r="0" b="0"/>
                <wp:wrapNone/>
                <wp:docPr id="189" name="文本框 189"/>
                <wp:cNvGraphicFramePr/>
                <a:graphic xmlns:a="http://schemas.openxmlformats.org/drawingml/2006/main">
                  <a:graphicData uri="http://schemas.microsoft.com/office/word/2010/wordprocessingShape">
                    <wps:wsp>
                      <wps:cNvSpPr txBox="1"/>
                      <wps:spPr>
                        <a:xfrm rot="17820000">
                          <a:off x="4955540" y="681990"/>
                          <a:ext cx="914400" cy="287655"/>
                        </a:xfrm>
                        <a:prstGeom prst="rect">
                          <a:avLst/>
                        </a:prstGeom>
                        <a:noFill/>
                        <a:ln w="9525" cap="sq" cmpd="sng">
                          <a:noFill/>
                          <a:prstDash val="solid"/>
                          <a:miter/>
                          <a:headEnd type="none" w="med" len="med"/>
                          <a:tailEnd type="none" w="med" len="med"/>
                        </a:ln>
                      </wps:spPr>
                      <wps:txbx>
                        <w:txbxContent>
                          <w:p w14:paraId="23CB443B">
                            <w:pPr>
                              <w:rPr>
                                <w:rFonts w:hint="eastAsia" w:eastAsia="宋体"/>
                                <w:lang w:eastAsia="zh-CN"/>
                              </w:rPr>
                            </w:pPr>
                            <w:r>
                              <w:rPr>
                                <w:rFonts w:hint="eastAsia"/>
                                <w:lang w:eastAsia="zh-CN"/>
                              </w:rPr>
                              <w:t>大洋河</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120.1pt;margin-top:153.5pt;height:22.65pt;width:72pt;rotation:-4128768f;z-index:251783168;mso-width-relative:page;mso-height-relative:page;" filled="f" stroked="f" coordsize="21600,21600" o:gfxdata="UEsDBAoAAAAAAIdO4kAAAAAAAAAAAAAAAAAEAAAAZHJzL1BLAwQUAAAACACHTuJACfmSO9kAAAAL&#10;AQAADwAAAGRycy9kb3ducmV2LnhtbE2PQUvDQBCF74L/YRnBm91tUrXEbIpULAil4NreN8mYBLOz&#10;IbtJ6793POltZt7jzffyzcX1YsYxdJ40LBcKBFLl644aDceP17s1iBAt1bb3hBq+McCmuL7KbVb7&#10;M73jbGIjOIRCZjW0MQ6ZlKFq0dmw8AMSa59+dDbyOjayHu2Zw10vE6UepLMd8YfWDrhtsfoyk9Mw&#10;GWu25dw97zyeXt6M3B/2u6D17c1SPYGIeIl/ZvjFZ3QomKn0E9VB9BqSlUrYqiFVj1yKHel6xZeS&#10;h/skBVnk8n+H4gdQSwMEFAAAAAgAh07iQO3A8cOOAgAAGgUAAA4AAABkcnMvZTJvRG9jLnhtbK1U&#10;zW4TMRC+I/EOlu90kyjbJlE3VWgoQqpopYI4O15v1pL/sJ0/HgDeoCcu3HmuPgefvUkbFQ49cLHG&#10;M99+M/N5Zs8vtlqRtfBBWlPR/kmPEmG4raVZVvTzp6s3I0pCZKZmyhpR0Z0I9GL6+tX5xk3EwLZW&#10;1cITkJgw2biKtjG6SVEE3grNwol1wiDYWK9ZxNUvi9qzDdi1Kga93mmxsb523nIRArzzLkj3jP4l&#10;hLZpJBdzy1damNixeqFYREuhlS7Qaa62aQSPN00TRCSqoug05hNJYC/SWUzP2WTpmWsl35fAXlLC&#10;s540kwZJH6nmLDKy8vIvKi25t8E28YRbXXSNZEXQRb/3TJu7ljmRe4HUwT2KHv4fLf+4vvVE1piE&#10;0ZgSwzSe/OH+x8PP3w+/vpPkhEQbFyZA3jlg4/at3QJ+8Ac4U+fbxmviLRTun43w0L1eFgQtEsCH&#10;47Ish1B9V9HTUX883ksvtpFwxMf94RBfEI74YHR2WpaJv+hoE73zIb4XVpNkVNTjZTM/W1+H2EEP&#10;kAQ39koqlV9XGbJBgnJQgp5hYsNXGNqh52CWmeQInUjmLLRkzTAywSpZd0OiZRQ+E7aC1e9MTeLO&#10;QSyDLaEpgxY1JUpgqZKVkZFJ9RIk+lQG7SadOz2TFbeLLWiSubD1DtpneaFScPxKotBrFuIt85hY&#10;OLHT8QZHoyyqsXuLktb6b//yJzwGCVGUjw1IwqyYRzPqg8GI5SfByuTLsDwbIIc/jiyOI2alLy0U&#10;6+fqspnwUR3Mxlv9Bas/S1kRYoYjd0XjwbyM3V7i18HFbJZBK+flsu0+wMI4Fq/NneMpTffKs1W0&#10;jcwD8KTTXkmsTB6h/XqnnTy+Z9TTL236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An5kjvZAAAA&#10;CwEAAA8AAAAAAAAAAQAgAAAAIgAAAGRycy9kb3ducmV2LnhtbFBLAQIUABQAAAAIAIdO4kDtwPHD&#10;jgIAABoFAAAOAAAAAAAAAAEAIAAAACgBAABkcnMvZTJvRG9jLnhtbFBLBQYAAAAABgAGAFkBAAAo&#10;BgAAAAA=&#10;">
                <v:fill on="f" focussize="0,0"/>
                <v:stroke on="f" joinstyle="miter" endcap="square"/>
                <v:imagedata o:title=""/>
                <o:lock v:ext="edit" aspectratio="f"/>
                <v:textbox>
                  <w:txbxContent>
                    <w:p w14:paraId="23CB443B">
                      <w:pPr>
                        <w:rPr>
                          <w:rFonts w:hint="eastAsia" w:eastAsia="宋体"/>
                          <w:lang w:eastAsia="zh-CN"/>
                        </w:rPr>
                      </w:pPr>
                      <w:r>
                        <w:rPr>
                          <w:rFonts w:hint="eastAsia"/>
                          <w:lang w:eastAsia="zh-CN"/>
                        </w:rPr>
                        <w:t>大洋河</w:t>
                      </w:r>
                    </w:p>
                  </w:txbxContent>
                </v:textbox>
              </v:shape>
            </w:pict>
          </mc:Fallback>
        </mc:AlternateContent>
      </w:r>
      <w:r>
        <w:rPr>
          <w:color w:val="auto"/>
          <w:sz w:val="32"/>
          <w:highlight w:val="none"/>
        </w:rPr>
        <mc:AlternateContent>
          <mc:Choice Requires="wps">
            <w:drawing>
              <wp:anchor distT="0" distB="0" distL="114300" distR="114300" simplePos="0" relativeHeight="251805696" behindDoc="0" locked="0" layoutInCell="1" allowOverlap="1">
                <wp:simplePos x="0" y="0"/>
                <wp:positionH relativeFrom="column">
                  <wp:posOffset>607695</wp:posOffset>
                </wp:positionH>
                <wp:positionV relativeFrom="paragraph">
                  <wp:posOffset>50165</wp:posOffset>
                </wp:positionV>
                <wp:extent cx="1967865" cy="4690110"/>
                <wp:effectExtent l="17780" t="7620" r="33655" b="7620"/>
                <wp:wrapNone/>
                <wp:docPr id="220" name="直接连接符 220"/>
                <wp:cNvGraphicFramePr/>
                <a:graphic xmlns:a="http://schemas.openxmlformats.org/drawingml/2006/main">
                  <a:graphicData uri="http://schemas.microsoft.com/office/word/2010/wordprocessingShape">
                    <wps:wsp>
                      <wps:cNvCnPr/>
                      <wps:spPr>
                        <a:xfrm flipH="1">
                          <a:off x="0" y="0"/>
                          <a:ext cx="1967865" cy="4690110"/>
                        </a:xfrm>
                        <a:prstGeom prst="line">
                          <a:avLst/>
                        </a:prstGeom>
                        <a:ln w="38100">
                          <a:solidFill>
                            <a:srgbClr val="92D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47.85pt;margin-top:3.95pt;height:369.3pt;width:154.95pt;z-index:251805696;mso-width-relative:page;mso-height-relative:page;" filled="f" stroked="t" coordsize="21600,21600" o:gfxdata="UEsDBAoAAAAAAIdO4kAAAAAAAAAAAAAAAAAEAAAAZHJzL1BLAwQUAAAACACHTuJAhpW349cAAAAI&#10;AQAADwAAAGRycy9kb3ducmV2LnhtbE2PzU7DMBCE70i8g7VI3Kgd1KQkxOkBqBAHDpSqvbrxkkTE&#10;ayt2f+DpWU5wHM1o5pt6eXajOOIUB08aspkCgdR6O1CnYfO+urkDEZMha0ZPqOELIyyby4vaVNaf&#10;6A2P69QJLqFYGQ19SqGSMrY9OhNnPiCx9+EnZxLLqZN2Micud6O8VaqQzgzEC70J+NBj+7k+OA0v&#10;3+5xG4ZX+1zsutVTmW1iF5TW11eZugeR8Jz+wvCLz+jQMNPeH8hGMWoo8wUnNSxKEGzPVV6A2LOe&#10;FznIppb/DzQ/UEsDBBQAAAAIAIdO4kAsjwtL7AEAAK8DAAAOAAAAZHJzL2Uyb0RvYy54bWytU82O&#10;0zAQviPxDpbvNElhSxs13cNGCwcElYAHcB07seQ/ebxN+xK8ABI3OHHkztuwPAZjp1tgueyBy2Q8&#10;M/5mvs+T9eXBaLIXAZSzDa1mJSXCctcp2zf0/bvrJ0tKIDLbMe2saOhRAL3cPH60Hn0t5m5wuhOB&#10;IIiFevQNHWL0dVEAH4RhMHNeWExKFwyLeAx90QU2IrrRxbwsF8XoQueD4wIAo+2UpCfE8BBAJ6Xi&#10;onX8xggbJ9QgNItICQblgW7ytFIKHt9ICSIS3VBkGrPFJujvki02a1b3gflB8dMI7CEj3ONkmLLY&#10;9AzVssjITVD/QBnFgwMn44w7U0xEsiLIoirvafN2YF5kLig1+LPo8P9g+ev9NhDVNXQ+R00sM/jk&#10;tx+//fjw+ef3T2hvv34hKYVCjR5qrL+y23A6gd+GxPoggyFSK/8SNyrrgMzIIct8PMssDpFwDFar&#10;xfPl4oISjrlni1VZVRm/mIASoA8QXwhnSHIaqpVNOrCa7V9BxOZYeleSwtZdK63zW2pLxoY+XVYl&#10;0uEMF1TiYqBrPJIE21PCdI+bz2PIkOC06tL1BASh313pQPYM92U1b8uLu8n+Kku9WwbDVJdTSSCc&#10;Slv8JKEmaZK3c90xK5bj+I658LRzaVH+POfbv/+zzS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G&#10;lbfj1wAAAAgBAAAPAAAAAAAAAAEAIAAAACIAAABkcnMvZG93bnJldi54bWxQSwECFAAUAAAACACH&#10;TuJALI8LS+wBAACvAwAADgAAAAAAAAABACAAAAAmAQAAZHJzL2Uyb0RvYy54bWxQSwUGAAAAAAYA&#10;BgBZAQAAhAUAAAAA&#10;">
                <v:fill on="f" focussize="0,0"/>
                <v:stroke weight="3pt" color="#92D050 [3204]" joinstyle="round"/>
                <v:imagedata o:title=""/>
                <o:lock v:ext="edit" aspectratio="f"/>
              </v:line>
            </w:pict>
          </mc:Fallback>
        </mc:AlternateContent>
      </w:r>
      <w:r>
        <w:rPr>
          <w:color w:val="auto"/>
          <w:sz w:val="32"/>
          <w:highlight w:val="none"/>
        </w:rPr>
        <mc:AlternateContent>
          <mc:Choice Requires="wps">
            <w:drawing>
              <wp:anchor distT="0" distB="0" distL="114300" distR="114300" simplePos="0" relativeHeight="251782144" behindDoc="0" locked="0" layoutInCell="1" allowOverlap="1">
                <wp:simplePos x="0" y="0"/>
                <wp:positionH relativeFrom="column">
                  <wp:posOffset>657860</wp:posOffset>
                </wp:positionH>
                <wp:positionV relativeFrom="paragraph">
                  <wp:posOffset>94615</wp:posOffset>
                </wp:positionV>
                <wp:extent cx="2190750" cy="5172075"/>
                <wp:effectExtent l="116840" t="49530" r="130810" b="55245"/>
                <wp:wrapNone/>
                <wp:docPr id="188" name="直接连接符 188"/>
                <wp:cNvGraphicFramePr/>
                <a:graphic xmlns:a="http://schemas.openxmlformats.org/drawingml/2006/main">
                  <a:graphicData uri="http://schemas.microsoft.com/office/word/2010/wordprocessingShape">
                    <wps:wsp>
                      <wps:cNvCnPr/>
                      <wps:spPr>
                        <a:xfrm flipH="1">
                          <a:off x="0" y="0"/>
                          <a:ext cx="2190750" cy="5172075"/>
                        </a:xfrm>
                        <a:prstGeom prst="line">
                          <a:avLst/>
                        </a:prstGeom>
                        <a:ln w="254000">
                          <a:solidFill>
                            <a:srgbClr val="00B0F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51.8pt;margin-top:7.45pt;height:407.25pt;width:172.5pt;z-index:251782144;mso-width-relative:page;mso-height-relative:page;" filled="f" stroked="t" coordsize="21600,21600" o:gfxdata="UEsDBAoAAAAAAIdO4kAAAAAAAAAAAAAAAAAEAAAAZHJzL1BLAwQUAAAACACHTuJATIpaQ9gAAAAK&#10;AQAADwAAAGRycy9kb3ducmV2LnhtbE2PO2/DMAyE9wL9DwILdGukpG5qO5YzFOjWIa8h3WSLsY1Y&#10;lGHJefz7slO78cjD8btifXO9uOAYOk8a5jMFAqn2tqNGw2H/+ZKCCNGQNb0n1HDHAOvy8aEwufVX&#10;2uJlFxvBIRRyo6GNccilDHWLzoSZH5D4dvKjM5Hl2Eg7miuHu14ulFpKZzriD60Z8KPF+rybnIZK&#10;vm/pnm4Op/208cfq+D18ZW9aPz/N1QpExFv8M8MvPqNDyUyVn8gG0bNWr0u28pBkINiQJCkvKg3p&#10;IktAloX8X6H8AVBLAwQUAAAACACHTuJA9EaY/ekBAACwAwAADgAAAGRycy9lMm9Eb2MueG1srVPN&#10;jtMwEL4j8Q6W7zRpRdklaroSWxUOCCoBDzB1nMSS/+TxNu1L8AJI3ODEkTtvw/IYjJ1QYLnsgYs1&#10;nhl/M98349XV0Wh2kAGVszWfz0rOpBWuUbar+bu320eXnGEE24B2Vtb8JJFfrR8+WA2+kgvXO93I&#10;wAjEYjX4mvcx+qooUPTSAM6cl5aCrQsGIl1DVzQBBkI3uliU5ZNicKHxwQmJSN7NGOQTYrgPoGtb&#10;JeTGiRsjbRxRg9QQiRL2yiNf527bVor4um1RRqZrTkxjPqkI2ft0FusVVF0A3ysxtQD3aeEOJwPK&#10;UtEz1AYisJug/oEySgSHro0z4UwxEsmKEIt5eUebNz14mbmQ1OjPouP/gxWvDrvAVEObcEmDt2Bo&#10;5Lcfvn5//+nHt4903n75zFKIhBo8VpR/bXdhuqHfhcT62AbDWq38C8LJOhAzdswyn84yy2NkgpyL&#10;+dPyYkkTEBRbzi8WdEv4xQiUAH3A+Fw6w5JRc61s0gEqOLzEOKb+Sklu67ZKa/JDpS0bqMTycVmm&#10;CkAb2tJmkGk8sUTbcQa6o9UXMWRMdFo16X16jqHbX+vADpAWpnxWbvOOUGt/paXiG8B+zMuhiYG2&#10;RCQpNWqTrL1rTlmy7KdBZqrT0qVN+fOeX//+aOu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TIpa&#10;Q9gAAAAKAQAADwAAAAAAAAABACAAAAAiAAAAZHJzL2Rvd25yZXYueG1sUEsBAhQAFAAAAAgAh07i&#10;QPRGmP3pAQAAsAMAAA4AAAAAAAAAAQAgAAAAJwEAAGRycy9lMm9Eb2MueG1sUEsFBgAAAAAGAAYA&#10;WQEAAIIFAAAAAA==&#10;">
                <v:fill on="f" focussize="0,0"/>
                <v:stroke weight="20pt" color="#00B0F0 [3204]" joinstyle="round"/>
                <v:imagedata o:title=""/>
                <o:lock v:ext="edit" aspectratio="f"/>
              </v:line>
            </w:pict>
          </mc:Fallback>
        </mc:AlternateContent>
      </w:r>
      <w:r>
        <w:rPr>
          <w:color w:val="auto"/>
          <w:sz w:val="32"/>
          <w:highlight w:val="none"/>
        </w:rPr>
        <mc:AlternateContent>
          <mc:Choice Requires="wpg">
            <w:drawing>
              <wp:anchor distT="0" distB="0" distL="114300" distR="114300" simplePos="0" relativeHeight="251726848" behindDoc="0" locked="0" layoutInCell="1" allowOverlap="1">
                <wp:simplePos x="0" y="0"/>
                <wp:positionH relativeFrom="column">
                  <wp:posOffset>5273675</wp:posOffset>
                </wp:positionH>
                <wp:positionV relativeFrom="paragraph">
                  <wp:posOffset>1654175</wp:posOffset>
                </wp:positionV>
                <wp:extent cx="2187575" cy="1574800"/>
                <wp:effectExtent l="205105" t="175260" r="26670" b="231140"/>
                <wp:wrapNone/>
                <wp:docPr id="97" name="组合 97"/>
                <wp:cNvGraphicFramePr/>
                <a:graphic xmlns:a="http://schemas.openxmlformats.org/drawingml/2006/main">
                  <a:graphicData uri="http://schemas.microsoft.com/office/word/2010/wordprocessingGroup">
                    <wpg:wgp>
                      <wpg:cNvGrpSpPr/>
                      <wpg:grpSpPr>
                        <a:xfrm>
                          <a:off x="0" y="0"/>
                          <a:ext cx="2187666" cy="1574800"/>
                          <a:chOff x="9139" y="1410353"/>
                          <a:chExt cx="3463" cy="2480"/>
                        </a:xfrm>
                        <a:solidFill>
                          <a:srgbClr val="4F80BD"/>
                        </a:solidFill>
                      </wpg:grpSpPr>
                      <wps:wsp>
                        <wps:cNvPr id="19" name="文本框 19"/>
                        <wps:cNvSpPr txBox="1"/>
                        <wps:spPr>
                          <a:xfrm rot="1560000">
                            <a:off x="10920" y="1411154"/>
                            <a:ext cx="1682" cy="428"/>
                          </a:xfrm>
                          <a:prstGeom prst="rect">
                            <a:avLst/>
                          </a:prstGeom>
                          <a:grpFill/>
                          <a:ln w="9525" cap="sq" cmpd="sng">
                            <a:solidFill>
                              <a:schemeClr val="tx1"/>
                            </a:solidFill>
                            <a:prstDash val="solid"/>
                            <a:miter/>
                            <a:headEnd type="none" w="med" len="med"/>
                            <a:tailEnd type="none" w="med" len="med"/>
                          </a:ln>
                        </wps:spPr>
                        <wps:txbx>
                          <w:txbxContent>
                            <w:p w14:paraId="1E125527">
                              <w:pPr>
                                <w:rPr>
                                  <w:rFonts w:hint="default" w:eastAsia="宋体"/>
                                  <w:lang w:val="en-US" w:eastAsia="zh-CN"/>
                                </w:rPr>
                              </w:pPr>
                              <w:r>
                                <w:rPr>
                                  <w:rFonts w:hint="eastAsia"/>
                                  <w:lang w:val="en-US" w:eastAsia="zh-CN"/>
                                </w:rPr>
                                <w:t>2#原料库房</w:t>
                              </w:r>
                            </w:p>
                          </w:txbxContent>
                        </wps:txbx>
                        <wps:bodyPr rot="0" spcFirstLastPara="0" vertOverflow="overflow" horzOverflow="overflow" vert="horz" wrap="square" lIns="0" tIns="45720" rIns="91440" bIns="45720" numCol="1" spcCol="0" rtlCol="0" fromWordArt="0" anchor="t" anchorCtr="0" forceAA="0" upright="0" compatLnSpc="1">
                          <a:noAutofit/>
                        </wps:bodyPr>
                      </wps:wsp>
                      <wps:wsp>
                        <wps:cNvPr id="20" name="文本框 20"/>
                        <wps:cNvSpPr txBox="1"/>
                        <wps:spPr>
                          <a:xfrm rot="1560000">
                            <a:off x="9139" y="1410353"/>
                            <a:ext cx="1639" cy="1806"/>
                          </a:xfrm>
                          <a:prstGeom prst="rect">
                            <a:avLst/>
                          </a:prstGeom>
                          <a:grpFill/>
                          <a:ln w="9525" cap="sq" cmpd="sng">
                            <a:solidFill>
                              <a:schemeClr val="tx1"/>
                            </a:solidFill>
                            <a:prstDash val="solid"/>
                            <a:miter/>
                            <a:headEnd type="none" w="med" len="med"/>
                            <a:tailEnd type="none" w="med" len="med"/>
                          </a:ln>
                        </wps:spPr>
                        <wps:txbx>
                          <w:txbxContent>
                            <w:p w14:paraId="21F195B4">
                              <w:pPr>
                                <w:rPr>
                                  <w:rFonts w:hint="eastAsia" w:eastAsia="宋体"/>
                                  <w:color w:val="FFFFFF" w:themeColor="background1"/>
                                  <w:lang w:eastAsia="zh-CN"/>
                                  <w14:textFill>
                                    <w14:solidFill>
                                      <w14:schemeClr w14:val="bg1"/>
                                    </w14:solidFill>
                                  </w14:textFill>
                                </w:rPr>
                              </w:pPr>
                              <w:r>
                                <w:rPr>
                                  <w:rFonts w:hint="eastAsia"/>
                                  <w:color w:val="FFFFFF" w:themeColor="background1"/>
                                  <w:lang w:eastAsia="zh-CN"/>
                                  <w14:textFill>
                                    <w14:solidFill>
                                      <w14:schemeClr w14:val="bg1"/>
                                    </w14:solidFill>
                                  </w14:textFill>
                                </w:rPr>
                                <w:t>产品库房</w:t>
                              </w:r>
                            </w:p>
                          </w:txbxContent>
                        </wps:txbx>
                        <wps:bodyPr rot="0" spcFirstLastPara="0" vertOverflow="overflow" horzOverflow="overflow" vert="horz" wrap="square" lIns="91440" tIns="45720" rIns="91440" bIns="45720" numCol="1" spcCol="0" rtlCol="0" fromWordArt="0" anchor="ctr" anchorCtr="0" forceAA="0" upright="0" compatLnSpc="1">
                          <a:noAutofit/>
                        </wps:bodyPr>
                      </wps:wsp>
                      <wps:wsp>
                        <wps:cNvPr id="77" name="文本框 77"/>
                        <wps:cNvSpPr txBox="1"/>
                        <wps:spPr>
                          <a:xfrm rot="1560000">
                            <a:off x="10737" y="1411484"/>
                            <a:ext cx="1704" cy="456"/>
                          </a:xfrm>
                          <a:prstGeom prst="rect">
                            <a:avLst/>
                          </a:prstGeom>
                          <a:grpFill/>
                          <a:ln w="9525" cap="sq" cmpd="sng">
                            <a:solidFill>
                              <a:schemeClr val="tx1"/>
                            </a:solidFill>
                            <a:prstDash val="sysDot"/>
                            <a:miter/>
                            <a:headEnd type="none" w="med" len="med"/>
                            <a:tailEnd type="none" w="med" len="med"/>
                          </a:ln>
                        </wps:spPr>
                        <wps:txbx>
                          <w:txbxContent>
                            <w:p w14:paraId="31407EE6">
                              <w:pPr>
                                <w:rPr>
                                  <w:rFonts w:hint="default" w:eastAsia="宋体"/>
                                  <w:lang w:val="en-US" w:eastAsia="zh-CN"/>
                                </w:rPr>
                              </w:pPr>
                              <w:r>
                                <w:rPr>
                                  <w:rFonts w:hint="eastAsia"/>
                                  <w:lang w:val="en-US" w:eastAsia="zh-CN"/>
                                </w:rPr>
                                <w:t>5#生产线</w:t>
                              </w:r>
                            </w:p>
                          </w:txbxContent>
                        </wps:txbx>
                        <wps:bodyPr rot="0" spcFirstLastPara="0" vertOverflow="overflow" horzOverflow="overflow" vert="horz" wrap="square" lIns="0" tIns="45720" rIns="91440" bIns="45720" numCol="1" spcCol="0" rtlCol="0" fromWordArt="0" anchor="t" anchorCtr="0" forceAA="0" upright="0" compatLnSpc="1">
                          <a:noAutofit/>
                        </wps:bodyPr>
                      </wps:wsp>
                      <wps:wsp>
                        <wps:cNvPr id="79" name="文本框 79"/>
                        <wps:cNvSpPr txBox="1"/>
                        <wps:spPr>
                          <a:xfrm rot="1620000">
                            <a:off x="10545" y="1411896"/>
                            <a:ext cx="1706" cy="464"/>
                          </a:xfrm>
                          <a:prstGeom prst="rect">
                            <a:avLst/>
                          </a:prstGeom>
                          <a:grpFill/>
                          <a:ln w="9525" cap="sq" cmpd="sng">
                            <a:solidFill>
                              <a:schemeClr val="tx1"/>
                            </a:solidFill>
                            <a:prstDash val="sysDot"/>
                            <a:miter/>
                            <a:headEnd type="none" w="med" len="med"/>
                            <a:tailEnd type="none" w="med" len="med"/>
                          </a:ln>
                        </wps:spPr>
                        <wps:txbx>
                          <w:txbxContent>
                            <w:p w14:paraId="4C840773">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4#生产线</w:t>
                              </w:r>
                            </w:p>
                          </w:txbxContent>
                        </wps:txbx>
                        <wps:bodyPr rot="0" spcFirstLastPara="0" vertOverflow="overflow" horzOverflow="overflow" vert="horz" wrap="square" lIns="0" tIns="45720" rIns="0" bIns="45720" numCol="1" spcCol="0" rtlCol="0" fromWordArt="0" anchor="t" anchorCtr="0" forceAA="0" upright="0" compatLnSpc="1">
                          <a:noAutofit/>
                        </wps:bodyPr>
                      </wps:wsp>
                      <wps:wsp>
                        <wps:cNvPr id="83" name="文本框 83"/>
                        <wps:cNvSpPr txBox="1"/>
                        <wps:spPr>
                          <a:xfrm rot="1620000">
                            <a:off x="10323" y="1412301"/>
                            <a:ext cx="1675" cy="532"/>
                          </a:xfrm>
                          <a:prstGeom prst="rect">
                            <a:avLst/>
                          </a:prstGeom>
                          <a:grpFill/>
                          <a:ln w="9525" cap="sq" cmpd="sng">
                            <a:solidFill>
                              <a:schemeClr val="tx1"/>
                            </a:solidFill>
                            <a:prstDash val="sysDot"/>
                            <a:miter/>
                            <a:headEnd type="none" w="med" len="med"/>
                            <a:tailEnd type="none" w="med" len="med"/>
                          </a:ln>
                        </wps:spPr>
                        <wps:txbx>
                          <w:txbxContent>
                            <w:p w14:paraId="42A7BC1A">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3#生产线</w:t>
                              </w:r>
                            </w:p>
                          </w:txbxContent>
                        </wps:txbx>
                        <wps:bodyPr rot="0" spcFirstLastPara="0" vertOverflow="overflow" horzOverflow="overflow" vert="horz" wrap="square" lIns="0" tIns="45720" rIns="0" bIns="45720" numCol="1" spcCol="0" rtlCol="0" fromWordArt="0" anchor="t" anchorCtr="0" forceAA="0" upright="0" compatLnSpc="1">
                          <a:noAutofit/>
                        </wps:bodyPr>
                      </wps:wsp>
                    </wpg:wgp>
                  </a:graphicData>
                </a:graphic>
              </wp:anchor>
            </w:drawing>
          </mc:Choice>
          <mc:Fallback>
            <w:pict>
              <v:group id="_x0000_s1026" o:spid="_x0000_s1026" o:spt="203" style="position:absolute;left:0pt;margin-left:415.25pt;margin-top:130.25pt;height:124pt;width:172.25pt;z-index:251726848;mso-width-relative:page;mso-height-relative:page;" coordorigin="9139,1410353" coordsize="3463,2480" o:gfxdata="UEsDBAoAAAAAAIdO4kAAAAAAAAAAAAAAAAAEAAAAZHJzL1BLAwQUAAAACACHTuJAgPAe6NoAAAAM&#10;AQAADwAAAGRycy9kb3ducmV2LnhtbE2PwWrDMAyG74O9g1Fht9VOi7uQRimjbDuVwdrB2M2N1SQ0&#10;tkPsJu3bzzmtNwl9/Pr+fHM1LRuo942zCMlcACNbOt3YCuH78P6cAvNBWa1aZwnhRh42xeNDrjLt&#10;RvtFwz5ULIZYnymEOoQu49yXNRnl564jG28n1xsV4tpXXPdqjOGm5QshVtyoxsYPtepoW1N53l8M&#10;wseoxtdl8jbszqft7fcgP392CSE+zRKxBhboGv5hmPSjOhTR6eguVnvWIqRLISOKsFhNw0QkLzLW&#10;OyJIkUrgRc7vSxR/UEsDBBQAAAAIAIdO4kC7aeyXBQQAAAYUAAAOAAAAZHJzL2Uyb0RvYy54bWzt&#10;WM1u4zYQvhfoOxC6N5Zk/dmIs8jGm6BA0A2QFj3TEvUDSCRL0rHTc7Htsaeeetn7vkGfp+lr9CMl&#10;/6w3h3S7CzSFc3BGw9GQ8818Q1KnL9ZdS+6Y0o3gMy848T3CeC6Khlcz77tvL7/KPKIN5QVtBWcz&#10;755p78XZl1+cruSUhaIWbcEUgROupys582pj5HQ00nnNOqpPhGQcg6VQHTV4VNWoUHQF7107Cn0/&#10;Ga2EKqQSOdMa2nk/6A0e1VMcirJscjYX+bJj3PReFWupQUi6bqT2ztxqy5Ll5nVZamZIO/MQqXG/&#10;mATywv6Ozk7ptFJU1k0+LIE+ZQkHMXW04Zh062pODSVL1XzgqmtyJbQozUkuulEfiEMEUQT+ATZX&#10;Siyli6Wariq5BR2JOkD9o93m39zdKNIUM2+SeoTTDhn/64+f/vz1FwIF0FnJagqjKyVv5Y0aFFX/&#10;ZANel6qz/xEKWTtc77e4srUhOZRhkKVJkngkx1gQp1HmD8jnNdJj35sE44lH7HAU+ON43Ccmr18N&#10;LsZRMu7fD/G2HR3t5taibYrLpm3tQrSqFhetIncUKY8uM//lfDDfMxvZsLZRrCRKWe/w1f8O39ua&#10;SubSpi10A74B4uvxffjt54ff3z28fUOgc4g6O4svMeuXAnAEG72GcgMzUQL1G8SJjz9XbQPogT8J&#10;UdA9ekEQR/ZtOt3AHyRZ2GMXhdmAxSZtUmlzxURHrDDzFAjjPNO7a216lDcm1iUgszg79y0nKyQu&#10;DmM4p+gE+gcInUQtaV45L3uIHyTGhtAXAfL4npmdbk513SfQDfXhdI1hys1cM1q84gUx9xLlytGm&#10;PLuUjhUeaRm6mpWcpaFN+xRLLKLlqClbCT3kVjLrxRpurLgQxT3S4zIAqLXMLxss9Jpqc0MVWgaU&#10;aKrmNX7KVmA1YpA8Ugv142N6a49KwyiWjxZkEVxShWDarzlqEC6NE6I4tflV7mESRBEeFvsjfNld&#10;CJR74FbmRGtv2o1YKtF9j757bmfEEOU55p15ZiNemL4pom/n7PzcGS2laqq6fwHdSlJzzW9lbqex&#10;tcDF+dKIsnFlssNoQBF86pH77MSy0BwSC7ohcSDgxxPr8a6045XtWa6nZX5iJ9zrSRvWHIn13yPW&#10;QKHPTa7cqP8BvdLtuWC3b0H3KegV+OkY3od9K8oO963Uj4Z9K3529LrXc2H6Tei4cR03rsdOhOkj&#10;J0Lo/jmzEtyrDk+EcYRj2cCsbOLos3ciTLFfuZ0rShzpntPGdWQWzobvHQmPx8G9e1aGe+LhcRC6&#10;T8OqcQjvPavCse9uaXusSlJ7FcJwPA7thEdWfXAle0YXrefCKvctA5+HXL0Nn7Ls96f9Z8j7n+/O&#10;/g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4&#10;BgAAW0NvbnRlbnRfVHlwZXNdLnhtbFBLAQIUAAoAAAAAAIdO4kAAAAAAAAAAAAAAAAAGAAAAAAAA&#10;AAAAEAAAAFoFAABfcmVscy9QSwECFAAUAAAACACHTuJAihRmPNEAAACUAQAACwAAAAAAAAABACAA&#10;AAB+BQAAX3JlbHMvLnJlbHNQSwECFAAKAAAAAACHTuJAAAAAAAAAAAAAAAAABAAAAAAAAAAAABAA&#10;AAAAAAAAZHJzL1BLAQIUABQAAAAIAIdO4kCA8B7o2gAAAAwBAAAPAAAAAAAAAAEAIAAAACIAAABk&#10;cnMvZG93bnJldi54bWxQSwECFAAUAAAACACHTuJAu2nslwUEAAAGFAAADgAAAAAAAAABACAAAAAp&#10;AQAAZHJzL2Uyb0RvYy54bWxQSwUGAAAAAAYABgBZAQAAoAcAAAAA&#10;">
                <o:lock v:ext="edit" aspectratio="f"/>
                <v:shape id="_x0000_s1026" o:spid="_x0000_s1026" o:spt="202" type="#_x0000_t202" style="position:absolute;left:10920;top:1411154;height:428;width:1682;rotation:1703936f;" filled="t" stroked="t" coordsize="21600,21600" o:gfxdata="UEsDBAoAAAAAAIdO4kAAAAAAAAAAAAAAAAAEAAAAZHJzL1BLAwQUAAAACACHTuJA1Q9cKLkAAADb&#10;AAAADwAAAGRycy9kb3ducmV2LnhtbEVP24rCMBB9X/Afwgi+rWlXLVqNIguioCBWP2Boxra0mZQm&#10;3v7eCAv7NodzncXqaRpxp85VlhXEwwgEcW51xYWCy3nzPQXhPLLGxjIpeJGD1bL3tcBU2wef6J75&#10;QoQQdikqKL1vUyldXpJBN7QtceCutjPoA+wKqTt8hHDTyJ8oSqTBikNDiS39lpTX2c0oyHbjpJps&#10;9zKuj+uEk8N0ZOtcqUE/juYgPD39v/jPvdNh/gw+v4QD5PI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UPXCi5AAAA2wAA&#10;AA8AAAAAAAAAAQAgAAAAIgAAAGRycy9kb3ducmV2LnhtbFBLAQIUABQAAAAIAIdO4kAzLwWeOwAA&#10;ADkAAAAQAAAAAAAAAAEAIAAAAAgBAABkcnMvc2hhcGV4bWwueG1sUEsFBgAAAAAGAAYAWwEAALID&#10;AAAAAA==&#10;">
                  <v:fill on="t" focussize="0,0"/>
                  <v:stroke color="#000000 [3213]" joinstyle="miter" endcap="square"/>
                  <v:imagedata o:title=""/>
                  <o:lock v:ext="edit" aspectratio="f"/>
                  <v:textbox inset="0mm,1.27mm,2.54mm,1.27mm">
                    <w:txbxContent>
                      <w:p w14:paraId="1E125527">
                        <w:pPr>
                          <w:rPr>
                            <w:rFonts w:hint="default" w:eastAsia="宋体"/>
                            <w:lang w:val="en-US" w:eastAsia="zh-CN"/>
                          </w:rPr>
                        </w:pPr>
                        <w:r>
                          <w:rPr>
                            <w:rFonts w:hint="eastAsia"/>
                            <w:lang w:val="en-US" w:eastAsia="zh-CN"/>
                          </w:rPr>
                          <w:t>2#原料库房</w:t>
                        </w:r>
                      </w:p>
                    </w:txbxContent>
                  </v:textbox>
                </v:shape>
                <v:shape id="_x0000_s1026" o:spid="_x0000_s1026" o:spt="202" type="#_x0000_t202" style="position:absolute;left:9139;top:1410353;height:1806;width:1639;rotation:1703936f;v-text-anchor:middle;" filled="t" stroked="t" coordsize="21600,21600" o:gfxdata="UEsDBAoAAAAAAIdO4kAAAAAAAAAAAAAAAAAEAAAAZHJzL1BLAwQUAAAACACHTuJAyxl3gbkAAADb&#10;AAAADwAAAGRycy9kb3ducmV2LnhtbEVPS2rDMBDdF3oHMYXsGskplOJECaS00E0X+RxgsCa2Y2vk&#10;SGrs5vSZRaHLx/uvNpPv1ZViagNbKOYGFHEVXMu1hePh8/kNVMrIDvvAZOGXEmzWjw8rLF0YeUfX&#10;fa6VhHAq0UKT81BqnaqGPKZ5GIiFO4XoMQuMtXYRRwn3vV4Y86o9tiwNDQ703lDV7X+8lLiXc8zn&#10;y1R0Znv7Hrr6I8bR2tlTYZagMk35X/zn/nIWFrJevsgP0Os7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sZd4G5AAAA2wAA&#10;AA8AAAAAAAAAAQAgAAAAIgAAAGRycy9kb3ducmV2LnhtbFBLAQIUABQAAAAIAIdO4kAzLwWeOwAA&#10;ADkAAAAQAAAAAAAAAAEAIAAAAAgBAABkcnMvc2hhcGV4bWwueG1sUEsFBgAAAAAGAAYAWwEAALID&#10;AAAAAA==&#10;">
                  <v:fill on="t" focussize="0,0"/>
                  <v:stroke color="#000000 [3213]" joinstyle="miter" endcap="square"/>
                  <v:imagedata o:title=""/>
                  <o:lock v:ext="edit" aspectratio="f"/>
                  <v:textbox>
                    <w:txbxContent>
                      <w:p w14:paraId="21F195B4">
                        <w:pPr>
                          <w:rPr>
                            <w:rFonts w:hint="eastAsia" w:eastAsia="宋体"/>
                            <w:color w:val="FFFFFF" w:themeColor="background1"/>
                            <w:lang w:eastAsia="zh-CN"/>
                            <w14:textFill>
                              <w14:solidFill>
                                <w14:schemeClr w14:val="bg1"/>
                              </w14:solidFill>
                            </w14:textFill>
                          </w:rPr>
                        </w:pPr>
                        <w:r>
                          <w:rPr>
                            <w:rFonts w:hint="eastAsia"/>
                            <w:color w:val="FFFFFF" w:themeColor="background1"/>
                            <w:lang w:eastAsia="zh-CN"/>
                            <w14:textFill>
                              <w14:solidFill>
                                <w14:schemeClr w14:val="bg1"/>
                              </w14:solidFill>
                            </w14:textFill>
                          </w:rPr>
                          <w:t>产品库房</w:t>
                        </w:r>
                      </w:p>
                    </w:txbxContent>
                  </v:textbox>
                </v:shape>
                <v:shape id="_x0000_s1026" o:spid="_x0000_s1026" o:spt="202" type="#_x0000_t202" style="position:absolute;left:10737;top:1411484;height:456;width:1704;rotation:1703936f;" filled="t" stroked="t" coordsize="21600,21600" o:gfxdata="UEsDBAoAAAAAAIdO4kAAAAAAAAAAAAAAAAAEAAAAZHJzL1BLAwQUAAAACACHTuJAj42GjL0AAADb&#10;AAAADwAAAGRycy9kb3ducmV2LnhtbEWPQWvCQBSE7wX/w/KE3upGD5pGVw9KQCkUqun9kX1ugtm3&#10;YXeNaX99t1DocZiZb5jNbrSdGMiH1rGC+SwDQVw73bJRUF3KlxxEiMgaO8ek4IsC7LaTpw0W2j34&#10;g4ZzNCJBOBSooImxL6QMdUMWw8z1xMm7Om8xJumN1B4fCW47uciypbTYclposKd9Q/XtfLcKhrHy&#10;3/nr4f5++nyrTGlcmfujUs/TebYGEWmM/+G/9lErWK3g90v6AXL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jYaMvQAA&#10;ANsAAAAPAAAAAAAAAAEAIAAAACIAAABkcnMvZG93bnJldi54bWxQSwECFAAUAAAACACHTuJAMy8F&#10;njsAAAA5AAAAEAAAAAAAAAABACAAAAAMAQAAZHJzL3NoYXBleG1sLnhtbFBLBQYAAAAABgAGAFsB&#10;AAC2AwAAAAA=&#10;">
                  <v:fill on="t" focussize="0,0"/>
                  <v:stroke color="#000000 [3213]" joinstyle="miter" dashstyle="1 1" endcap="square"/>
                  <v:imagedata o:title=""/>
                  <o:lock v:ext="edit" aspectratio="f"/>
                  <v:textbox inset="0mm,1.27mm,2.54mm,1.27mm">
                    <w:txbxContent>
                      <w:p w14:paraId="31407EE6">
                        <w:pPr>
                          <w:rPr>
                            <w:rFonts w:hint="default" w:eastAsia="宋体"/>
                            <w:lang w:val="en-US" w:eastAsia="zh-CN"/>
                          </w:rPr>
                        </w:pPr>
                        <w:r>
                          <w:rPr>
                            <w:rFonts w:hint="eastAsia"/>
                            <w:lang w:val="en-US" w:eastAsia="zh-CN"/>
                          </w:rPr>
                          <w:t>5#生产线</w:t>
                        </w:r>
                      </w:p>
                    </w:txbxContent>
                  </v:textbox>
                </v:shape>
                <v:shape id="_x0000_s1026" o:spid="_x0000_s1026" o:spt="202" type="#_x0000_t202" style="position:absolute;left:10545;top:1411896;height:464;width:1706;rotation:1769472f;" filled="t" stroked="t" coordsize="21600,21600" o:gfxdata="UEsDBAoAAAAAAIdO4kAAAAAAAAAAAAAAAAAEAAAAZHJzL1BLAwQUAAAACACHTuJA+HD+1LsAAADb&#10;AAAADwAAAGRycy9kb3ducmV2LnhtbEWPS2sCQRCE7wH/w9CCtzi7OajZOIoIAT0o+IBcm53OziY7&#10;PctO+/r3jiB4LKrqK2o6v/pGnamLdWAD+TADRVwGW3Nl4Hj4fp+AioJssQlMBm4UYT7rvU2xsOHC&#10;OzrvpVIJwrFAA06kLbSOpSOPcRha4uT9hs6jJNlV2nZ4SXDf6I8sG2mPNacFhy0tHZX/+5M3EER2&#10;Wzf6WRzyP1x7XG34aK0xg36efYESusor/GyvrIHxJzy+pB+gZ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D+1LsAAADb&#10;AAAADwAAAAAAAAABACAAAAAiAAAAZHJzL2Rvd25yZXYueG1sUEsBAhQAFAAAAAgAh07iQDMvBZ47&#10;AAAAOQAAABAAAAAAAAAAAQAgAAAACgEAAGRycy9zaGFwZXhtbC54bWxQSwUGAAAAAAYABgBbAQAA&#10;tAMAAAAA&#10;">
                  <v:fill on="t" focussize="0,0"/>
                  <v:stroke color="#000000 [3213]" joinstyle="miter" dashstyle="1 1" endcap="square"/>
                  <v:imagedata o:title=""/>
                  <o:lock v:ext="edit" aspectratio="f"/>
                  <v:textbox inset="0mm,1.27mm,0mm,1.27mm">
                    <w:txbxContent>
                      <w:p w14:paraId="4C840773">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4#生产线</w:t>
                        </w:r>
                      </w:p>
                    </w:txbxContent>
                  </v:textbox>
                </v:shape>
                <v:shape id="_x0000_s1026" o:spid="_x0000_s1026" o:spt="202" type="#_x0000_t202" style="position:absolute;left:10323;top:1412301;height:532;width:1675;rotation:1769472f;" filled="t" stroked="t" coordsize="21600,21600" o:gfxdata="UEsDBAoAAAAAAIdO4kAAAAAAAAAAAAAAAAAEAAAAZHJzL1BLAwQUAAAACACHTuJArE25GbsAAADb&#10;AAAADwAAAGRycy9kb3ducmV2LnhtbEWPS4sCMRCE7wv+h9CCtzUzCiKjUUQQ3MMKPsBrM2kno5PO&#10;MGkf++83wsIei6r6ipovX75RD+piHdhAPsxAEZfB1lwZOB03n1NQUZAtNoHJwA9FWC56H3MsbHjy&#10;nh4HqVSCcCzQgBNpC61j6chjHIaWOHmX0HmUJLtK2w6fCe4bPcqyifZYc1pw2NLaUXk73L2BILLf&#10;ucl5dcyv+OVx+80na40Z9PNsBkroJf/hv/bWGpiO4f0l/QC9+A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E25GbsAAADb&#10;AAAADwAAAAAAAAABACAAAAAiAAAAZHJzL2Rvd25yZXYueG1sUEsBAhQAFAAAAAgAh07iQDMvBZ47&#10;AAAAOQAAABAAAAAAAAAAAQAgAAAACgEAAGRycy9zaGFwZXhtbC54bWxQSwUGAAAAAAYABgBbAQAA&#10;tAMAAAAA&#10;">
                  <v:fill on="t" focussize="0,0"/>
                  <v:stroke color="#000000 [3213]" joinstyle="miter" dashstyle="1 1" endcap="square"/>
                  <v:imagedata o:title=""/>
                  <o:lock v:ext="edit" aspectratio="f"/>
                  <v:textbox inset="0mm,1.27mm,0mm,1.27mm">
                    <w:txbxContent>
                      <w:p w14:paraId="42A7BC1A">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3#生产线</w:t>
                        </w:r>
                      </w:p>
                    </w:txbxContent>
                  </v:textbox>
                </v:shape>
              </v:group>
            </w:pict>
          </mc:Fallback>
        </mc:AlternateContent>
      </w:r>
      <w:r>
        <w:rPr>
          <w:color w:val="auto"/>
          <w:sz w:val="32"/>
          <w:highlight w:val="none"/>
        </w:rPr>
        <mc:AlternateContent>
          <mc:Choice Requires="wps">
            <w:drawing>
              <wp:anchor distT="0" distB="0" distL="114300" distR="114300" simplePos="0" relativeHeight="251764736" behindDoc="0" locked="0" layoutInCell="1" allowOverlap="1">
                <wp:simplePos x="0" y="0"/>
                <wp:positionH relativeFrom="column">
                  <wp:posOffset>8776970</wp:posOffset>
                </wp:positionH>
                <wp:positionV relativeFrom="paragraph">
                  <wp:posOffset>5263515</wp:posOffset>
                </wp:positionV>
                <wp:extent cx="153670" cy="135890"/>
                <wp:effectExtent l="6350" t="6350" r="11430" b="10160"/>
                <wp:wrapNone/>
                <wp:docPr id="135" name="矩形 481"/>
                <wp:cNvGraphicFramePr/>
                <a:graphic xmlns:a="http://schemas.openxmlformats.org/drawingml/2006/main">
                  <a:graphicData uri="http://schemas.microsoft.com/office/word/2010/wordprocessingShape">
                    <wps:wsp>
                      <wps:cNvSpPr/>
                      <wps:spPr>
                        <a:xfrm>
                          <a:off x="0" y="0"/>
                          <a:ext cx="153670" cy="135890"/>
                        </a:xfrm>
                        <a:prstGeom prst="rect">
                          <a:avLst/>
                        </a:prstGeom>
                        <a:solidFill>
                          <a:srgbClr val="FFFFFF"/>
                        </a:solidFill>
                        <a:ln w="12700" cap="flat" cmpd="sng">
                          <a:solidFill>
                            <a:srgbClr val="376092"/>
                          </a:solidFill>
                          <a:prstDash val="solid"/>
                          <a:miter/>
                          <a:headEnd type="none" w="med" len="med"/>
                          <a:tailEnd type="none" w="med" len="med"/>
                        </a:ln>
                      </wps:spPr>
                      <wps:bodyPr vert="horz" wrap="square" anchor="t" anchorCtr="0" upright="1"/>
                    </wps:wsp>
                  </a:graphicData>
                </a:graphic>
              </wp:anchor>
            </w:drawing>
          </mc:Choice>
          <mc:Fallback>
            <w:pict>
              <v:rect id="矩形 481" o:spid="_x0000_s1026" o:spt="1" style="position:absolute;left:0pt;margin-left:691.1pt;margin-top:414.45pt;height:10.7pt;width:12.1pt;z-index:251764736;mso-width-relative:page;mso-height-relative:page;" fillcolor="#FFFFFF" filled="t" stroked="t" coordsize="21600,21600" o:gfxdata="UEsDBAoAAAAAAIdO4kAAAAAAAAAAAAAAAAAEAAAAZHJzL1BLAwQUAAAACACHTuJA0XMuj9oAAAAN&#10;AQAADwAAAGRycy9kb3ducmV2LnhtbE2PwW7CMAyG75P2DpEn7YJGQmGsdE3RNInLLmjAA4TGazsS&#10;p2pCYW8/c9qOv/3p9+dyffVOjDjELpCG2VSBQKqD7ajRcNhvnnIQMRmyxgVCDT8YYV3d35WmsOFC&#10;nzjuUiO4hGJhNLQp9YWUsW7RmzgNPRLvvsLgTeI4NNIO5sLl3slMqaX0piO+0Joe31usT7uz12BW&#10;k03jPk777zeZPOXj9vDiRq0fH2bqFUTCa/qD4abP6lCx0zGcyUbhOM/zLGNWQ57lKxA3ZKGWCxBH&#10;Hj2rOciqlP+/qH4BUEsDBBQAAAAIAIdO4kAj5z4MIAIAAFUEAAAOAAAAZHJzL2Uyb0RvYy54bWyt&#10;VM2O0zAQviPxDpbvNGnLtt2o6R62lAuClRYeYGo7iSX/YbtNy8sgceMheBzEazB2SvcHDj2QQzK2&#10;x9/M981MljcHrche+CCtqel4VFIiDLNcmramnz5uXi0oCREMB2WNqOlRBHqzevli2btKTGxnFRee&#10;IIgJVe9q2sXoqqIIrBMawsg6YfCwsV5DxKVvC+6hR3StiklZzoreeu68ZSIE3F0Ph/SE6C8BtE0j&#10;mVhbttPCxAHVCwURKYVOukBXOdumESx+aJogIlE1RaYxvzEI2tv0LlZLqFoPrpPslAJcksIzThqk&#10;waBnqDVEIDsv/4LSknkbbBNHzOpiIJIVQRbj8pk29x04kbmg1MGdRQ//D5a93995Ijl2wvSKEgMa&#10;S/7r6/efP76R14tx0qd3oUK3e3fnT6uAZiJ7aLxOX6RBDlnT41lTcYiE4eb4ajqbo9oMjzDE4jpr&#10;Xjxcdj7Et8JqkoyaeixZVhL270LEgOj6xyXFClZJvpFK5YVvt7fKkz1geTf5SRnjlSduypAeo0/m&#10;ZUoEsGkbbBY0tUPiwbQ54JMr4THydD4rryf/Qk6ZrSF0QwYZIblBpWUUSS6oOgH8jeEkHh1Ka3Cm&#10;aMpGC06JEjiCycqeEaS6xBPpKYMsU2GGUiRra/kRS4mTjSp21n/BMNjXyO/zDjwGBcNwu6ZIfDBv&#10;4zAIO+dl2+GtXO4Mi92WZTxNRmrnx+sc/OFvsPo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0XMu&#10;j9oAAAANAQAADwAAAAAAAAABACAAAAAiAAAAZHJzL2Rvd25yZXYueG1sUEsBAhQAFAAAAAgAh07i&#10;QCPnPgwgAgAAVQQAAA4AAAAAAAAAAQAgAAAAKQEAAGRycy9lMm9Eb2MueG1sUEsFBgAAAAAGAAYA&#10;WQEAALsFAAAAAA==&#10;">
                <v:fill on="t" focussize="0,0"/>
                <v:stroke weight="1pt" color="#376092" joinstyle="miter"/>
                <v:imagedata o:title=""/>
                <o:lock v:ext="edit" aspectratio="f"/>
              </v:rect>
            </w:pict>
          </mc:Fallback>
        </mc:AlternateContent>
      </w:r>
      <w:r>
        <w:rPr>
          <w:color w:val="auto"/>
          <w:sz w:val="32"/>
          <w:highlight w:val="none"/>
        </w:rPr>
        <mc:AlternateContent>
          <mc:Choice Requires="wps">
            <w:drawing>
              <wp:anchor distT="0" distB="0" distL="114300" distR="114300" simplePos="0" relativeHeight="251689984" behindDoc="0" locked="0" layoutInCell="1" allowOverlap="1">
                <wp:simplePos x="0" y="0"/>
                <wp:positionH relativeFrom="column">
                  <wp:posOffset>8775065</wp:posOffset>
                </wp:positionH>
                <wp:positionV relativeFrom="paragraph">
                  <wp:posOffset>5471160</wp:posOffset>
                </wp:positionV>
                <wp:extent cx="153670" cy="135890"/>
                <wp:effectExtent l="6350" t="6350" r="11430" b="10160"/>
                <wp:wrapNone/>
                <wp:docPr id="118" name="矩形 481"/>
                <wp:cNvGraphicFramePr/>
                <a:graphic xmlns:a="http://schemas.openxmlformats.org/drawingml/2006/main">
                  <a:graphicData uri="http://schemas.microsoft.com/office/word/2010/wordprocessingShape">
                    <wps:wsp>
                      <wps:cNvSpPr/>
                      <wps:spPr>
                        <a:xfrm>
                          <a:off x="0" y="0"/>
                          <a:ext cx="153670" cy="135890"/>
                        </a:xfrm>
                        <a:prstGeom prst="rect">
                          <a:avLst/>
                        </a:prstGeom>
                        <a:solidFill>
                          <a:srgbClr val="FFFFFF"/>
                        </a:solidFill>
                        <a:ln w="12700"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rect id="矩形 481" o:spid="_x0000_s1026" o:spt="1" style="position:absolute;left:0pt;margin-left:690.95pt;margin-top:430.8pt;height:10.7pt;width:12.1pt;z-index:251689984;mso-width-relative:page;mso-height-relative:page;" fillcolor="#FFFFFF" filled="t" stroked="t" coordsize="21600,21600" o:gfxdata="UEsDBAoAAAAAAIdO4kAAAAAAAAAAAAAAAAAEAAAAZHJzL1BLAwQUAAAACACHTuJAcS4R2NoAAAAN&#10;AQAADwAAAGRycy9kb3ducmV2LnhtbE2Py07DMBBF90j8gzVI7KhtStMQ4nQB6gIhhCioZenGQxIR&#10;j6PYfcDXM13B8s4c3Ue5OPpe7HGMXSADeqJAINXBddQYeH9bXuUgYrLkbB8IDXxjhEV1flbawoUD&#10;veJ+lRrBJhQLa6BNaSikjHWL3sZJGJD49xlGbxPLsZFutAc29728ViqT3nbECa0d8L7F+mu18xzy&#10;sZn9PHr70i6dp+e5m68fZk/GXF5odQci4TH9wXCqz9Wh4k7bsCMXRc96mutbZg3kmc5AnJAblWkQ&#10;Wz7lUwWyKuX/FdUvUEsDBBQAAAAIAIdO4kCSQLs/HQIAAFUEAAAOAAAAZHJzL2Uyb0RvYy54bWyt&#10;VEuO1DAQ3SNxB8t7OkkPM9NEnZ7FNM0GwUgDB3A7TmLJP2z3j8sgseMQHAdxDZ6dpoceWMyCLJKy&#10;XX5V71VV5jd7rchW+CCtaWg1KSkRhttWmr6hHz+sXswoCZGZlilrREMPItCbxfNn852rxdQOVrXC&#10;E4CYUO9cQ4cYXV0UgQ9CszCxThgcdtZrFrH0fdF6tgO6VsW0LK+KnfWt85aLELC7HA/pEdE/BdB2&#10;neRiaflGCxNHVC8Ui6AUBukCXeRsu07w+L7rgohENRRMY34jCOx1eheLOat7z9wg+TEF9pQUHnHS&#10;TBoEPUEtWWRk4+VfUFpyb4Pt4oRbXYxEsiJgUZWPtLkfmBOZC6QO7iR6+H+w/N32zhPZohMqFN4w&#10;jZL//PLtx/ev5OWsSvrsXKjhdu/u/HEVYCay+87r9AUNss+aHk6ain0kHJvV5cXVNdTmOKouLmev&#10;subFw2XnQ3wjrCbJaKhHybKSbPs2RASE62+XFCtYJduVVCovfL++VZ5sGcq7yk/KGFfO3JQhO0Sf&#10;XpcpEYam7dAsMLUD8WD6HPDsSjhHLvH8CzlltmRhGDPICMmN1VpGkeRi9SBY+9q0JB4cpDWYKZqy&#10;0aKlRAmMYLKyZ2RSPcUT9JQBy1SYsRTJWtv2gFJisqHiYP1nhEFfg9+nDfMIygzHdkNBfDRv4zgI&#10;G+dlP+BWLneGRbdlGY+Tkdr5z3UO/vA3WPw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cS4R2NoA&#10;AAANAQAADwAAAAAAAAABACAAAAAiAAAAZHJzL2Rvd25yZXYueG1sUEsBAhQAFAAAAAgAh07iQJJA&#10;uz8dAgAAVQQAAA4AAAAAAAAAAQAgAAAAKQEAAGRycy9lMm9Eb2MueG1sUEsFBgAAAAAGAAYAWQEA&#10;ALgFAAAAAA==&#10;">
                <v:fill on="t" focussize="0,0"/>
                <v:stroke weight="1pt" color="#FF0000" joinstyle="miter"/>
                <v:imagedata o:title=""/>
                <o:lock v:ext="edit" aspectratio="f"/>
              </v:rect>
            </w:pict>
          </mc:Fallback>
        </mc:AlternateContent>
      </w:r>
      <w:r>
        <w:rPr>
          <w:color w:val="auto"/>
          <w:sz w:val="32"/>
          <w:highlight w:val="none"/>
        </w:rPr>
        <mc:AlternateContent>
          <mc:Choice Requires="wps">
            <w:drawing>
              <wp:anchor distT="0" distB="0" distL="114300" distR="114300" simplePos="0" relativeHeight="251762688" behindDoc="0" locked="0" layoutInCell="1" allowOverlap="1">
                <wp:simplePos x="0" y="0"/>
                <wp:positionH relativeFrom="column">
                  <wp:posOffset>8771890</wp:posOffset>
                </wp:positionH>
                <wp:positionV relativeFrom="paragraph">
                  <wp:posOffset>5640070</wp:posOffset>
                </wp:positionV>
                <wp:extent cx="172085" cy="158115"/>
                <wp:effectExtent l="4445" t="4445" r="13970" b="8890"/>
                <wp:wrapNone/>
                <wp:docPr id="108" name="文本框 108"/>
                <wp:cNvGraphicFramePr/>
                <a:graphic xmlns:a="http://schemas.openxmlformats.org/drawingml/2006/main">
                  <a:graphicData uri="http://schemas.microsoft.com/office/word/2010/wordprocessingShape">
                    <wps:wsp>
                      <wps:cNvSpPr txBox="1"/>
                      <wps:spPr>
                        <a:xfrm>
                          <a:off x="0" y="0"/>
                          <a:ext cx="172085" cy="158115"/>
                        </a:xfrm>
                        <a:prstGeom prst="rect">
                          <a:avLst/>
                        </a:prstGeom>
                        <a:solidFill>
                          <a:srgbClr val="FF0000"/>
                        </a:solidFill>
                        <a:ln w="9525">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1449DB80">
                            <w:pPr>
                              <w:rPr>
                                <w:highlight w:val="red"/>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90.7pt;margin-top:444.1pt;height:12.45pt;width:13.55pt;z-index:251762688;mso-width-relative:page;mso-height-relative:page;" fillcolor="#FF0000" filled="t" stroked="t" coordsize="21600,21600" o:gfxdata="UEsDBAoAAAAAAIdO4kAAAAAAAAAAAAAAAAAEAAAAZHJzL1BLAwQUAAAACACHTuJAw6igb9gAAAAN&#10;AQAADwAAAGRycy9kb3ducmV2LnhtbE2PMU/DMBCFdyT+g3VIbNROW5BJ43QAsbCgFiRWJz7ilPgc&#10;2W6a8utxJxif7tN731Xb2Q1swhB7TwqKhQCG1HrTU6fg4/3lTgKLSZPRgydUcMYI2/r6qtKl8Sfa&#10;4bRPHcslFEutwKY0lpzH1qLTceFHpHz78sHplGPouAn6lMvdwJdCPHCne8oLVo/4ZLH93h+dgtcD&#10;NkjTcyPDzsc3ebY/4XNW6vamEBtgCef0B8NFP6tDnZ0afyQT2ZDzShbrzCqQUi6BXZC1kPfAGgWP&#10;xaoAXlf8/xf1L1BLAwQUAAAACACHTuJAqHGeJVcCAAC7BAAADgAAAGRycy9lMm9Eb2MueG1srVTB&#10;btswDL0P2D8Iuq+2g2ZrgzhF1iLDgGAt0A07K7IcC5BETVJiZx+w/cFOvey+78p3jJKdNu166GE+&#10;yBRJP5KPpKcXnVZkK5yXYEpanOSUCMOhkmZd0i+fF2/OKPGBmYopMKKkO+Hpxez1q2lrJ2IEDahK&#10;OIIgxk9aW9ImBDvJMs8boZk/ASsMGmtwmgW8unVWOdYiulbZKM/fZi24yjrgwnvUXvVGOiC6lwBC&#10;XUsuroBvtDChR3VCsYAl+UZaT2cp27oWPFzXtReBqJJipSGdGATlVTyz2ZRN1o7ZRvIhBfaSFJ7U&#10;pJk0GPQe6ooFRjZO/gOlJXfgoQ4nHHTWF5IYwSqK/Ak3tw2zItWCVHt7T7r/f7D80/bGEVnhJOTY&#10;eMM0tnz/6+f+7s/+9w8SlUhRa/0EPW8t+obuPXToftB7VMbKu9rp+MaaCNqR4N09waILhMeP3o3y&#10;szElHE3F+KwoxhEle/jYOh8+CNAkCiV12L9EK9sufehdDy4xlgclq4VUKl3cenWpHNky7PVikeMz&#10;oD9yU4a0JT0fj8YJ+ZHNH0NEgOcgMF1lMOtISl98lEK36gamVlDtkCgH/bR5yxcSy1kyH26Yw/FC&#10;bnABwzUetQLMBgaJkgbc9+f00R+7jlZKWhzXkvpvG+YEJeqjwXk4L05P43yny+kYeabEHVtWxxaz&#10;0ZeALBW46pYnMfoHdRBrB/or7uk8RkUTMxxjlzQcxMvQLxHuORfzeXLCibYsLM2t5RE69sTAfBOg&#10;lql3kaaem4E9nOnU/WH/4tIc35PXwz9n9h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DqKBv2AAA&#10;AA0BAAAPAAAAAAAAAAEAIAAAACIAAABkcnMvZG93bnJldi54bWxQSwECFAAUAAAACACHTuJAqHGe&#10;JVcCAAC7BAAADgAAAAAAAAABACAAAAAnAQAAZHJzL2Uyb0RvYy54bWxQSwUGAAAAAAYABgBZAQAA&#10;8AUAAAAA&#10;">
                <v:fill on="t" focussize="0,0"/>
                <v:stroke color="#000000 [3213]" joinstyle="round"/>
                <v:imagedata o:title=""/>
                <o:lock v:ext="edit" aspectratio="f"/>
                <v:textbox>
                  <w:txbxContent>
                    <w:p w14:paraId="1449DB80">
                      <w:pPr>
                        <w:rPr>
                          <w:highlight w:val="red"/>
                        </w:rPr>
                      </w:pPr>
                    </w:p>
                  </w:txbxContent>
                </v:textbox>
              </v:shape>
            </w:pict>
          </mc:Fallback>
        </mc:AlternateContent>
      </w:r>
      <w:r>
        <w:rPr>
          <w:color w:val="auto"/>
          <w:sz w:val="32"/>
          <w:highlight w:val="none"/>
        </w:rPr>
        <mc:AlternateContent>
          <mc:Choice Requires="wps">
            <w:drawing>
              <wp:anchor distT="0" distB="0" distL="114300" distR="114300" simplePos="0" relativeHeight="251763712" behindDoc="0" locked="0" layoutInCell="1" allowOverlap="1">
                <wp:simplePos x="0" y="0"/>
                <wp:positionH relativeFrom="column">
                  <wp:posOffset>8773160</wp:posOffset>
                </wp:positionH>
                <wp:positionV relativeFrom="paragraph">
                  <wp:posOffset>5852795</wp:posOffset>
                </wp:positionV>
                <wp:extent cx="172085" cy="158115"/>
                <wp:effectExtent l="4445" t="4445" r="13970" b="8890"/>
                <wp:wrapNone/>
                <wp:docPr id="109" name="文本框 109"/>
                <wp:cNvGraphicFramePr/>
                <a:graphic xmlns:a="http://schemas.openxmlformats.org/drawingml/2006/main">
                  <a:graphicData uri="http://schemas.microsoft.com/office/word/2010/wordprocessingShape">
                    <wps:wsp>
                      <wps:cNvSpPr txBox="1"/>
                      <wps:spPr>
                        <a:xfrm>
                          <a:off x="0" y="0"/>
                          <a:ext cx="172085" cy="158115"/>
                        </a:xfrm>
                        <a:prstGeom prst="rect">
                          <a:avLst/>
                        </a:prstGeom>
                        <a:solidFill>
                          <a:srgbClr val="4F80BD"/>
                        </a:solidFill>
                        <a:ln w="9525">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3D83B1C4"/>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90.8pt;margin-top:460.85pt;height:12.45pt;width:13.55pt;z-index:251763712;mso-width-relative:page;mso-height-relative:page;" fillcolor="#4F80BD" filled="t" stroked="t" coordsize="21600,21600" o:gfxdata="UEsDBAoAAAAAAIdO4kAAAAAAAAAAAAAAAAAEAAAAZHJzL1BLAwQUAAAACACHTuJAgz8KztkAAAAN&#10;AQAADwAAAGRycy9kb3ducmV2LnhtbE2PMU/DMBCFdyT+g3VIbNROqdw0xKlEgIUJAgubGx9JRGxH&#10;tpOWf891otu9u6d33yv3JzuyBUMcvFOQrQQwdK03g+sUfH683OXAYtLO6NE7VPCLEfbV9VWpC+OP&#10;7h2XJnWMQlwstII+pangPLY9Wh1XfkJHt28frE4kQ8dN0EcKtyNfCyG51YOjD72esO6x/Wlmq6CZ&#10;32r8qp9fn/jsw/K4zRu5a5W6vcnEA7CEp/RvhjM+oUNFTAc/OxPZSPo+zyR5FezW2RbY2bIROU0H&#10;Wm2kBF6V/LJF9QdQSwMEFAAAAAgAh07iQLKLHrxZAgAAuwQAAA4AAABkcnMvZTJvRG9jLnhtbK1U&#10;wW7bMAy9D9g/CLqvtoNkS4I6Rdogw4BiLdANOyuyHAuQRE1SYncfsP3BTrvsvu/qd4ySnTZtd+hh&#10;PsgUST+Sj6RPzzqtyF44L8GUtDjJKRGGQyXNtqSfP63fTCnxgZmKKTCipLfC07PF61enrZ2LETSg&#10;KuEIghg/b21JmxDsPMs8b4Rm/gSsMGiswWkW8Oq2WeVYi+haZaM8f5u14CrrgAvvUbvqjXRAdC8B&#10;hLqWXKyA77QwoUd1QrGAJflGWk8XKdu6Fjxc1bUXgaiSYqUhnRgE5U08s8Upm28ds43kQwrsJSk8&#10;qUkzaTDoPdSKBUZ2Tj6D0pI78FCHEw466wtJjGAVRf6Em5uGWZFqQaq9vSfd/z9Y/nF/7YiscBLy&#10;GSWGaWz53c8fd7/+3P3+TqISKWqtn6PnjUXf0J1Dh+4HvUdlrLyrnY5vrImgHQm+vSdYdIHw+NG7&#10;UT6dUMLRVEymRTGJKNnDx9b58F6AJlEoqcP+JVrZ/tKH3vXgEmN5ULJaS6XSxW03F8qRPcNej9fT&#10;/Hw1oD9yU4a0JZ1NRpOE/MjmjyHy9DyHwHSVwawjKX3xUQrdphuY2kB1i0Q56KfNW76WWM4l8+Ga&#10;ORwv5AYXMFzhUSvAbGCQKGnAffuXPvpj19FKSYvjWlL/dcecoER9MDgPs2I8jvOdLuMJ8kyJO7Zs&#10;ji1mpy8AWSpw1S1PYvQP6iDWDvQX3NNljIomZjjGLmk4iBehXyLccy6Wy+SEE21ZuDQ3lkfo2BMD&#10;y12AWqbeRZp6bgb2cKZT94f9i0tzfE9eD/+cxV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DPwrO&#10;2QAAAA0BAAAPAAAAAAAAAAEAIAAAACIAAABkcnMvZG93bnJldi54bWxQSwECFAAUAAAACACHTuJA&#10;sosevFkCAAC7BAAADgAAAAAAAAABACAAAAAoAQAAZHJzL2Uyb0RvYy54bWxQSwUGAAAAAAYABgBZ&#10;AQAA8wUAAAAA&#10;">
                <v:fill on="t" focussize="0,0"/>
                <v:stroke color="#000000 [3213]" joinstyle="round"/>
                <v:imagedata o:title=""/>
                <o:lock v:ext="edit" aspectratio="f"/>
                <v:textbox>
                  <w:txbxContent>
                    <w:p w14:paraId="3D83B1C4"/>
                  </w:txbxContent>
                </v:textbox>
              </v:shape>
            </w:pict>
          </mc:Fallback>
        </mc:AlternateContent>
      </w:r>
      <w:r>
        <w:rPr>
          <w:color w:val="auto"/>
          <w:sz w:val="32"/>
          <w:highlight w:val="none"/>
        </w:rPr>
        <mc:AlternateContent>
          <mc:Choice Requires="wps">
            <w:drawing>
              <wp:anchor distT="0" distB="0" distL="114300" distR="114300" simplePos="0" relativeHeight="251665408" behindDoc="0" locked="0" layoutInCell="1" allowOverlap="1">
                <wp:simplePos x="0" y="0"/>
                <wp:positionH relativeFrom="column">
                  <wp:posOffset>8681720</wp:posOffset>
                </wp:positionH>
                <wp:positionV relativeFrom="page">
                  <wp:posOffset>5490845</wp:posOffset>
                </wp:positionV>
                <wp:extent cx="1153160" cy="1257300"/>
                <wp:effectExtent l="4445" t="5080" r="23495" b="13970"/>
                <wp:wrapNone/>
                <wp:docPr id="213" name="文本框 467"/>
                <wp:cNvGraphicFramePr/>
                <a:graphic xmlns:a="http://schemas.openxmlformats.org/drawingml/2006/main">
                  <a:graphicData uri="http://schemas.microsoft.com/office/word/2010/wordprocessingShape">
                    <wps:wsp>
                      <wps:cNvSpPr txBox="1"/>
                      <wps:spPr>
                        <a:xfrm>
                          <a:off x="0" y="0"/>
                          <a:ext cx="1153160" cy="12573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B71D1DC">
                            <w:pPr>
                              <w:jc w:val="center"/>
                              <w:rPr>
                                <w:rFonts w:hint="eastAsia"/>
                                <w:b/>
                                <w:bCs/>
                                <w:sz w:val="28"/>
                                <w:szCs w:val="36"/>
                                <w:lang w:eastAsia="zh-CN"/>
                              </w:rPr>
                            </w:pPr>
                            <w:r>
                              <w:rPr>
                                <w:rFonts w:hint="eastAsia"/>
                                <w:b/>
                                <w:bCs/>
                                <w:sz w:val="28"/>
                                <w:szCs w:val="36"/>
                                <w:lang w:eastAsia="zh-CN"/>
                              </w:rPr>
                              <w:t>图例</w:t>
                            </w:r>
                          </w:p>
                          <w:p w14:paraId="184F5088">
                            <w:pPr>
                              <w:jc w:val="both"/>
                              <w:rPr>
                                <w:rFonts w:hint="default"/>
                                <w:b/>
                                <w:bCs/>
                                <w:sz w:val="21"/>
                                <w:szCs w:val="24"/>
                                <w:lang w:val="en-US" w:eastAsia="zh-CN"/>
                              </w:rPr>
                            </w:pPr>
                            <w:r>
                              <w:rPr>
                                <w:rFonts w:hint="eastAsia"/>
                                <w:b/>
                                <w:bCs/>
                                <w:sz w:val="21"/>
                                <w:szCs w:val="24"/>
                                <w:lang w:val="en-US" w:eastAsia="zh-CN"/>
                              </w:rPr>
                              <w:t xml:space="preserve"> </w:t>
                            </w:r>
                            <w:r>
                              <w:rPr>
                                <w:rFonts w:hint="eastAsia"/>
                                <w:b w:val="0"/>
                                <w:bCs w:val="0"/>
                                <w:sz w:val="21"/>
                                <w:szCs w:val="24"/>
                                <w:lang w:val="en-US" w:eastAsia="zh-CN"/>
                              </w:rPr>
                              <w:t xml:space="preserve">   佳合鹏程</w:t>
                            </w:r>
                          </w:p>
                          <w:p w14:paraId="78E30A5F">
                            <w:pPr>
                              <w:jc w:val="both"/>
                              <w:rPr>
                                <w:rFonts w:hint="default"/>
                                <w:b w:val="0"/>
                                <w:bCs w:val="0"/>
                                <w:sz w:val="21"/>
                                <w:szCs w:val="24"/>
                                <w:lang w:val="en-US" w:eastAsia="zh-CN"/>
                              </w:rPr>
                            </w:pPr>
                            <w:r>
                              <w:rPr>
                                <w:rFonts w:hint="eastAsia"/>
                                <w:b/>
                                <w:bCs/>
                                <w:sz w:val="21"/>
                                <w:szCs w:val="24"/>
                                <w:lang w:val="en-US" w:eastAsia="zh-CN"/>
                              </w:rPr>
                              <w:t xml:space="preserve"> </w:t>
                            </w:r>
                            <w:r>
                              <w:rPr>
                                <w:rFonts w:hint="eastAsia"/>
                                <w:b w:val="0"/>
                                <w:bCs w:val="0"/>
                                <w:sz w:val="21"/>
                                <w:szCs w:val="24"/>
                                <w:lang w:val="en-US" w:eastAsia="zh-CN"/>
                              </w:rPr>
                              <w:t xml:space="preserve">   本项目</w:t>
                            </w:r>
                          </w:p>
                          <w:p w14:paraId="66EE3349">
                            <w:pPr>
                              <w:ind w:firstLine="420"/>
                              <w:jc w:val="both"/>
                              <w:rPr>
                                <w:rFonts w:hint="eastAsia"/>
                                <w:b w:val="0"/>
                                <w:bCs w:val="0"/>
                                <w:sz w:val="21"/>
                                <w:szCs w:val="24"/>
                                <w:lang w:val="en-US" w:eastAsia="zh-CN"/>
                              </w:rPr>
                            </w:pPr>
                            <w:r>
                              <w:rPr>
                                <w:rFonts w:hint="eastAsia"/>
                                <w:b w:val="0"/>
                                <w:bCs w:val="0"/>
                                <w:sz w:val="21"/>
                                <w:szCs w:val="24"/>
                                <w:lang w:val="en-US" w:eastAsia="zh-CN"/>
                              </w:rPr>
                              <w:t>重点防渗区</w:t>
                            </w:r>
                          </w:p>
                          <w:p w14:paraId="3F29F5A7">
                            <w:pPr>
                              <w:ind w:firstLine="420"/>
                              <w:jc w:val="both"/>
                              <w:rPr>
                                <w:rFonts w:hint="default"/>
                                <w:b w:val="0"/>
                                <w:bCs w:val="0"/>
                                <w:sz w:val="21"/>
                                <w:szCs w:val="24"/>
                                <w:lang w:val="en-US" w:eastAsia="zh-CN"/>
                              </w:rPr>
                            </w:pPr>
                            <w:r>
                              <w:rPr>
                                <w:rFonts w:hint="eastAsia"/>
                                <w:b w:val="0"/>
                                <w:bCs w:val="0"/>
                                <w:sz w:val="21"/>
                                <w:szCs w:val="24"/>
                                <w:lang w:val="en-US" w:eastAsia="zh-CN"/>
                              </w:rPr>
                              <w:t>一般防渗区</w:t>
                            </w:r>
                          </w:p>
                        </w:txbxContent>
                      </wps:txbx>
                      <wps:bodyPr vert="horz" wrap="square" anchor="t" anchorCtr="0" upright="1"/>
                    </wps:wsp>
                  </a:graphicData>
                </a:graphic>
              </wp:anchor>
            </w:drawing>
          </mc:Choice>
          <mc:Fallback>
            <w:pict>
              <v:shape id="文本框 467" o:spid="_x0000_s1026" o:spt="202" type="#_x0000_t202" style="position:absolute;left:0pt;margin-left:683.6pt;margin-top:432.35pt;height:99pt;width:90.8pt;mso-position-vertical-relative:page;z-index:251665408;mso-width-relative:page;mso-height-relative:page;" fillcolor="#FFFFFF" filled="t" stroked="t" coordsize="21600,21600" o:gfxdata="UEsDBAoAAAAAAIdO4kAAAAAAAAAAAAAAAAAEAAAAZHJzL1BLAwQUAAAACACHTuJAptLYydsAAAAO&#10;AQAADwAAAGRycy9kb3ducmV2LnhtbE2PwU7DMBBE70j8g7VIXBC1mwYnhDg9IIHgBgXB1U3cJMJe&#10;B9tNy9+zPcFtRzuaeVOvj86y2YQ4elSwXAhgBlvfjdgreH97uC6BxaSx09ajUfBjIqyb87NaV50/&#10;4KuZN6lnFIKx0gqGlKaK89gOxum48JNB+u18cDqRDD3vgj5QuLM8E0Jyp0ekhkFP5n4w7ddm7xSU&#10;+dP8GZ9XLx+t3NnbdFXMj99BqcuLpbgDlswx/ZnhhE/o0BDT1u+xi8ySXskiIy+lybwAdrLc5CXN&#10;2dIlZFYAb2r+f0bzC1BLAwQUAAAACACHTuJARWSliDACAABuBAAADgAAAGRycy9lMm9Eb2MueG1s&#10;rVRLktMwEN1TxR1U2hPnQzLgijNVTAgbCqgaOIAiy7Gq9ENSEocDwA1YsZk958o5eJJnMh9YZIEX&#10;dktqve73utvzy04rshM+SGsqOhoMKRGG21qaTUW/fF69eEVJiMzUTFkjKnoQgV4unj+b710pxra1&#10;qhaeAMSEcu8q2sboyqIIvBWahYF1wuCwsV6ziKXfFLVne6BrVYyHw1mxt7523nIRAnaX/SG9RfTn&#10;ANqmkVwsLd9qYWKP6oViEZRCK12gi5xt0wgePzZNEJGoioJpzG8Egb1O72IxZ+XGM9dKfpsCOyeF&#10;J5w0kwZBT1BLFhnZevkXlJbc22CbOOBWFz2RrAhYjIZPtLlumROZC6QO7iR6+H+w/MPukyeyruh4&#10;NKHEMI2SH3/+OP76fbz5Tl7OLpJEexdKeF47+Mbuje3QOHf7AZuJedd4nb7gRHAOgQ8ngUUXCU+X&#10;RtPJaIYjjrPReHoxGeYSFPfXnQ/xnbCaJKOiHhXMwrLd+xCRClzvXFK0YJWsV1KpvPCb9ZXyZMdQ&#10;7VV+Upa48shNGbKv6OvpeIpEGFq4QevA1A4yBLPJ8R7dCA+Bh/n5F3BKbMlC2yeQEZIbK7WMwmer&#10;Fax+a2oSDw5CG0wYTcloUVOiBAYyWdkzMqnO8QQ7ZUAy1aivRbJit+4Ak8y1rQ+oG0YeerbWf0NE&#10;NDyoft0yj/jMcGxXFBr05lXsJ2TrvNy0uJWLnSOgDbOgtyOT+vzhOudx/5tY/A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m0tjJ2wAAAA4BAAAPAAAAAAAAAAEAIAAAACIAAABkcnMvZG93bnJldi54&#10;bWxQSwECFAAUAAAACACHTuJARWSliDACAABuBAAADgAAAAAAAAABACAAAAAqAQAAZHJzL2Uyb0Rv&#10;Yy54bWxQSwUGAAAAAAYABgBZAQAAzAUAAAAA&#10;">
                <v:fill on="t" focussize="0,0"/>
                <v:stroke color="#000000" joinstyle="miter"/>
                <v:imagedata o:title=""/>
                <o:lock v:ext="edit" aspectratio="f"/>
                <v:textbox>
                  <w:txbxContent>
                    <w:p w14:paraId="6B71D1DC">
                      <w:pPr>
                        <w:jc w:val="center"/>
                        <w:rPr>
                          <w:rFonts w:hint="eastAsia"/>
                          <w:b/>
                          <w:bCs/>
                          <w:sz w:val="28"/>
                          <w:szCs w:val="36"/>
                          <w:lang w:eastAsia="zh-CN"/>
                        </w:rPr>
                      </w:pPr>
                      <w:r>
                        <w:rPr>
                          <w:rFonts w:hint="eastAsia"/>
                          <w:b/>
                          <w:bCs/>
                          <w:sz w:val="28"/>
                          <w:szCs w:val="36"/>
                          <w:lang w:eastAsia="zh-CN"/>
                        </w:rPr>
                        <w:t>图例</w:t>
                      </w:r>
                    </w:p>
                    <w:p w14:paraId="184F5088">
                      <w:pPr>
                        <w:jc w:val="both"/>
                        <w:rPr>
                          <w:rFonts w:hint="default"/>
                          <w:b/>
                          <w:bCs/>
                          <w:sz w:val="21"/>
                          <w:szCs w:val="24"/>
                          <w:lang w:val="en-US" w:eastAsia="zh-CN"/>
                        </w:rPr>
                      </w:pPr>
                      <w:r>
                        <w:rPr>
                          <w:rFonts w:hint="eastAsia"/>
                          <w:b/>
                          <w:bCs/>
                          <w:sz w:val="21"/>
                          <w:szCs w:val="24"/>
                          <w:lang w:val="en-US" w:eastAsia="zh-CN"/>
                        </w:rPr>
                        <w:t xml:space="preserve"> </w:t>
                      </w:r>
                      <w:r>
                        <w:rPr>
                          <w:rFonts w:hint="eastAsia"/>
                          <w:b w:val="0"/>
                          <w:bCs w:val="0"/>
                          <w:sz w:val="21"/>
                          <w:szCs w:val="24"/>
                          <w:lang w:val="en-US" w:eastAsia="zh-CN"/>
                        </w:rPr>
                        <w:t xml:space="preserve">   佳合鹏程</w:t>
                      </w:r>
                    </w:p>
                    <w:p w14:paraId="78E30A5F">
                      <w:pPr>
                        <w:jc w:val="both"/>
                        <w:rPr>
                          <w:rFonts w:hint="default"/>
                          <w:b w:val="0"/>
                          <w:bCs w:val="0"/>
                          <w:sz w:val="21"/>
                          <w:szCs w:val="24"/>
                          <w:lang w:val="en-US" w:eastAsia="zh-CN"/>
                        </w:rPr>
                      </w:pPr>
                      <w:r>
                        <w:rPr>
                          <w:rFonts w:hint="eastAsia"/>
                          <w:b/>
                          <w:bCs/>
                          <w:sz w:val="21"/>
                          <w:szCs w:val="24"/>
                          <w:lang w:val="en-US" w:eastAsia="zh-CN"/>
                        </w:rPr>
                        <w:t xml:space="preserve"> </w:t>
                      </w:r>
                      <w:r>
                        <w:rPr>
                          <w:rFonts w:hint="eastAsia"/>
                          <w:b w:val="0"/>
                          <w:bCs w:val="0"/>
                          <w:sz w:val="21"/>
                          <w:szCs w:val="24"/>
                          <w:lang w:val="en-US" w:eastAsia="zh-CN"/>
                        </w:rPr>
                        <w:t xml:space="preserve">   本项目</w:t>
                      </w:r>
                    </w:p>
                    <w:p w14:paraId="66EE3349">
                      <w:pPr>
                        <w:ind w:firstLine="420"/>
                        <w:jc w:val="both"/>
                        <w:rPr>
                          <w:rFonts w:hint="eastAsia"/>
                          <w:b w:val="0"/>
                          <w:bCs w:val="0"/>
                          <w:sz w:val="21"/>
                          <w:szCs w:val="24"/>
                          <w:lang w:val="en-US" w:eastAsia="zh-CN"/>
                        </w:rPr>
                      </w:pPr>
                      <w:r>
                        <w:rPr>
                          <w:rFonts w:hint="eastAsia"/>
                          <w:b w:val="0"/>
                          <w:bCs w:val="0"/>
                          <w:sz w:val="21"/>
                          <w:szCs w:val="24"/>
                          <w:lang w:val="en-US" w:eastAsia="zh-CN"/>
                        </w:rPr>
                        <w:t>重点防渗区</w:t>
                      </w:r>
                    </w:p>
                    <w:p w14:paraId="3F29F5A7">
                      <w:pPr>
                        <w:ind w:firstLine="420"/>
                        <w:jc w:val="both"/>
                        <w:rPr>
                          <w:rFonts w:hint="default"/>
                          <w:b w:val="0"/>
                          <w:bCs w:val="0"/>
                          <w:sz w:val="21"/>
                          <w:szCs w:val="24"/>
                          <w:lang w:val="en-US" w:eastAsia="zh-CN"/>
                        </w:rPr>
                      </w:pPr>
                      <w:r>
                        <w:rPr>
                          <w:rFonts w:hint="eastAsia"/>
                          <w:b w:val="0"/>
                          <w:bCs w:val="0"/>
                          <w:sz w:val="21"/>
                          <w:szCs w:val="24"/>
                          <w:lang w:val="en-US" w:eastAsia="zh-CN"/>
                        </w:rPr>
                        <w:t>一般防渗区</w:t>
                      </w:r>
                    </w:p>
                  </w:txbxContent>
                </v:textbox>
              </v:shape>
            </w:pict>
          </mc:Fallback>
        </mc:AlternateContent>
      </w:r>
      <w:r>
        <w:rPr>
          <w:color w:val="auto"/>
          <w:highlight w:val="none"/>
          <w:shd w:val="clear" w:color="auto" w:fill="auto"/>
        </w:rPr>
        <w:drawing>
          <wp:anchor distT="0" distB="0" distL="114300" distR="114300" simplePos="0" relativeHeight="251671552" behindDoc="0" locked="0" layoutInCell="1" allowOverlap="1">
            <wp:simplePos x="0" y="0"/>
            <wp:positionH relativeFrom="column">
              <wp:posOffset>9150350</wp:posOffset>
            </wp:positionH>
            <wp:positionV relativeFrom="paragraph">
              <wp:posOffset>22225</wp:posOffset>
            </wp:positionV>
            <wp:extent cx="645160" cy="685165"/>
            <wp:effectExtent l="0" t="0" r="2540" b="635"/>
            <wp:wrapNone/>
            <wp:docPr id="8"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09"/>
                    <pic:cNvPicPr>
                      <a:picLocks noChangeAspect="1"/>
                    </pic:cNvPicPr>
                  </pic:nvPicPr>
                  <pic:blipFill>
                    <a:blip r:embed="rId35"/>
                    <a:stretch>
                      <a:fillRect/>
                    </a:stretch>
                  </pic:blipFill>
                  <pic:spPr>
                    <a:xfrm>
                      <a:off x="0" y="0"/>
                      <a:ext cx="645160" cy="685165"/>
                    </a:xfrm>
                    <a:prstGeom prst="rect">
                      <a:avLst/>
                    </a:prstGeom>
                    <a:noFill/>
                    <a:ln>
                      <a:noFill/>
                    </a:ln>
                  </pic:spPr>
                </pic:pic>
              </a:graphicData>
            </a:graphic>
          </wp:anchor>
        </w:drawing>
      </w:r>
      <w:r>
        <w:rPr>
          <w:color w:val="auto"/>
          <w:sz w:val="32"/>
          <w:highlight w:val="none"/>
        </w:rPr>
        <mc:AlternateContent>
          <mc:Choice Requires="wps">
            <w:drawing>
              <wp:anchor distT="0" distB="0" distL="114300" distR="114300" simplePos="0" relativeHeight="251670528" behindDoc="0" locked="0" layoutInCell="1" allowOverlap="1">
                <wp:simplePos x="0" y="0"/>
                <wp:positionH relativeFrom="column">
                  <wp:posOffset>3575050</wp:posOffset>
                </wp:positionH>
                <wp:positionV relativeFrom="paragraph">
                  <wp:posOffset>5637530</wp:posOffset>
                </wp:positionV>
                <wp:extent cx="3169920" cy="457200"/>
                <wp:effectExtent l="0" t="0" r="0" b="0"/>
                <wp:wrapNone/>
                <wp:docPr id="7" name="文本框 244"/>
                <wp:cNvGraphicFramePr/>
                <a:graphic xmlns:a="http://schemas.openxmlformats.org/drawingml/2006/main">
                  <a:graphicData uri="http://schemas.microsoft.com/office/word/2010/wordprocessingShape">
                    <wps:wsp>
                      <wps:cNvSpPr txBox="1"/>
                      <wps:spPr>
                        <a:xfrm>
                          <a:off x="0" y="0"/>
                          <a:ext cx="3169920" cy="457200"/>
                        </a:xfrm>
                        <a:prstGeom prst="rect">
                          <a:avLst/>
                        </a:prstGeom>
                        <a:noFill/>
                        <a:ln>
                          <a:noFill/>
                        </a:ln>
                      </wps:spPr>
                      <wps:txbx>
                        <w:txbxContent>
                          <w:p w14:paraId="3F4FA4C8">
                            <w:pPr>
                              <w:pStyle w:val="16"/>
                              <w:ind w:left="0" w:leftChars="0" w:firstLine="0" w:firstLineChars="0"/>
                              <w:jc w:val="both"/>
                              <w:rPr>
                                <w:rFonts w:hint="eastAsia" w:ascii="Times New Roman" w:hAnsi="Times New Roman"/>
                                <w:b/>
                                <w:bCs/>
                                <w:color w:val="auto"/>
                                <w:sz w:val="28"/>
                                <w:szCs w:val="28"/>
                                <w:highlight w:val="none"/>
                                <w:shd w:val="clear" w:color="auto" w:fill="auto"/>
                                <w:lang w:val="en-US" w:eastAsia="zh-CN" w:bidi="ar"/>
                              </w:rPr>
                            </w:pPr>
                            <w:r>
                              <w:rPr>
                                <w:rFonts w:hint="eastAsia" w:ascii="Times New Roman" w:hAnsi="Times New Roman"/>
                                <w:b/>
                                <w:bCs/>
                                <w:color w:val="auto"/>
                                <w:sz w:val="28"/>
                                <w:szCs w:val="28"/>
                                <w:highlight w:val="none"/>
                                <w:shd w:val="clear" w:color="auto" w:fill="auto"/>
                                <w:lang w:eastAsia="zh-CN" w:bidi="ar"/>
                              </w:rPr>
                              <w:t>附图</w:t>
                            </w:r>
                            <w:r>
                              <w:rPr>
                                <w:rFonts w:hint="eastAsia" w:ascii="Times New Roman" w:hAnsi="Times New Roman"/>
                                <w:b/>
                                <w:bCs/>
                                <w:color w:val="auto"/>
                                <w:sz w:val="28"/>
                                <w:szCs w:val="28"/>
                                <w:highlight w:val="none"/>
                                <w:shd w:val="clear" w:color="auto" w:fill="auto"/>
                                <w:lang w:val="en-US" w:eastAsia="zh-CN" w:bidi="ar"/>
                              </w:rPr>
                              <w:t xml:space="preserve">4   </w:t>
                            </w:r>
                            <w:r>
                              <w:rPr>
                                <w:rFonts w:hint="eastAsia" w:ascii="Times New Roman" w:hAnsi="Times New Roman" w:eastAsia="宋体" w:cs="Times New Roman"/>
                                <w:b/>
                                <w:bCs/>
                                <w:color w:val="auto"/>
                                <w:sz w:val="28"/>
                                <w:szCs w:val="28"/>
                                <w:highlight w:val="none"/>
                                <w:shd w:val="clear" w:color="auto" w:fill="auto"/>
                                <w:lang w:eastAsia="zh-CN" w:bidi="ar"/>
                              </w:rPr>
                              <w:t>项目平面布置</w:t>
                            </w:r>
                            <w:r>
                              <w:rPr>
                                <w:rFonts w:hint="eastAsia" w:cs="Times New Roman"/>
                                <w:b/>
                                <w:bCs/>
                                <w:color w:val="auto"/>
                                <w:sz w:val="28"/>
                                <w:szCs w:val="28"/>
                                <w:highlight w:val="none"/>
                                <w:shd w:val="clear" w:color="auto" w:fill="auto"/>
                                <w:lang w:eastAsia="zh-CN" w:bidi="ar"/>
                              </w:rPr>
                              <w:t>及分区防渗</w:t>
                            </w:r>
                            <w:r>
                              <w:rPr>
                                <w:rFonts w:hint="eastAsia" w:ascii="Times New Roman" w:hAnsi="Times New Roman" w:eastAsia="宋体" w:cs="Times New Roman"/>
                                <w:b/>
                                <w:bCs/>
                                <w:color w:val="auto"/>
                                <w:sz w:val="28"/>
                                <w:szCs w:val="28"/>
                                <w:highlight w:val="none"/>
                                <w:shd w:val="clear" w:color="auto" w:fill="auto"/>
                                <w:lang w:eastAsia="zh-CN" w:bidi="ar"/>
                              </w:rPr>
                              <w:t>图</w:t>
                            </w:r>
                          </w:p>
                          <w:p w14:paraId="4E418321"/>
                        </w:txbxContent>
                      </wps:txbx>
                      <wps:bodyPr vert="horz" wrap="square" anchor="t" anchorCtr="0" upright="1"/>
                    </wps:wsp>
                  </a:graphicData>
                </a:graphic>
              </wp:anchor>
            </w:drawing>
          </mc:Choice>
          <mc:Fallback>
            <w:pict>
              <v:shape id="文本框 244" o:spid="_x0000_s1026" o:spt="202" type="#_x0000_t202" style="position:absolute;left:0pt;margin-left:281.5pt;margin-top:443.9pt;height:36pt;width:249.6pt;z-index:251670528;mso-width-relative:page;mso-height-relative:page;" filled="f" stroked="f" coordsize="21600,21600" o:gfxdata="UEsDBAoAAAAAAIdO4kAAAAAAAAAAAAAAAAAEAAAAZHJzL1BLAwQUAAAACACHTuJA1wzCU9kAAAAM&#10;AQAADwAAAGRycy9kb3ducmV2LnhtbE2Py07DMBBF90j8gzVI7KjdQEISMukCxBZEeUjs3HiaRMTj&#10;KHab8Pe4K7oczdW951SbxQ7iSJPvHSOsVwoEceNMzy3Cx/vzTQ7CB81GD44J4Zc8bOrLi0qXxs38&#10;RsdtaEUsYV9qhC6EsZTSNx1Z7VduJI6/vZusDvGcWmkmPcdyO8hEqUxa3XNc6PRIjx01P9uDRfh8&#10;2X9/3anX9smm4+wWJdkWEvH6aq0eQARawn8YTvgRHerItHMHNl4MCGl2G10CQp7fR4dTQmVJAmKH&#10;UKRFDrKu5LlE/QdQSwMEFAAAAAgAh07iQAwIxO3NAQAAgwMAAA4AAABkcnMvZTJvRG9jLnhtbK1T&#10;wY4TMQy9I/EPUe502lJ22arTlaBaLgiQlv2ANJPpRJrEwU47Uz4A/oATF+58V78DJ9N2l+WyBy4Z&#10;x3ae/Z49i+vetWJnkCz4Uk5GYymM11BZvynl3eebF6+loKh8pVrwppR7Q/J6+fzZogtzM4UG2sqg&#10;YBBP8y6UsokxzIuCdGOcohEE4zlYAzoV+YqbokLVMbpri+l4fFF0gFVA0IaIvashKI+I+BRAqGur&#10;zQr01hkfB1Q0rYpMiRobSC5zt3VtdPxY12SiaEvJTGM+uQjb63QWy4Wab1CFxupjC+opLTzi5JT1&#10;XPQMtVJRiS3af6Cc1QgEdRxpcMVAJCvCLCbjR9rcNiqYzIWlpnAWnf4frP6w+4TCVqW8lMIrxwM/&#10;/Ph++Pn78OubmM5mSaAu0JzzbgNnxv4N9Lw2Jz+xM/Hua3Tpy4wEx1ne/Vle00eh2flycnF1NeWQ&#10;5tjs1SVvQ4Ip7l8HpPjOgBPJKCXy+LKqavee4pB6SknFPNzYts0jbP1fDsZMniK1PrSYrNiv+yOf&#10;NVR7psP/AddpAL9K0fEWlJK+bBUaKZTX7C5lPJlv47A224B20/CrrEGuwLPJNI57lIb/8J77uP93&#10;l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1wzCU9kAAAAMAQAADwAAAAAAAAABACAAAAAiAAAA&#10;ZHJzL2Rvd25yZXYueG1sUEsBAhQAFAAAAAgAh07iQAwIxO3NAQAAgwMAAA4AAAAAAAAAAQAgAAAA&#10;KAEAAGRycy9lMm9Eb2MueG1sUEsFBgAAAAAGAAYAWQEAAGcFAAAAAA==&#10;">
                <v:fill on="f" focussize="0,0"/>
                <v:stroke on="f"/>
                <v:imagedata o:title=""/>
                <o:lock v:ext="edit" aspectratio="f"/>
                <v:textbox>
                  <w:txbxContent>
                    <w:p w14:paraId="3F4FA4C8">
                      <w:pPr>
                        <w:pStyle w:val="16"/>
                        <w:ind w:left="0" w:leftChars="0" w:firstLine="0" w:firstLineChars="0"/>
                        <w:jc w:val="both"/>
                        <w:rPr>
                          <w:rFonts w:hint="eastAsia" w:ascii="Times New Roman" w:hAnsi="Times New Roman"/>
                          <w:b/>
                          <w:bCs/>
                          <w:color w:val="auto"/>
                          <w:sz w:val="28"/>
                          <w:szCs w:val="28"/>
                          <w:highlight w:val="none"/>
                          <w:shd w:val="clear" w:color="auto" w:fill="auto"/>
                          <w:lang w:val="en-US" w:eastAsia="zh-CN" w:bidi="ar"/>
                        </w:rPr>
                      </w:pPr>
                      <w:r>
                        <w:rPr>
                          <w:rFonts w:hint="eastAsia" w:ascii="Times New Roman" w:hAnsi="Times New Roman"/>
                          <w:b/>
                          <w:bCs/>
                          <w:color w:val="auto"/>
                          <w:sz w:val="28"/>
                          <w:szCs w:val="28"/>
                          <w:highlight w:val="none"/>
                          <w:shd w:val="clear" w:color="auto" w:fill="auto"/>
                          <w:lang w:eastAsia="zh-CN" w:bidi="ar"/>
                        </w:rPr>
                        <w:t>附图</w:t>
                      </w:r>
                      <w:r>
                        <w:rPr>
                          <w:rFonts w:hint="eastAsia" w:ascii="Times New Roman" w:hAnsi="Times New Roman"/>
                          <w:b/>
                          <w:bCs/>
                          <w:color w:val="auto"/>
                          <w:sz w:val="28"/>
                          <w:szCs w:val="28"/>
                          <w:highlight w:val="none"/>
                          <w:shd w:val="clear" w:color="auto" w:fill="auto"/>
                          <w:lang w:val="en-US" w:eastAsia="zh-CN" w:bidi="ar"/>
                        </w:rPr>
                        <w:t xml:space="preserve">4   </w:t>
                      </w:r>
                      <w:r>
                        <w:rPr>
                          <w:rFonts w:hint="eastAsia" w:ascii="Times New Roman" w:hAnsi="Times New Roman" w:eastAsia="宋体" w:cs="Times New Roman"/>
                          <w:b/>
                          <w:bCs/>
                          <w:color w:val="auto"/>
                          <w:sz w:val="28"/>
                          <w:szCs w:val="28"/>
                          <w:highlight w:val="none"/>
                          <w:shd w:val="clear" w:color="auto" w:fill="auto"/>
                          <w:lang w:eastAsia="zh-CN" w:bidi="ar"/>
                        </w:rPr>
                        <w:t>项目平面布置</w:t>
                      </w:r>
                      <w:r>
                        <w:rPr>
                          <w:rFonts w:hint="eastAsia" w:cs="Times New Roman"/>
                          <w:b/>
                          <w:bCs/>
                          <w:color w:val="auto"/>
                          <w:sz w:val="28"/>
                          <w:szCs w:val="28"/>
                          <w:highlight w:val="none"/>
                          <w:shd w:val="clear" w:color="auto" w:fill="auto"/>
                          <w:lang w:eastAsia="zh-CN" w:bidi="ar"/>
                        </w:rPr>
                        <w:t>及分区防渗</w:t>
                      </w:r>
                      <w:r>
                        <w:rPr>
                          <w:rFonts w:hint="eastAsia" w:ascii="Times New Roman" w:hAnsi="Times New Roman" w:eastAsia="宋体" w:cs="Times New Roman"/>
                          <w:b/>
                          <w:bCs/>
                          <w:color w:val="auto"/>
                          <w:sz w:val="28"/>
                          <w:szCs w:val="28"/>
                          <w:highlight w:val="none"/>
                          <w:shd w:val="clear" w:color="auto" w:fill="auto"/>
                          <w:lang w:eastAsia="zh-CN" w:bidi="ar"/>
                        </w:rPr>
                        <w:t>图</w:t>
                      </w:r>
                    </w:p>
                    <w:p w14:paraId="4E418321"/>
                  </w:txbxContent>
                </v:textbox>
              </v:shape>
            </w:pict>
          </mc:Fallback>
        </mc:AlternateContent>
      </w:r>
      <w:r>
        <w:rPr>
          <w:color w:val="auto"/>
          <w:sz w:val="32"/>
          <w:highlight w:val="none"/>
        </w:rPr>
        <mc:AlternateContent>
          <mc:Choice Requires="wps">
            <w:drawing>
              <wp:anchor distT="0" distB="0" distL="114300" distR="114300" simplePos="0" relativeHeight="251787264" behindDoc="0" locked="0" layoutInCell="1" allowOverlap="1">
                <wp:simplePos x="0" y="0"/>
                <wp:positionH relativeFrom="column">
                  <wp:posOffset>2106295</wp:posOffset>
                </wp:positionH>
                <wp:positionV relativeFrom="paragraph">
                  <wp:posOffset>5029835</wp:posOffset>
                </wp:positionV>
                <wp:extent cx="1405890" cy="287655"/>
                <wp:effectExtent l="0" t="0" r="0" b="0"/>
                <wp:wrapNone/>
                <wp:docPr id="201" name="文本框 201"/>
                <wp:cNvGraphicFramePr/>
                <a:graphic xmlns:a="http://schemas.openxmlformats.org/drawingml/2006/main">
                  <a:graphicData uri="http://schemas.microsoft.com/office/word/2010/wordprocessingShape">
                    <wps:wsp>
                      <wps:cNvSpPr txBox="1"/>
                      <wps:spPr>
                        <a:xfrm rot="1200000">
                          <a:off x="0" y="0"/>
                          <a:ext cx="1405890" cy="287655"/>
                        </a:xfrm>
                        <a:prstGeom prst="rect">
                          <a:avLst/>
                        </a:prstGeom>
                        <a:noFill/>
                        <a:ln w="9525" cap="sq" cmpd="sng">
                          <a:noFill/>
                          <a:prstDash val="solid"/>
                          <a:miter/>
                          <a:headEnd type="none" w="med" len="med"/>
                          <a:tailEnd type="none" w="med" len="med"/>
                        </a:ln>
                      </wps:spPr>
                      <wps:txbx>
                        <w:txbxContent>
                          <w:p w14:paraId="061236E6">
                            <w:pPr>
                              <w:rPr>
                                <w:rFonts w:hint="eastAsia" w:eastAsia="宋体"/>
                                <w:color w:val="auto"/>
                                <w:lang w:eastAsia="zh-CN"/>
                              </w:rPr>
                            </w:pPr>
                            <w:r>
                              <w:rPr>
                                <w:rFonts w:hint="eastAsia"/>
                                <w:color w:val="auto"/>
                                <w:lang w:eastAsia="zh-CN"/>
                              </w:rPr>
                              <w:t>丹锡高速偏岭互通</w:t>
                            </w:r>
                          </w:p>
                          <w:p w14:paraId="02C2A040">
                            <w:pPr>
                              <w:rPr>
                                <w:rFonts w:hint="eastAsia"/>
                                <w:lang w:eastAsia="zh-CN"/>
                              </w:rPr>
                            </w:pP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165.85pt;margin-top:396.05pt;height:22.65pt;width:110.7pt;rotation:1310720f;z-index:251787264;mso-width-relative:page;mso-height-relative:page;" filled="f" stroked="f" coordsize="21600,21600" o:gfxdata="UEsDBAoAAAAAAIdO4kAAAAAAAAAAAAAAAAAEAAAAZHJzL1BLAwQUAAAACACHTuJA5D3rg9oAAAAL&#10;AQAADwAAAGRycy9kb3ducmV2LnhtbE2PwU7DMAyG70i8Q2QkbizpSmnXNZ3QpHFAXDYmcc2arI3W&#10;OFWTruPtMSe42fKvz99fbW6uZ1czButRQrIQwAw2XltsJRw/d08FsBAVatV7NBK+TYBNfX9XqVL7&#10;GffmeogtIwiGUknoYhxKzkPTGafCwg8G6Xb2o1OR1rHlelQzwV3Pl0K8cKcs0odODWbbmeZymJyE&#10;HP3XSmT2+L7bfkz2PM5vxf5VyseHRKyBRXOLf2H41Sd1qMnp5CfUgfUS0jTJKUqw1TIBRoksS2k4&#10;SSjS/Bl4XfH/HeofUEsDBBQAAAAIAIdO4kCb0onkhAIAAA8FAAAOAAAAZHJzL2Uyb0RvYy54bWyt&#10;VM1uEzEQviPxDpbvZJMo6U/UTRUaipAqWqkgzo7Xm7XkP2wn2fAA8AY9ceHOc/U5+OxN2qhwyIEc&#10;rPHMl29mPs/sxWWrFVkLH6Q1JR30+pQIw20lzbKknz9dvzmjJERmKqasESXdikAvp69fXWzcRAxt&#10;Y1UlPAGJCZONK2kTo5sUReCN0Cz0rBMGwdp6zSKufllUnm3ArlUx7PdPio31lfOWixDgnXdBumP0&#10;xxDaupZczC1faWFix+qFYhEthUa6QKe52roWPN7WdRCRqJKi05hPJIG9SGcxvWCTpWeukXxXAjum&#10;hBc9aSYNkj5RzVlkZOXlX1Racm+DrWOPW110jWRF0MWg/0Kb+4Y5kXuB1ME9iR7+Hy3/uL7zRFYl&#10;RX5KDNN48seHH48/fz/++k6SExJtXJgAee+Aje1b22Jw9v4AZ+q8rb0m3kLhAZ4Zv6wHOiRAQ+7t&#10;k9yijYQnilF/fHaOEEdseHZ6Mh4n0qLjSpzOh/heWE2SUVKP58ysbH0TYgfdQxLc2GupVH5SZcim&#10;pOfj4Rj0DGMavsLQDo0Gs8wkB+hEMmehIWuGOQlWyaqbDC2j8JmwEax6ZyoStw4KGawGTRm0qChR&#10;ApuUrIyMTKpjkOhTGbSbxO1ETFZsFy1okrmw1RaCZ02hUnD8WqLQGxbiHfMYUzixyPEWR60sqrE7&#10;i5LG+m//8ic8pgdRlI+xT8KsmEcz6oPBXJ0PRiPQxnwZjU+HuPjDyOIwYlb6ykIxTA6qy2bCR7U3&#10;a2/1F+z7LGVFiBmO3CWNe/MqdsuI7wUXs1kGrZyXy6b7A7bEsXhj7h1PabpXnq2irWUegGeddkpi&#10;T/II7XY6LeLhPaOev2PT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OQ964PaAAAACwEAAA8AAAAA&#10;AAAAAQAgAAAAIgAAAGRycy9kb3ducmV2LnhtbFBLAQIUABQAAAAIAIdO4kCb0onkhAIAAA8FAAAO&#10;AAAAAAAAAAEAIAAAACkBAABkcnMvZTJvRG9jLnhtbFBLBQYAAAAABgAGAFkBAAAfBgAAAAA=&#10;">
                <v:fill on="f" focussize="0,0"/>
                <v:stroke on="f" joinstyle="miter" endcap="square"/>
                <v:imagedata o:title=""/>
                <o:lock v:ext="edit" aspectratio="f"/>
                <v:textbox>
                  <w:txbxContent>
                    <w:p w14:paraId="061236E6">
                      <w:pPr>
                        <w:rPr>
                          <w:rFonts w:hint="eastAsia" w:eastAsia="宋体"/>
                          <w:color w:val="auto"/>
                          <w:lang w:eastAsia="zh-CN"/>
                        </w:rPr>
                      </w:pPr>
                      <w:r>
                        <w:rPr>
                          <w:rFonts w:hint="eastAsia"/>
                          <w:color w:val="auto"/>
                          <w:lang w:eastAsia="zh-CN"/>
                        </w:rPr>
                        <w:t>丹锡高速偏岭互通</w:t>
                      </w:r>
                    </w:p>
                    <w:p w14:paraId="02C2A040">
                      <w:pPr>
                        <w:rPr>
                          <w:rFonts w:hint="eastAsia"/>
                          <w:lang w:eastAsia="zh-CN"/>
                        </w:rPr>
                      </w:pPr>
                    </w:p>
                  </w:txbxContent>
                </v:textbox>
              </v:shape>
            </w:pict>
          </mc:Fallback>
        </mc:AlternateContent>
      </w:r>
      <w:r>
        <w:rPr>
          <w:color w:val="auto"/>
          <w:sz w:val="32"/>
          <w:highlight w:val="none"/>
        </w:rPr>
        <mc:AlternateContent>
          <mc:Choice Requires="wps">
            <w:drawing>
              <wp:anchor distT="0" distB="0" distL="114300" distR="114300" simplePos="0" relativeHeight="251791360" behindDoc="0" locked="0" layoutInCell="1" allowOverlap="1">
                <wp:simplePos x="0" y="0"/>
                <wp:positionH relativeFrom="column">
                  <wp:posOffset>8367395</wp:posOffset>
                </wp:positionH>
                <wp:positionV relativeFrom="paragraph">
                  <wp:posOffset>3273425</wp:posOffset>
                </wp:positionV>
                <wp:extent cx="914400" cy="287655"/>
                <wp:effectExtent l="313690" t="0" r="0" b="0"/>
                <wp:wrapNone/>
                <wp:docPr id="200" name="文本框 200"/>
                <wp:cNvGraphicFramePr/>
                <a:graphic xmlns:a="http://schemas.openxmlformats.org/drawingml/2006/main">
                  <a:graphicData uri="http://schemas.microsoft.com/office/word/2010/wordprocessingShape">
                    <wps:wsp>
                      <wps:cNvSpPr txBox="1"/>
                      <wps:spPr>
                        <a:xfrm rot="17760000">
                          <a:off x="0" y="0"/>
                          <a:ext cx="914400" cy="287655"/>
                        </a:xfrm>
                        <a:prstGeom prst="rect">
                          <a:avLst/>
                        </a:prstGeom>
                        <a:noFill/>
                        <a:ln w="9525" cap="sq" cmpd="sng">
                          <a:noFill/>
                          <a:prstDash val="solid"/>
                          <a:miter/>
                          <a:headEnd type="none" w="med" len="med"/>
                          <a:tailEnd type="none" w="med" len="med"/>
                        </a:ln>
                      </wps:spPr>
                      <wps:txbx>
                        <w:txbxContent>
                          <w:p w14:paraId="4271DD7B">
                            <w:pPr>
                              <w:rPr>
                                <w:rFonts w:hint="eastAsia" w:eastAsia="宋体"/>
                                <w:lang w:eastAsia="zh-CN"/>
                              </w:rPr>
                            </w:pPr>
                            <w:r>
                              <w:rPr>
                                <w:rFonts w:hint="eastAsia"/>
                                <w:lang w:eastAsia="zh-CN"/>
                              </w:rPr>
                              <w:t>丹锡高速</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658.85pt;margin-top:257.75pt;height:22.65pt;width:72pt;rotation:-4194304f;z-index:251791360;mso-width-relative:page;mso-height-relative:page;" filled="f" stroked="f" coordsize="21600,21600" o:gfxdata="UEsDBAoAAAAAAIdO4kAAAAAAAAAAAAAAAAAEAAAAZHJzL1BLAwQUAAAACACHTuJAI7/JINkAAAAN&#10;AQAADwAAAGRycy9kb3ducmV2LnhtbE2PwU7DMBBE70j8g7VI3KgdStIqxOmhEnDh0oIajk7sxhHx&#10;OordJvw9mxMcZ3Y087bYza5nVzOGzqOEZCWAGWy87rCV8Pnx8rAFFqJCrXqPRsKPCbArb28KlWs/&#10;4cFcj7FlVIIhVxJsjEPOeWiscSqs/GCQbmc/OhVJji3Xo5qo3PX8UYiMO9UhLVg1mL01zffx4paR&#10;6nT4equnc78+NdX+Fd9nW0l5f5eIZ2DRzPEvDAs+oUNJTLW/oA6sJ71ONhvKSkiTNAW2RJ6yhKya&#10;rExsgZcF//9F+QtQSwMEFAAAAAgAh07iQEcpjzyCAgAADwUAAA4AAABkcnMvZTJvRG9jLnhtbK1U&#10;zW4TMRC+I/EOlu90kyhpStRNFRqKkCpaKSDOjtebteQ/bCfZ8ADwBpy4cOe5+hx89iZtVDjkQA7W&#10;eObLNzOfZ/byqtWKbIQP0pqS9s96lAjDbSXNqqSfPt68uqAkRGYqpqwRJd2JQK+mL19cbt1EDGxj&#10;VSU8AYkJk60raROjmxRF4I3QLJxZJwyCtfWaRVz9qqg824Jdq2LQ650XW+sr5y0XIcA774J0z+hP&#10;IbR1LbmYW77WwsSO1QvFIloKjXSBTnO1dS14vKvrICJRJUWnMZ9IAnuZzmJ6ySYrz1wj+b4EdkoJ&#10;z3rSTBokfaSas8jI2su/qLTk3gZbxzNuddE1khVBF/3eM20WDXMi9wKpg3sUPfw/Wv5hc++JrEqK&#10;t6HEMI0nf/jx/eHn74df30hyQqKtCxMgFw7Y2L6xLQbn4A9wps7b2mviLRTuj8fnPfyyIGiRAA7u&#10;3aPeoo2Ew/m6PxymrByhwcX4fDRKpEXHlTidD/GdsJoko6Qez5lJ2eY2xA56gCS4sTdSqfykypAt&#10;EowGI9AzjGn4AkM7NBrMKpMcoRPJnIWGbBjmJFglq24ytIzCZ8JGsOqtqUjcOShksBo0ZdCiokQJ&#10;bFKyMjIyqU5Bok9l0G4StxMxWbFdtqBJ5tJWOwieNYVKwfEbiUJvWYj3zGNM4cQixzsctbKoxu4t&#10;Shrrv/7Ln/CYHkRRPsY+CbNmHs2o9wZzlZ8Ee5Ivw9F4gBz+OLI8jpi1vrZQrJ+ry2bCR3Uwa2/1&#10;Z+z7LGVFiBmO3CWNB/M6dsuI7wUXs1kGrZ2Xq6b7A7bEsXhrFo6nNN0rz9bR1jIPwJNOeyWxJ3mE&#10;9judFvH4nlFP37Hp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CO/ySDZAAAADQEAAA8AAAAAAAAA&#10;AQAgAAAAIgAAAGRycy9kb3ducmV2LnhtbFBLAQIUABQAAAAIAIdO4kBHKY88ggIAAA8FAAAOAAAA&#10;AAAAAAEAIAAAACgBAABkcnMvZTJvRG9jLnhtbFBLBQYAAAAABgAGAFkBAAAcBgAAAAA=&#10;">
                <v:fill on="f" focussize="0,0"/>
                <v:stroke on="f" joinstyle="miter" endcap="square"/>
                <v:imagedata o:title=""/>
                <o:lock v:ext="edit" aspectratio="f"/>
                <v:textbox>
                  <w:txbxContent>
                    <w:p w14:paraId="4271DD7B">
                      <w:pPr>
                        <w:rPr>
                          <w:rFonts w:hint="eastAsia" w:eastAsia="宋体"/>
                          <w:lang w:eastAsia="zh-CN"/>
                        </w:rPr>
                      </w:pPr>
                      <w:r>
                        <w:rPr>
                          <w:rFonts w:hint="eastAsia"/>
                          <w:lang w:eastAsia="zh-CN"/>
                        </w:rPr>
                        <w:t>丹锡高速</w:t>
                      </w:r>
                    </w:p>
                  </w:txbxContent>
                </v:textbox>
              </v:shape>
            </w:pict>
          </mc:Fallback>
        </mc:AlternateContent>
      </w:r>
      <w:r>
        <w:rPr>
          <w:color w:val="auto"/>
          <w:sz w:val="32"/>
          <w:highlight w:val="none"/>
        </w:rPr>
        <mc:AlternateContent>
          <mc:Choice Requires="wps">
            <w:drawing>
              <wp:anchor distT="0" distB="0" distL="114300" distR="114300" simplePos="0" relativeHeight="251790336" behindDoc="0" locked="0" layoutInCell="1" allowOverlap="1">
                <wp:simplePos x="0" y="0"/>
                <wp:positionH relativeFrom="column">
                  <wp:posOffset>1463040</wp:posOffset>
                </wp:positionH>
                <wp:positionV relativeFrom="paragraph">
                  <wp:posOffset>1893570</wp:posOffset>
                </wp:positionV>
                <wp:extent cx="8331835" cy="3781425"/>
                <wp:effectExtent l="6350" t="10160" r="24765" b="37465"/>
                <wp:wrapNone/>
                <wp:docPr id="199" name="任意多边形 199"/>
                <wp:cNvGraphicFramePr/>
                <a:graphic xmlns:a="http://schemas.openxmlformats.org/drawingml/2006/main">
                  <a:graphicData uri="http://schemas.microsoft.com/office/word/2010/wordprocessingShape">
                    <wps:wsp>
                      <wps:cNvSpPr/>
                      <wps:spPr>
                        <a:xfrm>
                          <a:off x="1886585" y="2475865"/>
                          <a:ext cx="8331835" cy="3781425"/>
                        </a:xfrm>
                        <a:custGeom>
                          <a:avLst/>
                          <a:gdLst>
                            <a:gd name="connisteX0" fmla="*/ 0 w 8437880"/>
                            <a:gd name="connsiteY0" fmla="*/ 3023870 h 3928745"/>
                            <a:gd name="connisteX1" fmla="*/ 2468880 w 8437880"/>
                            <a:gd name="connsiteY1" fmla="*/ 3928745 h 3928745"/>
                            <a:gd name="connisteX2" fmla="*/ 4270375 w 8437880"/>
                            <a:gd name="connsiteY2" fmla="*/ 3754120 h 3928745"/>
                            <a:gd name="connisteX3" fmla="*/ 6461125 w 8437880"/>
                            <a:gd name="connsiteY3" fmla="*/ 3079750 h 3928745"/>
                            <a:gd name="connisteX4" fmla="*/ 8437880 w 8437880"/>
                            <a:gd name="connsiteY4" fmla="*/ 0 h 392874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8437880" h="3928745">
                              <a:moveTo>
                                <a:pt x="0" y="3023870"/>
                              </a:moveTo>
                              <a:lnTo>
                                <a:pt x="2468880" y="3928745"/>
                              </a:lnTo>
                              <a:lnTo>
                                <a:pt x="4270375" y="3754120"/>
                              </a:lnTo>
                              <a:lnTo>
                                <a:pt x="6461125" y="3079750"/>
                              </a:lnTo>
                              <a:lnTo>
                                <a:pt x="8437880" y="0"/>
                              </a:lnTo>
                            </a:path>
                          </a:pathLst>
                        </a:custGeom>
                        <a:noFill/>
                        <a:ln w="38100">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15.2pt;margin-top:149.1pt;height:297.75pt;width:656.05pt;z-index:251790336;mso-width-relative:page;mso-height-relative:page;" filled="f" stroked="t" coordsize="8437880,3928745" o:gfxdata="UEsDBAoAAAAAAIdO4kAAAAAAAAAAAAAAAAAEAAAAZHJzL1BLAwQUAAAACACHTuJAWUtvs94AAAAM&#10;AQAADwAAAGRycy9kb3ducmV2LnhtbE2PwU7CQBCG7ya+w2ZMvMkupUip3RKLMV7gAKjR29Ad22p3&#10;t+kuBd7e5aS3mcyXf74/W5x0ywbqXWONhPFIACNTWtWYSsLr7vkuAeY8GoWtNSThTA4W+fVVhqmy&#10;R7OhYesrFkKMS1FC7X2Xcu7KmjS6ke3IhNuX7TX6sPYVVz0eQ7hueSTEPdfYmPChxo6WNZU/24OW&#10;gMuXoT6reFMUj+uP9ert+/O9eJLy9mYsHoB5Ovk/GC76QR3y4LS3B6McayVEExEHNAzzJAJ2IaZx&#10;NAW2l5DMJzPgecb/l8h/AVBLAwQUAAAACACHTuJAP2dLfyYDAABXCAAADgAAAGRycy9lMm9Eb2Mu&#10;eG1srVbLjtMwFN0j8Q9WlkhMnm3SatqRYAQbBCPNIMHSdZyHlNiW7Wk7e/bsWSJ+Ao3gaxjEZ3Dt&#10;OK0ZJNqR2CR2fM99nPtwTs+2fYfWVKqWs0UQn0QBoozwsmX1Inh79eJpESClMStxxxldBDdUBWfL&#10;x49ON2JOE97wrqQSgRKm5huxCBqtxTwMFWloj9UJF5TBYcVljzVsZR2WEm9Ae9+FSRRNww2XpZCc&#10;UKXg6/lwGDiN8hiFvKpaQs85ue4p04NWSTusISTVtEIFS+ttVVGi31SVohp1iwAi1fYJRmC9Ms9w&#10;eYrntcSiaYlzAR/jwr2YetwyMLpTdY41Rtey/UtV3xLJFa/0CeF9OARiGYEo4ugeN5cNFtTGAlQr&#10;sSNd/T+15PX6QqK2hEqYzQLEcA8p/3F7+/PDx7svn359/3r37TMyR0DURqg5yF+KC+l2CpYm6m0l&#10;e/OGeNAWVBXFdFJMAnSzCJIsn8BuIJpuNSIgUKRpXKQgQEAizYs4S6xEuFdFrpV+SblVi9evlB4y&#10;VcLK8lw6XwlnrFWavoOMVn0HyXsSoghtUJGB4mLMsC+uWk3f++JplKRFHqEGpbOkyDPnbe2DrI3Y&#10;s5Fk0wL0H7bkg5z+w5YSz1KW5FGaTw5b8kEAyOLkiJhSz9I0m8ZxcoQlH5RG+SyfHGEp8yy57ByO&#10;yQfdswHVUo/1gJuxRMiWuRqBFcJmqkW2NQVXpjj9goHqM1tXEFBhoBJQpsAOgCGpPjg29X00GPLk&#10;g5MHgYF6H5w+CAxs+uDMBw/uO+4kTE4zMzs7M3WAYGZKOzNXBoPnAmtD+bhEG+hq13GogaZ2jWTO&#10;e76mV9xKapMBaD1wwjWd82Av0zFf1nXZgNg3J/g6yo1vYXW7XhnkhxZwFka58T3Iu4p3HtlC/qf8&#10;LkaIwM6WnSewMJzYMtiRYzj1BhnjL9qus/x1zFCWFnEEdBAMF2kFFxgsewHDWLE6QLir4YYmWtry&#10;VbxrSwM3RCpZr553Eq2xudeiZ9FkdOYPMSGVPseqGeTs0S46cNQM9GGEm9WKlzd2stvvcN/YUNzd&#10;aC40f2/R+/+B5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dBQAAW0NvbnRlbnRfVHlwZXNdLnhtbFBLAQIUAAoAAAAAAIdO4kAAAAAAAAAAAAAA&#10;AAAGAAAAAAAAAAAAEAAAAH8EAABfcmVscy9QSwECFAAUAAAACACHTuJAihRmPNEAAACUAQAACwAA&#10;AAAAAAABACAAAACjBAAAX3JlbHMvLnJlbHNQSwECFAAKAAAAAACHTuJAAAAAAAAAAAAAAAAABAAA&#10;AAAAAAAAABAAAAAAAAAAZHJzL1BLAQIUABQAAAAIAIdO4kBZS2+z3gAAAAwBAAAPAAAAAAAAAAEA&#10;IAAAACIAAABkcnMvZG93bnJldi54bWxQSwECFAAUAAAACACHTuJAP2dLfyYDAABXCAAADgAAAAAA&#10;AAABACAAAAAtAQAAZHJzL2Uyb0RvYy54bWxQSwUGAAAAAAYABgBZAQAAxQYAAAAA&#10;" path="m0,3023870l2468880,3928745,4270375,3754120,6461125,3079750,8437880,0e">
                <v:path o:connectlocs="0,2910480;2437851,3781425;4216706,3613348;6379923,2964265;8331835,0" o:connectangles="0,0,0,0,0"/>
                <v:fill on="f" focussize="0,0"/>
                <v:stroke weight="3pt" color="#00B050 [2404]" joinstyle="round"/>
                <v:imagedata o:title=""/>
                <o:lock v:ext="edit" aspectratio="f"/>
              </v:shape>
            </w:pict>
          </mc:Fallback>
        </mc:AlternateContent>
      </w:r>
      <w:r>
        <w:rPr>
          <w:color w:val="auto"/>
          <w:sz w:val="32"/>
          <w:highlight w:val="none"/>
        </w:rPr>
        <mc:AlternateContent>
          <mc:Choice Requires="wps">
            <w:drawing>
              <wp:anchor distT="0" distB="0" distL="114300" distR="114300" simplePos="0" relativeHeight="251784192" behindDoc="0" locked="0" layoutInCell="1" allowOverlap="1">
                <wp:simplePos x="0" y="0"/>
                <wp:positionH relativeFrom="column">
                  <wp:posOffset>2057400</wp:posOffset>
                </wp:positionH>
                <wp:positionV relativeFrom="paragraph">
                  <wp:posOffset>1352550</wp:posOffset>
                </wp:positionV>
                <wp:extent cx="914400" cy="287655"/>
                <wp:effectExtent l="313690" t="0" r="0" b="0"/>
                <wp:wrapNone/>
                <wp:docPr id="190" name="文本框 190"/>
                <wp:cNvGraphicFramePr/>
                <a:graphic xmlns:a="http://schemas.openxmlformats.org/drawingml/2006/main">
                  <a:graphicData uri="http://schemas.microsoft.com/office/word/2010/wordprocessingShape">
                    <wps:wsp>
                      <wps:cNvSpPr txBox="1"/>
                      <wps:spPr>
                        <a:xfrm rot="17760000">
                          <a:off x="0" y="0"/>
                          <a:ext cx="914400" cy="287655"/>
                        </a:xfrm>
                        <a:prstGeom prst="rect">
                          <a:avLst/>
                        </a:prstGeom>
                        <a:noFill/>
                        <a:ln w="9525" cap="sq" cmpd="sng">
                          <a:noFill/>
                          <a:prstDash val="solid"/>
                          <a:miter/>
                          <a:headEnd type="none" w="med" len="med"/>
                          <a:tailEnd type="none" w="med" len="med"/>
                        </a:ln>
                      </wps:spPr>
                      <wps:txbx>
                        <w:txbxContent>
                          <w:p w14:paraId="061A3B7C">
                            <w:pPr>
                              <w:rPr>
                                <w:rFonts w:hint="eastAsia" w:eastAsia="宋体"/>
                                <w:lang w:eastAsia="zh-CN"/>
                              </w:rPr>
                            </w:pPr>
                            <w:r>
                              <w:rPr>
                                <w:rFonts w:hint="eastAsia"/>
                                <w:lang w:eastAsia="zh-CN"/>
                              </w:rPr>
                              <w:t>小路</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162pt;margin-top:106.5pt;height:22.65pt;width:72pt;rotation:-4194304f;z-index:251784192;mso-width-relative:page;mso-height-relative:page;" filled="f" stroked="f" coordsize="21600,21600" o:gfxdata="UEsDBAoAAAAAAIdO4kAAAAAAAAAAAAAAAAAEAAAAZHJzL1BLAwQUAAAACACHTuJA7T7f/dcAAAAL&#10;AQAADwAAAGRycy9kb3ducmV2LnhtbE1Py07DMBC8I/EP1iJxo86jVFGI00Ml4MKlpWo4OrEbR9jr&#10;KHab8PdsT3Cb3RnNo9ouzrKrnsLgUUC6SoBp7LwasBdw/Hx9KoCFKFFJ61EL+NEBtvX9XSVL5Wfc&#10;6+sh9oxMMJRSgIlxLDkPndFOhpUfNRJ39pOTkc6p52qSM5k7y7Mk2XAnB6QEI0e9M7r7PlzcLaQ5&#10;7b/e2/ls81PX7N7wYzGNEI8PafICLOol/onhVp+qQ02dWn9BFZgVkGdr2hIFZGlOgBTrTUGgpc9z&#10;kQOvK/5/Q/0LUEsDBBQAAAAIAIdO4kAUgxIfggIAAA8FAAAOAAAAZHJzL2Uyb0RvYy54bWytVM1u&#10;EzEQviPxDpbvdJMoP23UTRUaipAqWqkgzo7Xm7XkP2wn2fAA8AY9ceHOc/U5+OxN2qhw6IEcrPHM&#10;l29mPs/s+UWrFdkIH6Q1Je2f9CgRhttKmlVJP3+6enNKSYjMVExZI0q6E4FezF6/Ot+6qRjYxqpK&#10;eAISE6ZbV9ImRjctisAboVk4sU4YBGvrNYu4+lVRebYFu1bFoNcbF1vrK+ctFyHAu+iCdM/oX0Jo&#10;61pysbB8rYWJHasXikW0FBrpAp3lauta8HhT10FEokqKTmM+kQT2Mp3F7JxNV565RvJ9CewlJTzr&#10;STNpkPSRasEiI2sv/6LSknsbbB1PuNVF10hWBF30e8+0uWuYE7kXSB3co+jh/9Hyj5tbT2SFSTiD&#10;JoZpPPnD/Y+Hn78ffn0nyQmJti5MgbxzwMb2rW0BP/gDnKnztvaaeAuF+5PJuIdfFgQtEsDBvXvU&#10;W7SRcDjP+sMhYIQjNDidjEejRFp0XInT+RDfC6tJMkrq8ZyZlG2uQ+ygB0iCG3sllcpPqgzZIsFo&#10;MAI9w5iGrzC0Q6PBrDLJETqRLFhoyIZhToJVsuomQ8sofCZsBKvemYrEnYNCBqtBUwYtKkqUwCYl&#10;KyMjk+olSPSpDNpN4nYiJiu2yxY0yVzaagfBs6ZQKTh+JVHoNQvxlnmMKZxY5HiDo1YW1di9RUlj&#10;/bd/+RMe04MoysfYJ2HWzKMZ9cFgrvKTYE/yZTiaDJDDH0eWxxGz1pcWivVzddlM+KgOZu2t/oJ9&#10;n6esCDHDkbuk8WBexm4Z8b3gYj7PoLXzctV0f8CWOBavzZ3jKU33yvN1tLXMA/Ck015J7Ekeof1O&#10;p0U8vmfU03ds9g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DtPt/91wAAAAsBAAAPAAAAAAAAAAEA&#10;IAAAACIAAABkcnMvZG93bnJldi54bWxQSwECFAAUAAAACACHTuJAFIMSH4ICAAAPBQAADgAAAAAA&#10;AAABACAAAAAmAQAAZHJzL2Uyb0RvYy54bWxQSwUGAAAAAAYABgBZAQAAGgYAAAAA&#10;">
                <v:fill on="f" focussize="0,0"/>
                <v:stroke on="f" joinstyle="miter" endcap="square"/>
                <v:imagedata o:title=""/>
                <o:lock v:ext="edit" aspectratio="f"/>
                <v:textbox>
                  <w:txbxContent>
                    <w:p w14:paraId="061A3B7C">
                      <w:pPr>
                        <w:rPr>
                          <w:rFonts w:hint="eastAsia" w:eastAsia="宋体"/>
                          <w:lang w:eastAsia="zh-CN"/>
                        </w:rPr>
                      </w:pPr>
                      <w:r>
                        <w:rPr>
                          <w:rFonts w:hint="eastAsia"/>
                          <w:lang w:eastAsia="zh-CN"/>
                        </w:rPr>
                        <w:t>小路</w:t>
                      </w:r>
                    </w:p>
                  </w:txbxContent>
                </v:textbox>
              </v:shape>
            </w:pict>
          </mc:Fallback>
        </mc:AlternateContent>
      </w:r>
      <w:r>
        <w:rPr>
          <w:color w:val="auto"/>
          <w:sz w:val="32"/>
          <w:highlight w:val="none"/>
        </w:rPr>
        <mc:AlternateContent>
          <mc:Choice Requires="wps">
            <w:drawing>
              <wp:anchor distT="0" distB="0" distL="114300" distR="114300" simplePos="0" relativeHeight="251781120" behindDoc="0" locked="0" layoutInCell="1" allowOverlap="1">
                <wp:simplePos x="0" y="0"/>
                <wp:positionH relativeFrom="column">
                  <wp:posOffset>1198245</wp:posOffset>
                </wp:positionH>
                <wp:positionV relativeFrom="paragraph">
                  <wp:posOffset>113665</wp:posOffset>
                </wp:positionV>
                <wp:extent cx="1888490" cy="4531360"/>
                <wp:effectExtent l="11430" t="5080" r="24130" b="16510"/>
                <wp:wrapNone/>
                <wp:docPr id="187" name="直接连接符 187"/>
                <wp:cNvGraphicFramePr/>
                <a:graphic xmlns:a="http://schemas.openxmlformats.org/drawingml/2006/main">
                  <a:graphicData uri="http://schemas.microsoft.com/office/word/2010/wordprocessingShape">
                    <wps:wsp>
                      <wps:cNvCnPr/>
                      <wps:spPr>
                        <a:xfrm flipH="1">
                          <a:off x="1518920" y="380365"/>
                          <a:ext cx="1888490" cy="4531360"/>
                        </a:xfrm>
                        <a:prstGeom prst="line">
                          <a:avLst/>
                        </a:prstGeom>
                        <a:ln>
                          <a:solidFill>
                            <a:srgbClr val="92D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94.35pt;margin-top:8.95pt;height:356.8pt;width:148.7pt;z-index:251781120;mso-width-relative:page;mso-height-relative:page;" filled="f" stroked="t" coordsize="21600,21600" o:gfxdata="UEsDBAoAAAAAAIdO4kAAAAAAAAAAAAAAAAAEAAAAZHJzL1BLAwQUAAAACACHTuJAWhMaytcAAAAK&#10;AQAADwAAAGRycy9kb3ducmV2LnhtbE2Py07DMBBF90j8gzVI7KgdHk0a4nSBVLEBIQofMI3dOBCP&#10;o9hpmr9nWMFurubozplqe/a9ONkxdoE0ZCsFwlITTEeths+P3U0BIiYkg30gq2GxEbb15UWFpQkz&#10;vdvTPrWCSyiWqMGlNJRSxsZZj3EVBku8O4bRY+I4ttKMOHO57+WtUmvpsSO+4HCwT8423/vJa5jS&#10;q3tRJJv8+Ws30xsumXeL1tdXmXoEkew5/cHwq8/qULPTIUxkoug5F0XOKA/5BgQD98U6A3HQkN9l&#10;DyDrSv5/of4BUEsDBBQAAAAIAIdO4kDtDr2C9wEAALoDAAAOAAAAZHJzL2Uyb0RvYy54bWytU0uO&#10;1DAQ3SNxB8t7Oukv6ajTs5jWwALBSMAB3I6dWPJPLk+n+xJcAIkdrFiy5zYMx6Ds9AwwbGbBxqly&#10;VV7Ve1XeXByNJgcRQDnb0OmkpERY7lplu4a+f3f1rKIEIrMt086Khp4E0Ivt0yebwddi5nqnWxEI&#10;glioB9/QPkZfFwXwXhgGE+eFxaB0wbCIbuiKNrAB0Y0uZmW5KgYXWh8cFwB4uxuD9IwYHgPopFRc&#10;7By/McLGETUIzSJSgl55oNvcrZSCxzdSgohENxSZxnxiEbT36Sy2G1Z3gfle8XML7DEtPOBkmLJY&#10;9B5qxyIjN0H9A2UUDw6cjBPuTDESyYogi2n5QJu3PfMic0Gpwd+LDv8Plr8+XAeiWtyE6jkllhkc&#10;+e3Hbz8+fP75/ROet1+/kBRCoQYPNeZf2utw9sBfh8T6KIMhUiv/EnGyDsiMHNFZTqv1DMU+NXRe&#10;lfPVclRcHCPhKV5V1WKNcY4Ji+V8Ol/lmRQjZsL2AeIL4QxJRkO1skkSVrPDK4jYB6bepaRr666U&#10;1nms2pKhobPlokwFGO6qxB1B03jkC7ajhOkOHwGPIUOC06pNvycgCN3+UgdyYLg669muXN519lda&#10;qr1j0I95OZQoYlfa4idpNqqUrL1rT1m8fI8jzYnn9Us786ef//795La/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FoTGsrXAAAACgEAAA8AAAAAAAAAAQAgAAAAIgAAAGRycy9kb3ducmV2LnhtbFBL&#10;AQIUABQAAAAIAIdO4kDtDr2C9wEAALoDAAAOAAAAAAAAAAEAIAAAACYBAABkcnMvZTJvRG9jLnht&#10;bFBLBQYAAAAABgAGAFkBAACPBQAAAAA=&#10;">
                <v:fill on="f" focussize="0,0"/>
                <v:stroke weight="2pt" color="#92D050 [3204]" joinstyle="round"/>
                <v:imagedata o:title=""/>
                <o:lock v:ext="edit" aspectratio="f"/>
              </v:line>
            </w:pict>
          </mc:Fallback>
        </mc:AlternateContent>
      </w:r>
      <w:r>
        <w:rPr>
          <w:color w:val="auto"/>
          <w:sz w:val="32"/>
          <w:highlight w:val="none"/>
        </w:rPr>
        <mc:AlternateContent>
          <mc:Choice Requires="wps">
            <w:drawing>
              <wp:anchor distT="0" distB="0" distL="114300" distR="114300" simplePos="0" relativeHeight="251780096" behindDoc="0" locked="0" layoutInCell="1" allowOverlap="1">
                <wp:simplePos x="0" y="0"/>
                <wp:positionH relativeFrom="column">
                  <wp:posOffset>6246495</wp:posOffset>
                </wp:positionH>
                <wp:positionV relativeFrom="paragraph">
                  <wp:posOffset>497840</wp:posOffset>
                </wp:positionV>
                <wp:extent cx="914400" cy="517525"/>
                <wp:effectExtent l="0" t="0" r="0" b="0"/>
                <wp:wrapNone/>
                <wp:docPr id="186" name="文本框 186"/>
                <wp:cNvGraphicFramePr/>
                <a:graphic xmlns:a="http://schemas.openxmlformats.org/drawingml/2006/main">
                  <a:graphicData uri="http://schemas.microsoft.com/office/word/2010/wordprocessingShape">
                    <wps:wsp>
                      <wps:cNvSpPr txBox="1"/>
                      <wps:spPr>
                        <a:xfrm rot="1560000">
                          <a:off x="6519545" y="1197610"/>
                          <a:ext cx="914400" cy="517525"/>
                        </a:xfrm>
                        <a:prstGeom prst="rect">
                          <a:avLst/>
                        </a:prstGeom>
                        <a:noFill/>
                        <a:ln w="9525" cap="sq" cmpd="sng">
                          <a:noFill/>
                          <a:prstDash val="solid"/>
                          <a:miter/>
                          <a:headEnd type="none" w="med" len="med"/>
                          <a:tailEnd type="none" w="med" len="med"/>
                        </a:ln>
                      </wps:spPr>
                      <wps:txbx>
                        <w:txbxContent>
                          <w:p w14:paraId="4EE15802">
                            <w:pPr>
                              <w:rPr>
                                <w:rFonts w:hint="eastAsia" w:eastAsia="宋体"/>
                                <w:sz w:val="28"/>
                                <w:szCs w:val="36"/>
                                <w:lang w:eastAsia="zh-CN"/>
                              </w:rPr>
                            </w:pPr>
                            <w:r>
                              <w:rPr>
                                <w:rFonts w:hint="eastAsia"/>
                                <w:sz w:val="28"/>
                                <w:szCs w:val="36"/>
                                <w:lang w:eastAsia="zh-CN"/>
                              </w:rPr>
                              <w:t>空地</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491.85pt;margin-top:39.2pt;height:40.75pt;width:72pt;rotation:1703936f;z-index:251780096;mso-width-relative:page;mso-height-relative:page;" filled="f" stroked="f" coordsize="21600,21600" o:gfxdata="UEsDBAoAAAAAAIdO4kAAAAAAAAAAAAAAAAAEAAAAZHJzL1BLAwQUAAAACACHTuJAWE82MNkAAAAL&#10;AQAADwAAAGRycy9kb3ducmV2LnhtbE2Py07DMBBF90j8gzVI7KiT8MiDOF0QIdggpQXB1o2HJCIe&#10;h9hNy98zXcFuHkd3zpTrox3FgrMfHCmIVxEIpNaZgToFb6+PVxkIHzQZPTpCBT/oYV2dn5W6MO5A&#10;G1y2oRMcQr7QCvoQpkJK3/ZotV+5CYl3n262OnA7d9LM+sDhdpRJFN1JqwfiC72e8KHH9mu7twqW&#10;DOvv5uU91MnTx3Nb110zUaPU5UUc3YMIeAx/MJz0WR0qdtq5PRkvRgV5dp0yqiDNbkCcgDhJebLj&#10;6jbPQVal/P9D9QtQSwMEFAAAAAgAh07iQIE/pOqNAgAAGgUAAA4AAABkcnMvZTJvRG9jLnhtbK1U&#10;zW4TMRC+I/EOlu90s1E2pVGTKjQUIVW0UkGcHa83a8l/2E6y4QHgDThx4c5z9Tn47E3aqHDogT1Y&#10;szPffjPzeWbPLzqtyEb4IK2Z0vJkQIkw3NbSrKb008erV68pCZGZmilrxJTuRKAXs5cvzrduIoa2&#10;taoWnoDEhMnWTWkbo5sUReCt0CycWCcMgo31mkW8+lVRe7YFu1bFcDAYF1vra+ctFyHAu+iDdM/o&#10;n0Nom0ZysbB8rYWJPasXikW0FFrpAp3laptG8HjTNEFEoqYUncZ8IgnsZTqL2TmbrDxzreT7Ethz&#10;SnjSk2bSIOkD1YJFRtZe/kWlJfc22CaecKuLvpGsCLooB0+0uWuZE7kXSB3cg+jh/9HyD5tbT2SN&#10;SXg9psQwjSu///H9/ufv+1/fSHJCoq0LEyDvHLCxe2M7wA/+AGfqvGu8Jt5C4bIaD/BkPdAhAXpc&#10;lWfVqKJkh3B5djou99KLLhIOwFk5GuETwgGoytNqWCX+oqdN9M6H+E5YTZIxpR43mxOwzXWIPfQA&#10;SXBjr6RS+XaVIVskSJSEM0xs+AJDO/QczCqTHKETyYKFlmwYRiZYJet+SLSMwmfCVrD6ralJ3DmI&#10;ZbAlNGXQoqZECSxVsjIyMqmeg0SfyqDdpHOvZ7Jit+xAk8ylrXfQPssLlYLjVxKFXrMQb5nHxMKJ&#10;nY43OBplUY3dW5S01n/9lz/hMUiIonxsQBJmzTyaUe8NRixfCVYmv4yq0yFy+OPI8jhi1vrSQrEy&#10;V5fNhI/qYDbe6s9Y/XnKihAzHLmnNB7My9jvJX4dXMznGbR2Xq7a/gMsjGPx2tw5ntL0tzxfR9vI&#10;PACPOu2VxMrkEdqvd9rJ4/eMevylzf4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WE82MNkAAAAL&#10;AQAADwAAAAAAAAABACAAAAAiAAAAZHJzL2Rvd25yZXYueG1sUEsBAhQAFAAAAAgAh07iQIE/pOqN&#10;AgAAGgUAAA4AAAAAAAAAAQAgAAAAKAEAAGRycy9lMm9Eb2MueG1sUEsFBgAAAAAGAAYAWQEAACcG&#10;AAAAAA==&#10;">
                <v:fill on="f" focussize="0,0"/>
                <v:stroke on="f" joinstyle="miter" endcap="square"/>
                <v:imagedata o:title=""/>
                <o:lock v:ext="edit" aspectratio="f"/>
                <v:textbox>
                  <w:txbxContent>
                    <w:p w14:paraId="4EE15802">
                      <w:pPr>
                        <w:rPr>
                          <w:rFonts w:hint="eastAsia" w:eastAsia="宋体"/>
                          <w:sz w:val="28"/>
                          <w:szCs w:val="36"/>
                          <w:lang w:eastAsia="zh-CN"/>
                        </w:rPr>
                      </w:pPr>
                      <w:r>
                        <w:rPr>
                          <w:rFonts w:hint="eastAsia"/>
                          <w:sz w:val="28"/>
                          <w:szCs w:val="36"/>
                          <w:lang w:eastAsia="zh-CN"/>
                        </w:rPr>
                        <w:t>空地</w:t>
                      </w:r>
                    </w:p>
                  </w:txbxContent>
                </v:textbox>
              </v:shape>
            </w:pict>
          </mc:Fallback>
        </mc:AlternateContent>
      </w:r>
      <w:r>
        <w:rPr>
          <w:color w:val="auto"/>
          <w:sz w:val="32"/>
          <w:highlight w:val="none"/>
        </w:rPr>
        <mc:AlternateContent>
          <mc:Choice Requires="wps">
            <w:drawing>
              <wp:anchor distT="0" distB="0" distL="114300" distR="114300" simplePos="0" relativeHeight="251776000" behindDoc="0" locked="0" layoutInCell="1" allowOverlap="1">
                <wp:simplePos x="0" y="0"/>
                <wp:positionH relativeFrom="column">
                  <wp:posOffset>3089275</wp:posOffset>
                </wp:positionH>
                <wp:positionV relativeFrom="paragraph">
                  <wp:posOffset>2654935</wp:posOffset>
                </wp:positionV>
                <wp:extent cx="890270" cy="302895"/>
                <wp:effectExtent l="0" t="0" r="0" b="0"/>
                <wp:wrapNone/>
                <wp:docPr id="182" name="文本框 182"/>
                <wp:cNvGraphicFramePr/>
                <a:graphic xmlns:a="http://schemas.openxmlformats.org/drawingml/2006/main">
                  <a:graphicData uri="http://schemas.microsoft.com/office/word/2010/wordprocessingShape">
                    <wps:wsp>
                      <wps:cNvSpPr txBox="1"/>
                      <wps:spPr>
                        <a:xfrm>
                          <a:off x="0" y="0"/>
                          <a:ext cx="890270" cy="302895"/>
                        </a:xfrm>
                        <a:prstGeom prst="rect">
                          <a:avLst/>
                        </a:prstGeom>
                        <a:noFill/>
                        <a:ln w="9525" cap="sq" cmpd="sng">
                          <a:noFill/>
                          <a:prstDash val="solid"/>
                          <a:miter/>
                          <a:headEnd type="none" w="med" len="med"/>
                          <a:tailEnd type="none" w="med" len="med"/>
                        </a:ln>
                      </wps:spPr>
                      <wps:txbx>
                        <w:txbxContent>
                          <w:p w14:paraId="349A0E6A">
                            <w:pPr>
                              <w:rPr>
                                <w:rFonts w:hint="default" w:eastAsia="宋体"/>
                                <w:color w:val="FFFFFF" w:themeColor="background1"/>
                                <w:sz w:val="20"/>
                                <w:szCs w:val="22"/>
                                <w:lang w:val="en-US" w:eastAsia="zh-CN"/>
                                <w14:textFill>
                                  <w14:solidFill>
                                    <w14:schemeClr w14:val="bg1"/>
                                  </w14:solidFill>
                                </w14:textFill>
                              </w:rPr>
                            </w:pPr>
                            <w:r>
                              <w:rPr>
                                <w:rFonts w:hint="eastAsia"/>
                                <w:color w:val="FFFFFF" w:themeColor="background1"/>
                                <w:sz w:val="20"/>
                                <w:szCs w:val="22"/>
                                <w:lang w:val="en-US" w:eastAsia="zh-CN"/>
                                <w14:textFill>
                                  <w14:solidFill>
                                    <w14:schemeClr w14:val="bg1"/>
                                  </w14:solidFill>
                                </w14:textFill>
                              </w:rPr>
                              <w:t>DA001</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43.25pt;margin-top:209.05pt;height:23.85pt;width:70.1pt;z-index:251776000;mso-width-relative:page;mso-height-relative:page;" filled="f" stroked="f" coordsize="21600,21600" o:gfxdata="UEsDBAoAAAAAAIdO4kAAAAAAAAAAAAAAAAAEAAAAZHJzL1BLAwQUAAAACACHTuJAc79ozNgAAAAL&#10;AQAADwAAAGRycy9kb3ducmV2LnhtbE2Py07DMBBF90j8gzVI7KidijpRGqcSjy4RUFiUnZtMkwh7&#10;HMXug79nWNHdPI7unKlWZ+/EEac4BDKQzRQIpCa0A3UGPj/WdwWImCy11gVCAz8YYVVfX1W2bMOJ&#10;3vG4SZ3gEIqlNdCnNJZSxqZHb+MsjEi824fJ28Tt1Ml2sicO907OldLS24H4Qm9HfOyx+d4cvIHX&#10;UcW3F5W+3FNwz+5hvc1zuTXm9iZTSxAJz+kfhj99VoeanXbhQG0UzsB9oReMcpEVGQgm9FznIHY8&#10;0YsCZF3Jyx/qX1BLAwQUAAAACACHTuJA69iKNX0CAAAABQAADgAAAGRycy9lMm9Eb2MueG1srVTN&#10;bhMxEL4j8Q6W73STpYEk6qYKDUVIFa1UEGfH681a8h+2k2x4AHgDTly481x9Dj57kzYqHHrg4h17&#10;Zr+Z7/OMz847rchG+CCtqejwZECJMNzW0qwq+unj5YsxJSEyUzNljajoTgR6Pnv+7GzrpqK0rVW1&#10;8AQgJky3rqJtjG5aFIG3QrNwYp0wcDbWaxax9aui9mwLdK2KcjB4VWytr523XISA00XvpHtE/xRA&#10;2zSSi4Xlay1M7FG9UCyCUmilC3SWq20aweN10wQRiaoomMa8IgnsZVqL2RmbrjxzreT7EthTSnjE&#10;STNpkPQeasEiI2sv/4LSknsbbBNPuNVFTyQrAhbDwSNtblvmROYCqYO7Fz38P1j+YXPjiazRCeOS&#10;EsM0rvzux/e7n7/vfn0j6RASbV2YIvLWITZ2b2yH8MN5wGFi3jVepy84Efgh8O5eYNFFwnE4ngzK&#10;1/BwuF4OyvFklFCKh5+dD/GdsJoko6Ie95dlZZurEPvQQ0jKZeylVCrfoTJkW9HJqBwBnqEvwxcY&#10;2oFZMKsMchSdQBYstGTD0BjBKln3raBlFD4DtoLVb01N4s5BEoNZoCmDFjUlSmB0kpUjI5PqKZHg&#10;qQzoJjV71ZIVu2UHmGQubb2Dwt72bRocv5Qo9IqFeMM8+hLSYXLjNZZGWVRj9xYlrfVf/3We4tEu&#10;8KJ89HkSZs08yKj3Bo00GZ6eAjbmzenodYmNP/Ysjz1mrS8sFBvijXA8myk+qoPZeKs/Y8DnKStc&#10;zHDkrmg8mBexnz48EFzM5zlo7bxctfgBsBgLx+KVuXU87ftbnq+jbWRugAed9kpiMHIL7Yc4Td7x&#10;Pkc9PFyz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HO/aMzYAAAACwEAAA8AAAAAAAAAAQAgAAAA&#10;IgAAAGRycy9kb3ducmV2LnhtbFBLAQIUABQAAAAIAIdO4kDr2Io1fQIAAAAFAAAOAAAAAAAAAAEA&#10;IAAAACcBAABkcnMvZTJvRG9jLnhtbFBLBQYAAAAABgAGAFkBAAAWBgAAAAA=&#10;">
                <v:fill on="f" focussize="0,0"/>
                <v:stroke on="f" joinstyle="miter" endcap="square"/>
                <v:imagedata o:title=""/>
                <o:lock v:ext="edit" aspectratio="f"/>
                <v:textbox>
                  <w:txbxContent>
                    <w:p w14:paraId="349A0E6A">
                      <w:pPr>
                        <w:rPr>
                          <w:rFonts w:hint="default" w:eastAsia="宋体"/>
                          <w:color w:val="FFFFFF" w:themeColor="background1"/>
                          <w:sz w:val="20"/>
                          <w:szCs w:val="22"/>
                          <w:lang w:val="en-US" w:eastAsia="zh-CN"/>
                          <w14:textFill>
                            <w14:solidFill>
                              <w14:schemeClr w14:val="bg1"/>
                            </w14:solidFill>
                          </w14:textFill>
                        </w:rPr>
                      </w:pPr>
                      <w:r>
                        <w:rPr>
                          <w:rFonts w:hint="eastAsia"/>
                          <w:color w:val="FFFFFF" w:themeColor="background1"/>
                          <w:sz w:val="20"/>
                          <w:szCs w:val="22"/>
                          <w:lang w:val="en-US" w:eastAsia="zh-CN"/>
                          <w14:textFill>
                            <w14:solidFill>
                              <w14:schemeClr w14:val="bg1"/>
                            </w14:solidFill>
                          </w14:textFill>
                        </w:rPr>
                        <w:t>DA001</w:t>
                      </w:r>
                    </w:p>
                  </w:txbxContent>
                </v:textbox>
              </v:shape>
            </w:pict>
          </mc:Fallback>
        </mc:AlternateContent>
      </w:r>
      <w:r>
        <w:rPr>
          <w:color w:val="auto"/>
          <w:sz w:val="32"/>
          <w:highlight w:val="none"/>
        </w:rPr>
        <mc:AlternateContent>
          <mc:Choice Requires="wps">
            <w:drawing>
              <wp:anchor distT="0" distB="0" distL="114300" distR="114300" simplePos="0" relativeHeight="251770880" behindDoc="0" locked="0" layoutInCell="1" allowOverlap="1">
                <wp:simplePos x="0" y="0"/>
                <wp:positionH relativeFrom="column">
                  <wp:posOffset>3349625</wp:posOffset>
                </wp:positionH>
                <wp:positionV relativeFrom="paragraph">
                  <wp:posOffset>2675890</wp:posOffset>
                </wp:positionV>
                <wp:extent cx="76200" cy="76200"/>
                <wp:effectExtent l="4445" t="4445" r="14605" b="14605"/>
                <wp:wrapNone/>
                <wp:docPr id="171" name="自选图形 445"/>
                <wp:cNvGraphicFramePr/>
                <a:graphic xmlns:a="http://schemas.openxmlformats.org/drawingml/2006/main">
                  <a:graphicData uri="http://schemas.microsoft.com/office/word/2010/wordprocessingShape">
                    <wps:wsp>
                      <wps:cNvSpPr/>
                      <wps:spPr>
                        <a:xfrm>
                          <a:off x="0" y="0"/>
                          <a:ext cx="76200" cy="76200"/>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C000"/>
                        </a:solidFill>
                        <a:ln w="9525" cap="flat" cmpd="sng">
                          <a:solidFill>
                            <a:srgbClr val="00B050"/>
                          </a:solidFill>
                          <a:prstDash val="solid"/>
                          <a:headEnd type="none" w="med" len="med"/>
                          <a:tailEnd type="none" w="med" len="med"/>
                        </a:ln>
                      </wps:spPr>
                      <wps:bodyPr vert="horz" wrap="square" anchor="t" anchorCtr="0" upright="1"/>
                    </wps:wsp>
                  </a:graphicData>
                </a:graphic>
              </wp:anchor>
            </w:drawing>
          </mc:Choice>
          <mc:Fallback>
            <w:pict>
              <v:shape id="自选图形 445" o:spid="_x0000_s1026" o:spt="100" style="position:absolute;left:0pt;margin-left:263.75pt;margin-top:210.7pt;height:6pt;width:6pt;z-index:251770880;mso-width-relative:page;mso-height-relative:page;" fillcolor="#FFC000" filled="t" stroked="t" coordsize="21600,21600" o:gfxdata="UEsDBAoAAAAAAIdO4kAAAAAAAAAAAAAAAAAEAAAAZHJzL1BLAwQUAAAACACHTuJAbkgKvtoAAAAL&#10;AQAADwAAAGRycy9kb3ducmV2LnhtbE2Py07DMBBF90j8gzVIbFBr51VoiFOJ17YSoags3dgkEfE4&#10;it2k5esZVrCcO0d3zhSbk+3ZZEbfOZQQLQUwg7XTHTYSdm8viztgPijUqndoJJyNh015eVGoXLsZ&#10;X81UhYZRCfpcSWhDGHLOfd0aq/zSDQZp9+lGqwKNY8P1qGYqtz2PhVhxqzqkC60azGNr6q/qaCXs&#10;n7drFMnH+eZ9nqYHsf+u6tWTlNdXkbgHFswp/MHwq0/qUJLTwR1Re9ZLyOLbjFAJaRylwIjIkjUl&#10;B0qSJAVeFvz/D+UPUEsDBBQAAAAIAIdO4kB9wGVZZQMAAHkJAAAOAAAAZHJzL2Uyb0RvYy54bWyt&#10;Vs1u2zAMvg/YOwg+Dmhtp0mTBk2KtVl3GbaizR5AleXYgG1pkhK7O+027Bl223HvsL1Nge0tRkq2&#10;89Oky4pdEkomP5IfKUqnZ1WekQVXOhXFyAsPA4/wgokoLWYj7/308mDgEW1oEdFMFHzk3XHtnY2f&#10;Pzst5ZB3RCKyiCsCIIUelnLkJcbIoe9rlvCc6kMheQEfY6FyamCpZn6kaAnoeeZ3guDYL4WKpBKM&#10;aw27E/fRqxHVPoAijlPGJ4LNc14Yh6p4Rg2kpJNUam9so41jzsy7ONbckGzkQabG/oITkG/x1x+f&#10;0uFMUZmkrA6B7hPCRk45TQtw2kJNqKFkrtIHUHnKlNAiNodM5L5LxDICWYTBBjc3CZXc5gJUa9mS&#10;rv8fLHu7uFIkjaAT+qFHCppDyX99/v7705f7rz/vf3wj3W4PWSqlHoLyjbxS9UqDiClXscrxH5Ih&#10;lWX2rmWWV4Yw2OwfQ+k9wuCLEwHDX5qyuTavubAwdPFGG1eWCCRLalQHZqo3HonzDEr0widH4fER&#10;KUknPAbs2qJVnG4qJjsUr1cUw0H3qL8T8vyB5gomZDNr4qVJkwKrijoHkAjFI9bpB7ZTpNBIVxgM&#10;kJmGMoABTUx6lwFmbfWt4HjcNAkHaz4cvvO03eBkTb91YflAareEtW6yTKMtx99tkG2bymN+1iJz&#10;4MjWY9lsUtz62aTMhVhXSMGwwDFhmwwGhamgh2BUmApaBIaFqc5dl0lqsMBYJBRJCUW1PUiSRsJv&#10;uVjwqbBaZnkwVuNealDFpoKU101eJFmK2rzEvrGGAfaKLu1GrwurpvP3ADhoDJ4K8HTXj3pmmdAc&#10;euwhY2jm+sMeEteH20hzisiZk3ZR1lJg3S0522GP28hwQ9g/mj/ZsPWz3XFDGHQv9p89nW1PYkuv&#10;TFMtsjS6TLMM+dVqdnuRKbKg0OaXlxd194DJmlpWYEuf9Do9mNgUrvgYrlYQcwnXhC5mdnytWawB&#10;B8F50LMDeRNYKm0mVCcuAIvgTlTCafSqiIi5k3D9FPDu8DCEnEceyTg8U1CyNTM0zfbRBNcZjFEf&#10;ry13UaF0K6I7uO7g9QPnOxHqI7iBux+y+jCnCpzSgsE2nPVGvDCwgkLOpUpnCViFdhwiGNzIlvr6&#10;9YBX/uraOl++mM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NgFAABbQ29udGVudF9UeXBlc10ueG1sUEsBAhQACgAAAAAAh07iQAAAAAAAAAAA&#10;AAAAAAYAAAAAAAAAAAAQAAAAugQAAF9yZWxzL1BLAQIUABQAAAAIAIdO4kCKFGY80QAAAJQBAAAL&#10;AAAAAAAAAAEAIAAAAN4EAABfcmVscy8ucmVsc1BLAQIUAAoAAAAAAIdO4kAAAAAAAAAAAAAAAAAE&#10;AAAAAAAAAAAAEAAAAAAAAABkcnMvUEsBAhQAFAAAAAgAh07iQG5ICr7aAAAACwEAAA8AAAAAAAAA&#10;AQAgAAAAIgAAAGRycy9kb3ducmV2LnhtbFBLAQIUABQAAAAIAIdO4kB9wGVZZQMAAHkJAAAOAAAA&#10;AAAAAAEAIAAAACkBAABkcnMvZTJvRG9jLnhtbFBLBQYAAAAABgAGAFkBAAAABw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B050" joinstyle="round"/>
                <v:imagedata o:title=""/>
                <o:lock v:ext="edit" aspectratio="f"/>
              </v:shape>
            </w:pict>
          </mc:Fallback>
        </mc:AlternateContent>
      </w:r>
      <w:r>
        <w:rPr>
          <w:color w:val="auto"/>
          <w:sz w:val="32"/>
          <w:highlight w:val="none"/>
        </w:rPr>
        <mc:AlternateContent>
          <mc:Choice Requires="wpg">
            <w:drawing>
              <wp:anchor distT="0" distB="0" distL="114300" distR="114300" simplePos="0" relativeHeight="251732992" behindDoc="0" locked="0" layoutInCell="1" allowOverlap="1">
                <wp:simplePos x="0" y="0"/>
                <wp:positionH relativeFrom="column">
                  <wp:posOffset>2856865</wp:posOffset>
                </wp:positionH>
                <wp:positionV relativeFrom="paragraph">
                  <wp:posOffset>2166620</wp:posOffset>
                </wp:positionV>
                <wp:extent cx="981710" cy="1330960"/>
                <wp:effectExtent l="235585" t="46990" r="97155" b="69850"/>
                <wp:wrapNone/>
                <wp:docPr id="104" name="组合 104"/>
                <wp:cNvGraphicFramePr/>
                <a:graphic xmlns:a="http://schemas.openxmlformats.org/drawingml/2006/main">
                  <a:graphicData uri="http://schemas.microsoft.com/office/word/2010/wordprocessingGroup">
                    <wpg:wgp>
                      <wpg:cNvGrpSpPr/>
                      <wpg:grpSpPr>
                        <a:xfrm>
                          <a:off x="0" y="0"/>
                          <a:ext cx="981710" cy="1330960"/>
                          <a:chOff x="5349" y="1411160"/>
                          <a:chExt cx="1546" cy="2096"/>
                        </a:xfrm>
                        <a:solidFill>
                          <a:srgbClr val="4F80BD"/>
                        </a:solidFill>
                      </wpg:grpSpPr>
                      <wps:wsp>
                        <wps:cNvPr id="90" name="文本框 90"/>
                        <wps:cNvSpPr txBox="1"/>
                        <wps:spPr>
                          <a:xfrm rot="1560000">
                            <a:off x="5349" y="1411160"/>
                            <a:ext cx="711" cy="1813"/>
                          </a:xfrm>
                          <a:prstGeom prst="rect">
                            <a:avLst/>
                          </a:prstGeom>
                          <a:grpFill/>
                          <a:ln w="9525" cap="sq" cmpd="sng">
                            <a:solidFill>
                              <a:schemeClr val="tx1"/>
                            </a:solidFill>
                            <a:prstDash val="solid"/>
                            <a:miter/>
                            <a:headEnd type="none" w="med" len="med"/>
                            <a:tailEnd type="none" w="med" len="med"/>
                          </a:ln>
                        </wps:spPr>
                        <wps:txbx>
                          <w:txbxContent>
                            <w:p w14:paraId="62BB67F4">
                              <w:pPr>
                                <w:rPr>
                                  <w:rFonts w:hint="default" w:eastAsia="宋体"/>
                                  <w:lang w:val="en-US" w:eastAsia="zh-CN"/>
                                </w:rPr>
                              </w:pPr>
                              <w:r>
                                <w:rPr>
                                  <w:rFonts w:hint="eastAsia"/>
                                  <w:lang w:val="en-US" w:eastAsia="zh-CN"/>
                                </w:rPr>
                                <w:t>1#原料库房</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wps:wsp>
                        <wps:cNvPr id="94" name="文本框 94"/>
                        <wps:cNvSpPr txBox="1"/>
                        <wps:spPr>
                          <a:xfrm rot="1560000">
                            <a:off x="6239" y="1411514"/>
                            <a:ext cx="656" cy="771"/>
                          </a:xfrm>
                          <a:prstGeom prst="rect">
                            <a:avLst/>
                          </a:prstGeom>
                          <a:grpFill/>
                          <a:ln w="9525" cap="sq" cmpd="sng">
                            <a:solidFill>
                              <a:schemeClr val="tx1"/>
                            </a:solidFill>
                            <a:prstDash val="sysDot"/>
                            <a:miter/>
                            <a:headEnd type="none" w="med" len="med"/>
                            <a:tailEnd type="none" w="med" len="med"/>
                          </a:ln>
                        </wps:spPr>
                        <wps:txbx>
                          <w:txbxContent>
                            <w:p w14:paraId="14BD5233">
                              <w:pPr>
                                <w:rPr>
                                  <w:rFonts w:hint="default" w:eastAsia="宋体"/>
                                  <w:lang w:val="en-US" w:eastAsia="zh-CN"/>
                                </w:rPr>
                              </w:pPr>
                              <w:r>
                                <w:rPr>
                                  <w:rFonts w:hint="eastAsia"/>
                                  <w:lang w:val="en-US" w:eastAsia="zh-CN"/>
                                </w:rPr>
                                <w:t>2#生产线</w:t>
                              </w:r>
                            </w:p>
                          </w:txbxContent>
                        </wps:txbx>
                        <wps:bodyPr rot="0" spcFirstLastPara="0" vertOverflow="overflow" horzOverflow="overflow" vert="horz" wrap="square" lIns="0" tIns="45720" rIns="91440" bIns="45720" numCol="1" spcCol="0" rtlCol="0" fromWordArt="0" anchor="t" anchorCtr="0" forceAA="0" upright="0" compatLnSpc="1">
                          <a:noAutofit/>
                        </wps:bodyPr>
                      </wps:wsp>
                      <wps:wsp>
                        <wps:cNvPr id="95" name="文本框 95"/>
                        <wps:cNvSpPr txBox="1"/>
                        <wps:spPr>
                          <a:xfrm rot="1560000">
                            <a:off x="5835" y="1412191"/>
                            <a:ext cx="659" cy="1065"/>
                          </a:xfrm>
                          <a:prstGeom prst="rect">
                            <a:avLst/>
                          </a:prstGeom>
                          <a:grpFill/>
                          <a:ln w="9525" cap="sq" cmpd="sng">
                            <a:solidFill>
                              <a:schemeClr val="tx1"/>
                            </a:solidFill>
                            <a:prstDash val="sysDot"/>
                            <a:miter/>
                            <a:headEnd type="none" w="med" len="med"/>
                            <a:tailEnd type="none" w="med" len="med"/>
                          </a:ln>
                        </wps:spPr>
                        <wps:txbx>
                          <w:txbxContent>
                            <w:p w14:paraId="0EA8011A">
                              <w:pPr>
                                <w:rPr>
                                  <w:rFonts w:hint="default" w:eastAsia="宋体"/>
                                  <w:lang w:val="en-US" w:eastAsia="zh-CN"/>
                                </w:rPr>
                              </w:pPr>
                              <w:r>
                                <w:rPr>
                                  <w:rFonts w:hint="eastAsia"/>
                                  <w:lang w:val="en-US" w:eastAsia="zh-CN"/>
                                </w:rPr>
                                <w:t>1#生产线</w:t>
                              </w:r>
                            </w:p>
                          </w:txbxContent>
                        </wps:txbx>
                        <wps:bodyPr rot="0" spcFirstLastPara="0" vertOverflow="overflow" horzOverflow="overflow" vert="horz" wrap="square" lIns="0" tIns="45720" rIns="91440" bIns="45720" numCol="1" spcCol="0" rtlCol="0" fromWordArt="0" anchor="t" anchorCtr="0" forceAA="0" upright="0" compatLnSpc="1">
                          <a:noAutofit/>
                        </wps:bodyPr>
                      </wps:wsp>
                    </wpg:wgp>
                  </a:graphicData>
                </a:graphic>
              </wp:anchor>
            </w:drawing>
          </mc:Choice>
          <mc:Fallback>
            <w:pict>
              <v:group id="_x0000_s1026" o:spid="_x0000_s1026" o:spt="203" style="position:absolute;left:0pt;margin-left:224.95pt;margin-top:170.6pt;height:104.8pt;width:77.3pt;z-index:251732992;mso-width-relative:page;mso-height-relative:page;" coordorigin="5349,1411160" coordsize="1546,2096" o:gfxdata="UEsDBAoAAAAAAIdO4kAAAAAAAAAAAAAAAAAEAAAAZHJzL1BLAwQUAAAACACHTuJAyVFgldsAAAAL&#10;AQAADwAAAGRycy9kb3ducmV2LnhtbE2PUWvCMBSF3wf7D+EKe5tJtBWtTWXIticZTAdjb9fm2hab&#10;pDSx1X+/7Gk+Xs7HOd/NN1fTsoF63zirQE4FMLKl042tFHwd3p6XwHxAq7F1lhTcyMOmeHzIMdNu&#10;tJ807EPFYon1GSqoQ+gyzn1Zk0E/dR3ZmJ1cbzDEs6+47nGM5ablMyEW3GBj40KNHW1rKs/7i1Hw&#10;PuL4Mpevw+582t5+DunH906SUk8TKdbAAl3DPwx/+lEdiuh0dBerPWsVJMlqFVEF80TOgEViIZIU&#10;2FFBmool8CLn9z8Uv1BLAwQUAAAACACHTuJAjLgcDJgDAABWDQAADgAAAGRycy9lMm9Eb2MueG1s&#10;7VfLbuM2FN0X6D8Q3DeSbMsPIc4gE0+CAkEnQFp0TUvUA6BIlqRju+ti2mVXXXXTff+g39P0N3pI&#10;yY86UyBoUGCKjhfyJe/VfZz7IHX+atMK8sCNbZSc0+QspoTLXBWNrOb0qy+vP5tSYh2TBRNK8jnd&#10;cktfXXz6yflaZ3ygaiUKbgiUSJut9ZzWzuksimxe85bZM6W5BLNUpmUOS1NFhWFraG9FNIjjcbRW&#10;ptBG5dxa7C46Ju01mucoVGXZ5Hyh8lXLpeu0Gi6YQ0i2brSlF8HbsuS5e1uWljsi5hSRuvCEEdBL&#10;/4wuzllWGabrJu9dYM9x4SSmljUSRveqFswxsjLNE1VtkxtlVenOctVGXSABEUSRxCfY3Bi10iGW&#10;KltXeg86EnWC+j9Wm3/xcGdIU6AS4hElkrVI+R+/fff7jz8QvwN81rrKIHZj9L2+M/1G1a18yJvS&#10;tP4fwZBNQHa7R5ZvHMmxOZsmkwSY52Alw2E8G/fQ5zXy419Lh6MZJZ49SpLkwH7Ta0jS0bh7f4C3&#10;vV/RwbRVoimuGyG8H9ZUyythyANDzkfX0/j1ohc/Eot8VPsg1hq1bA8A25cBfF8zzUPerEeuB3iG&#10;+Dt8H3/6/vHnXx9/eUewFwANch5e4javFeBIdvsWmzuUiVEo4CQdx/iFcusxfz94O/AnSdIjP02G&#10;J8hpY90NVy3xxJwaNExQzB5uretA3ol4L4CYhxkMlglJ1shsOkihnWES2G9AtBq1ZGUVtBwBfpIX&#10;HwFi6Cz8RcybWzBbd/kLLC/GsrZx3ASq5qx4IwvithrVKjGmqHel5QUlgmOqeSpIOtaI50iiloRE&#10;SflC6BD3lNssN1DjyaUqtshOSADyaHV+3cDRW2bdHTMYGdjEUHVv8SiFgjeqpyiplfn2ffteHoUG&#10;LtzHCPIIrphBMOJziRKcJaMR1LqwGKWTARbmmLM85shVe6VQ8cg1vAukl3diR5ZGtV9j9l56q2Ax&#10;mcP2nLodeeW6wYjZnfPLyyC00qap6u4FTCzN3K2817k343Mi1eXKqbIJpXLAqUcSLdWh9+/31n52&#10;HfVWP71e2FvjwfAwmNIkKGXZrrfGaT+VJpPQskdDadc3H2xrbe1Cuf9pb33sq5O7xt+cWZjtT86s&#10;1NeMb3acbS84s6ZDKO8O/EEyC91z3FdounBbiMfB3sfGenK8fZCH1n+/scLVENftcMPsPw38ff54&#10;HQ64w+fQx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MBgAAW0NvbnRlbnRfVHlwZXNdLnhtbFBLAQIUAAoAAAAAAIdO4kAAAAAAAAAAAAAAAAAG&#10;AAAAAAAAAAAAEAAAAO4EAABfcmVscy9QSwECFAAUAAAACACHTuJAihRmPNEAAACUAQAACwAAAAAA&#10;AAABACAAAAASBQAAX3JlbHMvLnJlbHNQSwECFAAKAAAAAACHTuJAAAAAAAAAAAAAAAAABAAAAAAA&#10;AAAAABAAAAAAAAAAZHJzL1BLAQIUABQAAAAIAIdO4kDJUWCV2wAAAAsBAAAPAAAAAAAAAAEAIAAA&#10;ACIAAABkcnMvZG93bnJldi54bWxQSwECFAAUAAAACACHTuJAjLgcDJgDAABWDQAADgAAAAAAAAAB&#10;ACAAAAAqAQAAZHJzL2Uyb0RvYy54bWxQSwUGAAAAAAYABgBZAQAANAcAAAAA&#10;">
                <o:lock v:ext="edit" aspectratio="f"/>
                <v:shape id="_x0000_s1026" o:spid="_x0000_s1026" o:spt="202" type="#_x0000_t202" style="position:absolute;left:5349;top:1411160;height:1813;width:711;rotation:1703936f;" filled="t" stroked="t" coordsize="21600,21600" o:gfxdata="UEsDBAoAAAAAAIdO4kAAAAAAAAAAAAAAAAAEAAAAZHJzL1BLAwQUAAAACACHTuJAkAnZPrcAAADb&#10;AAAADwAAAGRycy9kb3ducmV2LnhtbEVPuwrCMBTdBf8hXMFNUwu+qtFBEARx8LG4XZtrW21uShOt&#10;+vVmEBwP5z1fvkwpnlS7wrKCQT8CQZxaXXCm4HRc9yYgnEfWWFomBW9ysFy0W3NMtG14T8+Dz0QI&#10;YZeggtz7KpHSpTkZdH1bEQfuamuDPsA6k7rGJoSbUsZRNJIGCw4NOVa0yim9Hx5GwXh7SXd73awn&#10;5xhv8bA8viv+KNXtDKIZCE8v/xf/3ButYBrWhy/hB8jF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QCdk+twAAANsAAAAP&#10;AAAAAAAAAAEAIAAAACIAAABkcnMvZG93bnJldi54bWxQSwECFAAUAAAACACHTuJAMy8FnjsAAAA5&#10;AAAAEAAAAAAAAAABACAAAAAGAQAAZHJzL3NoYXBleG1sLnhtbFBLBQYAAAAABgAGAFsBAACwAwAA&#10;AAA=&#10;">
                  <v:fill on="t" focussize="0,0"/>
                  <v:stroke color="#000000 [3213]" joinstyle="miter" endcap="square"/>
                  <v:imagedata o:title=""/>
                  <o:lock v:ext="edit" aspectratio="f"/>
                  <v:textbox>
                    <w:txbxContent>
                      <w:p w14:paraId="62BB67F4">
                        <w:pPr>
                          <w:rPr>
                            <w:rFonts w:hint="default" w:eastAsia="宋体"/>
                            <w:lang w:val="en-US" w:eastAsia="zh-CN"/>
                          </w:rPr>
                        </w:pPr>
                        <w:r>
                          <w:rPr>
                            <w:rFonts w:hint="eastAsia"/>
                            <w:lang w:val="en-US" w:eastAsia="zh-CN"/>
                          </w:rPr>
                          <w:t>1#原料库房</w:t>
                        </w:r>
                      </w:p>
                    </w:txbxContent>
                  </v:textbox>
                </v:shape>
                <v:shape id="_x0000_s1026" o:spid="_x0000_s1026" o:spt="202" type="#_x0000_t202" style="position:absolute;left:6239;top:1411514;height:771;width:656;rotation:1703936f;" filled="t" stroked="t" coordsize="21600,21600" o:gfxdata="UEsDBAoAAAAAAIdO4kAAAAAAAAAAAAAAAAAEAAAAZHJzL1BLAwQUAAAACACHTuJAz1P+Ab0AAADb&#10;AAAADwAAAGRycy9kb3ducmV2LnhtbEWPQWvCQBSE7wX/w/KE3urGUiSmrh6UgKUgqOn9kX1ugtm3&#10;YXeNaX99t1DwOMzMN8xqM9pODORD61jBfJaBIK6dbtkoqM7lSw4iRGSNnWNS8E0BNuvJ0woL7e58&#10;pOEUjUgQDgUqaGLsCylD3ZDFMHM9cfIuzluMSXojtcd7gttOvmbZQlpsOS002NO2ofp6ulkFw1j5&#10;n3y5ux0+vj4rUxpX5n6v1PN0nr2DiDTGR/i/vdcKlm/w9yX9ALn+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U/4BvQAA&#10;ANsAAAAPAAAAAAAAAAEAIAAAACIAAABkcnMvZG93bnJldi54bWxQSwECFAAUAAAACACHTuJAMy8F&#10;njsAAAA5AAAAEAAAAAAAAAABACAAAAAMAQAAZHJzL3NoYXBleG1sLnhtbFBLBQYAAAAABgAGAFsB&#10;AAC2AwAAAAA=&#10;">
                  <v:fill on="t" focussize="0,0"/>
                  <v:stroke color="#000000 [3213]" joinstyle="miter" dashstyle="1 1" endcap="square"/>
                  <v:imagedata o:title=""/>
                  <o:lock v:ext="edit" aspectratio="f"/>
                  <v:textbox inset="0mm,1.27mm,2.54mm,1.27mm">
                    <w:txbxContent>
                      <w:p w14:paraId="14BD5233">
                        <w:pPr>
                          <w:rPr>
                            <w:rFonts w:hint="default" w:eastAsia="宋体"/>
                            <w:lang w:val="en-US" w:eastAsia="zh-CN"/>
                          </w:rPr>
                        </w:pPr>
                        <w:r>
                          <w:rPr>
                            <w:rFonts w:hint="eastAsia"/>
                            <w:lang w:val="en-US" w:eastAsia="zh-CN"/>
                          </w:rPr>
                          <w:t>2#生产线</w:t>
                        </w:r>
                      </w:p>
                    </w:txbxContent>
                  </v:textbox>
                </v:shape>
                <v:shape id="_x0000_s1026" o:spid="_x0000_s1026" o:spt="202" type="#_x0000_t202" style="position:absolute;left:5835;top:1412191;height:1065;width:659;rotation:1703936f;" filled="t" stroked="t" coordsize="21600,21600" o:gfxdata="UEsDBAoAAAAAAIdO4kAAAAAAAAAAAAAAAAAEAAAAZHJzL1BLAwQUAAAACACHTuJAoB9bmr0AAADb&#10;AAAADwAAAGRycy9kb3ducmV2LnhtbEWPQWvCQBSE7wX/w/KE3urGQiWmrh6UgKUgqOn9kX1ugtm3&#10;YXeNaX99t1DwOMzMN8xqM9pODORD61jBfJaBIK6dbtkoqM7lSw4iRGSNnWNS8E0BNuvJ0woL7e58&#10;pOEUjUgQDgUqaGLsCylD3ZDFMHM9cfIuzluMSXojtcd7gttOvmbZQlpsOS002NO2ofp6ulkFw1j5&#10;n3y5ux0+vj4rUxpX5n6v1PN0nr2DiDTGR/i/vdcKlm/w9yX9ALn+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H1uavQAA&#10;ANsAAAAPAAAAAAAAAAEAIAAAACIAAABkcnMvZG93bnJldi54bWxQSwECFAAUAAAACACHTuJAMy8F&#10;njsAAAA5AAAAEAAAAAAAAAABACAAAAAMAQAAZHJzL3NoYXBleG1sLnhtbFBLBQYAAAAABgAGAFsB&#10;AAC2AwAAAAA=&#10;">
                  <v:fill on="t" focussize="0,0"/>
                  <v:stroke color="#000000 [3213]" joinstyle="miter" dashstyle="1 1" endcap="square"/>
                  <v:imagedata o:title=""/>
                  <o:lock v:ext="edit" aspectratio="f"/>
                  <v:textbox inset="0mm,1.27mm,2.54mm,1.27mm">
                    <w:txbxContent>
                      <w:p w14:paraId="0EA8011A">
                        <w:pPr>
                          <w:rPr>
                            <w:rFonts w:hint="default" w:eastAsia="宋体"/>
                            <w:lang w:val="en-US" w:eastAsia="zh-CN"/>
                          </w:rPr>
                        </w:pPr>
                        <w:r>
                          <w:rPr>
                            <w:rFonts w:hint="eastAsia"/>
                            <w:lang w:val="en-US" w:eastAsia="zh-CN"/>
                          </w:rPr>
                          <w:t>1#生产线</w:t>
                        </w:r>
                      </w:p>
                    </w:txbxContent>
                  </v:textbox>
                </v:shape>
              </v:group>
            </w:pict>
          </mc:Fallback>
        </mc:AlternateContent>
      </w:r>
      <w:r>
        <w:rPr>
          <w:color w:val="auto"/>
          <w:sz w:val="32"/>
          <w:highlight w:val="none"/>
        </w:rPr>
        <mc:AlternateContent>
          <mc:Choice Requires="wps">
            <w:drawing>
              <wp:anchor distT="0" distB="0" distL="114300" distR="114300" simplePos="0" relativeHeight="251725824" behindDoc="0" locked="0" layoutInCell="1" allowOverlap="1">
                <wp:simplePos x="0" y="0"/>
                <wp:positionH relativeFrom="column">
                  <wp:posOffset>3416935</wp:posOffset>
                </wp:positionH>
                <wp:positionV relativeFrom="paragraph">
                  <wp:posOffset>251460</wp:posOffset>
                </wp:positionV>
                <wp:extent cx="548640" cy="320675"/>
                <wp:effectExtent l="0" t="0" r="0" b="0"/>
                <wp:wrapNone/>
                <wp:docPr id="96" name="文本框 96"/>
                <wp:cNvGraphicFramePr/>
                <a:graphic xmlns:a="http://schemas.openxmlformats.org/drawingml/2006/main">
                  <a:graphicData uri="http://schemas.microsoft.com/office/word/2010/wordprocessingShape">
                    <wps:wsp>
                      <wps:cNvSpPr txBox="1"/>
                      <wps:spPr>
                        <a:xfrm rot="1680000">
                          <a:off x="4634230" y="473710"/>
                          <a:ext cx="548640" cy="320675"/>
                        </a:xfrm>
                        <a:prstGeom prst="rect">
                          <a:avLst/>
                        </a:prstGeom>
                        <a:noFill/>
                        <a:ln w="9525" cap="sq" cmpd="sng">
                          <a:noFill/>
                          <a:prstDash val="solid"/>
                          <a:miter/>
                          <a:headEnd type="none" w="med" len="med"/>
                          <a:tailEnd type="none" w="med" len="med"/>
                        </a:ln>
                      </wps:spPr>
                      <wps:txbx>
                        <w:txbxContent>
                          <w:p w14:paraId="555AB3EF">
                            <w:pPr>
                              <w:rPr>
                                <w:rFonts w:hint="eastAsia" w:eastAsia="宋体"/>
                                <w:lang w:eastAsia="zh-CN"/>
                              </w:rPr>
                            </w:pPr>
                            <w:r>
                              <w:rPr>
                                <w:rFonts w:hint="eastAsia"/>
                                <w:lang w:eastAsia="zh-CN"/>
                              </w:rPr>
                              <w:t>大门</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269.05pt;margin-top:19.8pt;height:25.25pt;width:43.2pt;rotation:1835008f;z-index:251725824;mso-width-relative:page;mso-height-relative:page;" filled="f" stroked="f" coordsize="21600,21600" o:gfxdata="UEsDBAoAAAAAAIdO4kAAAAAAAAAAAAAAAAAEAAAAZHJzL1BLAwQUAAAACACHTuJARp9it9sAAAAJ&#10;AQAADwAAAGRycy9kb3ducmV2LnhtbE2PQUvDQBCF74L/YRnBi9jdJG1oYyZFBXsqlFQ9eNsm0yQ0&#10;Oxuy27T+e9eTHof38d43+fpqejHR6DrLCNFMgSCubN1xg/Dx/va4BOG85lr3lgnhmxysi9ubXGe1&#10;vXBJ0943IpSwyzRC6/2QSemqlox2MzsQh+xoR6N9OMdG1qO+hHLTy1ipVBrdcVho9UCvLVWn/dkg&#10;7B4+ty/bjTmVVVIqN582z8evGPH+LlJPIDxd/R8Mv/pBHYrgdLBnrp3oERbJMgooQrJKQQQgjecL&#10;EAeElYpAFrn8/0HxA1BLAwQUAAAACACHTuJAlmPQ74wCAAAXBQAADgAAAGRycy9lMm9Eb2MueG1s&#10;rVTLbhMxFN0j8Q+W93TyTht1UoWGIqSKViqItePxZCz5he28+AD6B6zYsOe7+h0ce5I2Kiy6IAvr&#10;2vfk+J7je+f8YqsVWQsfpDUl7Z50KBGG20qaZUk/f7p6c0pJiMxUTFkjSroTgV5MX78637iJ6NnG&#10;qkp4AhITJhtX0iZGNymKwBuhWTixThgka+s1i9j6ZVF5tgG7VkWv0xkVG+sr5y0XIeB03ibpntG/&#10;hNDWteRibvlKCxNbVi8Ui5AUGukCneZq61rweFPXQUSiSgqlMa+4BPEircX0nE2WnrlG8n0J7CUl&#10;PNOkmTS49JFqziIjKy//otKSextsHU+41UUrJDsCFd3OM2/uGuZE1gKrg3s0Pfw/Wv5xfeuJrEp6&#10;NqLEMI0Xf/hx//Dz98Ov7wRnMGjjwgS4Owdk3L61W7TN4TzgMOne1l4Tb+Fvd3TawS+7AX0E6MGo&#10;P+j1YfkO8bg/7u59F9tIOPLDwelogDRHvt/rjMbDRF+0rInd+RDfC6tJCkrq8ayZn62vQ2yhB0iC&#10;G3sllcpPqwzZQNuwNwQ9Q7uGrwi0g+BglpnkCJ1I5iw0ZM3QL8EqWbUdomUUPhM2glXvTEXizsEq&#10;gxGh6QYtKkqUwESlKCMjk+olSOhUBnKTza2dKYrbxRY0KVzYagfrs7twKTh+JVHoNQvxlnm0Kw4x&#10;0PEGS60sqrH7iJLG+m//Ok94dBGyKB/tn4xZMQ8x6oNBf511B+lFYt4MhuMeNv44szjOmJW+tHCs&#10;m6vLYcJHdQhrb/UXzP0s3YoUMxx3lzQewsvYDiW+G1zMZhm0cl4um/YPmBbH4rW5czxd077ybBVt&#10;LXMDPPm0dxLzkltoP9tpII/3GfX0PZv+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EafYrfbAAAA&#10;CQEAAA8AAAAAAAAAAQAgAAAAIgAAAGRycy9kb3ducmV2LnhtbFBLAQIUABQAAAAIAIdO4kCWY9Dv&#10;jAIAABcFAAAOAAAAAAAAAAEAIAAAACoBAABkcnMvZTJvRG9jLnhtbFBLBQYAAAAABgAGAFkBAAAo&#10;BgAAAAA=&#10;">
                <v:fill on="f" focussize="0,0"/>
                <v:stroke on="f" joinstyle="miter" endcap="square"/>
                <v:imagedata o:title=""/>
                <o:lock v:ext="edit" aspectratio="f"/>
                <v:textbox>
                  <w:txbxContent>
                    <w:p w14:paraId="555AB3EF">
                      <w:pPr>
                        <w:rPr>
                          <w:rFonts w:hint="eastAsia" w:eastAsia="宋体"/>
                          <w:lang w:eastAsia="zh-CN"/>
                        </w:rPr>
                      </w:pPr>
                      <w:r>
                        <w:rPr>
                          <w:rFonts w:hint="eastAsia"/>
                          <w:lang w:eastAsia="zh-CN"/>
                        </w:rPr>
                        <w:t>大门</w:t>
                      </w:r>
                    </w:p>
                  </w:txbxContent>
                </v:textbox>
              </v:shape>
            </w:pict>
          </mc:Fallback>
        </mc:AlternateContent>
      </w:r>
      <w:r>
        <w:rPr>
          <w:color w:val="auto"/>
          <w:sz w:val="24"/>
          <w:highlight w:val="none"/>
        </w:rPr>
        <mc:AlternateContent>
          <mc:Choice Requires="wps">
            <w:drawing>
              <wp:anchor distT="0" distB="0" distL="114300" distR="114300" simplePos="0" relativeHeight="251713536" behindDoc="0" locked="0" layoutInCell="1" allowOverlap="1">
                <wp:simplePos x="0" y="0"/>
                <wp:positionH relativeFrom="column">
                  <wp:posOffset>5202555</wp:posOffset>
                </wp:positionH>
                <wp:positionV relativeFrom="paragraph">
                  <wp:posOffset>1885950</wp:posOffset>
                </wp:positionV>
                <wp:extent cx="2133600" cy="1159510"/>
                <wp:effectExtent l="158750" t="421640" r="165100" b="438150"/>
                <wp:wrapNone/>
                <wp:docPr id="84" name="文本框 84"/>
                <wp:cNvGraphicFramePr/>
                <a:graphic xmlns:a="http://schemas.openxmlformats.org/drawingml/2006/main">
                  <a:graphicData uri="http://schemas.microsoft.com/office/word/2010/wordprocessingShape">
                    <wps:wsp>
                      <wps:cNvSpPr txBox="1"/>
                      <wps:spPr>
                        <a:xfrm rot="1560000">
                          <a:off x="0" y="0"/>
                          <a:ext cx="2133600" cy="1159510"/>
                        </a:xfrm>
                        <a:prstGeom prst="rect">
                          <a:avLst/>
                        </a:prstGeom>
                        <a:noFill/>
                        <a:ln w="19050" cap="sq" cmpd="sng">
                          <a:solidFill>
                            <a:srgbClr val="FF0000"/>
                          </a:solidFill>
                          <a:prstDash val="solid"/>
                          <a:miter/>
                          <a:headEnd type="none" w="med" len="med"/>
                          <a:tailEnd type="none" w="med" len="med"/>
                        </a:ln>
                      </wps:spPr>
                      <wps:txbx>
                        <w:txbxContent>
                          <w:p w14:paraId="2A847F0F"/>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409.65pt;margin-top:148.5pt;height:91.3pt;width:168pt;rotation:1703936f;z-index:251713536;mso-width-relative:page;mso-height-relative:page;" filled="f" stroked="t" coordsize="21600,21600" o:gfxdata="UEsDBAoAAAAAAIdO4kAAAAAAAAAAAAAAAAAEAAAAZHJzL1BLAwQUAAAACACHTuJA4eC5i9oAAAAM&#10;AQAADwAAAGRycy9kb3ducmV2LnhtbE2P0UrDQBBF3wX/YZmCb3aTapImZlJQUARBMPYDttlpEprd&#10;Ddlt0/690yf7ODOHO+eWm7MZxIkm3zuLEC8jEGQbp3vbImx/3x/XIHxQVqvBWUK4kIdNdX9XqkK7&#10;2f7QqQ6t4BDrC4XQhTAWUvqmI6P80o1k+bZ3k1GBx6mVelIzh5tBrqIolUb1lj90aqS3jppDfTQI&#10;33la99tL+7H/Ggf/mRmXvM4O8WERRy8gAp3DPwxXfVaHip127mi1FwPCOs6fGEVY5RmXuhJxkvBq&#10;h/Cc5SnIqpS3Jao/UEsDBBQAAAAIAIdO4kCyAqBqmgIAADgFAAAOAAAAZHJzL2Uyb0RvYy54bWyt&#10;VM1uEzEQviPxDpbvdLNpAm3UTRUagpAqWqkgzo7Xm7XkP2wn2fAA8AacuHDnufocfPYmbSkcemAP&#10;q/HMt9/MfJ7Zs/NOK7IRPkhrKloeDSgRhttamlVFP35YvDihJERmaqasERXdiUDPp8+fnW3dRAxt&#10;a1UtPAGJCZOtq2gbo5sUReCt0CwcWScMgo31mkUc/aqoPduCXatiOBi8LLbW185bLkKAd94H6Z7R&#10;P4XQNo3kYm75WgsTe1YvFItoKbTSBTrN1TaN4PGqaYKIRFUUncb8RhLYy/QupmdssvLMtZLvS2BP&#10;KeFRT5pJg6R3VHMWGVl7+ReVltzbYJt4xK0u+kayIuiiHDzS5qZlTuReIHVwd6KH/0fL32+uPZF1&#10;RU9GlBimceO337/d/vh1+/MrgQ8CbV2YAHfjgIzda9thbA7+AGfqu2u8Jt5C33L8coAnq4H+CNAQ&#10;e3cntugi4XAOy+NjICnhiJXl+HRc5usoerJE6nyIb4XVJBkV9bjNTMs2lyGiMEAPkAQ3diGVyjeq&#10;DNmC9XQwTgkYxjR8hqEdGg1mlVmCVbJOX6Rvg18tL5QnG4ZBWSxyB32GP2Ap3ZyFtsflUD9CWkbh&#10;c+pWsPqNqUncOWhpsEM01aJFTYkSWLlkZWRkUj0FiTaVQbfpHnq9kxW7ZQeaZC5tvcPdZPnRb3B8&#10;IVHoJQvxmnnMM5zY+HiFV6MsqrF7i5LW+i//8ic8xgxRlI/9SAqumUcz6p3BAJ6WoxFoYz6Mxq+G&#10;OPiHkeXDiFnrCwtly1xdNhM+qoPZeKs/4ccwS1kRYoYjd0XjwbyI/dbix8LFbJZBa+flqsUHoMU6&#10;ORYvzY3j6dzPw2wdbSPzqNzrtFcSC5UnaL/8aWMfnjPq/oc3/Q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Dh4LmL2gAAAAwBAAAPAAAAAAAAAAEAIAAAACIAAABkcnMvZG93bnJldi54bWxQSwECFAAU&#10;AAAACACHTuJAsgKgapoCAAA4BQAADgAAAAAAAAABACAAAAApAQAAZHJzL2Uyb0RvYy54bWxQSwUG&#10;AAAAAAYABgBZAQAANQYAAAAA&#10;">
                <v:fill on="f" focussize="0,0"/>
                <v:stroke weight="1.5pt" color="#FF0000" joinstyle="miter" endcap="square"/>
                <v:imagedata o:title=""/>
                <o:lock v:ext="edit" aspectratio="f"/>
                <v:textbox>
                  <w:txbxContent>
                    <w:p w14:paraId="2A847F0F"/>
                  </w:txbxContent>
                </v:textbox>
              </v:shape>
            </w:pict>
          </mc:Fallback>
        </mc:AlternateContent>
      </w:r>
      <w:r>
        <w:rPr>
          <w:color w:val="auto"/>
          <w:sz w:val="24"/>
          <w:highlight w:val="none"/>
        </w:rPr>
        <mc:AlternateContent>
          <mc:Choice Requires="wps">
            <w:drawing>
              <wp:anchor distT="0" distB="0" distL="114300" distR="114300" simplePos="0" relativeHeight="251718656" behindDoc="0" locked="0" layoutInCell="1" allowOverlap="1">
                <wp:simplePos x="0" y="0"/>
                <wp:positionH relativeFrom="column">
                  <wp:posOffset>3493135</wp:posOffset>
                </wp:positionH>
                <wp:positionV relativeFrom="paragraph">
                  <wp:posOffset>995680</wp:posOffset>
                </wp:positionV>
                <wp:extent cx="1899285" cy="1169670"/>
                <wp:effectExtent l="172720" t="369570" r="175895" b="384810"/>
                <wp:wrapNone/>
                <wp:docPr id="11" name="文本框 11"/>
                <wp:cNvGraphicFramePr/>
                <a:graphic xmlns:a="http://schemas.openxmlformats.org/drawingml/2006/main">
                  <a:graphicData uri="http://schemas.microsoft.com/office/word/2010/wordprocessingShape">
                    <wps:wsp>
                      <wps:cNvSpPr txBox="1"/>
                      <wps:spPr>
                        <a:xfrm rot="1560000">
                          <a:off x="0" y="0"/>
                          <a:ext cx="1899285" cy="1169670"/>
                        </a:xfrm>
                        <a:prstGeom prst="rect">
                          <a:avLst/>
                        </a:prstGeom>
                        <a:noFill/>
                        <a:ln w="19050" cap="sq" cmpd="sng">
                          <a:solidFill>
                            <a:srgbClr val="000000"/>
                          </a:solidFill>
                          <a:prstDash val="solid"/>
                          <a:miter/>
                          <a:headEnd type="none" w="med" len="med"/>
                          <a:tailEnd type="none" w="med" len="med"/>
                        </a:ln>
                      </wps:spPr>
                      <wps:txbx>
                        <w:txbxContent>
                          <w:p w14:paraId="68582221">
                            <w:pPr>
                              <w:rPr>
                                <w:rFonts w:hint="default" w:eastAsia="宋体"/>
                                <w:lang w:val="en-US" w:eastAsia="zh-CN"/>
                              </w:rPr>
                            </w:pPr>
                            <w:r>
                              <w:rPr>
                                <w:rFonts w:hint="eastAsia"/>
                                <w:lang w:eastAsia="zh-CN"/>
                              </w:rPr>
                              <w:t>佳合</w:t>
                            </w:r>
                            <w:r>
                              <w:rPr>
                                <w:rFonts w:hint="eastAsia"/>
                                <w:lang w:val="en-US" w:eastAsia="zh-CN"/>
                              </w:rPr>
                              <w:t>鹏程2#厂房剩余部分</w:t>
                            </w:r>
                          </w:p>
                        </w:txbxContent>
                      </wps:txbx>
                      <wps:bodyPr rot="0" spcFirstLastPara="0" vertOverflow="overflow" horzOverflow="overflow" vert="horz" wrap="square" lIns="91440" tIns="45720" rIns="91440" bIns="45720" numCol="1" spcCol="0" rtlCol="0" fromWordArt="0" anchor="ctr" anchorCtr="0" forceAA="0" upright="0" compatLnSpc="1">
                        <a:noAutofit/>
                      </wps:bodyPr>
                    </wps:wsp>
                  </a:graphicData>
                </a:graphic>
              </wp:anchor>
            </w:drawing>
          </mc:Choice>
          <mc:Fallback>
            <w:pict>
              <v:shape id="_x0000_s1026" o:spid="_x0000_s1026" o:spt="202" type="#_x0000_t202" style="position:absolute;left:0pt;margin-left:275.05pt;margin-top:78.4pt;height:92.1pt;width:149.55pt;rotation:1703936f;z-index:251718656;v-text-anchor:middle;mso-width-relative:page;mso-height-relative:page;" filled="f" stroked="t" coordsize="21600,21600" o:gfxdata="UEsDBAoAAAAAAIdO4kAAAAAAAAAAAAAAAAAEAAAAZHJzL1BLAwQUAAAACACHTuJARXGqDtoAAAAL&#10;AQAADwAAAGRycy9kb3ducmV2LnhtbE2Py07DMBBF90j8gzVIbBC10yZVG+JUAimrigWlC5ZOMsSB&#10;eBzF7iN/z7CC5ege3Tm32F3dIM44hd6ThmShQCA1vu2p03B8rx43IEI01JrBE2qYMcCuvL0pTN76&#10;C73h+RA7wSUUcqPBxjjmUobGojNh4Uckzj795Ezkc+pkO5kLl7tBLpVaS2d64g/WjPhisfk+nJyG&#10;172tq2y7n5+/Knes3UO6mtWH1vd3iXoCEfEa/2D41Wd1KNmp9idqgxg0ZJlKGOUgW/MGJjbpdgmi&#10;1rBKEwWyLOT/DeUPUEsDBBQAAAAIAIdO4kDs0NZPmwIAADoFAAAOAAAAZHJzL2Uyb0RvYy54bWyt&#10;VM1uEzEQviPxDpbvdLNRkzZRN1VoKEKqaKWCODteb9aS/7CdZMMDwBtw4sKd5+pz8NmbtKVw6IE9&#10;rMaeb7+Z+WZmz847rchG+CCtqWh5NKBEGG5raVYV/fjh8tUpJSEyUzNljajoTgR6Pnv54mzrpmJo&#10;W6tq4QlITJhuXUXbGN20KAJvhWbhyDph4Gys1yzi6FdF7dkW7FoVw8FgXGytr523XISA20XvpHtG&#10;/xxC2zSSi4Xlay1M7Fm9UCyipNBKF+gsZ9s0gsfrpgkiElVRVBrzG0FgL9O7mJ2x6coz10q+T4E9&#10;J4UnNWkmDYLeUy1YZGTt5V9UWnJvg23iEbe66AvJiqCKcvBEm9uWOZFrgdTB3Yse/h8tf7+58UTW&#10;mISSEsM0On73/dvdj193P78S3EGgrQtT4G4dkLF7bTuAD/cBl6nurvGaeAt9y9F4gCergfoI0BB7&#10;dy+26CLhieJ0Mhmejijh8JXleDI+ye0oerJE6nyIb4XVJBkV9ehmpmWbqxCRGKAHSIIbeymVyh1V&#10;hmzBOhmMEJszjGn4DEM7FBrMKrMEq2SdvkjfBr9aXihPNiwNSn5SiYjwByyFW7DQ9rjs6kdIyyh8&#10;Dt0KVr8xNYk7By0NdoimXLSoKVECK5esjIxMqucgkYQyyCX1odc7WbFbdqBJ5tLWO/Qmy496g+OX&#10;EolesRBvmMc84xIbH6/xapRFNnZvUdJa/+Vf9wmPMYMX6WM/koJr5lGMemcwgJPy+Bi0MR+ORydD&#10;HPxjz/Kxx6z1hYWymDFkl82Ej+pgNt7qT/gxzFNUuJjhiF1RHv3hcBH7vcWvhYv5PMPWzstV23+C&#10;hXIsXplbx1OgfiLm62gbmYflQam9llip3OH9+qedfXzOqIdf3uw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RXGqDtoAAAALAQAADwAAAAAAAAABACAAAAAiAAAAZHJzL2Rvd25yZXYueG1sUEsBAhQA&#10;FAAAAAgAh07iQOzQ1k+bAgAAOgUAAA4AAAAAAAAAAQAgAAAAKQEAAGRycy9lMm9Eb2MueG1sUEsF&#10;BgAAAAAGAAYAWQEAADYGAAAAAA==&#10;">
                <v:fill on="f" focussize="0,0"/>
                <v:stroke weight="1.5pt" color="#000000" joinstyle="miter" endcap="square"/>
                <v:imagedata o:title=""/>
                <o:lock v:ext="edit" aspectratio="f"/>
                <v:textbox>
                  <w:txbxContent>
                    <w:p w14:paraId="68582221">
                      <w:pPr>
                        <w:rPr>
                          <w:rFonts w:hint="default" w:eastAsia="宋体"/>
                          <w:lang w:val="en-US" w:eastAsia="zh-CN"/>
                        </w:rPr>
                      </w:pPr>
                      <w:r>
                        <w:rPr>
                          <w:rFonts w:hint="eastAsia"/>
                          <w:lang w:eastAsia="zh-CN"/>
                        </w:rPr>
                        <w:t>佳合</w:t>
                      </w:r>
                      <w:r>
                        <w:rPr>
                          <w:rFonts w:hint="eastAsia"/>
                          <w:lang w:val="en-US" w:eastAsia="zh-CN"/>
                        </w:rPr>
                        <w:t>鹏程2#厂房剩余部分</w:t>
                      </w:r>
                    </w:p>
                  </w:txbxContent>
                </v:textbox>
              </v:shape>
            </w:pict>
          </mc:Fallback>
        </mc:AlternateContent>
      </w:r>
      <w:r>
        <w:rPr>
          <w:color w:val="auto"/>
          <w:sz w:val="24"/>
          <w:highlight w:val="none"/>
        </w:rPr>
        <mc:AlternateContent>
          <mc:Choice Requires="wps">
            <w:drawing>
              <wp:anchor distT="0" distB="0" distL="114300" distR="114300" simplePos="0" relativeHeight="251714560" behindDoc="0" locked="0" layoutInCell="1" allowOverlap="1">
                <wp:simplePos x="0" y="0"/>
                <wp:positionH relativeFrom="column">
                  <wp:posOffset>2829560</wp:posOffset>
                </wp:positionH>
                <wp:positionV relativeFrom="paragraph">
                  <wp:posOffset>2242820</wp:posOffset>
                </wp:positionV>
                <wp:extent cx="899795" cy="1169670"/>
                <wp:effectExtent l="223520" t="150495" r="229235" b="165735"/>
                <wp:wrapNone/>
                <wp:docPr id="85" name="文本框 85"/>
                <wp:cNvGraphicFramePr/>
                <a:graphic xmlns:a="http://schemas.openxmlformats.org/drawingml/2006/main">
                  <a:graphicData uri="http://schemas.microsoft.com/office/word/2010/wordprocessingShape">
                    <wps:wsp>
                      <wps:cNvSpPr txBox="1"/>
                      <wps:spPr>
                        <a:xfrm rot="1560000">
                          <a:off x="0" y="0"/>
                          <a:ext cx="899795" cy="1169670"/>
                        </a:xfrm>
                        <a:prstGeom prst="rect">
                          <a:avLst/>
                        </a:prstGeom>
                        <a:noFill/>
                        <a:ln w="19050" cap="sq" cmpd="sng">
                          <a:solidFill>
                            <a:srgbClr val="FF0000"/>
                          </a:solidFill>
                          <a:prstDash val="solid"/>
                          <a:miter/>
                          <a:headEnd type="none" w="med" len="med"/>
                          <a:tailEnd type="none" w="med" len="med"/>
                        </a:ln>
                      </wps:spPr>
                      <wps:txbx>
                        <w:txbxContent>
                          <w:p w14:paraId="1D4D9621"/>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22.8pt;margin-top:176.6pt;height:92.1pt;width:70.85pt;rotation:1703936f;z-index:251714560;mso-width-relative:page;mso-height-relative:page;" filled="f" stroked="t" coordsize="21600,21600" o:gfxdata="UEsDBAoAAAAAAIdO4kAAAAAAAAAAAAAAAAAEAAAAZHJzL1BLAwQUAAAACACHTuJAvmTIeNoAAAAL&#10;AQAADwAAAGRycy9kb3ducmV2LnhtbE2P3UrDQBBG7wXfYZmCd3bT5q/GbAoKiiAUjH2AbXaahGZn&#10;Q3bbtG/veKV3M8zhm/OV26sdxAUn3ztSsFpGIJAaZ3pqFey/3x43IHzQZPTgCBXc0MO2ur8rdWHc&#10;TF94qUMrOIR8oRV0IYyFlL7p0Gq/dCMS345usjrwOrXSTHrmcDvIdRRl0uqe+EOnR3ztsDnVZ6tg&#10;95TV/f7Wvh8/x8F/5NalL7NT6mGxip5BBLyGPxh+9VkdKnY6uDMZLwYFSZJmjCqI03gNgol0k8cg&#10;DjzEeQKyKuX/DtUPUEsDBBQAAAAIAIdO4kCie1/GmwIAADcFAAAOAAAAZHJzL2Uyb0RvYy54bWyt&#10;VM1uEzEQviPxDpbvdLNVkzZRN1VoCEKqaKWCODteb9aS/7CdZMMDwBtw4sKd5+pz8NmbtKVw6IE9&#10;rMYzs9/M93lmzy86rchG+CCtqWh5NKBEGG5raVYV/fhh8eqMkhCZqZmyRlR0JwK9mL58cb51E3Fs&#10;W6tq4QlATJhsXUXbGN2kKAJvhWbhyDphEGys1yzi6FdF7dkW6FoVx4PBqNhaXztvuQgB3nkfpHtE&#10;/xxA2zSSi7nlay1M7FG9UCyCUmilC3Sau20aweN10wQRiaoomMb8RhHYy/QupudssvLMtZLvW2DP&#10;aeEJJ82kQdF7qDmLjKy9/AtKS+5tsE084lYXPZGsCFiUgyfa3LbMicwFUgd3L3r4f7D8/ebGE1lX&#10;9GxIiWEaN373/dvdj193P78S+CDQ1oUJ8m4dMmP32nYYm4M/wJl4d43XxFvoWw5HAzxZDfAjyIbY&#10;u3uxRRcJh/NsPD4doyZHqCxH49Fpvo2ix0qYzof4VlhNklFRj8vMqGxzFSL6QuohJaUbu5BK5QtV&#10;hmyBOh4MUZozTGn4DEM78AxmlVGCVbJOX6Rvg18tL5UnG4Y5WSwygb7CH2mp3JyFts/LoX6CtIzC&#10;59KtYPUbU5O4c5DSYIVo6kWLmhIlsHHJypmRSfWcTNBUBmzTNfRyJyt2yw4wyVzaeoeryeqDb3B8&#10;IdHoFQvxhnmMM5xY+HiNV6MsurF7i5LW+i//8qd8TBmiaB/rkRRcMw8y6p3B/I3LkxPAxnw4GZ4e&#10;4+AfR5aPI2atLy2ULXN32Uz5UR3Mxlv9Cf+FWaqKEDMctSsaD+Zl7JcW/xUuZrOctHZerlp8AFhs&#10;k2Pxytw6ns79PMzW0TYyj8qDTnslsU95gva7nxb28TlnPfzvp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vmTIeNoAAAALAQAADwAAAAAAAAABACAAAAAiAAAAZHJzL2Rvd25yZXYueG1sUEsBAhQA&#10;FAAAAAgAh07iQKJ7X8abAgAANwUAAA4AAAAAAAAAAQAgAAAAKQEAAGRycy9lMm9Eb2MueG1sUEsF&#10;BgAAAAAGAAYAWQEAADYGAAAAAA==&#10;">
                <v:fill on="f" focussize="0,0"/>
                <v:stroke weight="1.5pt" color="#FF0000" joinstyle="miter" endcap="square"/>
                <v:imagedata o:title=""/>
                <o:lock v:ext="edit" aspectratio="f"/>
                <v:textbox>
                  <w:txbxContent>
                    <w:p w14:paraId="1D4D9621"/>
                  </w:txbxContent>
                </v:textbox>
              </v:shape>
            </w:pict>
          </mc:Fallback>
        </mc:AlternateContent>
      </w:r>
      <w:r>
        <w:rPr>
          <w:color w:val="auto"/>
          <w:sz w:val="24"/>
          <w:highlight w:val="none"/>
        </w:rPr>
        <mc:AlternateContent>
          <mc:Choice Requires="wps">
            <w:drawing>
              <wp:anchor distT="0" distB="0" distL="114300" distR="114300" simplePos="0" relativeHeight="251720704" behindDoc="0" locked="0" layoutInCell="1" allowOverlap="1">
                <wp:simplePos x="0" y="0"/>
                <wp:positionH relativeFrom="column">
                  <wp:posOffset>2366645</wp:posOffset>
                </wp:positionH>
                <wp:positionV relativeFrom="paragraph">
                  <wp:posOffset>3712845</wp:posOffset>
                </wp:positionV>
                <wp:extent cx="634365" cy="306705"/>
                <wp:effectExtent l="41275" t="125730" r="48260" b="139065"/>
                <wp:wrapNone/>
                <wp:docPr id="18" name="文本框 18"/>
                <wp:cNvGraphicFramePr/>
                <a:graphic xmlns:a="http://schemas.openxmlformats.org/drawingml/2006/main">
                  <a:graphicData uri="http://schemas.microsoft.com/office/word/2010/wordprocessingShape">
                    <wps:wsp>
                      <wps:cNvSpPr txBox="1"/>
                      <wps:spPr>
                        <a:xfrm rot="1500000">
                          <a:off x="0" y="0"/>
                          <a:ext cx="634365" cy="306705"/>
                        </a:xfrm>
                        <a:prstGeom prst="rect">
                          <a:avLst/>
                        </a:prstGeom>
                        <a:noFill/>
                        <a:ln w="9525" cap="sq" cmpd="sng">
                          <a:solidFill>
                            <a:schemeClr val="tx1"/>
                          </a:solidFill>
                          <a:prstDash val="solid"/>
                          <a:miter/>
                          <a:headEnd type="none" w="med" len="med"/>
                          <a:tailEnd type="none" w="med" len="med"/>
                        </a:ln>
                      </wps:spPr>
                      <wps:txbx>
                        <w:txbxContent>
                          <w:p w14:paraId="4A4BB1A8">
                            <w:pPr>
                              <w:rPr>
                                <w:rFonts w:hint="eastAsia" w:eastAsia="宋体"/>
                                <w:lang w:eastAsia="zh-CN"/>
                              </w:rPr>
                            </w:pPr>
                            <w:r>
                              <w:rPr>
                                <w:rFonts w:hint="eastAsia"/>
                                <w:lang w:eastAsia="zh-CN"/>
                              </w:rPr>
                              <w:t>办公楼</w:t>
                            </w:r>
                          </w:p>
                        </w:txbxContent>
                      </wps:txbx>
                      <wps:bodyPr rot="0" spcFirstLastPara="0" vertOverflow="overflow" horzOverflow="overflow" vert="horz" wrap="square" lIns="91440" tIns="45720" rIns="91440" bIns="45720" numCol="1" spcCol="0" rtlCol="0" fromWordArt="0" anchor="ctr" anchorCtr="0" forceAA="0" upright="0" compatLnSpc="1">
                        <a:noAutofit/>
                      </wps:bodyPr>
                    </wps:wsp>
                  </a:graphicData>
                </a:graphic>
              </wp:anchor>
            </w:drawing>
          </mc:Choice>
          <mc:Fallback>
            <w:pict>
              <v:shape id="_x0000_s1026" o:spid="_x0000_s1026" o:spt="202" type="#_x0000_t202" style="position:absolute;left:0pt;margin-left:186.35pt;margin-top:292.35pt;height:24.15pt;width:49.95pt;rotation:1638400f;z-index:251720704;v-text-anchor:middle;mso-width-relative:page;mso-height-relative:page;" filled="f" stroked="t" coordsize="21600,21600" o:gfxdata="UEsDBAoAAAAAAIdO4kAAAAAAAAAAAAAAAAAEAAAAZHJzL1BLAwQUAAAACACHTuJAyEJETNoAAAAL&#10;AQAADwAAAGRycy9kb3ducmV2LnhtbE2PwU7DMAyG70i8Q2QkLogla0c7lbo7IE0IiQsdF25ZY9qK&#10;xqmarFt5esIJbrb86ff3l7uLHcRMk+8dI6xXCgRx40zPLcL7YX+/BeGDZqMHx4SwkIdddX1V6sK4&#10;M7/RXIdWxBD2hUboQhgLKX3TkdV+5UbiePt0k9UhrlMrzaTPMdwOMlEqk1b3HD90eqSnjpqv+mQR&#10;7pa5np41v7weevOxX6wx9jsg3t6s1SOIQJfwB8OvflSHKjod3YmNFwNCmid5RBEetps4RGKTJxmI&#10;I0KWpgpkVcr/HaofUEsDBBQAAAAIAIdO4kCqX3s5lgIAADcFAAAOAAAAZHJzL2Uyb0RvYy54bWyt&#10;VM1uEzEQviPxDpbvdDdpEmjUTRUaipAqWqkgzo7Xm7XkP2wn2fAA8AacuHDnufocfPYmbSkcemAP&#10;q/HMt9/MfJ7Z07NOK7IRPkhrKjo4KikRhttamlVFP364ePGKkhCZqZmyRlR0JwI9mz1/drp1UzG0&#10;rVW18AQkJky3rqJtjG5aFIG3QrNwZJ0wCDbWaxZx9Kui9mwLdq2KYVlOiq31tfOWixDgXfRBumf0&#10;TyG0TSO5WFi+1sLEntULxSJaCq10gc5ytU0jeLxqmiAiURVFpzG/kQT2Mr2L2SmbrjxzreT7EthT&#10;SnjUk2bSIOkd1YJFRtZe/kWlJfc22CYecauLvpGsCLoYlI+0uWmZE7kXSB3cnejh/9Hy95trT2SN&#10;ScC9G6Zx47ffv93++HX78yuBDwJtXZgCd+OAjN1r2wF88Ac4U99d4zXxFvoOxmV6shrojwANsXd3&#10;YosuEg7n5Hh0PBlTwhE6Licvy3HiLHqqROl8iG+F1SQZFfW4y0zKNpch9tADJMGNvZBK5ftUhmwr&#10;ejIeJnqGGQ2fYWiHLoNZZZJglazTB+nT4FfLc+XJhqUp6cvvE/wBS9kWLLQ9Lof6+dEyCp8zt4LV&#10;b0xN4s5BSIMFoqkULWpKlMC+JSsjI5PqKUgIogx0SZfQi52s2C070CRzaesdLiZrD6GD4xcShV6y&#10;EK+ZxzDDiXWPV3g1yqIau7coaa3/8i9/wmPGEEX5WI6k4Jp5NKPeGUzfyWA0Am3Mh9H45RAH/zCy&#10;fBgxa31uoewgV5fNhI/qYDbe6k/4K8xTVoSY4chdUR794XAe+6XFf4WL+TzD1s7LVdt/gm1yLF6a&#10;G8dTon4g5utoG5ln5V6pvZbYpzxt+91PC/vwnFH3/7vZ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MhCREzaAAAACwEAAA8AAAAAAAAAAQAgAAAAIgAAAGRycy9kb3ducmV2LnhtbFBLAQIUABQAAAAI&#10;AIdO4kCqX3s5lgIAADcFAAAOAAAAAAAAAAEAIAAAACkBAABkcnMvZTJvRG9jLnhtbFBLBQYAAAAA&#10;BgAGAFkBAAAxBgAAAAA=&#10;">
                <v:fill on="f" focussize="0,0"/>
                <v:stroke color="#000000 [3213]" joinstyle="miter" endcap="square"/>
                <v:imagedata o:title=""/>
                <o:lock v:ext="edit" aspectratio="f"/>
                <v:textbox>
                  <w:txbxContent>
                    <w:p w14:paraId="4A4BB1A8">
                      <w:pPr>
                        <w:rPr>
                          <w:rFonts w:hint="eastAsia" w:eastAsia="宋体"/>
                          <w:lang w:eastAsia="zh-CN"/>
                        </w:rPr>
                      </w:pPr>
                      <w:r>
                        <w:rPr>
                          <w:rFonts w:hint="eastAsia"/>
                          <w:lang w:eastAsia="zh-CN"/>
                        </w:rPr>
                        <w:t>办公楼</w:t>
                      </w:r>
                    </w:p>
                  </w:txbxContent>
                </v:textbox>
              </v:shape>
            </w:pict>
          </mc:Fallback>
        </mc:AlternateContent>
      </w:r>
      <w:r>
        <w:rPr>
          <w:color w:val="auto"/>
          <w:sz w:val="24"/>
          <w:highlight w:val="none"/>
        </w:rPr>
        <mc:AlternateContent>
          <mc:Choice Requires="wps">
            <w:drawing>
              <wp:anchor distT="0" distB="0" distL="114300" distR="114300" simplePos="0" relativeHeight="251722752" behindDoc="0" locked="0" layoutInCell="1" allowOverlap="1">
                <wp:simplePos x="0" y="0"/>
                <wp:positionH relativeFrom="column">
                  <wp:posOffset>2760345</wp:posOffset>
                </wp:positionH>
                <wp:positionV relativeFrom="paragraph">
                  <wp:posOffset>3575685</wp:posOffset>
                </wp:positionV>
                <wp:extent cx="276225" cy="190500"/>
                <wp:effectExtent l="33655" t="55880" r="52070" b="58420"/>
                <wp:wrapNone/>
                <wp:docPr id="27" name="文本框 27"/>
                <wp:cNvGraphicFramePr/>
                <a:graphic xmlns:a="http://schemas.openxmlformats.org/drawingml/2006/main">
                  <a:graphicData uri="http://schemas.microsoft.com/office/word/2010/wordprocessingShape">
                    <wps:wsp>
                      <wps:cNvSpPr txBox="1"/>
                      <wps:spPr>
                        <a:xfrm rot="1500000">
                          <a:off x="0" y="0"/>
                          <a:ext cx="276225" cy="190500"/>
                        </a:xfrm>
                        <a:prstGeom prst="rect">
                          <a:avLst/>
                        </a:prstGeom>
                        <a:solidFill>
                          <a:srgbClr val="FF0000"/>
                        </a:solidFill>
                        <a:ln w="9525" cap="sq" cmpd="sng">
                          <a:solidFill>
                            <a:schemeClr val="tx1"/>
                          </a:solidFill>
                          <a:prstDash val="solid"/>
                          <a:miter/>
                          <a:headEnd type="none" w="med" len="med"/>
                          <a:tailEnd type="none" w="med" len="med"/>
                        </a:ln>
                      </wps:spPr>
                      <wps:txbx>
                        <w:txbxContent>
                          <w:p w14:paraId="42CBBEDA"/>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17.35pt;margin-top:281.55pt;height:15pt;width:21.75pt;rotation:1638400f;z-index:251722752;mso-width-relative:page;mso-height-relative:page;" fillcolor="#FF0000" filled="t" stroked="t" coordsize="21600,21600" o:gfxdata="UEsDBAoAAAAAAIdO4kAAAAAAAAAAAAAAAAAEAAAAZHJzL1BLAwQUAAAACACHTuJAN/gWRtcAAAAL&#10;AQAADwAAAGRycy9kb3ducmV2LnhtbE2PTU/DMAyG70j8h8hI3FjatXSjNN1hEkg7UkCCm9eYtqJx&#10;SpN98O8xJzj69aPXj6vN2Y3qSHMYPBtIFwko4tbbgTsDL88PN2tQISJbHD2TgW8KsKkvLyosrT/x&#10;Ex2b2Ckp4VCigT7GqdQ6tD05DAs/Ecvuw88Oo4xzp+2MJyl3o14mSaEdDiwXepxo21P72RycAdw2&#10;TNlr+sgh90W/493bV/tuzPVVmtyDinSOfzD86os61OK09we2QY0G8ixfCWrgtshSUELkq/US1F6S&#10;O0l0Xen/P9Q/UEsDBBQAAAAIAIdO4kD+OBRonwIAAF4FAAAOAAAAZHJzL2Uyb0RvYy54bWytVM1u&#10;EzEQviPxDpbvdJNV09Komyo0BCFVtFJBnB2vN2vJf9hOsuEB4A04ceHOc/U5+OxN2rRw6IE9rMae&#10;z59nvpnx+UWnFVkLH6Q1FR0eDSgRhttammVFP32cv3pNSYjM1ExZIyq6FYFeTF6+ON+4sShta1Ut&#10;PAGJCeONq2gboxsXReCt0CwcWScMnI31mkUs/bKoPduAXauiHAxOio31tfOWixCwO+uddMfon0No&#10;m0ZyMbN8pYWJPasXikWkFFrpAp3kaJtG8HjdNEFEoiqKTGP+4xLYi/QvJudsvPTMtZLvQmDPCeFJ&#10;TppJg0vvqWYsMrLy8i8qLbm3wTbxiFtd9IlkRZDFcPBEm9uWOZFzgdTB3Yse/h8t/7C+8UTWFS1P&#10;KTFMo+J3P77f/fx99+sbwR4E2rgwBu7WARm7N7ZD2+z3AzZT3l3jNfEW+g5Hg/RlNZAfARpib+/F&#10;Fl0kHJvl6UlZjijhcA3PBjiVOIueKlE6H+I7YTVJRkU9aplJ2foqxB66hyR4sErWc6lUXvjl4lJ5&#10;smao+3yeA+qPPIIpQzYVPRvlOBiaOXxBQNpBjmCW+bZH+HBIm9PcB/0IlsKasdD212dX32haRuER&#10;Bxu3gtVvTU3i1kFxg0mjKRQtakqUwGAmKyMjk+o5SCinDARM1eqrkqzYLTrQJHNh6y0qmIuEigTH&#10;5xKBXrEQb5hH12MT70K8xq9RFtHYnUVJa/3Xf+0nPJoRXoSPKUoKrphHMuq9QZueDY+PQRvz4nh0&#10;WmLhDz2LQ49Z6UuLgg1zdNlM+Kj2ZuOt/oznY5puhYsZjrsrGvfmZexnG88PF9NpBq2cl8sWB0CL&#10;oXMsXplbx9M6VcLY6SraRuaWetBppyTGLjfl7olIc324zqiHZ3Hy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Df4FkbXAAAACwEAAA8AAAAAAAAAAQAgAAAAIgAAAGRycy9kb3ducmV2LnhtbFBLAQIU&#10;ABQAAAAIAIdO4kD+OBRonwIAAF4FAAAOAAAAAAAAAAEAIAAAACYBAABkcnMvZTJvRG9jLnhtbFBL&#10;BQYAAAAABgAGAFkBAAA3BgAAAAA=&#10;">
                <v:fill on="t" focussize="0,0"/>
                <v:stroke color="#000000 [3213]" joinstyle="miter" endcap="square"/>
                <v:imagedata o:title=""/>
                <o:lock v:ext="edit" aspectratio="f"/>
                <v:textbox>
                  <w:txbxContent>
                    <w:p w14:paraId="42CBBEDA"/>
                  </w:txbxContent>
                </v:textbox>
              </v:shape>
            </w:pict>
          </mc:Fallback>
        </mc:AlternateContent>
      </w:r>
      <w:r>
        <w:rPr>
          <w:color w:val="auto"/>
          <w:sz w:val="24"/>
          <w:highlight w:val="none"/>
        </w:rPr>
        <mc:AlternateContent>
          <mc:Choice Requires="wps">
            <w:drawing>
              <wp:anchor distT="0" distB="0" distL="114300" distR="114300" simplePos="0" relativeHeight="251721728" behindDoc="0" locked="0" layoutInCell="1" allowOverlap="1">
                <wp:simplePos x="0" y="0"/>
                <wp:positionH relativeFrom="column">
                  <wp:posOffset>3533140</wp:posOffset>
                </wp:positionH>
                <wp:positionV relativeFrom="paragraph">
                  <wp:posOffset>4327525</wp:posOffset>
                </wp:positionV>
                <wp:extent cx="1111250" cy="314960"/>
                <wp:effectExtent l="20955" t="226695" r="29845" b="239395"/>
                <wp:wrapNone/>
                <wp:docPr id="25" name="文本框 25"/>
                <wp:cNvGraphicFramePr/>
                <a:graphic xmlns:a="http://schemas.openxmlformats.org/drawingml/2006/main">
                  <a:graphicData uri="http://schemas.microsoft.com/office/word/2010/wordprocessingShape">
                    <wps:wsp>
                      <wps:cNvSpPr txBox="1"/>
                      <wps:spPr>
                        <a:xfrm rot="1500000">
                          <a:off x="0" y="0"/>
                          <a:ext cx="1111250" cy="314960"/>
                        </a:xfrm>
                        <a:prstGeom prst="rect">
                          <a:avLst/>
                        </a:prstGeom>
                        <a:solidFill>
                          <a:srgbClr val="FF0000"/>
                        </a:solidFill>
                        <a:ln w="9525" cap="sq" cmpd="sng">
                          <a:solidFill>
                            <a:schemeClr val="tx1"/>
                          </a:solidFill>
                          <a:prstDash val="solid"/>
                          <a:miter/>
                          <a:headEnd type="none" w="med" len="med"/>
                          <a:tailEnd type="none" w="med" len="med"/>
                        </a:ln>
                      </wps:spPr>
                      <wps:txbx>
                        <w:txbxContent>
                          <w:p w14:paraId="0FF9DD6C">
                            <w:pPr>
                              <w:rPr>
                                <w:rFonts w:hint="eastAsia" w:eastAsia="宋体"/>
                                <w:lang w:eastAsia="zh-CN"/>
                              </w:rPr>
                            </w:pPr>
                            <w:r>
                              <w:rPr>
                                <w:rFonts w:hint="eastAsia"/>
                                <w:lang w:eastAsia="zh-CN"/>
                              </w:rPr>
                              <w:t>沉淀池</w:t>
                            </w:r>
                          </w:p>
                        </w:txbxContent>
                      </wps:txbx>
                      <wps:bodyPr rot="0" spcFirstLastPara="0" vertOverflow="overflow" horzOverflow="overflow" vert="horz" wrap="square" lIns="91440" tIns="45720" rIns="91440" bIns="45720" numCol="1" spcCol="0" rtlCol="0" fromWordArt="0" anchor="ctr" anchorCtr="0" forceAA="0" upright="0" compatLnSpc="1">
                        <a:noAutofit/>
                      </wps:bodyPr>
                    </wps:wsp>
                  </a:graphicData>
                </a:graphic>
              </wp:anchor>
            </w:drawing>
          </mc:Choice>
          <mc:Fallback>
            <w:pict>
              <v:shape id="_x0000_s1026" o:spid="_x0000_s1026" o:spt="202" type="#_x0000_t202" style="position:absolute;left:0pt;margin-left:278.2pt;margin-top:340.75pt;height:24.8pt;width:87.5pt;rotation:1638400f;z-index:251721728;v-text-anchor:middle;mso-width-relative:page;mso-height-relative:page;" fillcolor="#FF0000" filled="t" stroked="t" coordsize="21600,21600" o:gfxdata="UEsDBAoAAAAAAIdO4kAAAAAAAAAAAAAAAAAEAAAAZHJzL1BLAwQUAAAACACHTuJAPHNCItgAAAAL&#10;AQAADwAAAGRycy9kb3ducmV2LnhtbE2Py07DMBBF90j8gzVI7Kht8iCEOF1Q0QqxIvABTjzEgdgO&#10;sdOGv8ewgd08ju6cqbarGckRZz84K4BvGBC0nVOD7QW8vjxcFUB8kFbJ0VkU8IUetvX5WSVL5U72&#10;GY9N6EkMsb6UAnQIU0mp7zQa6TduQht3b242MsR27qma5SmGm5FeM5ZTIwcbL2g54b3G7qNZjIDk&#10;iX0u+12612lx+3g4tLsmWd+FuLzg7A5IwDX8wfCjH9Whjk6tW6zyZBSQZXkaUQF5wTMgkbhJeJy0&#10;vwUHWlf0/w/1N1BLAwQUAAAACACHTuJAP7QDvZ4CAABhBQAADgAAAGRycy9lMm9Eb2MueG1srVTN&#10;bhMxEL4j8Q6W73STkBQadVOFhiCkilYqiLPj9WYt+Q/bSTY8ALwBJy7cea48B5+9SZsWDj2wB2vs&#10;+fbzzDczPr9otSJr4YO0pqT9kx4lwnBbSbMs6aeP8xevKQmRmYopa0RJtyLQi8nzZ+cbNxYD21hV&#10;CU9AYsJ440raxOjGRRF4IzQLJ9YJA2dtvWYRW78sKs82YNeqGPR6p8XG+sp5y0UIOJ11Trpn9E8h&#10;tHUtuZhZvtLCxI7VC8UiUgqNdIFOcrR1LXi8rusgIlElRaYxr7gE9iKtxeScjZeeuUbyfQjsKSE8&#10;ykkzaXDpHdWMRUZWXv5FpSX3Ntg6nnCriy6RrAiy6PceaXPbMCdyLpA6uDvRw/+j5R/WN57IqqSD&#10;ESWGaVR89+P77ufv3a9vBGcQaOPCGLhbB2Rs39gWbXM4DzhMebe118Rb6Nsf9dKX1UB+BGiIvb0T&#10;W7SR8ESBbzCCi8P3sj88O83VKDquxOl8iO+E1SQZJfUoZmZl66sQERegB0iCB6tkNZdK5Y1fLi6V&#10;J2uGws/nOaLulwcwZcimpGejlDxn6ObwBYZ20COYZb7tAT4c0+Y8D0E/gKWwZiw03fXZ1XWallH4&#10;3HONYNVbU5G4dZDcYNRoCkWLihIlMJnJysjIpHoKEnIoA1VSubqyJCu2ixY0yVzYaosS5ipB9+D4&#10;XCLQKxbiDfNoexziYYjXWGplEY3dW5Q01n/913nCoxvhRfgYo6Tginkko94b9OlZfzgEbcyb4ejV&#10;ABt/7Fkce8xKX1oUrJ+jy2bCR3Uwa2/1Z7wf03QrXMxw3F1SHv1hcxm78cYLxMV0mmEr5+Wy6X7B&#10;3DkWr8yt4+mi1CzGTlfR1jI31b1Sey0xebnX9q9EGu3jfUbdv4yT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DxzQiLYAAAACwEAAA8AAAAAAAAAAQAgAAAAIgAAAGRycy9kb3ducmV2LnhtbFBLAQIU&#10;ABQAAAAIAIdO4kA/tAO9ngIAAGEFAAAOAAAAAAAAAAEAIAAAACcBAABkcnMvZTJvRG9jLnhtbFBL&#10;BQYAAAAABgAGAFkBAAA3BgAAAAA=&#10;">
                <v:fill on="t" focussize="0,0"/>
                <v:stroke color="#000000 [3213]" joinstyle="miter" endcap="square"/>
                <v:imagedata o:title=""/>
                <o:lock v:ext="edit" aspectratio="f"/>
                <v:textbox>
                  <w:txbxContent>
                    <w:p w14:paraId="0FF9DD6C">
                      <w:pPr>
                        <w:rPr>
                          <w:rFonts w:hint="eastAsia" w:eastAsia="宋体"/>
                          <w:lang w:eastAsia="zh-CN"/>
                        </w:rPr>
                      </w:pPr>
                      <w:r>
                        <w:rPr>
                          <w:rFonts w:hint="eastAsia"/>
                          <w:lang w:eastAsia="zh-CN"/>
                        </w:rPr>
                        <w:t>沉淀池</w:t>
                      </w:r>
                    </w:p>
                  </w:txbxContent>
                </v:textbox>
              </v:shape>
            </w:pict>
          </mc:Fallback>
        </mc:AlternateContent>
      </w:r>
      <w:r>
        <w:rPr>
          <w:color w:val="auto"/>
          <w:sz w:val="24"/>
          <w:highlight w:val="none"/>
        </w:rPr>
        <mc:AlternateContent>
          <mc:Choice Requires="wps">
            <w:drawing>
              <wp:anchor distT="0" distB="0" distL="114300" distR="114300" simplePos="0" relativeHeight="251717632" behindDoc="0" locked="0" layoutInCell="1" allowOverlap="1">
                <wp:simplePos x="0" y="0"/>
                <wp:positionH relativeFrom="column">
                  <wp:posOffset>3160395</wp:posOffset>
                </wp:positionH>
                <wp:positionV relativeFrom="paragraph">
                  <wp:posOffset>280035</wp:posOffset>
                </wp:positionV>
                <wp:extent cx="276225" cy="190500"/>
                <wp:effectExtent l="33655" t="55880" r="52070" b="58420"/>
                <wp:wrapNone/>
                <wp:docPr id="9" name="文本框 9"/>
                <wp:cNvGraphicFramePr/>
                <a:graphic xmlns:a="http://schemas.openxmlformats.org/drawingml/2006/main">
                  <a:graphicData uri="http://schemas.microsoft.com/office/word/2010/wordprocessingShape">
                    <wps:wsp>
                      <wps:cNvSpPr txBox="1"/>
                      <wps:spPr>
                        <a:xfrm rot="1500000">
                          <a:off x="4415790" y="695325"/>
                          <a:ext cx="276225" cy="190500"/>
                        </a:xfrm>
                        <a:prstGeom prst="rect">
                          <a:avLst/>
                        </a:prstGeom>
                        <a:noFill/>
                        <a:ln w="9525" cap="sq" cmpd="sng">
                          <a:solidFill>
                            <a:schemeClr val="tx1"/>
                          </a:solidFill>
                          <a:prstDash val="solid"/>
                          <a:miter/>
                          <a:headEnd type="none" w="med" len="med"/>
                          <a:tailEnd type="none" w="med" len="med"/>
                        </a:ln>
                      </wps:spPr>
                      <wps:txbx>
                        <w:txbxContent>
                          <w:p w14:paraId="648BA78C">
                            <w:pPr>
                              <w:rPr>
                                <w:rFonts w:hint="eastAsia"/>
                                <w:lang w:eastAsia="zh-CN"/>
                              </w:rPr>
                            </w:pP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48.85pt;margin-top:22.05pt;height:15pt;width:21.75pt;rotation:1638400f;z-index:251717632;mso-width-relative:page;mso-height-relative:page;" filled="f" stroked="t" coordsize="21600,21600" o:gfxdata="UEsDBAoAAAAAAIdO4kAAAAAAAAAAAAAAAAAEAAAAZHJzL1BLAwQUAAAACACHTuJAz1Fy0NkAAAAJ&#10;AQAADwAAAGRycy9kb3ducmV2LnhtbE2PTUvDQBCG74L/YRnBi9jdLanRmE0PglCoCFYpHqfZNQlm&#10;Z0N226T/3vGkt/l4eOeZcj37XpzcGLtABvRCgXBUB9tRY+Dj/fn2HkRMSBb7QM7A2UVYV5cXJRY2&#10;TPTmTrvUCA6hWKCBNqWhkDLWrfMYF2FwxLuvMHpM3I6NtCNOHO57uVTqTnrsiC+0OLin1tXfu6M3&#10;8Jr0zXk/o2q2q26S9f7zZbPdGHN9pdUjiOTm9AfDrz6rQ8VOh3AkG0VvIHvIc0a5yDQIBlaZXoI4&#10;GMh5IKtS/v+g+gFQSwMEFAAAAAgAh07iQBTy/QueAgAAPgUAAA4AAABkcnMvZTJvRG9jLnhtbK1U&#10;zW4TMRC+I/EOlu90syFpSdRNFRqKkCpaqSDOjtebteQ/bCfZ8ADwBpy4cOe5+hx89iZtKRx6YA+r&#10;sefzNzOfZ3x61mlFNsIHaU1Fy6MBJcJwW0uzqujHDxcvXlESIjM1U9aIiu5EoGez589Ot24qhra1&#10;qhaegMSE6dZVtI3RTYsi8FZoFo6sEwbOxnrNIpZ+VdSebcGuVTEcDI6LrfW185aLELC76J10z+if&#10;QmibRnKxsHythYk9qxeKRZQUWukCneVsm0bweNU0QUSiKopKY/4jCOxl+hezUzZdeeZayfcpsKek&#10;8KgmzaRB0DuqBYuMrL38i0pL7m2wTTziVhd9IVkRVFEOHmlz0zInci2QOrg70cP/o+XvN9eeyLqi&#10;E0oM07jw2+/fbn/8uv35lUySPFsXpkDdOOBi99p2aJrDfsBmqrprvCbeQt1yPEhf1gLVEaBHo3J8&#10;MoHgu4oeT8Yvh+NeddFFwuEfnhwPsUc4/OVkAILkL3rWxO58iG+F1SQZFfW41MzPNpch9tADJMGN&#10;vZBK5YtVhmxR2TjTMzRr+Iw42qHcYFaZJFgl63QgHQ1+tTxXnmxYape+kj7AH7AUbcFC2+Oyqy9J&#10;yyh8jtwKVr8xNYk7B0kNJommVLSoKVECg5esjIxMqqcgIYgy0CXdR697smK37ECTzKWtd7ijfA1Q&#10;Ozh+IZHoJQvxmnl0NTYx9/EKv0ZZZGP3FiWt9V/+tZ/waDZ4kT6mJCm4Zh7FqHcGbTgpRyPQxrwY&#10;jU+GWPiHnuVDj1nrcwtly5xdNhM+qoPZeKs/4XmYp6hwMcMRu6LxYJ7HfnbxvHAxn2fQ2nm5anEA&#10;tBgqx+KluXE8rft2mK+jbWTulHud9kpirHKv7Z+ANLcP1xl1/+zNfg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DPUXLQ2QAAAAkBAAAPAAAAAAAAAAEAIAAAACIAAABkcnMvZG93bnJldi54bWxQSwEC&#10;FAAUAAAACACHTuJAFPL9C54CAAA+BQAADgAAAAAAAAABACAAAAAoAQAAZHJzL2Uyb0RvYy54bWxQ&#10;SwUGAAAAAAYABgBZAQAAOAYAAAAA&#10;">
                <v:fill on="f" focussize="0,0"/>
                <v:stroke color="#000000 [3213]" joinstyle="miter" endcap="square"/>
                <v:imagedata o:title=""/>
                <o:lock v:ext="edit" aspectratio="f"/>
                <v:textbox>
                  <w:txbxContent>
                    <w:p w14:paraId="648BA78C">
                      <w:pPr>
                        <w:rPr>
                          <w:rFonts w:hint="eastAsia"/>
                          <w:lang w:eastAsia="zh-CN"/>
                        </w:rPr>
                      </w:pPr>
                    </w:p>
                  </w:txbxContent>
                </v:textbox>
              </v:shape>
            </w:pict>
          </mc:Fallback>
        </mc:AlternateContent>
      </w:r>
      <w:r>
        <w:rPr>
          <w:color w:val="auto"/>
          <w:sz w:val="24"/>
          <w:highlight w:val="none"/>
        </w:rPr>
        <mc:AlternateContent>
          <mc:Choice Requires="wps">
            <w:drawing>
              <wp:anchor distT="0" distB="0" distL="114300" distR="114300" simplePos="0" relativeHeight="251716608" behindDoc="0" locked="0" layoutInCell="1" allowOverlap="1">
                <wp:simplePos x="0" y="0"/>
                <wp:positionH relativeFrom="column">
                  <wp:posOffset>1477010</wp:posOffset>
                </wp:positionH>
                <wp:positionV relativeFrom="paragraph">
                  <wp:posOffset>205740</wp:posOffset>
                </wp:positionV>
                <wp:extent cx="7067550" cy="5114925"/>
                <wp:effectExtent l="12700" t="12700" r="25400" b="15875"/>
                <wp:wrapNone/>
                <wp:docPr id="88" name="任意多边形 88"/>
                <wp:cNvGraphicFramePr/>
                <a:graphic xmlns:a="http://schemas.openxmlformats.org/drawingml/2006/main">
                  <a:graphicData uri="http://schemas.microsoft.com/office/word/2010/wordprocessingShape">
                    <wps:wsp>
                      <wps:cNvSpPr/>
                      <wps:spPr>
                        <a:xfrm>
                          <a:off x="1837055" y="925830"/>
                          <a:ext cx="7067550" cy="5114925"/>
                        </a:xfrm>
                        <a:custGeom>
                          <a:avLst/>
                          <a:gdLst>
                            <a:gd name="connisteX0" fmla="*/ 2190750 w 7067550"/>
                            <a:gd name="connsiteY0" fmla="*/ 228600 h 5114925"/>
                            <a:gd name="connisteX1" fmla="*/ 7067550 w 7067550"/>
                            <a:gd name="connsiteY1" fmla="*/ 2552700 h 5114925"/>
                            <a:gd name="connisteX2" fmla="*/ 6724650 w 7067550"/>
                            <a:gd name="connsiteY2" fmla="*/ 3171825 h 5114925"/>
                            <a:gd name="connisteX3" fmla="*/ 6029325 w 7067550"/>
                            <a:gd name="connsiteY3" fmla="*/ 3943350 h 5114925"/>
                            <a:gd name="connisteX4" fmla="*/ 4810125 w 7067550"/>
                            <a:gd name="connsiteY4" fmla="*/ 4743450 h 5114925"/>
                            <a:gd name="connisteX5" fmla="*/ 2571750 w 7067550"/>
                            <a:gd name="connsiteY5" fmla="*/ 5114925 h 5114925"/>
                            <a:gd name="connisteX6" fmla="*/ 0 w 7067550"/>
                            <a:gd name="connsiteY6" fmla="*/ 4076700 h 5114925"/>
                            <a:gd name="connisteX7" fmla="*/ 1714500 w 7067550"/>
                            <a:gd name="connsiteY7" fmla="*/ 0 h 5114925"/>
                            <a:gd name="connisteX8" fmla="*/ 2000250 w 7067550"/>
                            <a:gd name="connsiteY8" fmla="*/ 133350 h 51149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7067550" h="5114925">
                              <a:moveTo>
                                <a:pt x="2190750" y="228600"/>
                              </a:moveTo>
                              <a:lnTo>
                                <a:pt x="7067550" y="2552700"/>
                              </a:lnTo>
                              <a:lnTo>
                                <a:pt x="6724650" y="3171825"/>
                              </a:lnTo>
                              <a:lnTo>
                                <a:pt x="6029325" y="3943350"/>
                              </a:lnTo>
                              <a:lnTo>
                                <a:pt x="4810125" y="4743450"/>
                              </a:lnTo>
                              <a:lnTo>
                                <a:pt x="2571750" y="5114925"/>
                              </a:lnTo>
                              <a:lnTo>
                                <a:pt x="0" y="4076700"/>
                              </a:lnTo>
                              <a:lnTo>
                                <a:pt x="1714500" y="0"/>
                              </a:lnTo>
                              <a:lnTo>
                                <a:pt x="2000250" y="133350"/>
                              </a:lnTo>
                            </a:path>
                          </a:pathLst>
                        </a:custGeom>
                        <a:noFill/>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16.3pt;margin-top:16.2pt;height:402.75pt;width:556.5pt;z-index:251716608;mso-width-relative:page;mso-height-relative:page;" filled="f" stroked="t" coordsize="7067550,5114925" o:gfxdata="UEsDBAoAAAAAAIdO4kAAAAAAAAAAAAAAAAAEAAAAZHJzL1BLAwQUAAAACACHTuJA06yR+tkAAAAL&#10;AQAADwAAAGRycy9kb3ducmV2LnhtbE2PTU/DMAyG70j8h8hIXCaWrtnKKE13AI3uCGPi7LWmqWic&#10;qsm+/j3ZCY62H71+3mJ1tr040ug7xxpm0wQEce2ajlsNu8/1wxKED8gN9o5Jw4U8rMrbmwLzxp34&#10;g47b0IoYwj5HDSaEIZfS14Ys+qkbiOPt240WQxzHVjYjnmK47WWaJJm02HH8YHCgF0P1z/ZgNXj1&#10;usC3apKtd1XnJ2Zjq8v7l9b3d7PkGUSgc/iD4aof1aGMTnt34MaLXkOq0iyiGlQ6B3EF1HwRN3sN&#10;S/X4BLIs5P8O5S9QSwMEFAAAAAgAh07iQJ+LSwq8AwAAzgsAAA4AAABkcnMvZTJvRG9jLnhtbK1W&#10;y47bNhTdB+g/EFoWyIh628Z4sugg3eQFJAXaJYeiLAESKZAc27PPPvsui/xEEKRf0xT9jF4+ZHMy&#10;yFgGsrEo65775rn38tl+6NGWSdUJvo6SCxwhxqmoO75ZR7+9e/50ESGlCa9JLzhbR3dMRc+ufnpy&#10;uRtXLBWt6GsmESjharUb11Gr9biKY0VbNhB1IUbG4WMj5EA0vMpNXEuyA+1DH6cYl/FOyHqUgjKl&#10;4N9r9zHyGuUchaJpOsquBb0dGNdOq2Q90RCSartRRVfW26ZhVL9uGsU06tcRRKrtLxiB8435ja8u&#10;yWojydh21LtA5rjwTUwD6TgYPai6JpqgW9k9UDV0VAolGn1BxRC7QGxGIIoEf5Obty0ZmY0FUq3G&#10;Q9LVj1NLX23fSNTV62gBdedkgIr/8/nzv+8/fP34539/f/r65S8EXyBNu1GtQPrt+Eb6NwVHE/O+&#10;kYN5QjRoDy21yCpcFBG6W0fLtFhkPstsrxGF7xUuq6KAAlAQKJIkByFjID5qordK/8qE1Uq2L5R2&#10;ZarhZJNce0+p4LxTmv0O2pqhh8r9HKM0WeKqwGiHJkseHYBUp9kf90DposQYtShwCKr5wFASGPLq&#10;TxsKQWlRpNUcS2lgqazSvJwTUgjKkipZpMXpmLLQEk6XGYBOJi8EZcs8y8C9k9nLA0v5IsHJHEv3&#10;QFWe5XMsQfsdG6KoklkNEYJ8H5yOqQwszWi6UDzHVTmrF6rABlQVMjDDUgiaURu4/seMYYzTOf0W&#10;gpLsYRPAnd5Mt5a000Wme+5vMpwQMYMHW/YchTIMEl5r4Ajz6i+sowlAGRo4AYZbF4ITzzHzwHCR&#10;QnB6FhjuRgjOzgJDu4fg/CywY91DwiZenRcztGZouTzLMnRbCK7OAkMbhWA7b6B1rNvu6ftFwkA3&#10;o7y3o1xHCEa5tKP8xhgkq5Fo02bTEe2CedMex435PogteyespDZd5+eGdSW148DHcBTseQiYxovx&#10;3dO6R0xy03O0BjyLWwOenB+Xd1zs5B3FPirvGdXK544oH5VPHS9a+WDsQcInv6en8x/mJUTqSetR&#10;zZ6jrLyd/t/VCRuhYRor6QjknmLAmYra5eBQWtMRwYLAxfOu7231e24KnhY5Bo2UwHbawFYIx2GE&#10;DUfxTYRIv4G1l2ppCUeJvqsN3LSBkpubX3qJtgQ6LKtKvEytUH87vBS1+xvmCOh2NOTlrXP3FI1S&#10;6WuiWgexnw5RgbTZpNzuZE43or6zK5X9H9Y8q8+vpGaPDN8t+riGX/0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gYAAFtDb250ZW50X1R5cGVz&#10;XS54bWxQSwECFAAKAAAAAACHTuJAAAAAAAAAAAAAAAAABgAAAAAAAAAAABAAAAAQBQAAX3JlbHMv&#10;UEsBAhQAFAAAAAgAh07iQIoUZjzRAAAAlAEAAAsAAAAAAAAAAQAgAAAANAUAAF9yZWxzLy5yZWxz&#10;UEsBAhQACgAAAAAAh07iQAAAAAAAAAAAAAAAAAQAAAAAAAAAAAAQAAAAAAAAAGRycy9QSwECFAAU&#10;AAAACACHTuJA06yR+tkAAAALAQAADwAAAAAAAAABACAAAAAiAAAAZHJzL2Rvd25yZXYueG1sUEsB&#10;AhQAFAAAAAgAh07iQJ+LSwq8AwAAzgsAAA4AAAAAAAAAAQAgAAAAKAEAAGRycy9lMm9Eb2MueG1s&#10;UEsFBgAAAAAGAAYAWQEAAFYHAAAAAA==&#10;" path="m2190750,228600l7067550,2552700,6724650,3171825,6029325,3943350,4810125,4743450,2571750,5114925,0,4076700,1714500,0,2000250,133350e">
                <v:path o:connectlocs="2190750,228600;7067550,2552700;6724650,3171825;6029325,3943350;4810125,4743450;2571750,5114925;0,4076700;1714500,0;2000250,133350" o:connectangles="0,0,0,0,0,0,0,0,0"/>
                <v:fill on="f" focussize="0,0"/>
                <v:stroke weight="2pt" color="#376092 [2404]" joinstyle="round"/>
                <v:imagedata o:title=""/>
                <o:lock v:ext="edit" aspectratio="f"/>
              </v:shape>
            </w:pict>
          </mc:Fallback>
        </mc:AlternateContent>
      </w:r>
      <w:r>
        <w:rPr>
          <w:color w:val="auto"/>
          <w:sz w:val="32"/>
          <w:highlight w:val="none"/>
        </w:rPr>
        <mc:AlternateContent>
          <mc:Choice Requires="wps">
            <w:drawing>
              <wp:anchor distT="0" distB="0" distL="114300" distR="114300" simplePos="0" relativeHeight="251696128" behindDoc="0" locked="0" layoutInCell="1" allowOverlap="1">
                <wp:simplePos x="0" y="0"/>
                <wp:positionH relativeFrom="column">
                  <wp:posOffset>999490</wp:posOffset>
                </wp:positionH>
                <wp:positionV relativeFrom="paragraph">
                  <wp:posOffset>5562600</wp:posOffset>
                </wp:positionV>
                <wp:extent cx="914400" cy="344170"/>
                <wp:effectExtent l="0" t="0" r="0" b="0"/>
                <wp:wrapNone/>
                <wp:docPr id="273" name="文本框 20"/>
                <wp:cNvGraphicFramePr/>
                <a:graphic xmlns:a="http://schemas.openxmlformats.org/drawingml/2006/main">
                  <a:graphicData uri="http://schemas.microsoft.com/office/word/2010/wordprocessingShape">
                    <wps:wsp>
                      <wps:cNvSpPr txBox="1"/>
                      <wps:spPr>
                        <a:xfrm>
                          <a:off x="0" y="0"/>
                          <a:ext cx="914400" cy="344170"/>
                        </a:xfrm>
                        <a:prstGeom prst="rect">
                          <a:avLst/>
                        </a:prstGeom>
                        <a:noFill/>
                        <a:ln>
                          <a:noFill/>
                        </a:ln>
                      </wps:spPr>
                      <wps:txbx>
                        <w:txbxContent>
                          <w:p w14:paraId="7AAFE55E">
                            <w:pPr>
                              <w:rPr>
                                <w:rFonts w:hint="default" w:eastAsia="宋体"/>
                                <w:lang w:val="en-US" w:eastAsia="zh-CN"/>
                              </w:rPr>
                            </w:pPr>
                            <w:r>
                              <w:rPr>
                                <w:rFonts w:hint="eastAsia"/>
                                <w:lang w:eastAsia="zh-CN"/>
                              </w:rPr>
                              <w:t>比例尺：</w:t>
                            </w:r>
                            <w:r>
                              <w:rPr>
                                <w:rFonts w:hint="eastAsia"/>
                                <w:lang w:val="en-US" w:eastAsia="zh-CN"/>
                              </w:rPr>
                              <w:t>60m</w:t>
                            </w:r>
                          </w:p>
                        </w:txbxContent>
                      </wps:txbx>
                      <wps:bodyPr wrap="square" upright="0"/>
                    </wps:wsp>
                  </a:graphicData>
                </a:graphic>
              </wp:anchor>
            </w:drawing>
          </mc:Choice>
          <mc:Fallback>
            <w:pict>
              <v:shape id="文本框 20" o:spid="_x0000_s1026" o:spt="202" type="#_x0000_t202" style="position:absolute;left:0pt;margin-left:78.7pt;margin-top:438pt;height:27.1pt;width:72pt;z-index:251696128;mso-width-relative:page;mso-height-relative:page;" filled="f" stroked="f" coordsize="21600,21600" o:gfxdata="UEsDBAoAAAAAAIdO4kAAAAAAAAAAAAAAAAAEAAAAZHJzL1BLAwQUAAAACACHTuJAYJWUltcAAAAL&#10;AQAADwAAAGRycy9kb3ducmV2LnhtbE2PS2/CMBCE75X4D9Yi9Vbs8CbE4UDVa6vSh8TNxEsSEa+j&#10;2JD033d7KseZ/TQ7k+0G14gbdqH2pCGZKBBIhbc1lRo+P16e1iBCNGRN4wk1/GCAXT56yExqfU/v&#10;eDvEUnAIhdRoqGJsUylDUaEzYeJbJL6dfedMZNmV0nam53DXyKlSS+lMTfyhMi3uKywuh6vT8PV6&#10;Pn7P1Vv57BZt7wclyW2k1o/jRG1BRBziPwx/9bk65Nzp5K9kg2hYL1ZzRjWsV0sexcRMJeycNGxm&#10;agoyz+T9hvwXUEsDBBQAAAAIAIdO4kAYM7V3uAEAAF4DAAAOAAAAZHJzL2Uyb0RvYy54bWytU82O&#10;EzEMviPxDlHudKbdioVRpyuharkgQFr2AdKM04mUP+K0M30BeANOXLjzXH0OnLS0sHvZw14yju18&#10;9vfZs7gZrWE7iKi9a/l0UnMGTvpOu03L77/cvnrDGSbhOmG8g5bvAfnN8uWLxRAamPnemw4iIxCH&#10;zRBa3qcUmqpC2YMVOPEBHAWVj1YkusZN1UUxELo11ayuX1eDj12IXgIieVfHID8hxqcAeqW0hJWX&#10;WwsuHVEjGJGIEvY6IF+WbpUCmT4phZCYaTkxTeWkImSv81ktF6LZRBF6LU8tiKe08ICTFdpR0TPU&#10;SiTBtlE/grJaRo9epYn0tjoSKYoQi2n9QJu7XgQoXEhqDGfR8flg5cfd58h01/LZ9RVnTlga+eHH&#10;98PP34df39isKDQEbCjxLlBqGt/5kfYmK5f9SM5MfFTR5i9RYhQnffdnfWFMTJLz7XQ+rykiKXQ1&#10;n0+vC3p1eRwipvfgLctGyyONr6gqdh8wUUFK/ZuSazl/q40pIzTuPwclZk916TBbaVyPp7bXvtsT&#10;m4Em33L8uhURONuGqDd92ZFcLD8h2UvZ04rkuf57L1mX32L5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GCVlJbXAAAACwEAAA8AAAAAAAAAAQAgAAAAIgAAAGRycy9kb3ducmV2LnhtbFBLAQIUABQA&#10;AAAIAIdO4kAYM7V3uAEAAF4DAAAOAAAAAAAAAAEAIAAAACYBAABkcnMvZTJvRG9jLnhtbFBLBQYA&#10;AAAABgAGAFkBAABQBQAAAAA=&#10;">
                <v:fill on="f" focussize="0,0"/>
                <v:stroke on="f"/>
                <v:imagedata o:title=""/>
                <o:lock v:ext="edit" aspectratio="f"/>
                <v:textbox>
                  <w:txbxContent>
                    <w:p w14:paraId="7AAFE55E">
                      <w:pPr>
                        <w:rPr>
                          <w:rFonts w:hint="default" w:eastAsia="宋体"/>
                          <w:lang w:val="en-US" w:eastAsia="zh-CN"/>
                        </w:rPr>
                      </w:pPr>
                      <w:r>
                        <w:rPr>
                          <w:rFonts w:hint="eastAsia"/>
                          <w:lang w:eastAsia="zh-CN"/>
                        </w:rPr>
                        <w:t>比例尺：</w:t>
                      </w:r>
                      <w:r>
                        <w:rPr>
                          <w:rFonts w:hint="eastAsia"/>
                          <w:lang w:val="en-US" w:eastAsia="zh-CN"/>
                        </w:rPr>
                        <w:t>60m</w:t>
                      </w:r>
                    </w:p>
                  </w:txbxContent>
                </v:textbox>
              </v:shape>
            </w:pict>
          </mc:Fallback>
        </mc:AlternateContent>
      </w:r>
      <w:r>
        <w:rPr>
          <w:color w:val="auto"/>
          <w:sz w:val="32"/>
          <w:highlight w:val="none"/>
        </w:rPr>
        <mc:AlternateContent>
          <mc:Choice Requires="wps">
            <w:drawing>
              <wp:anchor distT="0" distB="0" distL="114300" distR="114300" simplePos="0" relativeHeight="251708416" behindDoc="0" locked="0" layoutInCell="1" allowOverlap="1">
                <wp:simplePos x="0" y="0"/>
                <wp:positionH relativeFrom="column">
                  <wp:posOffset>888365</wp:posOffset>
                </wp:positionH>
                <wp:positionV relativeFrom="paragraph">
                  <wp:posOffset>5727065</wp:posOffset>
                </wp:positionV>
                <wp:extent cx="966470" cy="137795"/>
                <wp:effectExtent l="4445" t="0" r="19685" b="14605"/>
                <wp:wrapNone/>
                <wp:docPr id="152" name="任意多边形 152"/>
                <wp:cNvGraphicFramePr/>
                <a:graphic xmlns:a="http://schemas.openxmlformats.org/drawingml/2006/main">
                  <a:graphicData uri="http://schemas.microsoft.com/office/word/2010/wordprocessingShape">
                    <wps:wsp>
                      <wps:cNvSpPr/>
                      <wps:spPr>
                        <a:xfrm>
                          <a:off x="0" y="0"/>
                          <a:ext cx="966470" cy="137795"/>
                        </a:xfrm>
                        <a:custGeom>
                          <a:avLst/>
                          <a:gdLst>
                            <a:gd name="connisteX0" fmla="*/ 7620 w 1873250"/>
                            <a:gd name="connsiteY0" fmla="*/ 0 h 222250"/>
                            <a:gd name="connisteX1" fmla="*/ 0 w 1873250"/>
                            <a:gd name="connsiteY1" fmla="*/ 222250 h 222250"/>
                            <a:gd name="connisteX2" fmla="*/ 1873250 w 1873250"/>
                            <a:gd name="connsiteY2" fmla="*/ 222250 h 222250"/>
                            <a:gd name="connisteX3" fmla="*/ 1873250 w 1873250"/>
                            <a:gd name="connsiteY3" fmla="*/ 24130 h 222250"/>
                          </a:gdLst>
                          <a:ahLst/>
                          <a:cxnLst>
                            <a:cxn ang="0">
                              <a:pos x="connisteX0" y="connsiteY0"/>
                            </a:cxn>
                            <a:cxn ang="0">
                              <a:pos x="connisteX1" y="connsiteY1"/>
                            </a:cxn>
                            <a:cxn ang="0">
                              <a:pos x="connisteX2" y="connsiteY2"/>
                            </a:cxn>
                            <a:cxn ang="0">
                              <a:pos x="connisteX3" y="connsiteY3"/>
                            </a:cxn>
                          </a:cxnLst>
                          <a:rect l="l" t="t" r="r" b="b"/>
                          <a:pathLst>
                            <a:path w="1873250" h="222250">
                              <a:moveTo>
                                <a:pt x="7620" y="0"/>
                              </a:moveTo>
                              <a:lnTo>
                                <a:pt x="0" y="222250"/>
                              </a:lnTo>
                              <a:lnTo>
                                <a:pt x="1873250" y="222250"/>
                              </a:lnTo>
                              <a:lnTo>
                                <a:pt x="1873250" y="24130"/>
                              </a:lnTo>
                            </a:path>
                          </a:pathLst>
                        </a:cu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69.95pt;margin-top:450.95pt;height:10.85pt;width:76.1pt;z-index:251708416;mso-width-relative:page;mso-height-relative:page;" filled="f" stroked="t" coordsize="1873250,222250" o:gfxdata="UEsDBAoAAAAAAIdO4kAAAAAAAAAAAAAAAAAEAAAAZHJzL1BLAwQUAAAACACHTuJA347d/9sAAAAL&#10;AQAADwAAAGRycy9kb3ducmV2LnhtbE2PW0vDQBCF3wX/wzKCL2I3SaWYmE3xggjiBavQ12l2TKLZ&#10;2ZDdtNVf7/ikb3NmDme+Uy73rldbGkPn2UA6S0AR19523Bh4e709PQcVIrLF3jMZ+KIAy+rwoMTC&#10;+h2/0HYVGyUhHAo00MY4FFqHuiWHYeYHYrm9+9FhFDk22o64k3DX6yxJFtphx/KhxYGuW6o/V5Mz&#10;8HhF0zfSh3c3+mF9ub5/ej67OzHm+ChNLkBF2sc/M/ziCzpUwrTxE9ugetHzPBergTxJZRBHlmcp&#10;qI1ssvkCdFXq/x2qH1BLAwQUAAAACACHTuJAo7MwS9gCAABeBwAADgAAAGRycy9lMm9Eb2MueG1s&#10;rVXNbhMxEL4j8Q6Wj0h0f9IkTdSkB6JyQVCpRYKj4/X+SF7bst1seufOnSPiJaoKnoYiHoOx19m6&#10;BakBsYddez3zeb5vxuPjk23L0YZp00ixwNlBihETVBaNqBb47cXp8yOMjCWiIFwKtsBXzOCT5dMn&#10;x52as1zWkhdMIwARZt6pBa6tVfMkMbRmLTEHUjEBi6XULbEw1VVSaNIBesuTPE0nSSd1obSkzBj4&#10;u+oXcUDU+wDKsmwoW0l62TJhe1TNOLFAydSNMnjpoy1LRu2bsjTMIr7AwNT6N2wC47V7J8tjMq80&#10;UXVDQwhknxAecGpJI2DTAWpFLEGXuvkNqm2olkaW9oDKNumJeEWARZY+0Oa8Jop5LiC1UYPo5v/B&#10;0tebM42aAiphnGMkSAsp/35z8+PDx9svn35+u779+hm5JRCqU2YO9ufqTIeZgaFjvS11677AB229&#10;uFeDuGxrEYWfs8nkcAqyU1jKRtPpbOwwkztnemnsSyY9ENm8MrbPTQEjr2wRoqNSiMZY9g7AypZD&#10;up4laDrJU9Sh7Gg6yse7tMYeprHsfeyRohrl8PzR2uNnEf4e4LF5D/zoDqD4wCCE/jiJ2GnPfUb/&#10;sk/slB9mo/uCQeKqXWpIvcsW3YqQLhgh4lpK6s+FksZVRpw7qAM3DYnpawG8XK4fcQalY+csFNJ+&#10;ziBf7OwrG8js5wyaxM6jeOceJNDX0Hlcz+G+51iMoOdo33PWzofMFbFOtd0QdXAqQvGieoH7xHrp&#10;WrlhF9IbWqehK3Ufhi9z2PXOgIvYsLcKSL2+O4PdV3nEYWPg9rfmrjCCCj0oBOS4+aM9kHTaRMdb&#10;yNOGc68DF476bJyPoTUQuE9K6OMwbBX0JCMqjAiv4KKiVns1jORN4bydIEZX6xdcow1x7d0/IZZ7&#10;ZkobuyKm7u380hAyxOn6Wt/J3Ggtiyvf4Px/aLueSbgiXF+P59777lpc/g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MBQAAW0NvbnRlbnRfVHlw&#10;ZXNdLnhtbFBLAQIUAAoAAAAAAIdO4kAAAAAAAAAAAAAAAAAGAAAAAAAAAAAAEAAAAC4EAABfcmVs&#10;cy9QSwECFAAUAAAACACHTuJAihRmPNEAAACUAQAACwAAAAAAAAABACAAAABSBAAAX3JlbHMvLnJl&#10;bHNQSwECFAAKAAAAAACHTuJAAAAAAAAAAAAAAAAABAAAAAAAAAAAABAAAAAAAAAAZHJzL1BLAQIU&#10;ABQAAAAIAIdO4kDfjt3/2wAAAAsBAAAPAAAAAAAAAAEAIAAAACIAAABkcnMvZG93bnJldi54bWxQ&#10;SwECFAAUAAAACACHTuJAo7MwS9gCAABeBwAADgAAAAAAAAABACAAAAAqAQAAZHJzL2Uyb0RvYy54&#10;bWxQSwUGAAAAAAYABgBZAQAAdAYAAAAA&#10;" path="m7620,0l0,222250,1873250,222250,1873250,24130e">
                <v:path o:connectlocs="3931,0;0,137795;966470,137795;966470,14960" o:connectangles="0,0,0,0"/>
                <v:fill on="f" focussize="0,0"/>
                <v:stroke color="#000000 [3213]" joinstyle="round"/>
                <v:imagedata o:title=""/>
                <o:lock v:ext="edit" aspectratio="f"/>
              </v:shape>
            </w:pict>
          </mc:Fallback>
        </mc:AlternateContent>
      </w:r>
    </w:p>
    <w:p w14:paraId="0719B5FA">
      <w:pPr>
        <w:pStyle w:val="16"/>
        <w:ind w:left="0" w:leftChars="0" w:firstLine="0" w:firstLineChars="0"/>
        <w:jc w:val="center"/>
        <w:rPr>
          <w:rFonts w:hint="eastAsia" w:eastAsia="宋体"/>
          <w:color w:val="auto"/>
          <w:highlight w:val="none"/>
          <w:lang w:val="en-US" w:eastAsia="zh-CN"/>
        </w:rPr>
        <w:sectPr>
          <w:pgSz w:w="16838" w:h="11906" w:orient="landscape"/>
          <w:pgMar w:top="1134" w:right="567" w:bottom="1134" w:left="850" w:header="851" w:footer="851" w:gutter="0"/>
          <w:pgNumType w:fmt="decimal"/>
          <w:cols w:space="720" w:num="1"/>
          <w:docGrid w:type="lines" w:linePitch="312" w:charSpace="0"/>
        </w:sectPr>
      </w:pPr>
      <w:r>
        <w:rPr>
          <w:color w:val="auto"/>
          <w:sz w:val="32"/>
          <w:highlight w:val="none"/>
        </w:rPr>
        <mc:AlternateContent>
          <mc:Choice Requires="wps">
            <w:drawing>
              <wp:anchor distT="0" distB="0" distL="114300" distR="114300" simplePos="0" relativeHeight="251819008" behindDoc="0" locked="0" layoutInCell="1" allowOverlap="1">
                <wp:simplePos x="0" y="0"/>
                <wp:positionH relativeFrom="column">
                  <wp:posOffset>7783195</wp:posOffset>
                </wp:positionH>
                <wp:positionV relativeFrom="paragraph">
                  <wp:posOffset>2876550</wp:posOffset>
                </wp:positionV>
                <wp:extent cx="78105" cy="76200"/>
                <wp:effectExtent l="7620" t="5080" r="9525" b="13970"/>
                <wp:wrapNone/>
                <wp:docPr id="48" name="自选图形 454"/>
                <wp:cNvGraphicFramePr/>
                <a:graphic xmlns:a="http://schemas.openxmlformats.org/drawingml/2006/main">
                  <a:graphicData uri="http://schemas.microsoft.com/office/word/2010/wordprocessingShape">
                    <wps:wsp>
                      <wps:cNvSpPr/>
                      <wps:spPr>
                        <a:xfrm rot="10800000">
                          <a:off x="0" y="0"/>
                          <a:ext cx="78105" cy="76200"/>
                        </a:xfrm>
                        <a:prstGeom prst="triangle">
                          <a:avLst>
                            <a:gd name="adj" fmla="val 50000"/>
                          </a:avLst>
                        </a:prstGeom>
                        <a:solidFill>
                          <a:srgbClr val="00B0F0"/>
                        </a:solidFill>
                        <a:ln w="9525" cap="flat" cmpd="sng">
                          <a:solidFill>
                            <a:srgbClr val="00B0F0"/>
                          </a:solidFill>
                          <a:prstDash val="solid"/>
                          <a:miter/>
                          <a:headEnd type="none" w="med" len="med"/>
                          <a:tailEnd type="none" w="med" len="med"/>
                        </a:ln>
                      </wps:spPr>
                      <wps:bodyPr vert="horz" wrap="square" anchor="t" anchorCtr="0" upright="1"/>
                    </wps:wsp>
                  </a:graphicData>
                </a:graphic>
              </wp:anchor>
            </w:drawing>
          </mc:Choice>
          <mc:Fallback>
            <w:pict>
              <v:shape id="自选图形 454" o:spid="_x0000_s1026" o:spt="5" type="#_x0000_t5" style="position:absolute;left:0pt;margin-left:612.85pt;margin-top:226.5pt;height:6pt;width:6.15pt;rotation:11796480f;z-index:251819008;mso-width-relative:page;mso-height-relative:page;" fillcolor="#00B0F0" filled="t" stroked="t" coordsize="21600,21600" o:gfxdata="UEsDBAoAAAAAAIdO4kAAAAAAAAAAAAAAAAAEAAAAZHJzL1BLAwQUAAAACACHTuJAIkESDd0AAAAN&#10;AQAADwAAAGRycy9kb3ducmV2LnhtbE2PzU7DMBCE70i8g7VIXBC1m5I2SuP0gAQHBBGkvfTmxm4S&#10;1V5HsfvD27M9ldvO7mj2m2J1cZadzBh6jxKmEwHMYON1j62EzfrtOQMWokKtrEcj4dcEWJX3d4XK&#10;tT/jjznVsWUUgiFXEroYh5zz0HTGqTDxg0G67f3oVCQ5tlyP6kzhzvJEiDl3qkf60KnBvHamOdRH&#10;J2H94atqI76ePq0/vH9X9TYbF1spHx+mYgksmku8meGKT+hQEtPOH1EHZkknSbogr4SXdEatrpZk&#10;ltG0o9U8FcDLgv9vUf4BUEsDBBQAAAAIAIdO4kA+bnMUQgIAAJYEAAAOAAAAZHJzL2Uyb0RvYy54&#10;bWytVEuOEzEQ3SNxB8t70p0omQmtdEZiQtggGGngABXb3W3kH7bzY8UOcQZ2LLkD3GYkuAVldxKY&#10;YZMFvWiV7fKrV6+qPLvaaUU2wgdpTU2Hg5ISYZjl0rQ1fftm+WRKSYhgOChrRE33ItCr+eNHs62r&#10;xMh2VnHhCYKYUG1dTbsYXVUUgXVCQxhYJwweNtZriLj0bcE9bBFdq2JUlhfF1nruvGUiBNxd9If0&#10;gOjPAbRNI5lYWLbWwsQe1QsFEVMKnXSBzjPbphEsvm6aICJRNcVMY/5jELRX6V/MZ1C1Hlwn2YEC&#10;nEPhQU4apMGgJ6gFRCBrL/+B0pJ5G2wTB8zqok8kK4JZDMsH2tx24ETOBaUO7iR6+H+w7NXmxhPJ&#10;azrGuhvQWPGfn779+vj57suPu+9fyXgyTiJtXajQ99bd+MMqoJky3jVeE29R2WE5LdOXhcDUyC7r&#10;vD/pLHaRMNy8nA7LCSUMTy4vsCdSgKJHSojOh/hCWE2SUdPoJZhWJSGggs3LELPQ/MAW+DtKGq2w&#10;bBtQZJIZ9IAHZ4Q+QqabwSrJl1KpvPDt6lp5gleRZvmsXB7Z3HNThmxr+nQySrQBu77BbkNTO1Qu&#10;mDZzu3cjnAeciC0gdD2BjND3pJZRJKmh6gTw54aTuHdYHINDSRMZLTglSuAMJyt7RpDqHE8URBmU&#10;PBW1L2OyVpbvsRfwaUDRO+s/YBgcDMzv/Ro8BgXDcBsLcjSvYz9Ja+dl26UOyJVMYNiuuaaH0Urz&#10;8Pc6B//znMx/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CJBEg3dAAAADQEAAA8AAAAAAAAAAQAg&#10;AAAAIgAAAGRycy9kb3ducmV2LnhtbFBLAQIUABQAAAAIAIdO4kA+bnMUQgIAAJYEAAAOAAAAAAAA&#10;AAEAIAAAACwBAABkcnMvZTJvRG9jLnhtbFBLBQYAAAAABgAGAFkBAADgBQAAAAA=&#10;" adj="10800">
                <v:fill on="t" focussize="0,0"/>
                <v:stroke color="#00B0F0" joinstyle="miter"/>
                <v:imagedata o:title=""/>
                <o:lock v:ext="edit" aspectratio="f"/>
              </v:shape>
            </w:pict>
          </mc:Fallback>
        </mc:AlternateContent>
      </w:r>
      <w:r>
        <w:rPr>
          <w:color w:val="auto"/>
          <w:sz w:val="32"/>
          <w:highlight w:val="none"/>
        </w:rPr>
        <mc:AlternateContent>
          <mc:Choice Requires="wps">
            <w:drawing>
              <wp:anchor distT="0" distB="0" distL="114300" distR="114300" simplePos="0" relativeHeight="251817984" behindDoc="0" locked="0" layoutInCell="1" allowOverlap="1">
                <wp:simplePos x="0" y="0"/>
                <wp:positionH relativeFrom="column">
                  <wp:posOffset>8583295</wp:posOffset>
                </wp:positionH>
                <wp:positionV relativeFrom="paragraph">
                  <wp:posOffset>5514975</wp:posOffset>
                </wp:positionV>
                <wp:extent cx="78105" cy="76200"/>
                <wp:effectExtent l="7620" t="5080" r="9525" b="13970"/>
                <wp:wrapNone/>
                <wp:docPr id="46" name="自选图形 454"/>
                <wp:cNvGraphicFramePr/>
                <a:graphic xmlns:a="http://schemas.openxmlformats.org/drawingml/2006/main">
                  <a:graphicData uri="http://schemas.microsoft.com/office/word/2010/wordprocessingShape">
                    <wps:wsp>
                      <wps:cNvSpPr/>
                      <wps:spPr>
                        <a:xfrm rot="10800000">
                          <a:off x="0" y="0"/>
                          <a:ext cx="78105" cy="76200"/>
                        </a:xfrm>
                        <a:prstGeom prst="triangle">
                          <a:avLst>
                            <a:gd name="adj" fmla="val 50000"/>
                          </a:avLst>
                        </a:prstGeom>
                        <a:solidFill>
                          <a:srgbClr val="00B0F0"/>
                        </a:solidFill>
                        <a:ln w="9525" cap="flat" cmpd="sng">
                          <a:solidFill>
                            <a:srgbClr val="00B0F0"/>
                          </a:solidFill>
                          <a:prstDash val="solid"/>
                          <a:miter/>
                          <a:headEnd type="none" w="med" len="med"/>
                          <a:tailEnd type="none" w="med" len="med"/>
                        </a:ln>
                      </wps:spPr>
                      <wps:bodyPr vert="horz" wrap="square" anchor="t" anchorCtr="0" upright="1"/>
                    </wps:wsp>
                  </a:graphicData>
                </a:graphic>
              </wp:anchor>
            </w:drawing>
          </mc:Choice>
          <mc:Fallback>
            <w:pict>
              <v:shape id="自选图形 454" o:spid="_x0000_s1026" o:spt="5" type="#_x0000_t5" style="position:absolute;left:0pt;margin-left:675.85pt;margin-top:434.25pt;height:6pt;width:6.15pt;rotation:11796480f;z-index:251817984;mso-width-relative:page;mso-height-relative:page;" fillcolor="#00B0F0" filled="t" stroked="t" coordsize="21600,21600" o:gfxdata="UEsDBAoAAAAAAIdO4kAAAAAAAAAAAAAAAAAEAAAAZHJzL1BLAwQUAAAACACHTuJAnMcVcdwAAAAN&#10;AQAADwAAAGRycy9kb3ducmV2LnhtbE2PS0/DMBCE70j8B2uRuCBqpyWpFeL0gFQOCCJIe+nNjU0S&#10;1Y/Idh/8e7YnOM7sp9mZanWxhpx0iKN3ArIZA6Jd59XoegHbzfqRA4lJOiWNd1rAj46wqm9vKlkq&#10;f3Zf+tSmnmCIi6UUMKQ0lZTGbtBWxpmftMPbtw9WJpShpyrIM4ZbQ+eMFdTK0eGHQU76ZdDdoT1a&#10;AZs33zRb9vHwbvzh9bNpdzwsd0Lc32XsGUjSl/QHw7U+VocaO+390alIDOpFni2RFcALngO5Iovi&#10;Cfft0eIsB1pX9P+K+hdQSwMEFAAAAAgAh07iQCF7+vNCAgAAlgQAAA4AAABkcnMvZTJvRG9jLnht&#10;bK1US44TMRDdI3EHy3vSnSjJDK10RmJC2CAYaeAAFdvdbeQftvNjxQ5xBnYsuQPcZiS4BWV3Ephh&#10;kwW9aJXt8qtXr6o8u9ppRTbCB2lNTYeDkhJhmOXStDV9+2b55JKSEMFwUNaImu5FoFfzx49mW1eJ&#10;ke2s4sITBDGh2rqadjG6qigC64SGMLBOGDxsrNcQcenbgnvYIrpWxagsp8XWeu68ZSIE3F30h/SA&#10;6M8BtE0jmVhYttbCxB7VCwURUwqddIHOM9umESy+bpogIlE1xUxj/mMQtFfpX8xnULUeXCfZgQKc&#10;Q+FBThqkwaAnqAVEIGsv/4HSknkbbBMHzOqiTyQrglkMywfa3HbgRM4FpQ7uJHr4f7Ds1ebGE8lr&#10;Op5SYkBjxX9++vbr4+e7Lz/uvn8l48k4ibR1oULfW3fjD6uAZsp413hNvEVlh+Vlmb4sBKZGdlnn&#10;/UlnsYuE4ebF5bCcUMLw5GKKPZECFD1SQnQ+xBfCapKMmkYvwbQqCQEVbF6GmIXmB7bA31HSaIVl&#10;24Aik8ygBzw4I/QRMt0MVkm+lErlhW9X18oTvIo0y2fl8sjmnpsyZFvTp5NRog3Y9Q12G5raoXLB&#10;tJnbvRvhPOBEbAGh6wlkhL4ntYwiSQ1VJ4A/N5zEvcPiGBxKmshowSlRAmc4WdkzglTneKIgyqDk&#10;qah9GZO1snyPvYBPA4reWf8Bw+BgYH7v1+AxKBiG21iQo3kd+0laOy/bLnVArmQCw3bNNT2MVpqH&#10;v9c5+J/nZP4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nMcVcdwAAAANAQAADwAAAAAAAAABACAA&#10;AAAiAAAAZHJzL2Rvd25yZXYueG1sUEsBAhQAFAAAAAgAh07iQCF7+vNCAgAAlgQAAA4AAAAAAAAA&#10;AQAgAAAAKwEAAGRycy9lMm9Eb2MueG1sUEsFBgAAAAAGAAYAWQEAAN8FAAAAAA==&#10;" adj="10800">
                <v:fill on="t" focussize="0,0"/>
                <v:stroke color="#00B0F0" joinstyle="miter"/>
                <v:imagedata o:title=""/>
                <o:lock v:ext="edit" aspectratio="f"/>
              </v:shape>
            </w:pict>
          </mc:Fallback>
        </mc:AlternateContent>
      </w:r>
      <w:r>
        <w:rPr>
          <w:color w:val="auto"/>
          <w:sz w:val="32"/>
          <w:highlight w:val="none"/>
        </w:rPr>
        <mc:AlternateContent>
          <mc:Choice Requires="wps">
            <w:drawing>
              <wp:anchor distT="0" distB="0" distL="114300" distR="114300" simplePos="0" relativeHeight="251816960" behindDoc="0" locked="0" layoutInCell="1" allowOverlap="1">
                <wp:simplePos x="0" y="0"/>
                <wp:positionH relativeFrom="column">
                  <wp:posOffset>7334250</wp:posOffset>
                </wp:positionH>
                <wp:positionV relativeFrom="paragraph">
                  <wp:posOffset>3286125</wp:posOffset>
                </wp:positionV>
                <wp:extent cx="76835" cy="92075"/>
                <wp:effectExtent l="4445" t="4445" r="13970" b="17780"/>
                <wp:wrapNone/>
                <wp:docPr id="44" name="自选图形 459"/>
                <wp:cNvGraphicFramePr/>
                <a:graphic xmlns:a="http://schemas.openxmlformats.org/drawingml/2006/main">
                  <a:graphicData uri="http://schemas.microsoft.com/office/word/2010/wordprocessingShape">
                    <wps:wsp>
                      <wps:cNvSpPr/>
                      <wps:spPr>
                        <a:xfrm>
                          <a:off x="0" y="0"/>
                          <a:ext cx="76835" cy="92075"/>
                        </a:xfrm>
                        <a:prstGeom prst="can">
                          <a:avLst>
                            <a:gd name="adj" fmla="val 28597"/>
                          </a:avLst>
                        </a:prstGeom>
                        <a:solidFill>
                          <a:srgbClr val="FF0000"/>
                        </a:solidFill>
                        <a:ln w="9525" cap="flat" cmpd="sng">
                          <a:solidFill>
                            <a:srgbClr val="FF0000"/>
                          </a:solidFill>
                          <a:prstDash val="solid"/>
                          <a:headEnd type="none" w="med" len="med"/>
                          <a:tailEnd type="none" w="med" len="med"/>
                        </a:ln>
                      </wps:spPr>
                      <wps:txbx>
                        <w:txbxContent>
                          <w:p w14:paraId="0A63D3E7">
                            <w:pPr>
                              <w:jc w:val="center"/>
                            </w:pPr>
                          </w:p>
                        </w:txbxContent>
                      </wps:txbx>
                      <wps:bodyPr vert="horz" wrap="square" anchor="t" anchorCtr="0" upright="1"/>
                    </wps:wsp>
                  </a:graphicData>
                </a:graphic>
              </wp:anchor>
            </w:drawing>
          </mc:Choice>
          <mc:Fallback>
            <w:pict>
              <v:shape id="自选图形 459" o:spid="_x0000_s1026" o:spt="22" type="#_x0000_t22" style="position:absolute;left:0pt;margin-left:577.5pt;margin-top:258.75pt;height:7.25pt;width:6.05pt;z-index:251816960;mso-width-relative:page;mso-height-relative:page;" fillcolor="#FF0000" filled="t" stroked="t" coordsize="21600,21600" o:gfxdata="UEsDBAoAAAAAAIdO4kAAAAAAAAAAAAAAAAAEAAAAZHJzL1BLAwQUAAAACACHTuJAsBmSt9gAAAAN&#10;AQAADwAAAGRycy9kb3ducmV2LnhtbE2PzU7DMBCE70i8g7VI3KjtorRVGqeqkDjylyK4buNtEjVe&#10;R7HTlrfHPcFxZkez3xSbi+vFicbQeTagZwoEce1tx42Bz93zwwpEiMgWe89k4IcCbMrbmwJz68/8&#10;QacqNiKVcMjRQBvjkEsZ6pYchpkfiNPt4EeHMcmxkXbEcyp3vZwrtZAOO04fWhzoqaX6WE3OwPtu&#10;9cX94Y1kNWl82X6/brUkY+7vtFqDiHSJf2G44id0KBPT3k9sg+iT1lmWxkQDmV5mIK4RvVhqEPtk&#10;Pc4VyLKQ/1eUv1BLAwQUAAAACACHTuJAVumozzgCAACDBAAADgAAAGRycy9lMm9Eb2MueG1srVRL&#10;jhMxEN0jcQfLe9JJSCYfpTOLCWGDYKSBA1Rsd9rIP2wn6bBihzgDu1lyB7jNSHALyu4mwwybLOhF&#10;d9muelXvlasXl41WZC98kNaUdNDrUyIMs1yabUnfvV0/m1ISIhgOyhpR0qMI9HL59Mni4OZiaGur&#10;uPAEQUyYH1xJ6xjdvCgCq4WG0LNOGDysrNcQcem3BfdwQHStimG/f1EcrOfOWyZCwN1Ve0g7RH8O&#10;oK0qycTKsp0WJraoXiiISCnU0gW6zNVWlWDxTVUFEYkqKTKN+Y1J0N6kd7FcwHzrwdWSdSXAOSU8&#10;4qRBGkx6glpBBLLz8h8oLZm3wVaxx6wuWiJZEWQx6D/S5qYGJzIXlDq4k+jh/8Gy1/trTyQv6WhE&#10;iQGNHf/5+duvT1/uvv64+35LRuNZEungwhx9b9y171YBzcS4qbxOX+RCmizs8SSsaCJhuDm5mD4f&#10;U8LwZDbsT8YJsbgPdT7El8JqkoySMmi1hP2rELOovKsM+HtKKq2wRXtQZDgdzyYdVueMqH/QUmSw&#10;SvK1VCov/HZzpTzB0JKu1318uuAHbsqQA9Y5HqaKAW94hTcLTe1QpWC2uc8PIsJ5wKmwFYS6LSAj&#10;pPwwrwXwF4aTeHQov8Gxo6kELTglSuCUJit7RpDqHE+UQRnUOLWtbVSyYrNpuu5tLD9i4/E/gILX&#10;1n/EjDgFSPDDDjzmB8Nwu6TIvDWvYjs2O+fltsaoQRYv4eLdzP3s5ihd/r/XuY77f8fy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LAZkrfYAAAADQEAAA8AAAAAAAAAAQAgAAAAIgAAAGRycy9kb3du&#10;cmV2LnhtbFBLAQIUABQAAAAIAIdO4kBW6ajPOAIAAIMEAAAOAAAAAAAAAAEAIAAAACcBAABkcnMv&#10;ZTJvRG9jLnhtbFBLBQYAAAAABgAGAFkBAADRBQAAAAA=&#10;" adj="5154">
                <v:fill on="t" focussize="0,0"/>
                <v:stroke color="#FF0000" joinstyle="round"/>
                <v:imagedata o:title=""/>
                <o:lock v:ext="edit" aspectratio="f"/>
                <v:textbox>
                  <w:txbxContent>
                    <w:p w14:paraId="0A63D3E7">
                      <w:pPr>
                        <w:jc w:val="center"/>
                      </w:pPr>
                    </w:p>
                  </w:txbxContent>
                </v:textbox>
              </v:shape>
            </w:pict>
          </mc:Fallback>
        </mc:AlternateContent>
      </w:r>
      <w:r>
        <w:rPr>
          <w:color w:val="auto"/>
          <w:sz w:val="32"/>
          <w:highlight w:val="none"/>
        </w:rPr>
        <mc:AlternateContent>
          <mc:Choice Requires="wps">
            <w:drawing>
              <wp:anchor distT="0" distB="0" distL="114300" distR="114300" simplePos="0" relativeHeight="251815936" behindDoc="0" locked="0" layoutInCell="1" allowOverlap="1">
                <wp:simplePos x="0" y="0"/>
                <wp:positionH relativeFrom="column">
                  <wp:posOffset>8601710</wp:posOffset>
                </wp:positionH>
                <wp:positionV relativeFrom="paragraph">
                  <wp:posOffset>5288915</wp:posOffset>
                </wp:positionV>
                <wp:extent cx="76835" cy="92075"/>
                <wp:effectExtent l="4445" t="4445" r="13970" b="17780"/>
                <wp:wrapNone/>
                <wp:docPr id="21" name="自选图形 459"/>
                <wp:cNvGraphicFramePr/>
                <a:graphic xmlns:a="http://schemas.openxmlformats.org/drawingml/2006/main">
                  <a:graphicData uri="http://schemas.microsoft.com/office/word/2010/wordprocessingShape">
                    <wps:wsp>
                      <wps:cNvSpPr/>
                      <wps:spPr>
                        <a:xfrm>
                          <a:off x="0" y="0"/>
                          <a:ext cx="76835" cy="92075"/>
                        </a:xfrm>
                        <a:prstGeom prst="can">
                          <a:avLst>
                            <a:gd name="adj" fmla="val 28597"/>
                          </a:avLst>
                        </a:prstGeom>
                        <a:solidFill>
                          <a:srgbClr val="FF0000"/>
                        </a:solidFill>
                        <a:ln w="9525" cap="flat" cmpd="sng">
                          <a:solidFill>
                            <a:srgbClr val="FF0000"/>
                          </a:solidFill>
                          <a:prstDash val="solid"/>
                          <a:headEnd type="none" w="med" len="med"/>
                          <a:tailEnd type="none" w="med" len="med"/>
                        </a:ln>
                      </wps:spPr>
                      <wps:bodyPr vert="horz" wrap="square" anchor="t" anchorCtr="0" upright="1"/>
                    </wps:wsp>
                  </a:graphicData>
                </a:graphic>
              </wp:anchor>
            </w:drawing>
          </mc:Choice>
          <mc:Fallback>
            <w:pict>
              <v:shape id="自选图形 459" o:spid="_x0000_s1026" o:spt="22" type="#_x0000_t22" style="position:absolute;left:0pt;margin-left:677.3pt;margin-top:416.45pt;height:7.25pt;width:6.05pt;z-index:251815936;mso-width-relative:page;mso-height-relative:page;" fillcolor="#FF0000" filled="t" stroked="t" coordsize="21600,21600" o:gfxdata="UEsDBAoAAAAAAIdO4kAAAAAAAAAAAAAAAAAEAAAAZHJzL1BLAwQUAAAACACHTuJAiDXKwtkAAAAN&#10;AQAADwAAAGRycy9kb3ducmV2LnhtbE2PwU6DQBCG7ya+w2ZMvNmFghSRpWlMPKqVGr1u2SkQ2VnC&#10;Lm19e6cnPf4zX/75plyf7SCOOPnekYJ4EYFAapzpqVXwsXu+y0H4oMnowREq+EEP6+r6qtSFcSd6&#10;x2MdWsEl5AutoAthLKT0TYdW+4UbkXh3cJPVgePUSjPpE5fbQS6jKJNW98QXOj3iU4fNdz1bBdtd&#10;/knD4Q1lPcf6ZfP1uoklKnV7E0ePIAKewx8MF31Wh4qd9m4m48XAOblPM2YV5MnyAcQFSbJsBWLP&#10;o3SVgqxK+f+L6hdQSwMEFAAAAAgAh07iQPEDAhwxAgAAeAQAAA4AAABkcnMvZTJvRG9jLnhtbK1U&#10;S5LTMBDdU8UdVNoTJ4FMElecWUwIGwqmauAAHUm2RemHpPxYsaM4AzuW3AFuM1VwC1qyyTDDJgu8&#10;sFtS9+t+r9VeXB60Ijvhg7SmoqPBkBJhmOXSNBV9+2b9ZEZJiGA4KGtERY8i0Mvl40eLvSvF2LZW&#10;ceEJgphQ7l1F2xhdWRSBtUJDGFgnDB7W1muIuPRNwT3sEV2rYjwcXhR767nzlokQcHfVHdIe0Z8D&#10;aOtaMrGybKuFiR2qFwoiUgqtdIEuc7V1LVh8XddBRKIqikxjfmMStDfpXSwXUDYeXCtZXwKcU8ID&#10;ThqkwaQnqBVEIFsv/4HSknkbbB0HzOqiI5IVQRaj4QNtblpwInNBqYM7iR7+Hyx7tbv2RPKKjkeU&#10;GNDY8Z+fvv36+Pn2y4/b71/Js8k8ibR3oUTfG3ft+1VAMzE+1F6nL3Ihhyzs8SSsOETCcHN6MXs6&#10;oYThyXw8nE4SYnEX6nyIL4TVJBkVZdBpCbuXIWZReV8Z8HeU1Fphi3agyHg2mU97rN4ZUf+gpchg&#10;leRrqVRe+GZzpTzB0Iqu10N8+uB7bsqQPdY5GaeKAW94jTcLTe1QpWCa3Od7EeE84FTYCkLbFZAR&#10;Un4oWwH8ueEkHh3Kb3DsaCpBC06JEjilycqeEaQ6xxNlUAY1Tm3rGpWsjeVH7DYOP6rcWv8B0+DV&#10;R1bvt+AxKRiG2xVFup15FbtZ2TovmxajRlmxBIYXMjexH5504/9e5+R3P4zl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Ig1ysLZAAAADQEAAA8AAAAAAAAAAQAgAAAAIgAAAGRycy9kb3ducmV2Lnht&#10;bFBLAQIUABQAAAAIAIdO4kDxAwIcMQIAAHgEAAAOAAAAAAAAAAEAIAAAACgBAABkcnMvZTJvRG9j&#10;LnhtbFBLBQYAAAAABgAGAFkBAADLBQAAAAA=&#10;" adj="5154">
                <v:fill on="t" focussize="0,0"/>
                <v:stroke color="#FF0000" joinstyle="round"/>
                <v:imagedata o:title=""/>
                <o:lock v:ext="edit" aspectratio="f"/>
              </v:shape>
            </w:pict>
          </mc:Fallback>
        </mc:AlternateContent>
      </w:r>
      <w:r>
        <w:rPr>
          <w:color w:val="auto"/>
          <w:sz w:val="32"/>
          <w:highlight w:val="none"/>
        </w:rPr>
        <mc:AlternateContent>
          <mc:Choice Requires="wps">
            <w:drawing>
              <wp:anchor distT="0" distB="0" distL="114300" distR="114300" simplePos="0" relativeHeight="251767808" behindDoc="0" locked="0" layoutInCell="1" allowOverlap="1">
                <wp:simplePos x="0" y="0"/>
                <wp:positionH relativeFrom="column">
                  <wp:posOffset>8592185</wp:posOffset>
                </wp:positionH>
                <wp:positionV relativeFrom="paragraph">
                  <wp:posOffset>5088890</wp:posOffset>
                </wp:positionV>
                <wp:extent cx="76835" cy="92075"/>
                <wp:effectExtent l="4445" t="4445" r="13970" b="17780"/>
                <wp:wrapNone/>
                <wp:docPr id="168" name="自选图形 459"/>
                <wp:cNvGraphicFramePr/>
                <a:graphic xmlns:a="http://schemas.openxmlformats.org/drawingml/2006/main">
                  <a:graphicData uri="http://schemas.microsoft.com/office/word/2010/wordprocessingShape">
                    <wps:wsp>
                      <wps:cNvSpPr/>
                      <wps:spPr>
                        <a:xfrm>
                          <a:off x="0" y="0"/>
                          <a:ext cx="76835" cy="92075"/>
                        </a:xfrm>
                        <a:prstGeom prst="can">
                          <a:avLst>
                            <a:gd name="adj" fmla="val 28597"/>
                          </a:avLst>
                        </a:prstGeom>
                        <a:solidFill>
                          <a:srgbClr val="FFC000"/>
                        </a:solidFill>
                        <a:ln w="9525" cap="flat" cmpd="sng">
                          <a:solidFill>
                            <a:srgbClr val="000000"/>
                          </a:solidFill>
                          <a:prstDash val="solid"/>
                          <a:headEnd type="none" w="med" len="med"/>
                          <a:tailEnd type="none" w="med" len="med"/>
                        </a:ln>
                      </wps:spPr>
                      <wps:bodyPr vert="horz" wrap="square" anchor="t" anchorCtr="0" upright="1"/>
                    </wps:wsp>
                  </a:graphicData>
                </a:graphic>
              </wp:anchor>
            </w:drawing>
          </mc:Choice>
          <mc:Fallback>
            <w:pict>
              <v:shape id="自选图形 459" o:spid="_x0000_s1026" o:spt="22" type="#_x0000_t22" style="position:absolute;left:0pt;margin-left:676.55pt;margin-top:400.7pt;height:7.25pt;width:6.05pt;z-index:251767808;mso-width-relative:page;mso-height-relative:page;" fillcolor="#FFC000" filled="t" stroked="t" coordsize="21600,21600" o:gfxdata="UEsDBAoAAAAAAIdO4kAAAAAAAAAAAAAAAAAEAAAAZHJzL1BLAwQUAAAACACHTuJA8yJyPdoAAAAN&#10;AQAADwAAAGRycy9kb3ducmV2LnhtbE2PwU7DMAyG70i8Q2QkbizpSqdRmk4waUIcWRGCW9aYtqJx&#10;qiZdB0+Pd4Ljb3/6/bnYnFwvjjiGzpOGZKFAINXedtRoeK12N2sQIRqypveEGr4xwKa8vChMbv1M&#10;L3jcx0ZwCYXcaGhjHHIpQ92iM2HhByTeffrRmchxbKQdzczlrpdLpVbSmY74QmsG3LZYf+0npyE8&#10;2sk+U7XdPczqg+r3n6furdL6+ipR9yAinuIfDGd9VoeSnQ5+IhtEzznN0oRZDWuV3II4I+kqW4I4&#10;8CjJ7kCWhfz/RfkLUEsDBBQAAAAIAIdO4kBQ/lsSNwIAAHkEAAAOAAAAZHJzL2Uyb0RvYy54bWyt&#10;VEuOEzEQ3SNxB8t70p1AMkmUziwSwgbBSAMHqNjutJF/2M6PFTvEGdix5A5wm5HgFpTdTeaDkLJg&#10;0ynbVa/qvarK7PKgFdkJH6Q1Fe33SkqEYZZLs6no2zerJ2NKQgTDQVkjKnoUgV7OHz+a7d1UDGxj&#10;FReeIIgJ072raBOjmxZFYI3QEHrWCYOPtfUaIh79puAe9oiuVTEoy1Gxt547b5kIAW+X7SPtEP05&#10;gLauJRNLy7ZamNiieqEgIqXQSBfoPFdb14LF13UdRCSqosg05i8mQXudvsV8BtONB9dI1pUA55Tw&#10;gJMGaTDpCWoJEcjWy7+gtGTeBlvHHrO6aIlkRZBFv3ygzXUDTmQuKHVwJ9HD/4Nlr3ZXnkiOkzDC&#10;xhvQ2PKfn779+vj55suPm+9fybPhJKm0d2GKztfuynengGaifKi9Tr9IhhyysseTsuIQCcPLi9H4&#10;6ZAShi+TQXkxTIjFbajzIb4QVpNkVJRBKybsXoaYVeVdZcDfUVJrhT3agSKD8XBy0WF1zoj6By1F&#10;BqskX0ml8sFv1gvlCYZWdLValGUeAAy556YM2WOdw0GqGHDEaxwtNLVDmYLZ5Ebfiwh3gRH1H8Cp&#10;sCWEpi0gI6TiYdoI4M8NJ/HoUH6De0dTCVpwSpTANU1W9owg1TmeyEkZ1Di1rW1UstaWH7HduP2o&#10;cmP9B0yDs4+s3m/BY1IwDK8rinRbcxHbZdk6LzcNRvWz3AkMJzI3sdueNPJ3zzn57T/G/D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zInI92gAAAA0BAAAPAAAAAAAAAAEAIAAAACIAAABkcnMvZG93&#10;bnJldi54bWxQSwECFAAUAAAACACHTuJAUP5bEjcCAAB5BAAADgAAAAAAAAABACAAAAApAQAAZHJz&#10;L2Uyb0RvYy54bWxQSwUGAAAAAAYABgBZAQAA0gUAAAAA&#10;" adj="5154">
                <v:fill on="t" focussize="0,0"/>
                <v:stroke color="#000000" joinstyle="round"/>
                <v:imagedata o:title=""/>
                <o:lock v:ext="edit" aspectratio="f"/>
              </v:shape>
            </w:pict>
          </mc:Fallback>
        </mc:AlternateContent>
      </w:r>
      <w:r>
        <w:rPr>
          <w:color w:val="auto"/>
          <w:sz w:val="32"/>
          <w:highlight w:val="none"/>
        </w:rPr>
        <mc:AlternateContent>
          <mc:Choice Requires="wps">
            <w:drawing>
              <wp:anchor distT="0" distB="0" distL="114300" distR="114300" simplePos="0" relativeHeight="251746304" behindDoc="0" locked="0" layoutInCell="1" allowOverlap="1">
                <wp:simplePos x="0" y="0"/>
                <wp:positionH relativeFrom="column">
                  <wp:posOffset>8592820</wp:posOffset>
                </wp:positionH>
                <wp:positionV relativeFrom="paragraph">
                  <wp:posOffset>4905375</wp:posOffset>
                </wp:positionV>
                <wp:extent cx="78105" cy="76200"/>
                <wp:effectExtent l="7620" t="5080" r="9525" b="13970"/>
                <wp:wrapNone/>
                <wp:docPr id="137" name="自选图形 454"/>
                <wp:cNvGraphicFramePr/>
                <a:graphic xmlns:a="http://schemas.openxmlformats.org/drawingml/2006/main">
                  <a:graphicData uri="http://schemas.microsoft.com/office/word/2010/wordprocessingShape">
                    <wps:wsp>
                      <wps:cNvSpPr/>
                      <wps:spPr>
                        <a:xfrm rot="10800000">
                          <a:off x="0" y="0"/>
                          <a:ext cx="78105" cy="76200"/>
                        </a:xfrm>
                        <a:prstGeom prst="triangle">
                          <a:avLst>
                            <a:gd name="adj" fmla="val 50000"/>
                          </a:avLst>
                        </a:prstGeom>
                        <a:solidFill>
                          <a:srgbClr val="FFC000"/>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shape id="自选图形 454" o:spid="_x0000_s1026" o:spt="5" type="#_x0000_t5" style="position:absolute;left:0pt;margin-left:676.6pt;margin-top:386.25pt;height:6pt;width:6.15pt;rotation:11796480f;z-index:251746304;mso-width-relative:page;mso-height-relative:page;" fillcolor="#FFC000" filled="t" stroked="t" coordsize="21600,21600" o:gfxdata="UEsDBAoAAAAAAIdO4kAAAAAAAAAAAAAAAAAEAAAAZHJzL1BLAwQUAAAACACHTuJAzT46SdwAAAAN&#10;AQAADwAAAGRycy9kb3ducmV2LnhtbE2PQU/DMAyF70j8h8hI3Fi6lmxTabrDxCQOCIltCHHzGtNW&#10;a5LSZOv493incfOzn56/VyzPthMnGkLrnYbpJAFBrvKmdbWG3Xb9sAARIjqDnXek4ZcCLMvbmwJz&#10;40f3TqdNrAWHuJCjhibGPpcyVA1ZDBPfk+Pbtx8sRpZDLc2AI4fbTqZJMpMWW8cfGuxp1VB12Byt&#10;hi887EZSq7BWPx+f9QvS9vn1Tev7u2nyBCLSOV7NcMFndCiZae+PzgTRsc5UlrJXw3yeKhAXSzZT&#10;PO15tXhUIMtC/m9R/gFQSwMEFAAAAAgAh07iQKfyUhdJAgAAlwQAAA4AAABkcnMvZTJvRG9jLnht&#10;bK1US44TMRDdI3EHy3vSnTCZhFY6s0gIGwQjDRygYru7jfzDdn6s2CHOwI4ld4DbjAS3oOzOhJmB&#10;xSzoRatsl1+9elXl2cVeK7IVPkhrajoclJQIwyyXpq3p2zerJ1NKQgTDQVkjanoQgV7MHz+a7Vwl&#10;RrazigtPEMSEaudq2sXoqqIIrBMawsA6YfCwsV5DxKVvC+5hh+haFaOyPC921nPnLRMh4O6yP6RH&#10;RP8QQNs0komlZRstTOxRvVAQMaXQSRfoPLNtGsHi66YJIhJVU8w05j8GQXud/sV8BlXrwXWSHSnA&#10;Qyjcy0mDNBj0BLWECGTj5V9QWjJvg23igFld9IlkRTCLYXlPm6sOnMi5oNTBnUQP/w+WvdpeeiI5&#10;dsLTCSUGNJb856dvvz5+vv7y4/r7V3I2Pksq7Vyo0PnKXfrjKqCZUt43XhNvUdphOS3Tl5XA3Mg+&#10;C304CS32kTDcnEyH5ZgShieTc2yKFKDokRKi8yG+EFaTZNQ0egmmVUkJqGD7MsSsND+yBf6OkkYr&#10;rNsWFBlnBj3g0RmhbyDTzWCV5CupVF74dr1QnuDVmq5Wi0S/v3zHTRmyq+mz8SjRBmz7BtsNTe1Q&#10;umDazO3OjXAbOHH6N3AitoTQ9QQyQooPlZZRJKmh6gTw54aTeHBYHINTSRMZLTglSuAQJyt7RpDq&#10;IZ4oiDIoeSpqX8ZkrS0/YDPg24Cid9Z/wDA4GZjf+w14DAqG4TYW5MZcxH6UNs7LtksdkLVLYNiv&#10;uabH2UoDcXudg/95T+a/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M0+OkncAAAADQEAAA8AAAAA&#10;AAAAAQAgAAAAIgAAAGRycy9kb3ducmV2LnhtbFBLAQIUABQAAAAIAIdO4kCn8lIXSQIAAJcEAAAO&#10;AAAAAAAAAAEAIAAAACsBAABkcnMvZTJvRG9jLnhtbFBLBQYAAAAABgAGAFkBAADmBQAAAAA=&#10;" adj="10800">
                <v:fill on="t" focussize="0,0"/>
                <v:stroke color="#000000" joinstyle="miter"/>
                <v:imagedata o:title=""/>
                <o:lock v:ext="edit" aspectratio="f"/>
              </v:shape>
            </w:pict>
          </mc:Fallback>
        </mc:AlternateContent>
      </w:r>
      <w:r>
        <w:rPr>
          <w:color w:val="auto"/>
          <w:sz w:val="32"/>
          <w:highlight w:val="none"/>
        </w:rPr>
        <mc:AlternateContent>
          <mc:Choice Requires="wps">
            <w:drawing>
              <wp:anchor distT="0" distB="0" distL="114300" distR="114300" simplePos="0" relativeHeight="251744256" behindDoc="0" locked="0" layoutInCell="1" allowOverlap="1">
                <wp:simplePos x="0" y="0"/>
                <wp:positionH relativeFrom="column">
                  <wp:posOffset>8586470</wp:posOffset>
                </wp:positionH>
                <wp:positionV relativeFrom="paragraph">
                  <wp:posOffset>4703445</wp:posOffset>
                </wp:positionV>
                <wp:extent cx="76200" cy="76200"/>
                <wp:effectExtent l="5080" t="4445" r="13970" b="14605"/>
                <wp:wrapNone/>
                <wp:docPr id="128" name="自选图形 452"/>
                <wp:cNvGraphicFramePr/>
                <a:graphic xmlns:a="http://schemas.openxmlformats.org/drawingml/2006/main">
                  <a:graphicData uri="http://schemas.microsoft.com/office/word/2010/wordprocessingShape">
                    <wps:wsp>
                      <wps:cNvSpPr/>
                      <wps:spPr>
                        <a:xfrm>
                          <a:off x="4829810" y="1976755"/>
                          <a:ext cx="76200" cy="76200"/>
                        </a:xfrm>
                        <a:prstGeom prst="hexagon">
                          <a:avLst>
                            <a:gd name="adj" fmla="val 26311"/>
                            <a:gd name="vf" fmla="val 115470"/>
                          </a:avLst>
                        </a:prstGeom>
                        <a:solidFill>
                          <a:srgbClr val="FFC000"/>
                        </a:solidFill>
                        <a:ln w="6350"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shape id="自选图形 452" o:spid="_x0000_s1026" o:spt="9" type="#_x0000_t9" style="position:absolute;left:0pt;margin-left:676.1pt;margin-top:370.35pt;height:6pt;width:6pt;z-index:251744256;mso-width-relative:page;mso-height-relative:page;" fillcolor="#FFC000" filled="t" stroked="t" coordsize="21600,21600" o:gfxdata="UEsDBAoAAAAAAIdO4kAAAAAAAAAAAAAAAAAEAAAAZHJzL1BLAwQUAAAACACHTuJAHKYD+dkAAAAN&#10;AQAADwAAAGRycy9kb3ducmV2LnhtbE2PwU7DMBBE70j8g7VI3KjdNGmqEKcHJMQNiVBA3Nx4iQOx&#10;HWKnCX/P9gTHmX2anSn3i+3ZCcfQeSdhvRLA0DVed66VcHi+v9kBC1E5rXrvUMIPBthXlxelKrSf&#10;3ROe6tgyCnGhUBJMjEPBeWgMWhVWfkBHtw8/WhVJji3Xo5op3PY8EWLLreocfTBqwDuDzVc9WQm7&#10;N/s9vaTK9J/z8lqLh8f3kKGU11drcQss4hL/YDjXp+pQUaejn5wOrCe9yZKEWAl5KnJgZ2SzTck6&#10;kpUlOfCq5P9XVL9QSwMEFAAAAAgAh07iQMDzajZWAgAAtgQAAA4AAABkcnMvZTJvRG9jLnhtbK1U&#10;y27UMBTdI/EPlvc0k2lnph0100WHYYMAqfABruMkRn5he16s2CG+gR1L/gH+phL8BcdO+kRIXbBJ&#10;rpObc+85596cnu20Ihvhg7SmouXBiBJhuK2laSv67u3q2TElITJTM2WNqOheBHq2ePrkdOvmYmw7&#10;q2rhCUBMmG9dRbsY3bwoAu+EZuHAOmHwsrFes4ijb4vasy3QtSrGo9G02FpfO2+5CAFPl/1LOiD6&#10;xwDappFcLC1fa2Fij+qFYhGUQiddoIvcbdMIHl83TRCRqIqCacxXFEF8ma7F4pTNW89cJ/nQAntM&#10;Cw84aSYNit5ALVlkZO3lX1Bacm+DbeIBt7roiWRFwKIcPdDmomNOZC6QOrgb0cP/g+WvNm88kTUm&#10;YQzjDdOw/Nfn778/fbn6+vPqxzdyNBknlbYuzJF84d744RQQJsq7xut0Bxmyq+jR8fjkuIS+e2Ce&#10;zKazyaRXWewi4UiYTTEGlHC870PgFbcwzof4QlhNUgCiYsda24vLNi9DzCrXQ6esfk9JoxU82zBF&#10;xtPDshw8vU7ZNHczynJyNMu2o+SAh+i6aAIPVsl6JZXKB99enitPgF7R1ep8hNb7fu+lKUO2FZ0e&#10;ThIxhq1oMI0ItYOywbR5Nu59Ee4CA/UfwKmxJQtd30BG6PlpGYVHJ2zeCVY/NzWJewfvDJaWpma0&#10;qClRAjueopwZmVSPyYQgysCU5Hnvcooubb3HrODXkWyx/iPKYHHA78OaeRRlhuNxRUG8D89jv2lr&#10;52Xb4avsTYbFOGfXh9VL+3L3nIvf/m4Wf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cpgP52QAA&#10;AA0BAAAPAAAAAAAAAAEAIAAAACIAAABkcnMvZG93bnJldi54bWxQSwECFAAUAAAACACHTuJAwPNq&#10;NlYCAAC2BAAADgAAAAAAAAABACAAAAAoAQAAZHJzL2Uyb0RvYy54bWxQSwUGAAAAAAYABgBZAQAA&#10;8AUAAAAA&#10;" adj="5683">
                <v:fill on="t" focussize="0,0"/>
                <v:stroke weight="0.5pt" color="#000000" joinstyle="miter"/>
                <v:imagedata o:title=""/>
                <o:lock v:ext="edit" aspectratio="f"/>
              </v:shape>
            </w:pict>
          </mc:Fallback>
        </mc:AlternateContent>
      </w:r>
      <w:r>
        <w:rPr>
          <w:color w:val="auto"/>
          <w:sz w:val="32"/>
          <w:highlight w:val="none"/>
        </w:rPr>
        <mc:AlternateContent>
          <mc:Choice Requires="wps">
            <w:drawing>
              <wp:anchor distT="0" distB="0" distL="114300" distR="114300" simplePos="0" relativeHeight="251766784" behindDoc="0" locked="0" layoutInCell="1" allowOverlap="1">
                <wp:simplePos x="0" y="0"/>
                <wp:positionH relativeFrom="column">
                  <wp:posOffset>8599170</wp:posOffset>
                </wp:positionH>
                <wp:positionV relativeFrom="paragraph">
                  <wp:posOffset>4503420</wp:posOffset>
                </wp:positionV>
                <wp:extent cx="76200" cy="83820"/>
                <wp:effectExtent l="4445" t="4445" r="14605" b="6985"/>
                <wp:wrapNone/>
                <wp:docPr id="151" name="斜纹 151"/>
                <wp:cNvGraphicFramePr/>
                <a:graphic xmlns:a="http://schemas.openxmlformats.org/drawingml/2006/main">
                  <a:graphicData uri="http://schemas.microsoft.com/office/word/2010/wordprocessingShape">
                    <wps:wsp>
                      <wps:cNvSpPr/>
                      <wps:spPr>
                        <a:xfrm>
                          <a:off x="0" y="0"/>
                          <a:ext cx="76200" cy="83820"/>
                        </a:xfrm>
                        <a:prstGeom prst="diagStripe">
                          <a:avLst/>
                        </a:prstGeom>
                        <a:solidFill>
                          <a:srgbClr val="FFC000"/>
                        </a:solidFill>
                        <a:ln w="31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677.1pt;margin-top:354.6pt;height:6.6pt;width:6pt;z-index:251766784;v-text-anchor:middle;mso-width-relative:page;mso-height-relative:page;" fillcolor="#FFC000" filled="t" stroked="t" coordsize="76200,83820" o:gfxdata="UEsDBAoAAAAAAIdO4kAAAAAAAAAAAAAAAAAEAAAAZHJzL1BLAwQUAAAACACHTuJAvkTobdsAAAAN&#10;AQAADwAAAGRycy9kb3ducmV2LnhtbE2Py07DMBBF90j8gzVI7KjdtPQR4nTBQ5XYFEo/YBqbOGo8&#10;jmKnD76e6Qp2985c3TlTrM6+FUfbxyaQhvFIgbBUBdNQrWH39fawABETksE2kNVwsRFW5e1NgbkJ&#10;J/q0x22qBZdQzFGDS6nLpYyVsx7jKHSWePcdeo+JbV9L0+OJy30rM6Vm0mNDfMFhZ5+drQ7bwWtQ&#10;Fzy8zz9e1pvXar1bOGeGn2Gp9f3dWD2BSPac/sJwxWd0KJlpHwYyUbTsJ4/TjLMa5mrJ4hqZzGas&#10;9jzKsinIspD/vyh/AVBLAwQUAAAACACHTuJANKCs1WYCAADjBAAADgAAAGRycy9lMm9Eb2MueG1s&#10;rVRLbtswEN0X6B0I7hvZ+deIHBg2XBQImgBu0TVNURIB/krSltODdNWLNAdqr9FHSkmctAWy6Iaa&#10;4Qzn8+aNLi53WpGt8EFaU9LxwYgSYbitpGlK+unj8s05JSEyUzFljSjprQj0cvr61UXnJuLQtlZV&#10;whMEMWHSuZK2MbpJUQTeCs3CgXXCwFhbr1mE6pui8qxDdK2Kw9HotOisr5y3XISA20VvpENE/5KA&#10;tq4lFwvLN1qY2Ef1QrGIlkIrXaDTXG1dCx6v6zqISFRJ0WnMJ5JAXqezmF6wSeOZayUfSmAvKeFZ&#10;T5pJg6QPoRYsMrLx8o9QWnJvg63jAbe66BvJiKCL8egZNquWOZF7AdTBPYAe/l9Y/mF744mswIST&#10;MSWGaYz857fvv+5+kHQDfDoXJnBbuRs/aAFianZXe52+aIPsMqa3D5iKXSQcl2enGDolHJbzo/PD&#10;jHjx+NT5EN8Jq0kSSlpJ1qyil7ltNmHbqxCRFA/uHVO+YJWsllKprPhmPVeebBlGvFzOR0jXP3ni&#10;pgzpSno0PjtBMQy8rcEXiNqh92AaSphqsBA8+jzIJ4/Dfg4k+EeOVOOChbavJUcYSlEGTSQge+iS&#10;tLbVLaD3tudkcHwp8f6KhXjDPEgI1LCm8RpHrSyKt4NESWv917/dJ39wA1ZKOpAanX3ZMC8oUe8N&#10;WPN2fHyctiArxydnGAfx+5b1vsVs9NwCVPAC1WUx+Ud1L9be6s/Y5lnKChMzHLl7DAdlHvtlw/+A&#10;i9ksu4H5jsUrs3I8BU9DNHa2ibaWediP6AyggfuZA8OepuXa17PX479p+h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ROht2wAAAA0BAAAPAAAAAAAAAAEAIAAAACIAAABkcnMvZG93bnJldi54bWxQ&#10;SwECFAAUAAAACACHTuJANKCs1WYCAADjBAAADgAAAAAAAAABACAAAAAqAQAAZHJzL2Uyb0RvYy54&#10;bWxQSwUGAAAAAAYABgBZAQAAAgYAAAAA&#10;" path="m0,41910l38100,0,76200,0,0,83820xe">
                <v:path o:connectlocs="38100,41910;0,62865;19050,20955;57150,0" o:connectangles="0,164,164,247"/>
                <v:fill on="t" focussize="0,0"/>
                <v:stroke weight="0.25pt" color="#000000 [3213]" joinstyle="round"/>
                <v:imagedata o:title=""/>
                <o:lock v:ext="edit" aspectratio="f"/>
              </v:shape>
            </w:pict>
          </mc:Fallback>
        </mc:AlternateContent>
      </w:r>
      <w:r>
        <w:rPr>
          <w:color w:val="auto"/>
          <w:sz w:val="32"/>
          <w:highlight w:val="none"/>
        </w:rPr>
        <mc:AlternateContent>
          <mc:Choice Requires="wps">
            <w:drawing>
              <wp:anchor distT="0" distB="0" distL="114300" distR="114300" simplePos="0" relativeHeight="251765760" behindDoc="0" locked="0" layoutInCell="1" allowOverlap="1">
                <wp:simplePos x="0" y="0"/>
                <wp:positionH relativeFrom="column">
                  <wp:posOffset>8568055</wp:posOffset>
                </wp:positionH>
                <wp:positionV relativeFrom="paragraph">
                  <wp:posOffset>4300855</wp:posOffset>
                </wp:positionV>
                <wp:extent cx="81915" cy="76200"/>
                <wp:effectExtent l="4445" t="4445" r="8890" b="14605"/>
                <wp:wrapNone/>
                <wp:docPr id="145" name="矩形 448"/>
                <wp:cNvGraphicFramePr/>
                <a:graphic xmlns:a="http://schemas.openxmlformats.org/drawingml/2006/main">
                  <a:graphicData uri="http://schemas.microsoft.com/office/word/2010/wordprocessingShape">
                    <wps:wsp>
                      <wps:cNvSpPr/>
                      <wps:spPr>
                        <a:xfrm rot="10800000" flipV="1">
                          <a:off x="0" y="0"/>
                          <a:ext cx="81915" cy="76200"/>
                        </a:xfrm>
                        <a:prstGeom prst="rect">
                          <a:avLst/>
                        </a:prstGeom>
                        <a:solidFill>
                          <a:srgbClr val="FFC000"/>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rect id="矩形 448" o:spid="_x0000_s1026" o:spt="1" style="position:absolute;left:0pt;flip:y;margin-left:674.65pt;margin-top:338.65pt;height:6pt;width:6.45pt;rotation:11796480f;z-index:251765760;mso-width-relative:page;mso-height-relative:page;" fillcolor="#FFC000" filled="t" stroked="t" coordsize="21600,21600" o:gfxdata="UEsDBAoAAAAAAIdO4kAAAAAAAAAAAAAAAAAEAAAAZHJzL1BLAwQUAAAACACHTuJAhv0kb9sAAAAN&#10;AQAADwAAAGRycy9kb3ducmV2LnhtbE2PzU7DMBCE70i8g7VI3Kjz06YlxKkEEtwQahv1vI2dOG1s&#10;R7HbFJ6e7QluOzuj2W+L9dX07KJG3zkrIJ5FwJStnexsK6DavT+tgPmAVmLvrBLwrTysy/u7AnPp&#10;JrtRl21oGZVYn6MAHcKQc+5rrQz6mRuUJa9xo8FAcmy5HHGictPzJIoybrCzdEHjoN60qk/bsxFw&#10;rPXHfLHfbV6xihdf1b75/JkaIR4f4ugFWFDX8BeGGz6hQ0lMB3e20rOedDp/TikrIFsuabhF0ixJ&#10;gB1otSKPlwX//0X5C1BLAwQUAAAACACHTuJAUOUJFioCAABrBAAADgAAAGRycy9lMm9Eb2MueG1s&#10;rVTNjtMwEL4j8Q6W7zRp1V26UdM9tJQLgpUWuE8dJ7HkP8buHy+DxI2H4HEQr8HYKWV34dADOVhj&#10;e/zNfN/MZH57MJrtJAblbM3Ho5IzaYVrlO1q/uH9+sWMsxDBNqCdlTU/ysBvF8+fzfe+khPXO91I&#10;ZARiQ7X3Ne9j9FVRBNFLA2HkvLR02To0EGmLXdEg7And6GJSltfF3mHj0QkZAp2uhkt+QsRLAF3b&#10;KiFXTmyNtHFARakhEqXQKx/4ImfbtlLEd20bZGS65sQ05pWCkL1Ja7GYQ9Uh+F6JUwpwSQpPOBlQ&#10;loKeoVYQgW1R/QVllEAXXBtHwpliIJIVIRbj8ok29z14mbmQ1MGfRQ//D1a83d0hUw11wvSKMwuG&#10;Sv7zy7cf37+y6XSW9Nn7UJHbvb/D0y6QmcgeWjQMHYk6Lmdl+jhrtfIf6SCrQfzYIYt9PIstD5EJ&#10;OpyNb8YUUdDNy2tqjBSqGDATtscQX0tnWDJqjlTJDAm7NyEOrr9dkntwWjVrpXXeYLdZamQ7oKqv&#10;18uU2PDkkZu2bF/zm6tJSgOolVtqITKNJzmC7XK8Ry/CQ+BM+J/AKbEVhH5IICOk+FAZFWUSEape&#10;QvPKNiwePQluadJ4SsbIhjMtaTCTlT0jKH2JJ2mnLUmYyjUUKFkb1xypwDTvJGLv8DOFoW4nfp+2&#10;gBQUrKDjmhPxwVzGYTy2HlXXp9pm7RIY9WCu0WleUpM/3Ofgf/4Ri1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G/SRv2wAAAA0BAAAPAAAAAAAAAAEAIAAAACIAAABkcnMvZG93bnJldi54bWxQSwEC&#10;FAAUAAAACACHTuJAUOUJFioCAABrBAAADgAAAAAAAAABACAAAAAqAQAAZHJzL2Uyb0RvYy54bWxQ&#10;SwUGAAAAAAYABgBZAQAAxgUAAAAA&#10;">
                <v:fill on="t" focussize="0,0"/>
                <v:stroke color="#000000" joinstyle="miter"/>
                <v:imagedata o:title=""/>
                <o:lock v:ext="edit" aspectratio="f"/>
              </v:rect>
            </w:pict>
          </mc:Fallback>
        </mc:AlternateContent>
      </w:r>
      <w:r>
        <w:rPr>
          <w:color w:val="auto"/>
          <w:sz w:val="32"/>
          <w:highlight w:val="none"/>
        </w:rPr>
        <mc:AlternateContent>
          <mc:Choice Requires="wps">
            <w:drawing>
              <wp:anchor distT="0" distB="0" distL="114300" distR="114300" simplePos="0" relativeHeight="251664384" behindDoc="0" locked="0" layoutInCell="1" allowOverlap="1">
                <wp:simplePos x="0" y="0"/>
                <wp:positionH relativeFrom="column">
                  <wp:posOffset>8481060</wp:posOffset>
                </wp:positionH>
                <wp:positionV relativeFrom="paragraph">
                  <wp:posOffset>3807460</wp:posOffset>
                </wp:positionV>
                <wp:extent cx="1088390" cy="2280285"/>
                <wp:effectExtent l="4445" t="4445" r="12065" b="20320"/>
                <wp:wrapNone/>
                <wp:docPr id="106" name="文本框 467"/>
                <wp:cNvGraphicFramePr/>
                <a:graphic xmlns:a="http://schemas.openxmlformats.org/drawingml/2006/main">
                  <a:graphicData uri="http://schemas.microsoft.com/office/word/2010/wordprocessingShape">
                    <wps:wsp>
                      <wps:cNvSpPr txBox="1"/>
                      <wps:spPr>
                        <a:xfrm>
                          <a:off x="0" y="0"/>
                          <a:ext cx="1088390" cy="228028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84B2D70">
                            <w:pPr>
                              <w:jc w:val="center"/>
                              <w:rPr>
                                <w:rFonts w:hint="eastAsia"/>
                                <w:b/>
                                <w:bCs/>
                                <w:sz w:val="28"/>
                                <w:szCs w:val="36"/>
                                <w:lang w:eastAsia="zh-CN"/>
                              </w:rPr>
                            </w:pPr>
                            <w:r>
                              <w:rPr>
                                <w:rFonts w:hint="eastAsia"/>
                                <w:b/>
                                <w:bCs/>
                                <w:sz w:val="28"/>
                                <w:szCs w:val="36"/>
                                <w:lang w:eastAsia="zh-CN"/>
                              </w:rPr>
                              <w:t>图例</w:t>
                            </w:r>
                          </w:p>
                          <w:p w14:paraId="03D52C03">
                            <w:pPr>
                              <w:spacing w:line="240" w:lineRule="auto"/>
                              <w:ind w:firstLine="210" w:firstLineChars="100"/>
                              <w:jc w:val="both"/>
                              <w:rPr>
                                <w:rFonts w:hint="eastAsia"/>
                                <w:b w:val="0"/>
                                <w:bCs w:val="0"/>
                                <w:sz w:val="21"/>
                                <w:szCs w:val="21"/>
                                <w:lang w:val="en-US" w:eastAsia="zh-CN"/>
                              </w:rPr>
                            </w:pPr>
                            <w:r>
                              <w:rPr>
                                <w:rFonts w:hint="eastAsia"/>
                                <w:b w:val="0"/>
                                <w:bCs w:val="0"/>
                                <w:sz w:val="21"/>
                                <w:szCs w:val="21"/>
                                <w:lang w:val="en-US" w:eastAsia="zh-CN"/>
                              </w:rPr>
                              <w:t>颚式破碎机</w:t>
                            </w:r>
                          </w:p>
                          <w:p w14:paraId="18CD9B45">
                            <w:pPr>
                              <w:spacing w:line="240" w:lineRule="auto"/>
                              <w:jc w:val="both"/>
                              <w:rPr>
                                <w:rFonts w:hint="eastAsia"/>
                                <w:b w:val="0"/>
                                <w:bCs w:val="0"/>
                                <w:sz w:val="21"/>
                                <w:szCs w:val="21"/>
                                <w:lang w:val="en-US" w:eastAsia="zh-CN"/>
                              </w:rPr>
                            </w:pPr>
                            <w:r>
                              <w:rPr>
                                <w:rFonts w:hint="eastAsia"/>
                                <w:b w:val="0"/>
                                <w:bCs w:val="0"/>
                                <w:sz w:val="21"/>
                                <w:szCs w:val="21"/>
                                <w:lang w:val="en-US" w:eastAsia="zh-CN"/>
                              </w:rPr>
                              <w:t xml:space="preserve">  提升机</w:t>
                            </w:r>
                          </w:p>
                          <w:p w14:paraId="2F5496F5">
                            <w:pPr>
                              <w:spacing w:line="240" w:lineRule="auto"/>
                              <w:ind w:firstLine="210" w:firstLineChars="100"/>
                              <w:jc w:val="both"/>
                              <w:rPr>
                                <w:rFonts w:hint="eastAsia"/>
                                <w:b w:val="0"/>
                                <w:bCs w:val="0"/>
                                <w:sz w:val="21"/>
                                <w:szCs w:val="21"/>
                                <w:lang w:val="en-US" w:eastAsia="zh-CN"/>
                              </w:rPr>
                            </w:pPr>
                            <w:r>
                              <w:rPr>
                                <w:rFonts w:hint="eastAsia"/>
                                <w:b w:val="0"/>
                                <w:bCs w:val="0"/>
                                <w:sz w:val="21"/>
                                <w:szCs w:val="21"/>
                                <w:lang w:val="en-US" w:eastAsia="zh-CN"/>
                              </w:rPr>
                              <w:t>锤式破碎机</w:t>
                            </w:r>
                          </w:p>
                          <w:p w14:paraId="0504FC00">
                            <w:pPr>
                              <w:spacing w:line="240" w:lineRule="auto"/>
                              <w:jc w:val="both"/>
                              <w:rPr>
                                <w:rFonts w:hint="eastAsia"/>
                                <w:b w:val="0"/>
                                <w:bCs w:val="0"/>
                                <w:sz w:val="21"/>
                                <w:szCs w:val="21"/>
                                <w:lang w:val="en-US" w:eastAsia="zh-CN"/>
                              </w:rPr>
                            </w:pPr>
                            <w:r>
                              <w:rPr>
                                <w:rFonts w:hint="eastAsia"/>
                                <w:b w:val="0"/>
                                <w:bCs w:val="0"/>
                                <w:sz w:val="21"/>
                                <w:szCs w:val="21"/>
                                <w:lang w:val="en-US" w:eastAsia="zh-CN"/>
                              </w:rPr>
                              <w:t xml:space="preserve">  筛分机</w:t>
                            </w:r>
                          </w:p>
                          <w:p w14:paraId="19A47966">
                            <w:pPr>
                              <w:spacing w:line="240" w:lineRule="auto"/>
                              <w:ind w:firstLine="210" w:firstLineChars="100"/>
                              <w:jc w:val="both"/>
                              <w:rPr>
                                <w:rFonts w:hint="eastAsia"/>
                                <w:b w:val="0"/>
                                <w:bCs w:val="0"/>
                                <w:sz w:val="21"/>
                                <w:szCs w:val="21"/>
                                <w:lang w:val="en-US" w:eastAsia="zh-CN"/>
                              </w:rPr>
                            </w:pPr>
                            <w:r>
                              <w:rPr>
                                <w:rFonts w:hint="eastAsia"/>
                                <w:b w:val="0"/>
                                <w:bCs w:val="0"/>
                                <w:sz w:val="21"/>
                                <w:szCs w:val="21"/>
                                <w:lang w:val="en-US" w:eastAsia="zh-CN"/>
                              </w:rPr>
                              <w:t>雷蒙</w:t>
                            </w:r>
                          </w:p>
                          <w:p w14:paraId="72AF078A">
                            <w:pPr>
                              <w:pStyle w:val="16"/>
                              <w:spacing w:line="240" w:lineRule="auto"/>
                              <w:ind w:left="0" w:leftChars="0" w:firstLine="0" w:firstLineChars="0"/>
                              <w:rPr>
                                <w:rFonts w:hint="eastAsia"/>
                                <w:b w:val="0"/>
                                <w:bCs w:val="0"/>
                                <w:sz w:val="21"/>
                                <w:szCs w:val="21"/>
                                <w:lang w:val="en-US" w:eastAsia="zh-CN"/>
                              </w:rPr>
                            </w:pPr>
                            <w:r>
                              <w:rPr>
                                <w:rFonts w:hint="eastAsia"/>
                                <w:b w:val="0"/>
                                <w:bCs w:val="0"/>
                                <w:sz w:val="21"/>
                                <w:szCs w:val="21"/>
                                <w:lang w:val="en-US" w:eastAsia="zh-CN"/>
                              </w:rPr>
                              <w:t xml:space="preserve">  环辊磨</w:t>
                            </w:r>
                          </w:p>
                          <w:p w14:paraId="6C8137CE">
                            <w:pPr>
                              <w:spacing w:line="240" w:lineRule="auto"/>
                              <w:rPr>
                                <w:rFonts w:hint="default"/>
                                <w:lang w:val="en-US" w:eastAsia="zh-CN"/>
                              </w:rPr>
                            </w:pPr>
                            <w:r>
                              <w:rPr>
                                <w:rFonts w:hint="eastAsia"/>
                                <w:b w:val="0"/>
                                <w:bCs w:val="0"/>
                                <w:sz w:val="21"/>
                                <w:szCs w:val="21"/>
                                <w:lang w:val="en-US" w:eastAsia="zh-CN"/>
                              </w:rPr>
                              <w:t xml:space="preserve">  色选</w:t>
                            </w:r>
                          </w:p>
                          <w:p w14:paraId="16263597">
                            <w:pPr>
                              <w:spacing w:line="240" w:lineRule="auto"/>
                              <w:ind w:firstLine="210" w:firstLineChars="100"/>
                              <w:jc w:val="both"/>
                              <w:rPr>
                                <w:rFonts w:hint="eastAsia"/>
                                <w:b w:val="0"/>
                                <w:bCs w:val="0"/>
                                <w:sz w:val="21"/>
                                <w:szCs w:val="21"/>
                                <w:lang w:val="en-US" w:eastAsia="zh-CN"/>
                              </w:rPr>
                            </w:pPr>
                            <w:r>
                              <w:rPr>
                                <w:rFonts w:hint="eastAsia"/>
                                <w:b w:val="0"/>
                                <w:bCs w:val="0"/>
                                <w:sz w:val="21"/>
                                <w:szCs w:val="21"/>
                                <w:lang w:val="en-US" w:eastAsia="zh-CN"/>
                              </w:rPr>
                              <w:t>布袋除尘器</w:t>
                            </w:r>
                          </w:p>
                          <w:p w14:paraId="5FB9CF1F">
                            <w:pPr>
                              <w:pStyle w:val="17"/>
                              <w:spacing w:line="240" w:lineRule="auto"/>
                              <w:ind w:firstLine="210" w:firstLineChars="100"/>
                              <w:rPr>
                                <w:rFonts w:hint="default"/>
                                <w:lang w:val="en-US" w:eastAsia="zh-CN"/>
                              </w:rPr>
                            </w:pPr>
                            <w:r>
                              <w:rPr>
                                <w:rFonts w:hint="eastAsia"/>
                                <w:b w:val="0"/>
                                <w:bCs w:val="0"/>
                                <w:sz w:val="21"/>
                                <w:szCs w:val="21"/>
                                <w:lang w:val="en-US" w:eastAsia="zh-CN"/>
                              </w:rPr>
                              <w:t>排气筒</w:t>
                            </w:r>
                          </w:p>
                        </w:txbxContent>
                      </wps:txbx>
                      <wps:bodyPr vert="horz" wrap="square" anchor="t" anchorCtr="0" upright="1"/>
                    </wps:wsp>
                  </a:graphicData>
                </a:graphic>
              </wp:anchor>
            </w:drawing>
          </mc:Choice>
          <mc:Fallback>
            <w:pict>
              <v:shape id="文本框 467" o:spid="_x0000_s1026" o:spt="202" type="#_x0000_t202" style="position:absolute;left:0pt;margin-left:667.8pt;margin-top:299.8pt;height:179.55pt;width:85.7pt;z-index:251664384;mso-width-relative:page;mso-height-relative:page;" fillcolor="#FFFFFF" filled="t" stroked="t" coordsize="21600,21600" o:gfxdata="UEsDBAoAAAAAAIdO4kAAAAAAAAAAAAAAAAAEAAAAZHJzL1BLAwQUAAAACACHTuJAOMKi3NoAAAAN&#10;AQAADwAAAGRycy9kb3ducmV2LnhtbE2Py07DMBBF90j8gzVIbBC1S8iTOF0ggWAHBbVbN54mEbEd&#10;bDctf890Bbu5mqP7qFcnM7IZfRiclbBcCGBoW6cH20n4/Hi6LYCFqKxWo7Mo4QcDrJrLi1pV2h3t&#10;O87r2DEysaFSEvoYp4rz0PZoVFi4CS399s4bFUn6jmuvjmRuRn4nRMaNGiwl9GrCxx7br/XBSCju&#10;X+ZteE3eNm22H8t4k8/P317K66uleAAW8RT/YDjXp+rQUKedO1gd2Eg6SdKMWAlpWdJxRlKR076d&#10;hDItcuBNzf+vaH4BUEsDBBQAAAAIAIdO4kAJ8Bm6LQIAAG4EAAAOAAAAZHJzL2Uyb0RvYy54bWyt&#10;VM2O0zAQviPxDpbvNNlASzdquhJbygUB0sIDTB0nseQ/bLdJeQB4A05c9s5z9TkYO93uDxx6wAdn&#10;7Bl/M/PNTBZXg5Jkx50XRlf0YpJTwjUztdBtRb98Xr+YU+ID6Bqk0byie+7p1fL5s0VvS16Yzsia&#10;O4Ig2pe9rWgXgi2zzLOOK/ATY7lGZWOcgoBH12a1gx7RlcyKPJ9lvXG1dYZx7/F2NSrpEdGdA2ia&#10;RjC+MmyruA4jquMSAqbkO2E9XaZom4az8LFpPA9EVhQzDWlHJyhv4p4tF1C2Dmwn2DEEOCeEJzkp&#10;EBqdnqBWEIBsnfgLSgnmjDdNmDCjsjGRxAhmcZE/4eamA8tTLki1tyfS/f+DZR92nxwRNXZCPqNE&#10;g8KSH37+OPz6fbj9Tl7NXkeKeutLtLyxaBuGN2ZA87t7j5cx86FxKn4xJ4J6JHh/IpgPgbD4KJ/P&#10;X16iiqGuKOZ5MZ9GnOz+uXU+vONGkShU1GEFE7Gwe+/DaHpnEr15I0W9FlKmg2s319KRHWC112kd&#10;0R+ZSU36il5OiykGAtjCDbYOisoiDV63yd+jF/4hcJ7Wv4BjYCvw3RhAQohmUCoRuEtSx6F+q2sS&#10;9haJ1jhhNAajeE2J5DiQUUqWAYQ8xxK5kxopjDUaaxGlMGwGhInixtR7rBuOPPLZGfcNPWLDY6pf&#10;t+DQP2iG1xVFDkbxOowTsrVOtB2+SsVOHrANU7mOIxP7/OE5xXH/m1j+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DjCotzaAAAADQEAAA8AAAAAAAAAAQAgAAAAIgAAAGRycy9kb3ducmV2LnhtbFBL&#10;AQIUABQAAAAIAIdO4kAJ8Bm6LQIAAG4EAAAOAAAAAAAAAAEAIAAAACkBAABkcnMvZTJvRG9jLnht&#10;bFBLBQYAAAAABgAGAFkBAADIBQAAAAA=&#10;">
                <v:fill on="t" focussize="0,0"/>
                <v:stroke color="#000000" joinstyle="miter"/>
                <v:imagedata o:title=""/>
                <o:lock v:ext="edit" aspectratio="f"/>
                <v:textbox>
                  <w:txbxContent>
                    <w:p w14:paraId="684B2D70">
                      <w:pPr>
                        <w:jc w:val="center"/>
                        <w:rPr>
                          <w:rFonts w:hint="eastAsia"/>
                          <w:b/>
                          <w:bCs/>
                          <w:sz w:val="28"/>
                          <w:szCs w:val="36"/>
                          <w:lang w:eastAsia="zh-CN"/>
                        </w:rPr>
                      </w:pPr>
                      <w:r>
                        <w:rPr>
                          <w:rFonts w:hint="eastAsia"/>
                          <w:b/>
                          <w:bCs/>
                          <w:sz w:val="28"/>
                          <w:szCs w:val="36"/>
                          <w:lang w:eastAsia="zh-CN"/>
                        </w:rPr>
                        <w:t>图例</w:t>
                      </w:r>
                    </w:p>
                    <w:p w14:paraId="03D52C03">
                      <w:pPr>
                        <w:spacing w:line="240" w:lineRule="auto"/>
                        <w:ind w:firstLine="210" w:firstLineChars="100"/>
                        <w:jc w:val="both"/>
                        <w:rPr>
                          <w:rFonts w:hint="eastAsia"/>
                          <w:b w:val="0"/>
                          <w:bCs w:val="0"/>
                          <w:sz w:val="21"/>
                          <w:szCs w:val="21"/>
                          <w:lang w:val="en-US" w:eastAsia="zh-CN"/>
                        </w:rPr>
                      </w:pPr>
                      <w:r>
                        <w:rPr>
                          <w:rFonts w:hint="eastAsia"/>
                          <w:b w:val="0"/>
                          <w:bCs w:val="0"/>
                          <w:sz w:val="21"/>
                          <w:szCs w:val="21"/>
                          <w:lang w:val="en-US" w:eastAsia="zh-CN"/>
                        </w:rPr>
                        <w:t>颚式破碎机</w:t>
                      </w:r>
                    </w:p>
                    <w:p w14:paraId="18CD9B45">
                      <w:pPr>
                        <w:spacing w:line="240" w:lineRule="auto"/>
                        <w:jc w:val="both"/>
                        <w:rPr>
                          <w:rFonts w:hint="eastAsia"/>
                          <w:b w:val="0"/>
                          <w:bCs w:val="0"/>
                          <w:sz w:val="21"/>
                          <w:szCs w:val="21"/>
                          <w:lang w:val="en-US" w:eastAsia="zh-CN"/>
                        </w:rPr>
                      </w:pPr>
                      <w:r>
                        <w:rPr>
                          <w:rFonts w:hint="eastAsia"/>
                          <w:b w:val="0"/>
                          <w:bCs w:val="0"/>
                          <w:sz w:val="21"/>
                          <w:szCs w:val="21"/>
                          <w:lang w:val="en-US" w:eastAsia="zh-CN"/>
                        </w:rPr>
                        <w:t xml:space="preserve">  提升机</w:t>
                      </w:r>
                    </w:p>
                    <w:p w14:paraId="2F5496F5">
                      <w:pPr>
                        <w:spacing w:line="240" w:lineRule="auto"/>
                        <w:ind w:firstLine="210" w:firstLineChars="100"/>
                        <w:jc w:val="both"/>
                        <w:rPr>
                          <w:rFonts w:hint="eastAsia"/>
                          <w:b w:val="0"/>
                          <w:bCs w:val="0"/>
                          <w:sz w:val="21"/>
                          <w:szCs w:val="21"/>
                          <w:lang w:val="en-US" w:eastAsia="zh-CN"/>
                        </w:rPr>
                      </w:pPr>
                      <w:r>
                        <w:rPr>
                          <w:rFonts w:hint="eastAsia"/>
                          <w:b w:val="0"/>
                          <w:bCs w:val="0"/>
                          <w:sz w:val="21"/>
                          <w:szCs w:val="21"/>
                          <w:lang w:val="en-US" w:eastAsia="zh-CN"/>
                        </w:rPr>
                        <w:t>锤式破碎机</w:t>
                      </w:r>
                    </w:p>
                    <w:p w14:paraId="0504FC00">
                      <w:pPr>
                        <w:spacing w:line="240" w:lineRule="auto"/>
                        <w:jc w:val="both"/>
                        <w:rPr>
                          <w:rFonts w:hint="eastAsia"/>
                          <w:b w:val="0"/>
                          <w:bCs w:val="0"/>
                          <w:sz w:val="21"/>
                          <w:szCs w:val="21"/>
                          <w:lang w:val="en-US" w:eastAsia="zh-CN"/>
                        </w:rPr>
                      </w:pPr>
                      <w:r>
                        <w:rPr>
                          <w:rFonts w:hint="eastAsia"/>
                          <w:b w:val="0"/>
                          <w:bCs w:val="0"/>
                          <w:sz w:val="21"/>
                          <w:szCs w:val="21"/>
                          <w:lang w:val="en-US" w:eastAsia="zh-CN"/>
                        </w:rPr>
                        <w:t xml:space="preserve">  筛分机</w:t>
                      </w:r>
                    </w:p>
                    <w:p w14:paraId="19A47966">
                      <w:pPr>
                        <w:spacing w:line="240" w:lineRule="auto"/>
                        <w:ind w:firstLine="210" w:firstLineChars="100"/>
                        <w:jc w:val="both"/>
                        <w:rPr>
                          <w:rFonts w:hint="eastAsia"/>
                          <w:b w:val="0"/>
                          <w:bCs w:val="0"/>
                          <w:sz w:val="21"/>
                          <w:szCs w:val="21"/>
                          <w:lang w:val="en-US" w:eastAsia="zh-CN"/>
                        </w:rPr>
                      </w:pPr>
                      <w:r>
                        <w:rPr>
                          <w:rFonts w:hint="eastAsia"/>
                          <w:b w:val="0"/>
                          <w:bCs w:val="0"/>
                          <w:sz w:val="21"/>
                          <w:szCs w:val="21"/>
                          <w:lang w:val="en-US" w:eastAsia="zh-CN"/>
                        </w:rPr>
                        <w:t>雷蒙</w:t>
                      </w:r>
                    </w:p>
                    <w:p w14:paraId="72AF078A">
                      <w:pPr>
                        <w:pStyle w:val="16"/>
                        <w:spacing w:line="240" w:lineRule="auto"/>
                        <w:ind w:left="0" w:leftChars="0" w:firstLine="0" w:firstLineChars="0"/>
                        <w:rPr>
                          <w:rFonts w:hint="eastAsia"/>
                          <w:b w:val="0"/>
                          <w:bCs w:val="0"/>
                          <w:sz w:val="21"/>
                          <w:szCs w:val="21"/>
                          <w:lang w:val="en-US" w:eastAsia="zh-CN"/>
                        </w:rPr>
                      </w:pPr>
                      <w:r>
                        <w:rPr>
                          <w:rFonts w:hint="eastAsia"/>
                          <w:b w:val="0"/>
                          <w:bCs w:val="0"/>
                          <w:sz w:val="21"/>
                          <w:szCs w:val="21"/>
                          <w:lang w:val="en-US" w:eastAsia="zh-CN"/>
                        </w:rPr>
                        <w:t xml:space="preserve">  环辊磨</w:t>
                      </w:r>
                    </w:p>
                    <w:p w14:paraId="6C8137CE">
                      <w:pPr>
                        <w:spacing w:line="240" w:lineRule="auto"/>
                        <w:rPr>
                          <w:rFonts w:hint="default"/>
                          <w:lang w:val="en-US" w:eastAsia="zh-CN"/>
                        </w:rPr>
                      </w:pPr>
                      <w:r>
                        <w:rPr>
                          <w:rFonts w:hint="eastAsia"/>
                          <w:b w:val="0"/>
                          <w:bCs w:val="0"/>
                          <w:sz w:val="21"/>
                          <w:szCs w:val="21"/>
                          <w:lang w:val="en-US" w:eastAsia="zh-CN"/>
                        </w:rPr>
                        <w:t xml:space="preserve">  色选</w:t>
                      </w:r>
                    </w:p>
                    <w:p w14:paraId="16263597">
                      <w:pPr>
                        <w:spacing w:line="240" w:lineRule="auto"/>
                        <w:ind w:firstLine="210" w:firstLineChars="100"/>
                        <w:jc w:val="both"/>
                        <w:rPr>
                          <w:rFonts w:hint="eastAsia"/>
                          <w:b w:val="0"/>
                          <w:bCs w:val="0"/>
                          <w:sz w:val="21"/>
                          <w:szCs w:val="21"/>
                          <w:lang w:val="en-US" w:eastAsia="zh-CN"/>
                        </w:rPr>
                      </w:pPr>
                      <w:r>
                        <w:rPr>
                          <w:rFonts w:hint="eastAsia"/>
                          <w:b w:val="0"/>
                          <w:bCs w:val="0"/>
                          <w:sz w:val="21"/>
                          <w:szCs w:val="21"/>
                          <w:lang w:val="en-US" w:eastAsia="zh-CN"/>
                        </w:rPr>
                        <w:t>布袋除尘器</w:t>
                      </w:r>
                    </w:p>
                    <w:p w14:paraId="5FB9CF1F">
                      <w:pPr>
                        <w:pStyle w:val="17"/>
                        <w:spacing w:line="240" w:lineRule="auto"/>
                        <w:ind w:firstLine="210" w:firstLineChars="100"/>
                        <w:rPr>
                          <w:rFonts w:hint="default"/>
                          <w:lang w:val="en-US" w:eastAsia="zh-CN"/>
                        </w:rPr>
                      </w:pPr>
                      <w:r>
                        <w:rPr>
                          <w:rFonts w:hint="eastAsia"/>
                          <w:b w:val="0"/>
                          <w:bCs w:val="0"/>
                          <w:sz w:val="21"/>
                          <w:szCs w:val="21"/>
                          <w:lang w:val="en-US" w:eastAsia="zh-CN"/>
                        </w:rPr>
                        <w:t>排气筒</w:t>
                      </w:r>
                    </w:p>
                  </w:txbxContent>
                </v:textbox>
              </v:shape>
            </w:pict>
          </mc:Fallback>
        </mc:AlternateContent>
      </w:r>
      <w:r>
        <w:rPr>
          <w:color w:val="auto"/>
          <w:sz w:val="32"/>
          <w:highlight w:val="none"/>
        </w:rPr>
        <mc:AlternateContent>
          <mc:Choice Requires="wps">
            <w:drawing>
              <wp:anchor distT="0" distB="0" distL="114300" distR="114300" simplePos="0" relativeHeight="251740160" behindDoc="0" locked="0" layoutInCell="1" allowOverlap="1">
                <wp:simplePos x="0" y="0"/>
                <wp:positionH relativeFrom="column">
                  <wp:posOffset>7374255</wp:posOffset>
                </wp:positionH>
                <wp:positionV relativeFrom="paragraph">
                  <wp:posOffset>3444875</wp:posOffset>
                </wp:positionV>
                <wp:extent cx="76200" cy="76200"/>
                <wp:effectExtent l="4445" t="4445" r="14605" b="14605"/>
                <wp:wrapNone/>
                <wp:docPr id="123" name="自选图形 445"/>
                <wp:cNvGraphicFramePr/>
                <a:graphic xmlns:a="http://schemas.openxmlformats.org/drawingml/2006/main">
                  <a:graphicData uri="http://schemas.microsoft.com/office/word/2010/wordprocessingShape">
                    <wps:wsp>
                      <wps:cNvSpPr/>
                      <wps:spPr>
                        <a:xfrm>
                          <a:off x="0" y="0"/>
                          <a:ext cx="76200" cy="76200"/>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C000"/>
                        </a:solidFill>
                        <a:ln w="9525" cap="flat" cmpd="sng">
                          <a:solidFill>
                            <a:srgbClr val="00B050"/>
                          </a:solidFill>
                          <a:prstDash val="solid"/>
                          <a:headEnd type="none" w="med" len="med"/>
                          <a:tailEnd type="none" w="med" len="med"/>
                        </a:ln>
                      </wps:spPr>
                      <wps:bodyPr vert="horz" wrap="square" anchor="t" anchorCtr="0" upright="1"/>
                    </wps:wsp>
                  </a:graphicData>
                </a:graphic>
              </wp:anchor>
            </w:drawing>
          </mc:Choice>
          <mc:Fallback>
            <w:pict>
              <v:shape id="自选图形 445" o:spid="_x0000_s1026" o:spt="100" style="position:absolute;left:0pt;margin-left:580.65pt;margin-top:271.25pt;height:6pt;width:6pt;z-index:251740160;mso-width-relative:page;mso-height-relative:page;" fillcolor="#FFC000" filled="t" stroked="t" coordsize="21600,21600" o:gfxdata="UEsDBAoAAAAAAIdO4kAAAAAAAAAAAAAAAAAEAAAAZHJzL1BLAwQUAAAACACHTuJANyG+U9sAAAAN&#10;AQAADwAAAGRycy9kb3ducmV2LnhtbE2PzU7DMBCE70i8g7VIXBC13TQBQpxK/F0rEUDl6MYmiYjX&#10;UewmLU/P9gTHmf00O1OsD65nkx1D51GBXAhgFmtvOmwUvL+9XN8CC1Gj0b1Hq+BoA6zL87NC58bP&#10;+GqnKjaMQjDkWkEb45BzHurWOh0WfrBIty8/Oh1Jjg03o54p3PV8KUTGne6QPrR6sI+trb+rvVOw&#10;fd7coUg+j1cf8zQ9iO1PVWdPSl1eSHEPLNpD/IPhVJ+qQ0mddn6PJrCetMxkQqyCdLVMgZ0QeZOQ&#10;tSMrXaXAy4L/X1H+AlBLAwQUAAAACACHTuJAV4zmL2QDAAB5CQAADgAAAGRycy9lMm9Eb2MueG1s&#10;rVbNbtswDL4P2DsIPg5o7fy1adCkWJtll2Er2uwBVFmODdiWJimxs9Nuw55htx33DtvbFNjeYqRk&#10;Oz9NuqzYJaFk8iP5kaJ0flFmKVlwpRORD73WceARnjMRJvls6L2fTo76HtGG5iFNRc6H3pJr72L0&#10;/Nl5IQe8LWKRhlwRAMn1oJBDLzZGDnxfs5hnVB8LyXP4GAmVUQNLNfNDRQtAz1K/HQQnfiFUKJVg&#10;XGvYHbuPXoWoDgEUUZQwPhZsnvHcOFTFU2ogJR0nUnsjG20UcWbeRZHmhqRDDzI19hecgHyHv/7o&#10;nA5miso4YVUI9JAQtnLKaJKD0wZqTA0lc5U8gMoSpoQWkTlmIvNdIpYRyKIVbHFzG1PJbS5AtZYN&#10;6fr/wbK3i2tFkhA6od3xSE4zKPmvz99/f/py//Xn/Y9vpNvtIUuF1ANQvpXXqlppEDHlMlIZ/kMy&#10;pLTMLhtmeWkIg83TEyi9Rxh8cSJg+CtTNtfmNRcWhi7eaOPKEoJkSQ2rwEz5xiNRlkKJXvik0zrp&#10;kIK0WyeAXVk0itNtxXiP4s2aYqvf7Zzuhbx8oLmGCdnM6nhpXKfAyrzKASRC8Yi1TwPbKVJopKsV&#10;9JGZmjKAAU1Mep8BZm31reB43DZp9Td8OHznabfB2YZ+48LygdTuCGvTZJVGU46/2yDbNpXH/GxE&#10;5sCRrcey2aa48bNNmQuxqpCCYYFjwjYZDApTQg/BqDAltAgMC1Neui6T1GCBsUgokgKKanuQxLWE&#10;3zKx4FNhtczqYKzHvdKgik0FKW7qvEi8ErV5iX1jDQPsFV3YjV4XVnXnHwBwVBs8FeDprh/1zFKh&#10;OfTYQ8bQzPWHPSSuD3eR5hSRMyfto6yhwLpbcbbHHreR4ZqwfzR/smHjZ7fjmjDoXuw/ezqbnsSW&#10;XpumWqRJOEnSFPnVanZ3lSqyoNDmk8lV1T1gsqGW5tjSZ712DyY2hSs+gqsVxEzCNaHzmR1fGxYb&#10;wEFwGfTsQN4GlkqbMdWxC8AiuBMVcxq+ykNilhKunxzeHR6GkPHQIymHZwpKtmaGJukhmuA6hTHq&#10;47XlLiqU7kS4hOsOXj9wvmOhPoIbuPshqw9zqsApzRlsw1mvxSsDKyjkXKpkFoNVy45DBIMb2VJf&#10;vR7wyl9fW+erF9Po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NgFAABbQ29udGVudF9UeXBlc10ueG1sUEsBAhQACgAAAAAAh07iQAAAAAAAAAAA&#10;AAAAAAYAAAAAAAAAAAAQAAAAugQAAF9yZWxzL1BLAQIUABQAAAAIAIdO4kCKFGY80QAAAJQBAAAL&#10;AAAAAAAAAAEAIAAAAN4EAABfcmVscy8ucmVsc1BLAQIUAAoAAAAAAIdO4kAAAAAAAAAAAAAAAAAE&#10;AAAAAAAAAAAAEAAAAAAAAABkcnMvUEsBAhQAFAAAAAgAh07iQDchvlPbAAAADQEAAA8AAAAAAAAA&#10;AQAgAAAAIgAAAGRycy9kb3ducmV2LnhtbFBLAQIUABQAAAAIAIdO4kBXjOYvZAMAAHkJAAAOAAAA&#10;AAAAAAEAIAAAACoBAABkcnMvZTJvRG9jLnhtbFBLBQYAAAAABgAGAFkBAAAABw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B050" joinstyle="round"/>
                <v:imagedata o:title=""/>
                <o:lock v:ext="edit" aspectratio="f"/>
              </v:shape>
            </w:pict>
          </mc:Fallback>
        </mc:AlternateContent>
      </w:r>
      <w:r>
        <w:rPr>
          <w:color w:val="auto"/>
          <w:sz w:val="32"/>
          <w:highlight w:val="none"/>
        </w:rPr>
        <mc:AlternateContent>
          <mc:Choice Requires="wps">
            <w:drawing>
              <wp:anchor distT="0" distB="0" distL="114300" distR="114300" simplePos="0" relativeHeight="251736064" behindDoc="0" locked="0" layoutInCell="1" allowOverlap="1">
                <wp:simplePos x="0" y="0"/>
                <wp:positionH relativeFrom="column">
                  <wp:posOffset>7507605</wp:posOffset>
                </wp:positionH>
                <wp:positionV relativeFrom="paragraph">
                  <wp:posOffset>3479165</wp:posOffset>
                </wp:positionV>
                <wp:extent cx="90805" cy="90170"/>
                <wp:effectExtent l="22225" t="22225" r="39370" b="40005"/>
                <wp:wrapNone/>
                <wp:docPr id="119" name="自选图形 471"/>
                <wp:cNvGraphicFramePr/>
                <a:graphic xmlns:a="http://schemas.openxmlformats.org/drawingml/2006/main">
                  <a:graphicData uri="http://schemas.microsoft.com/office/word/2010/wordprocessingShape">
                    <wps:wsp>
                      <wps:cNvSpPr/>
                      <wps:spPr>
                        <a:xfrm rot="1620000">
                          <a:off x="0" y="0"/>
                          <a:ext cx="90805" cy="90170"/>
                        </a:xfrm>
                        <a:prstGeom prst="bevel">
                          <a:avLst>
                            <a:gd name="adj" fmla="val 12500"/>
                          </a:avLst>
                        </a:prstGeom>
                        <a:solidFill>
                          <a:srgbClr val="00B050"/>
                        </a:solidFill>
                        <a:ln w="9525" cap="flat" cmpd="sng">
                          <a:solidFill>
                            <a:srgbClr val="FFFFFF"/>
                          </a:solidFill>
                          <a:prstDash val="solid"/>
                          <a:miter/>
                          <a:headEnd type="none" w="med" len="med"/>
                          <a:tailEnd type="none" w="med" len="med"/>
                        </a:ln>
                      </wps:spPr>
                      <wps:bodyPr vert="horz" wrap="square" anchor="t" anchorCtr="0" upright="1"/>
                    </wps:wsp>
                  </a:graphicData>
                </a:graphic>
              </wp:anchor>
            </w:drawing>
          </mc:Choice>
          <mc:Fallback>
            <w:pict>
              <v:shape id="自选图形 471" o:spid="_x0000_s1026" o:spt="84" type="#_x0000_t84" style="position:absolute;left:0pt;margin-left:591.15pt;margin-top:273.95pt;height:7.1pt;width:7.15pt;rotation:1769472f;z-index:251736064;mso-width-relative:page;mso-height-relative:page;" fillcolor="#00B050" filled="t" stroked="t" coordsize="21600,21600" o:gfxdata="UEsDBAoAAAAAAIdO4kAAAAAAAAAAAAAAAAAEAAAAZHJzL1BLAwQUAAAACACHTuJAincHctoAAAAN&#10;AQAADwAAAGRycy9kb3ducmV2LnhtbE2Py07DMBBF90j8gzVI7KjjAHkRpxIINl0g0YLE0olNEtUe&#10;R7Hbpn/PdAXLO3N050y9XpxlRzOH0aMEsUqAGey8HrGX8Ll7uyuAhahQK+vRSDibAOvm+qpWlfYn&#10;/DDHbewZlWColIQhxqniPHSDcSqs/GSQdj9+dipSnHuuZ3Wicmd5miQZd2pEujCoybwMpttvD06C&#10;y22+2X2/Y7lpC7cUz69n+7WX8vZGJE/AolniHwwXfVKHhpxaf0AdmKUsivSeWAmPD3kJ7IKIMsuA&#10;tTTKUgG8qfn/L5pfUEsDBBQAAAAIAIdO4kDf2yu8SgIAAJMEAAAOAAAAZHJzL2Uyb0RvYy54bWyt&#10;VM1u1DAQviPxDpbvbJIV23ajZivRZbkgqFR4gFnbSYz8h+3948QN8QzceuQd4G0qwVswdtLSlksP&#10;5BCN4/E33/eNJ6dne63IVvggrWloNSkpEYZZLk3X0PfvVs9OKAkRDAdljWjoQQR6tnj65HTnajG1&#10;vVVceIIgJtQ719A+RlcXRWC90BAm1gmDm631GiIufVdwDztE16qYluVRsbOeO2+ZCAG/LodNOiL6&#10;xwDatpVMLC3baGHigOqFgoiSQi9doIvMtm0Fi2/bNohIVENRacxvLILxOr2LxSnUnQfXSzZSgMdQ&#10;eKBJgzRY9BZqCRHIxst/oLRk3gbbxgmzuhiEZEdQRVU+8OayByeyFrQ6uFvTw/+DZW+2F55Ijjeh&#10;mlNiQGPLf335/vvz1+tvP69/XJHnx1VyaedCjcmX7sKPq4BhkrxvvSbeorXVETa4LLMRKI3ss8+H&#10;W5/FPhKGH+flSTmjhOHOvKyOcxeKASgBOh/iK2E1SUFD12IrVMaE7esQs8t8ZAr8AyWtVtizLShS&#10;TWdYHvkh2piM0Q1eOhmsknwllcoL363PlSd4FDmWL8rZzeF7acqQHTKdTRNnwCvf4lXDUDu0LZgu&#10;c7t3ItwFXuVnZHUvLRFbQugHAnkrpUGtZRTJZqh7Afyl4SQeHDbG4ETSREYLTokSOMApypkRpHpM&#10;JhqiDDqUGjq0MEVryw94EfC/gI731n/CMjgVqO/jBjwWBcPwc0NR+BCex2GMNs7Lrk/dzxITGN7V&#10;3IJxrtIw3F3n4n//JYs/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incHctoAAAANAQAADwAAAAAA&#10;AAABACAAAAAiAAAAZHJzL2Rvd25yZXYueG1sUEsBAhQAFAAAAAgAh07iQN/bK7xKAgAAkwQAAA4A&#10;AAAAAAAAAQAgAAAAKQEAAGRycy9lMm9Eb2MueG1sUEsFBgAAAAAGAAYAWQEAAOUFAAAAAA==&#10;" adj="2700">
                <v:fill on="t" focussize="0,0"/>
                <v:stroke color="#FFFFFF" joinstyle="miter"/>
                <v:imagedata o:title=""/>
                <o:lock v:ext="edit" aspectratio="f"/>
              </v:shape>
            </w:pict>
          </mc:Fallback>
        </mc:AlternateContent>
      </w:r>
      <w:r>
        <w:rPr>
          <w:color w:val="auto"/>
          <w:sz w:val="32"/>
          <w:highlight w:val="none"/>
        </w:rPr>
        <mc:AlternateContent>
          <mc:Choice Requires="wps">
            <w:drawing>
              <wp:anchor distT="0" distB="0" distL="114300" distR="114300" simplePos="0" relativeHeight="251757568" behindDoc="0" locked="0" layoutInCell="1" allowOverlap="1">
                <wp:simplePos x="0" y="0"/>
                <wp:positionH relativeFrom="column">
                  <wp:posOffset>7233285</wp:posOffset>
                </wp:positionH>
                <wp:positionV relativeFrom="paragraph">
                  <wp:posOffset>3479165</wp:posOffset>
                </wp:positionV>
                <wp:extent cx="76835" cy="92075"/>
                <wp:effectExtent l="4445" t="4445" r="13970" b="17780"/>
                <wp:wrapNone/>
                <wp:docPr id="158" name="自选图形 459"/>
                <wp:cNvGraphicFramePr/>
                <a:graphic xmlns:a="http://schemas.openxmlformats.org/drawingml/2006/main">
                  <a:graphicData uri="http://schemas.microsoft.com/office/word/2010/wordprocessingShape">
                    <wps:wsp>
                      <wps:cNvSpPr/>
                      <wps:spPr>
                        <a:xfrm>
                          <a:off x="0" y="0"/>
                          <a:ext cx="76835" cy="92075"/>
                        </a:xfrm>
                        <a:prstGeom prst="can">
                          <a:avLst>
                            <a:gd name="adj" fmla="val 28597"/>
                          </a:avLst>
                        </a:prstGeom>
                        <a:solidFill>
                          <a:srgbClr val="FFC000"/>
                        </a:solidFill>
                        <a:ln w="9525" cap="flat" cmpd="sng">
                          <a:solidFill>
                            <a:srgbClr val="000000"/>
                          </a:solidFill>
                          <a:prstDash val="solid"/>
                          <a:headEnd type="none" w="med" len="med"/>
                          <a:tailEnd type="none" w="med" len="med"/>
                        </a:ln>
                      </wps:spPr>
                      <wps:bodyPr vert="horz" wrap="square" anchor="t" anchorCtr="0" upright="1"/>
                    </wps:wsp>
                  </a:graphicData>
                </a:graphic>
              </wp:anchor>
            </w:drawing>
          </mc:Choice>
          <mc:Fallback>
            <w:pict>
              <v:shape id="自选图形 459" o:spid="_x0000_s1026" o:spt="22" type="#_x0000_t22" style="position:absolute;left:0pt;margin-left:569.55pt;margin-top:273.95pt;height:7.25pt;width:6.05pt;z-index:251757568;mso-width-relative:page;mso-height-relative:page;" fillcolor="#FFC000" filled="t" stroked="t" coordsize="21600,21600" o:gfxdata="UEsDBAoAAAAAAIdO4kAAAAAAAAAAAAAAAAAEAAAAZHJzL1BLAwQUAAAACACHTuJAAnPAa9oAAAAN&#10;AQAADwAAAGRycy9kb3ducmV2LnhtbE2PwU7DMAyG70i8Q2QkbixN2QYrTSeYNCGOWxGCW9aYtqJx&#10;qiZdB0+Pd4Ljb3/6/Tlfn1wnjjiE1pMGNUtAIFXetlRreC23N/cgQjRkTecJNXxjgHVxeZGbzPqJ&#10;dnjcx1pwCYXMaGhi7DMpQ9WgM2HmeyTeffrBmchxqKUdzMTlrpNpkiylMy3xhcb0uGmw+tqPTkN4&#10;sqN9oXKzfZySD6ref57bt1Lr6yuVPICIeIp/MJz1WR0Kdjr4kWwQHWd1u1LMaljM71YgzohaqBTE&#10;gUfLdA6yyOX/L4pfUEsDBBQAAAAIAIdO4kCFMaYBNwIAAHkEAAAOAAAAZHJzL2Uyb0RvYy54bWyt&#10;VEuOEzEQ3SNxB8t70p1AJh+lM4uEsEEw0sABKrY7beQftvNjxQ5xBnYsuQPcZiS4BWV3k/kgpCzY&#10;dMp21at6r6oyuzxoRXbCB2lNRfu9khJhmOXSbCr69s3qyZiSEMFwUNaIih5FoJfzx49mezcVA9tY&#10;xYUnCGLCdO8q2sTopkURWCM0hJ51wuBjbb2GiEe/KbiHPaJrVQzK8qLYW8+dt0yEgLfL9pF2iP4c&#10;QFvXkomlZVstTGxRvVAQkVJopAt0nquta8Hi67oOIhJVUWQa8xeToL1O32I+g+nGg2sk60qAc0p4&#10;wEmDNJj0BLWECGTr5V9QWjJvg61jj1ldtESyIsiiXz7Q5roBJzIXlDq4k+jh/8GyV7srTyTHSRhi&#10;4w1obPnPT99+ffx88+XHzfev5NlwklTauzBF52t35btTQDNRPtRep18kQw5Z2eNJWXGIhOHl6GL8&#10;dEgJw5fJoBwNE2JxG+p8iC+E1SQZFWXQigm7lyFmVXlXGfB3lNRaYY92oMhgPJyMOqzOGVH/oKXI&#10;YJXkK6lUPvjNeqE8wdCKrlaLsswDgCH33JQhe6xzOEgVA454jaOFpnYoUzCb3Oh7EeEuMKL+AzgV&#10;toTQtAVkhFQ8TBsB/LnhJB4dym9w72gqQQtOiRK4psnKnhGkOscTOSmDGqe2tY1K1tryI7Ybtx9V&#10;bqz/gGlw9pHV+y14TAqG4XVFkW5rLmK7LFvn5abBqH6WO4HhROYmdtuTRv7uOSe//ceY/w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Cc8Br2gAAAA0BAAAPAAAAAAAAAAEAIAAAACIAAABkcnMvZG93&#10;bnJldi54bWxQSwECFAAUAAAACACHTuJAhTGmATcCAAB5BAAADgAAAAAAAAABACAAAAApAQAAZHJz&#10;L2Uyb0RvYy54bWxQSwUGAAAAAAYABgBZAQAA0gUAAAAA&#10;" adj="5154">
                <v:fill on="t" focussize="0,0"/>
                <v:stroke color="#000000" joinstyle="round"/>
                <v:imagedata o:title=""/>
                <o:lock v:ext="edit" aspectratio="f"/>
              </v:shape>
            </w:pict>
          </mc:Fallback>
        </mc:AlternateContent>
      </w:r>
      <w:r>
        <w:rPr>
          <w:color w:val="auto"/>
          <w:sz w:val="32"/>
          <w:highlight w:val="none"/>
        </w:rPr>
        <mc:AlternateContent>
          <mc:Choice Requires="wps">
            <w:drawing>
              <wp:anchor distT="0" distB="0" distL="114300" distR="114300" simplePos="0" relativeHeight="251752448" behindDoc="0" locked="0" layoutInCell="1" allowOverlap="1">
                <wp:simplePos x="0" y="0"/>
                <wp:positionH relativeFrom="column">
                  <wp:posOffset>7341870</wp:posOffset>
                </wp:positionH>
                <wp:positionV relativeFrom="paragraph">
                  <wp:posOffset>3540125</wp:posOffset>
                </wp:positionV>
                <wp:extent cx="78105" cy="76200"/>
                <wp:effectExtent l="7620" t="5080" r="9525" b="13970"/>
                <wp:wrapNone/>
                <wp:docPr id="156" name="自选图形 454"/>
                <wp:cNvGraphicFramePr/>
                <a:graphic xmlns:a="http://schemas.openxmlformats.org/drawingml/2006/main">
                  <a:graphicData uri="http://schemas.microsoft.com/office/word/2010/wordprocessingShape">
                    <wps:wsp>
                      <wps:cNvSpPr/>
                      <wps:spPr>
                        <a:xfrm rot="10800000">
                          <a:off x="0" y="0"/>
                          <a:ext cx="78105" cy="76200"/>
                        </a:xfrm>
                        <a:prstGeom prst="triangle">
                          <a:avLst>
                            <a:gd name="adj" fmla="val 50000"/>
                          </a:avLst>
                        </a:prstGeom>
                        <a:solidFill>
                          <a:srgbClr val="FFC000"/>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shape id="自选图形 454" o:spid="_x0000_s1026" o:spt="5" type="#_x0000_t5" style="position:absolute;left:0pt;margin-left:578.1pt;margin-top:278.75pt;height:6pt;width:6.15pt;rotation:11796480f;z-index:251752448;mso-width-relative:page;mso-height-relative:page;" fillcolor="#FFC000" filled="t" stroked="t" coordsize="21600,21600" o:gfxdata="UEsDBAoAAAAAAIdO4kAAAAAAAAAAAAAAAAAEAAAAZHJzL1BLAwQUAAAACACHTuJAKh6RvNsAAAAN&#10;AQAADwAAAGRycy9kb3ducmV2LnhtbE2PQU/DMAyF70j8h8hI3FjaSSmjNN1hYhIHhMQ2hLh5rWmr&#10;NU5psnX8e7wT3Pzsp+fvFcuz69WJxtB5tpDOElDEla87bizstuu7BagQkWvsPZOFHwqwLK+vCsxr&#10;P/EbnTaxURLCIUcLbYxDrnWoWnIYZn4gltuXHx1GkWOj6xEnCXe9nidJph12LB9aHGjVUnXYHJ2F&#10;TzzsJjKrsDbf7x/NM9L26eXV2tubNHkEFekc/8xwwRd0KIVp749cB9WLTk02F68FY+4NqIslzRYy&#10;7WWVPRjQZaH/tyh/AVBLAwQUAAAACACHTuJA06ugtkgCAACXBAAADgAAAGRycy9lMm9Eb2MueG1s&#10;rVTNbhMxEL4j8Q6W72Q3UZOWVTY9JIQLgkqFB5jY3l0j/2E7f5y4IZ6BG8e+A7xNJXgLxt40tIVD&#10;DuxhNbbH33zzzYynlzutyEb4IK2p6XBQUiIMs1yatqbv3i6fXVASIhgOyhpR070I9HL29Ml06yox&#10;sp1VXHiCICZUW1fTLkZXFUVgndAQBtYJg4eN9RoiLn1bcA9bRNeqGJXlpNhaz523TISAu4v+kB4Q&#10;/SmAtmkkEwvL1lqY2KN6oSBiSqGTLtBZZts0gsU3TRNEJKqmmGnMfwyC9ir9i9kUqtaD6yQ7UIBT&#10;KDzKSYM0GPQItYAIZO3lX1BaMm+DbeKAWV30iWRFMIth+Uib6w6cyLmg1MEdRQ//D5a93lx5Ijl2&#10;wnhCiQGNJf/5+ebXpy+3X3/cfv9GzsZnSaWtCxU6X7srf1gFNFPKu8Zr4i1KOywvyvRlJTA3sstC&#10;749Ci10kDDfPL4blmBKGJ+cTbIoUoOiREqLzIb4UVpNk1DR6CaZVSQmoYPMqxKw0P7AF/p6SRius&#10;2wYUGWcGPeDBGaHvINPNYJXkS6lUXvh2NVee4NWaLpfzRL+//MBNGbKt6fPxKNEGbPsG2w1N7VC6&#10;YNrM7cGNcB84cfo3cCK2gND1BDJCig+VllEkqaHqBPAXhpO4d1gcg1NJExktOCVK4BAnK3tGkOoU&#10;TxREGZQ8FbUvY7JWlu+xGfBtQNE76z9iGJwMzO/DGjwGBcNwGwtyZ85jP0pr52XbpQ7I2iUw7Ndc&#10;08NspYG4v87B/7wns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qHpG82wAAAA0BAAAPAAAAAAAA&#10;AAEAIAAAACIAAABkcnMvZG93bnJldi54bWxQSwECFAAUAAAACACHTuJA06ugtkgCAACXBAAADgAA&#10;AAAAAAABACAAAAAqAQAAZHJzL2Uyb0RvYy54bWxQSwUGAAAAAAYABgBZAQAA5AUAAAAA&#10;" adj="10800">
                <v:fill on="t" focussize="0,0"/>
                <v:stroke color="#000000" joinstyle="miter"/>
                <v:imagedata o:title=""/>
                <o:lock v:ext="edit" aspectratio="f"/>
              </v:shape>
            </w:pict>
          </mc:Fallback>
        </mc:AlternateContent>
      </w:r>
      <w:r>
        <w:rPr>
          <w:color w:val="auto"/>
          <w:sz w:val="32"/>
          <w:highlight w:val="none"/>
        </w:rPr>
        <mc:AlternateContent>
          <mc:Choice Requires="wps">
            <w:drawing>
              <wp:anchor distT="0" distB="0" distL="114300" distR="114300" simplePos="0" relativeHeight="251749376" behindDoc="0" locked="0" layoutInCell="1" allowOverlap="1">
                <wp:simplePos x="0" y="0"/>
                <wp:positionH relativeFrom="column">
                  <wp:posOffset>7572375</wp:posOffset>
                </wp:positionH>
                <wp:positionV relativeFrom="paragraph">
                  <wp:posOffset>3666490</wp:posOffset>
                </wp:positionV>
                <wp:extent cx="81915" cy="76200"/>
                <wp:effectExtent l="19050" t="20955" r="32385" b="36195"/>
                <wp:wrapNone/>
                <wp:docPr id="144" name="矩形 448"/>
                <wp:cNvGraphicFramePr/>
                <a:graphic xmlns:a="http://schemas.openxmlformats.org/drawingml/2006/main">
                  <a:graphicData uri="http://schemas.microsoft.com/office/word/2010/wordprocessingShape">
                    <wps:wsp>
                      <wps:cNvSpPr/>
                      <wps:spPr>
                        <a:xfrm rot="12420000" flipV="1">
                          <a:off x="0" y="0"/>
                          <a:ext cx="81915" cy="76200"/>
                        </a:xfrm>
                        <a:prstGeom prst="rect">
                          <a:avLst/>
                        </a:prstGeom>
                        <a:solidFill>
                          <a:srgbClr val="FFC000"/>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rect id="矩形 448" o:spid="_x0000_s1026" o:spt="1" style="position:absolute;left:0pt;flip:y;margin-left:596.25pt;margin-top:288.7pt;height:6pt;width:6.45pt;rotation:10027008f;z-index:251749376;mso-width-relative:page;mso-height-relative:page;" fillcolor="#FFC000" filled="t" stroked="t" coordsize="21600,21600" o:gfxdata="UEsDBAoAAAAAAIdO4kAAAAAAAAAAAAAAAAAEAAAAZHJzL1BLAwQUAAAACACHTuJANoe43dwAAAAN&#10;AQAADwAAAGRycy9kb3ducmV2LnhtbE2PwU7DMBBE70j8g7VIXBC1EzU0CXF6QOJQJCRSkODoxksc&#10;Edshdpv279meym1ndzT7plof7cAOOIXeOwnJQgBD13rdu07Cx/vzfQ4sROW0GrxDCScMsK6vrypV&#10;aj+7Bg/b2DEKcaFUEkyMY8l5aA1aFRZ+REe3bz9ZFUlOHdeTmincDjwV4oFb1Tv6YNSITwbbn+3e&#10;SvgqNuaUj5/jKza/by/hLsybJpfy9iYRj8AiHuPFDGd8QoeamHZ+73RgA+mkSDPySshWqyWwsyUV&#10;GU07WuXFEnhd8f8t6j9QSwMEFAAAAAgAh07iQKF1w1IsAgAAawQAAA4AAABkcnMvZTJvRG9jLnht&#10;bK1UzY7TMBC+I/EOlu80bdVdulHTPbSUC4KVFrhPHSex5D/GbtPyMkjceAgeB/EajJ1SdhcOPXCJ&#10;xuPxN/N9M5PF7cFotpcYlLMVn4zGnEkrXK1sW/EP7zcv5pyFCLYG7ays+FEGfrt8/mzR+1JOXed0&#10;LZERiA1l7yvexejLogiikwbCyHlp6bJxaCDSEduiRugJ3ehiOh5fF73D2qMTMgTyrodLfkLESwBd&#10;0ygh107sjLRxQEWpIRKl0Ckf+DJX2zRSxHdNE2RkuuLENOYvJSF7m77FcgFli+A7JU4lwCUlPOFk&#10;QFlKeoZaQwS2Q/UXlFECXXBNHAlnioFIVoRYTMZPtLnvwMvMhaQO/ix6+H+w4u3+DpmqaRJmM84s&#10;GGr5zy/ffnz/ymazedKn96GksHt/h6dTIDORPTRoGDoSdTKdUW/HpGqjlf9IjqwG8WOHLPbxLLY8&#10;RCbIOZ/cTK44E3Tz8poep1TFgJmwPYb4WjrDklFxpE5mSNi/CXEI/R2SwoPTqt4orfMB2+1KI9sD&#10;dX2zWaXChiePwrRlfcVvrqapDKBRbmiEyDSe5Ai2zfkevQgPgRPffwOnwtYQuqGAjJDyQ2lUlElE&#10;KDsJ9Stbs3j0JLilTeOpGCNrzrSkxUxWjoyg9CWRpJ22JGFq19CgZG1dfaQG076TiJ3Dz5SGpp34&#10;fdoBUlKwgtwVJ+KDuYrDeuw8qrZLvc3aJTCawdyj076kIX94zsn//COWv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2h7jd3AAAAA0BAAAPAAAAAAAAAAEAIAAAACIAAABkcnMvZG93bnJldi54bWxQ&#10;SwECFAAUAAAACACHTuJAoXXDUiwCAABrBAAADgAAAAAAAAABACAAAAArAQAAZHJzL2Uyb0RvYy54&#10;bWxQSwUGAAAAAAYABgBZAQAAyQUAAAAA&#10;">
                <v:fill on="t" focussize="0,0"/>
                <v:stroke color="#000000" joinstyle="miter"/>
                <v:imagedata o:title=""/>
                <o:lock v:ext="edit" aspectratio="f"/>
              </v:rect>
            </w:pict>
          </mc:Fallback>
        </mc:AlternateContent>
      </w:r>
      <w:r>
        <w:rPr>
          <w:color w:val="auto"/>
          <w:sz w:val="32"/>
          <w:highlight w:val="none"/>
        </w:rPr>
        <mc:AlternateContent>
          <mc:Choice Requires="wps">
            <w:drawing>
              <wp:anchor distT="0" distB="0" distL="114300" distR="114300" simplePos="0" relativeHeight="251760640" behindDoc="0" locked="0" layoutInCell="1" allowOverlap="1">
                <wp:simplePos x="0" y="0"/>
                <wp:positionH relativeFrom="column">
                  <wp:posOffset>7507605</wp:posOffset>
                </wp:positionH>
                <wp:positionV relativeFrom="paragraph">
                  <wp:posOffset>3625850</wp:posOffset>
                </wp:positionV>
                <wp:extent cx="76200" cy="83820"/>
                <wp:effectExtent l="4445" t="4445" r="14605" b="6985"/>
                <wp:wrapNone/>
                <wp:docPr id="105" name="斜纹 105"/>
                <wp:cNvGraphicFramePr/>
                <a:graphic xmlns:a="http://schemas.openxmlformats.org/drawingml/2006/main">
                  <a:graphicData uri="http://schemas.microsoft.com/office/word/2010/wordprocessingShape">
                    <wps:wsp>
                      <wps:cNvSpPr/>
                      <wps:spPr>
                        <a:xfrm>
                          <a:off x="0" y="0"/>
                          <a:ext cx="76200" cy="83820"/>
                        </a:xfrm>
                        <a:prstGeom prst="diagStripe">
                          <a:avLst/>
                        </a:prstGeom>
                        <a:solidFill>
                          <a:srgbClr val="FFC000"/>
                        </a:solidFill>
                        <a:ln w="31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91.15pt;margin-top:285.5pt;height:6.6pt;width:6pt;z-index:251760640;v-text-anchor:middle;mso-width-relative:page;mso-height-relative:page;" fillcolor="#FFC000" filled="t" stroked="t" coordsize="76200,83820" o:gfxdata="UEsDBAoAAAAAAIdO4kAAAAAAAAAAAAAAAAAEAAAAZHJzL1BLAwQUAAAACACHTuJA6+QKrdoAAAAN&#10;AQAADwAAAGRycy9kb3ducmV2LnhtbE2PzU7DMBCE70i8g7VI3KjtUGiaxumBH1XiUih9ADd246jx&#10;Ooqd/vD0bE9wnNlPszPl8uw7drRDbAMqkBMBzGIdTIuNgu33+0MOLCaNRncBrYKLjbCsbm9KXZhw&#10;wi973KSGUQjGQitwKfUF57F21us4Cb1Fuu3D4HUiOTTcDPpE4b7jmRDP3OsW6YPTvX1xtj5sRq9A&#10;XPThY/b5ulq/1att7pwZf8a5Uvd3UiyAJXtOfzBc61N1qKjTLoxoIutIyzx7JFbB00zSqisi51Oy&#10;dmTl0wx4VfL/K6pfUEsDBBQAAAAIAIdO4kBy48JfZwIAAOMEAAAOAAAAZHJzL2Uyb0RvYy54bWyt&#10;VM1uEzEQviPxDpbvdJP+E3VTRYmCkCpaKSDOjte7a8l/2E425UE48SL0geA1+OzdtmkBqQcuuzOe&#10;8cx838z44nKnFdkKH6Q1JR0fjCgRhttKmqaknz4u35xTEiIzFVPWiJLeikAvp69fXXRuIg5ta1Ul&#10;PEEQEyadK2kbo5sUReCt0CwcWCcMjLX1mkWovikqzzpE16o4HI1Oi876ynnLRQg4XfRGOkT0Lwlo&#10;61pysbB8o4WJfVQvFIuAFFrpAp3mauta8Hhd10FEokoKpDF/kQTyOn2L6QWbNJ65VvKhBPaSEp5h&#10;0kwaJH0ItWCRkY2Xf4TSknsbbB0PuNVFDyQzAhTj0TNuVi1zImMB1cE9kB7+X1j+YXvjiawwCaMT&#10;SgzTaPnPb99/3f0g6QT8dC5M4LZyN37QAsQEdld7nf6AQXaZ09sHTsUuEo7Ds1M0nRIOy/nR+WFm&#10;vHi86nyI74TVJAklrSRrVtHLDJtN2PYqRCTFhXvHlC9YJaulVCorvlnPlSdbhhYvl/MR0vVXnrgp&#10;Q7qSHo3PgJIzzG2NeYGoHbAH01DCVIOF4NHnRj65HPZzIME/cqQaFyy0fS05wlCKMgCRiOypS9La&#10;Vreg3tt+JoPjS4n7VyzEG+YxhGANaxqv8amVRfF2kChprf/6t/Pkj9mAlZIOQw1kXzbMC0rUe4Op&#10;eTs+Pk5bkJXjkzO0g/h9y3rfYjZ6bkHqGA+C41lM/lHdi7W3+jO2eZaywsQMR+6ew0GZx37Z8B5w&#10;MZtlN0y+Y/HKrBxPwVMTjZ1toq1lbvYjOwNpmP08A8OepuXa17PX49s0/Q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r5Aqt2gAAAA0BAAAPAAAAAAAAAAEAIAAAACIAAABkcnMvZG93bnJldi54bWxQ&#10;SwECFAAUAAAACACHTuJAcuPCX2cCAADjBAAADgAAAAAAAAABACAAAAApAQAAZHJzL2Uyb0RvYy54&#10;bWxQSwUGAAAAAAYABgBZAQAAAgYAAAAA&#10;" path="m0,41910l38100,0,76200,0,0,83820xe">
                <v:path o:connectlocs="38100,41910;0,62865;19050,20955;57150,0" o:connectangles="0,164,164,247"/>
                <v:fill on="t" focussize="0,0"/>
                <v:stroke weight="0.25pt" color="#000000 [3213]" joinstyle="round"/>
                <v:imagedata o:title=""/>
                <o:lock v:ext="edit" aspectratio="f"/>
              </v:shape>
            </w:pict>
          </mc:Fallback>
        </mc:AlternateContent>
      </w:r>
      <w:r>
        <w:rPr>
          <w:color w:val="auto"/>
          <w:sz w:val="32"/>
          <w:highlight w:val="none"/>
        </w:rPr>
        <mc:AlternateContent>
          <mc:Choice Requires="wps">
            <w:drawing>
              <wp:anchor distT="0" distB="0" distL="114300" distR="114300" simplePos="0" relativeHeight="251753472" behindDoc="0" locked="0" layoutInCell="1" allowOverlap="1">
                <wp:simplePos x="0" y="0"/>
                <wp:positionH relativeFrom="column">
                  <wp:posOffset>7432040</wp:posOffset>
                </wp:positionH>
                <wp:positionV relativeFrom="paragraph">
                  <wp:posOffset>3584575</wp:posOffset>
                </wp:positionV>
                <wp:extent cx="76200" cy="76200"/>
                <wp:effectExtent l="5080" t="4445" r="13970" b="14605"/>
                <wp:wrapNone/>
                <wp:docPr id="148" name="自选图形 452"/>
                <wp:cNvGraphicFramePr/>
                <a:graphic xmlns:a="http://schemas.openxmlformats.org/drawingml/2006/main">
                  <a:graphicData uri="http://schemas.microsoft.com/office/word/2010/wordprocessingShape">
                    <wps:wsp>
                      <wps:cNvSpPr/>
                      <wps:spPr>
                        <a:xfrm>
                          <a:off x="0" y="0"/>
                          <a:ext cx="76200" cy="76200"/>
                        </a:xfrm>
                        <a:prstGeom prst="hexagon">
                          <a:avLst>
                            <a:gd name="adj" fmla="val 26311"/>
                            <a:gd name="vf" fmla="val 115470"/>
                          </a:avLst>
                        </a:prstGeom>
                        <a:solidFill>
                          <a:srgbClr val="FFC000"/>
                        </a:solidFill>
                        <a:ln w="6350"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shape id="自选图形 452" o:spid="_x0000_s1026" o:spt="9" type="#_x0000_t9" style="position:absolute;left:0pt;margin-left:585.2pt;margin-top:282.25pt;height:6pt;width:6pt;z-index:251753472;mso-width-relative:page;mso-height-relative:page;" fillcolor="#FFC000" filled="t" stroked="t" coordsize="21600,21600" o:gfxdata="UEsDBAoAAAAAAIdO4kAAAAAAAAAAAAAAAAAEAAAAZHJzL1BLAwQUAAAACACHTuJAwoGtX9kAAAAN&#10;AQAADwAAAGRycy9kb3ducmV2LnhtbE2PQU+EMBCF7yb+h2ZMvLktG2AJUvZgYryZiK7GW5eOFKUt&#10;0rLgv3f2pMf35sub96r9agd2win03klINgIYutbr3nUSXp7vbwpgISqn1eAdSvjBAPv68qJSpfaL&#10;e8JTEztGIS6USoKJcSw5D61Bq8LGj+jo9uEnqyLJqeN6UguF24Fvhci5Vb2jD0aNeGew/WpmK6F4&#10;s9/zIVVm+FzW10Y8PL6HDKW8vkrELbCIa/yD4VyfqkNNnY5+djqwgXSyEymxErI8zYCdkaTYknUk&#10;a5dnwOuK/19R/wJQSwMEFAAAAAgAh07iQAb70i1IAgAAqgQAAA4AAABkcnMvZTJvRG9jLnhtbK1U&#10;S44TMRDdI3EHy3vSSSbJoCidWSSEDYKRBg5Qsd3dRv5hOz9W7BBnYMeSO8BtRoJbUHb3ZDKDkLJg&#10;0112l1/Ve8/Vs6u9VmQrfJDWlHTQ61MiDLNcmrqk796unj2nJEQwHJQ1oqQHEejV/OmT2c5NxdA2&#10;VnHhCYKYMN25kjYxumlRBNYIDaFnnTD4sbJeQ8SlrwvuYYfoWhXDfn9S7KznzlsmQsDdZfuRdoj+&#10;HEBbVZKJpWUbLUxsUb1QEJFSaKQLdJ67rSrB4puqCiISVVJkGvMTi2C8Ts9iPoNp7cE1knUtwDkt&#10;POKkQRoseoRaQgSy8fIvKC2Zt8FWscesLloiWRFkMeg/0uamAScyF5Q6uKPo4f/Bstfba08kx5sw&#10;QuMNaLT81+fvvz99uf368/bHNzIaD5NKOxemmHzjrn23ChgmyvvK6/RGMmSflT0clRX7SBhuXk7Q&#10;ekoYfmlDxCjujzof4kthNUkBkhN7qG0rKGxfhZiV5V13wN9TUmmFPm1BkeHkYjDofLxL2VanGYPB&#10;eHSZrcaSHR5Gd0UTeLBK8pVUKi98vV4oTxC9pKvVoo+tt/0+SFOG7Eo6uRgnYoCTUOENxFA7VDOY&#10;Ot+HByfCKTCi/gM4NbaE0LQNZISWn5ZRJPVh2gjgLwwn8eDQL4ODSlMzWnBKlMC5TlHOjCDVOZko&#10;iDJoSvK5dTZFa8sPeD/wd5Fssf4jlsFhQX4fNuCxKBiG2yVF4m24iO10bZyXdYOnsjcZFq9wdr0b&#10;tzQjp+tc/P4XM/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woGtX9kAAAANAQAADwAAAAAAAAAB&#10;ACAAAAAiAAAAZHJzL2Rvd25yZXYueG1sUEsBAhQAFAAAAAgAh07iQAb70i1IAgAAqgQAAA4AAAAA&#10;AAAAAQAgAAAAKAEAAGRycy9lMm9Eb2MueG1sUEsFBgAAAAAGAAYAWQEAAOIFAAAAAA==&#10;" adj="5683">
                <v:fill on="t" focussize="0,0"/>
                <v:stroke weight="0.5pt" color="#000000" joinstyle="miter"/>
                <v:imagedata o:title=""/>
                <o:lock v:ext="edit" aspectratio="f"/>
              </v:shape>
            </w:pict>
          </mc:Fallback>
        </mc:AlternateContent>
      </w:r>
      <w:r>
        <w:rPr>
          <w:color w:val="auto"/>
          <w:sz w:val="32"/>
          <w:highlight w:val="none"/>
        </w:rPr>
        <mc:AlternateContent>
          <mc:Choice Requires="wps">
            <w:drawing>
              <wp:anchor distT="0" distB="0" distL="114300" distR="114300" simplePos="0" relativeHeight="251738112" behindDoc="0" locked="0" layoutInCell="1" allowOverlap="1">
                <wp:simplePos x="0" y="0"/>
                <wp:positionH relativeFrom="column">
                  <wp:posOffset>7494905</wp:posOffset>
                </wp:positionH>
                <wp:positionV relativeFrom="paragraph">
                  <wp:posOffset>3215640</wp:posOffset>
                </wp:positionV>
                <wp:extent cx="90805" cy="90170"/>
                <wp:effectExtent l="22225" t="22225" r="39370" b="40005"/>
                <wp:wrapNone/>
                <wp:docPr id="121" name="自选图形 471"/>
                <wp:cNvGraphicFramePr/>
                <a:graphic xmlns:a="http://schemas.openxmlformats.org/drawingml/2006/main">
                  <a:graphicData uri="http://schemas.microsoft.com/office/word/2010/wordprocessingShape">
                    <wps:wsp>
                      <wps:cNvSpPr/>
                      <wps:spPr>
                        <a:xfrm rot="1620000">
                          <a:off x="0" y="0"/>
                          <a:ext cx="90805" cy="90170"/>
                        </a:xfrm>
                        <a:prstGeom prst="bevel">
                          <a:avLst>
                            <a:gd name="adj" fmla="val 12500"/>
                          </a:avLst>
                        </a:prstGeom>
                        <a:solidFill>
                          <a:srgbClr val="00B050"/>
                        </a:solidFill>
                        <a:ln w="9525" cap="flat" cmpd="sng">
                          <a:solidFill>
                            <a:srgbClr val="FFFFFF"/>
                          </a:solidFill>
                          <a:prstDash val="solid"/>
                          <a:miter/>
                          <a:headEnd type="none" w="med" len="med"/>
                          <a:tailEnd type="none" w="med" len="med"/>
                        </a:ln>
                      </wps:spPr>
                      <wps:bodyPr vert="horz" wrap="square" anchor="t" anchorCtr="0" upright="1"/>
                    </wps:wsp>
                  </a:graphicData>
                </a:graphic>
              </wp:anchor>
            </w:drawing>
          </mc:Choice>
          <mc:Fallback>
            <w:pict>
              <v:shape id="自选图形 471" o:spid="_x0000_s1026" o:spt="84" type="#_x0000_t84" style="position:absolute;left:0pt;margin-left:590.15pt;margin-top:253.2pt;height:7.1pt;width:7.15pt;rotation:1769472f;z-index:251738112;mso-width-relative:page;mso-height-relative:page;" fillcolor="#00B050" filled="t" stroked="t" coordsize="21600,21600" o:gfxdata="UEsDBAoAAAAAAIdO4kAAAAAAAAAAAAAAAAAEAAAAZHJzL1BLAwQUAAAACACHTuJAT1czotsAAAAN&#10;AQAADwAAAGRycy9kb3ducmV2LnhtbE2PwU7DMAyG70i8Q2QkbizpGF1Xmk4CwWUHJDaQOKataasl&#10;TtVkW/f2eCd2/O1Pvz8X68lZccQx9J40JDMFAqn2TU+thq/d+0MGIkRDjbGeUMMZA6zL25vC5I0/&#10;0Scet7EVXEIhNxq6GIdcylB36EyY+QGJd79+dCZyHFvZjObE5c7KuVKpdKYnvtCZAV87rPfbg9Pg&#10;lna52f180GpTZW7KXt7O9nuv9f1dop5BRJziPwwXfVaHkp0qf6AmCMs5ydQjsxqeVLoAcUGS1SIF&#10;UfForlKQZSGvvyj/AFBLAwQUAAAACACHTuJABYXwskoCAACTBAAADgAAAGRycy9lMm9Eb2MueG1s&#10;rVRLjtQwEN0jcQfLeyZJi55P1OmRmKbZIBhp4ADVttMx8g/b/WPFDnEGdrPkDnCbkeAWlJ1MMz1s&#10;ekEWUTkuv3rvlSuTy61WZC18kNY0tDopKRGGWS7NsqHv382fnVMSIhgOyhrR0J0I9HL69Mlk42ox&#10;sp1VXHiCICbUG9fQLkZXF0VgndAQTqwTBjdb6zVEXPplwT1sEF2rYlSWp8XGeu68ZSIE/DrrN+mA&#10;6I8BtG0rmZhZttLCxB7VCwURJYVOukCnmW3bChbftm0QkaiGotKY31gE40V6F9MJ1EsPrpNsoADH&#10;UHikSYM0WHQPNYMIZOXlP1BaMm+DbeMJs7rohWRHUEVVPvLmpgMnsha0Ori96eH/wbI362tPJMeb&#10;MKooMaCx5b++fP/9+evdt593P27J87MqubRxocbkG3fth1XAMEnetl4Tb9Ha6hQbXJbZCJRGttnn&#10;3d5nsY2E4ceL8rwcU8Jw56KsznIXih4oATof4ithNUlBQxdiLVTGhPXrELPLfGAK/AMlrVbYszUo&#10;Uo3GWB75IdqQjNE9XjoZrJJ8LpXKC79cXClP8ChyLF+U4/vDB2nKkA0yHY8SZ8Ar3+JVw1A7tC2Y&#10;ZeZ2cCI8BJ7nZ2B1kJaIzSB0PYG8ldKg1jKKZDPUnQD+0nASdw4bY3AiaSKjBadECRzgFOXMCFId&#10;k4mGKIMOpYb2LUzRwvIdXgT8L6DjnfWfsAxOBer7uAKPRcEw/NxQFN6HV7Efo5Xzctml7meJCQzv&#10;am7BMFdpGB6uc/G//5Lp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E9XM6LbAAAADQEAAA8AAAAA&#10;AAAAAQAgAAAAIgAAAGRycy9kb3ducmV2LnhtbFBLAQIUABQAAAAIAIdO4kAFhfCySgIAAJMEAAAO&#10;AAAAAAAAAAEAIAAAACoBAABkcnMvZTJvRG9jLnhtbFBLBQYAAAAABgAGAFkBAADmBQAAAAA=&#10;" adj="2700">
                <v:fill on="t" focussize="0,0"/>
                <v:stroke color="#FFFFFF" joinstyle="miter"/>
                <v:imagedata o:title=""/>
                <o:lock v:ext="edit" aspectratio="f"/>
              </v:shape>
            </w:pict>
          </mc:Fallback>
        </mc:AlternateContent>
      </w:r>
      <w:r>
        <w:rPr>
          <w:color w:val="auto"/>
          <w:sz w:val="32"/>
          <w:highlight w:val="none"/>
        </w:rPr>
        <mc:AlternateContent>
          <mc:Choice Requires="wps">
            <w:drawing>
              <wp:anchor distT="0" distB="0" distL="114300" distR="114300" simplePos="0" relativeHeight="251741184" behindDoc="0" locked="0" layoutInCell="1" allowOverlap="1">
                <wp:simplePos x="0" y="0"/>
                <wp:positionH relativeFrom="column">
                  <wp:posOffset>7414895</wp:posOffset>
                </wp:positionH>
                <wp:positionV relativeFrom="paragraph">
                  <wp:posOffset>3178175</wp:posOffset>
                </wp:positionV>
                <wp:extent cx="76200" cy="76200"/>
                <wp:effectExtent l="4445" t="4445" r="14605" b="14605"/>
                <wp:wrapNone/>
                <wp:docPr id="124" name="自选图形 445"/>
                <wp:cNvGraphicFramePr/>
                <a:graphic xmlns:a="http://schemas.openxmlformats.org/drawingml/2006/main">
                  <a:graphicData uri="http://schemas.microsoft.com/office/word/2010/wordprocessingShape">
                    <wps:wsp>
                      <wps:cNvSpPr/>
                      <wps:spPr>
                        <a:xfrm>
                          <a:off x="0" y="0"/>
                          <a:ext cx="76200" cy="76200"/>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C000"/>
                        </a:solidFill>
                        <a:ln w="9525" cap="flat" cmpd="sng">
                          <a:solidFill>
                            <a:srgbClr val="00B050"/>
                          </a:solidFill>
                          <a:prstDash val="solid"/>
                          <a:headEnd type="none" w="med" len="med"/>
                          <a:tailEnd type="none" w="med" len="med"/>
                        </a:ln>
                      </wps:spPr>
                      <wps:bodyPr vert="horz" wrap="square" anchor="t" anchorCtr="0" upright="1"/>
                    </wps:wsp>
                  </a:graphicData>
                </a:graphic>
              </wp:anchor>
            </w:drawing>
          </mc:Choice>
          <mc:Fallback>
            <w:pict>
              <v:shape id="自选图形 445" o:spid="_x0000_s1026" o:spt="100" style="position:absolute;left:0pt;margin-left:583.85pt;margin-top:250.25pt;height:6pt;width:6pt;z-index:251741184;mso-width-relative:page;mso-height-relative:page;" fillcolor="#FFC000" filled="t" stroked="t" coordsize="21600,21600" o:gfxdata="UEsDBAoAAAAAAIdO4kAAAAAAAAAAAAAAAAAEAAAAZHJzL1BLAwQUAAAACACHTuJAVy7CFdsAAAAN&#10;AQAADwAAAGRycy9kb3ducmV2LnhtbE2PzU7DMBCE70i8g7VIXBC1XZSEhjiV+OkViQAqRzc2SUS8&#10;jmI3afv0bE9wnNlPszPF+uB6NtkxdB4VyIUAZrH2psNGwcf75vYeWIgaje49WgVHG2BdXl4UOjd+&#10;xjc7VbFhFIIh1wraGIec81C31umw8INFun370elIcmy4GfVM4a7nSyFS7nSH9KHVg31qbf1T7Z2C&#10;7cvrCsXd1/Hmc56mR7E9VXX6rNT1lRQPwKI9xD8YzvWpOpTUaef3aALrScs0y4hVkAiRADsjMluR&#10;tSNLLhPgZcH/ryh/AVBLAwQUAAAACACHTuJAib3NfWUDAAB5CQAADgAAAGRycy9lMm9Eb2MueG1s&#10;rVbNbtswDL4P2DsIPg5o7aRJmgZNirVZdhm2os0eQJXl2IBtaZISOzvtNuwZdttx77C9TYHtLUZK&#10;tvPTpMuKXRJKJj+SHylK5xdllpIFVzoR+dBrHQce4TkTYZLPht776eSo7xFtaB7SVOR86C259i5G&#10;z5+dF3LA2yIWacgVAZBcDwo59GJj5MD3NYt5RvWxkDyHj5FQGTWwVDM/VLQA9Cz120HQ8wuhQqkE&#10;41rD7th99CpEdQigiKKE8bFg84znxqEqnlIDKek4kdob2WijiDPzLoo0NyQdepCpsb/gBOQ7/PVH&#10;53QwU1TGCatCoIeEsJVTRpMcnDZQY2oomavkAVSWMCW0iMwxE5nvErGMQBatYIub25hKbnMBqrVs&#10;SNf/D5a9XVwrkoTQCe2OR3KaQcl/ff7++9OX+68/7398I51OF1kqpB6A8q28VtVKg4gpl5HK8B+S&#10;IaVldtkwy0tDGGye9qD0HmHwxYmA4a9M2Vyb11xYGLp4o40rSwiSJTWsAjPlG49EWQoleuGTk1bv&#10;hBSk3eoBdmXRKE63FeM9ijdriq1+5+R0L+TlA801TMhmVsdL4zoFVuZVDiARikesfRrYTpFCI12t&#10;oI/M1JQBDGhi0vsMMGurbwXH47ZJq7/hw+E7T7sNzjb0GxeWD6R2R1ibJqs0mnL83QbZtqk85mcj&#10;MgeObD2WzTbFjZ9tylyIVYUUDAscE7bJYFCYEnoIRoUpoUVgWJjy0nWZpAYLjEVCkRRQVNuDJK4l&#10;/JaJBZ8Kq2VWB2M97pUGVWwqSHFT50XilajNS+wbaxhgr+jCbnQ7sKo7/wCAo9rgqQBPd/2oZ5YK&#10;zaHHHjKGZq4/7CFxfbiLNKeInDlpH2UNBdbdirM99riNDNeE/aP5kw0bP7sd14RB92L/2dPZ9CS2&#10;9No01SJNwkmSpsivVrO7q1SRBYU2n0yuqu4Bkw21NMeWPuu2uzCxKVzxEVytIGYSrgmdz+z42rDY&#10;AA6Cy6BrB/I2sFTajKmOXQAWwZ2omNPwVR4Ss5Rw/eTw7vAwhIyHHkk5PFNQsjUzNEkP0QTXKYxR&#10;H68td1GhdCfCJVx38PqB8x0L9RHcwN0PWX2YUwVOac5gG856LV4ZWEEh51IlsxisWnYcIhjcyJb6&#10;6vWAV/762jpfvZhG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ZBQAAW0NvbnRlbnRfVHlwZXNdLnhtbFBLAQIUAAoAAAAAAIdO4kAAAAAAAAAA&#10;AAAAAAAGAAAAAAAAAAAAEAAAALsEAABfcmVscy9QSwECFAAUAAAACACHTuJAihRmPNEAAACUAQAA&#10;CwAAAAAAAAABACAAAADfBAAAX3JlbHMvLnJlbHNQSwECFAAKAAAAAACHTuJAAAAAAAAAAAAAAAAA&#10;BAAAAAAAAAAAABAAAAAAAAAAZHJzL1BLAQIUABQAAAAIAIdO4kBXLsIV2wAAAA0BAAAPAAAAAAAA&#10;AAEAIAAAACIAAABkcnMvZG93bnJldi54bWxQSwECFAAUAAAACACHTuJAib3NfWUDAAB5CQAADgAA&#10;AAAAAAABACAAAAAqAQAAZHJzL2Uyb0RvYy54bWxQSwUGAAAAAAYABgBZAQAAAQc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B050" joinstyle="round"/>
                <v:imagedata o:title=""/>
                <o:lock v:ext="edit" aspectratio="f"/>
              </v:shape>
            </w:pict>
          </mc:Fallback>
        </mc:AlternateContent>
      </w:r>
      <w:r>
        <w:rPr>
          <w:color w:val="auto"/>
          <w:sz w:val="32"/>
          <w:highlight w:val="none"/>
        </w:rPr>
        <mc:AlternateContent>
          <mc:Choice Requires="wps">
            <w:drawing>
              <wp:anchor distT="0" distB="0" distL="114300" distR="114300" simplePos="0" relativeHeight="251758592" behindDoc="0" locked="0" layoutInCell="1" allowOverlap="1">
                <wp:simplePos x="0" y="0"/>
                <wp:positionH relativeFrom="column">
                  <wp:posOffset>7343775</wp:posOffset>
                </wp:positionH>
                <wp:positionV relativeFrom="paragraph">
                  <wp:posOffset>3219450</wp:posOffset>
                </wp:positionV>
                <wp:extent cx="76835" cy="92075"/>
                <wp:effectExtent l="4445" t="4445" r="13970" b="17780"/>
                <wp:wrapNone/>
                <wp:docPr id="159" name="自选图形 459"/>
                <wp:cNvGraphicFramePr/>
                <a:graphic xmlns:a="http://schemas.openxmlformats.org/drawingml/2006/main">
                  <a:graphicData uri="http://schemas.microsoft.com/office/word/2010/wordprocessingShape">
                    <wps:wsp>
                      <wps:cNvSpPr/>
                      <wps:spPr>
                        <a:xfrm>
                          <a:off x="0" y="0"/>
                          <a:ext cx="76835" cy="92075"/>
                        </a:xfrm>
                        <a:prstGeom prst="can">
                          <a:avLst>
                            <a:gd name="adj" fmla="val 28597"/>
                          </a:avLst>
                        </a:prstGeom>
                        <a:solidFill>
                          <a:srgbClr val="FF0000"/>
                        </a:solidFill>
                        <a:ln w="9525" cap="flat" cmpd="sng">
                          <a:solidFill>
                            <a:srgbClr val="FF0000"/>
                          </a:solidFill>
                          <a:prstDash val="solid"/>
                          <a:headEnd type="none" w="med" len="med"/>
                          <a:tailEnd type="none" w="med" len="med"/>
                        </a:ln>
                      </wps:spPr>
                      <wps:txbx>
                        <w:txbxContent>
                          <w:p w14:paraId="5D120718">
                            <w:pPr>
                              <w:jc w:val="center"/>
                            </w:pPr>
                          </w:p>
                        </w:txbxContent>
                      </wps:txbx>
                      <wps:bodyPr vert="horz" wrap="square" anchor="t" anchorCtr="0" upright="1"/>
                    </wps:wsp>
                  </a:graphicData>
                </a:graphic>
              </wp:anchor>
            </w:drawing>
          </mc:Choice>
          <mc:Fallback>
            <w:pict>
              <v:shape id="自选图形 459" o:spid="_x0000_s1026" o:spt="22" type="#_x0000_t22" style="position:absolute;left:0pt;margin-left:578.25pt;margin-top:253.5pt;height:7.25pt;width:6.05pt;z-index:251758592;mso-width-relative:page;mso-height-relative:page;" fillcolor="#FF0000" filled="t" stroked="t" coordsize="21600,21600" o:gfxdata="UEsDBAoAAAAAAIdO4kAAAAAAAAAAAAAAAAAEAAAAZHJzL1BLAwQUAAAACACHTuJAKOKaydcAAAAN&#10;AQAADwAAAGRycy9kb3ducmV2LnhtbE2PzU7DMBCE70i8g7VI3KjtSglRiFNVSBz5SxFc3XibRMTr&#10;KHba8vZsT3Cc2U+zM9Xm7EdxxDkOgQzolQKB1AY3UGfgY/d0V4CIyZKzYyA08IMRNvX1VWVLF070&#10;jscmdYJDKJbWQJ/SVEoZ2x69jaswIfHtEGZvE8u5k262Jw73o1wrlUtvB+IPvZ3wscf2u1m8gbdd&#10;8Unj4RVls2j7vP162WqJxtzeaPUAIuE5/cFwqc/VoeZO+7CQi2JkrbM8Y9ZApu551QXReZGD2LO1&#10;1hnIupL/V9S/UEsDBBQAAAAIAIdO4kAhWC+BOAIAAIQEAAAOAAAAZHJzL2Uyb0RvYy54bWytVM2O&#10;0zAQviPxDpbvNG2h2zZquoct5YJgpYUHmNpOY+Q/bLdNOXFDPAM3jrwDvM1K8BaMndBll0sP5JCM&#10;7Zlv5vvGk8VlqxXZCx+kNRUdDYaUCMMsl2Zb0bdv1k9mlIQIhoOyRlT0KAK9XD5+tDi4UoxtYxUX&#10;niCICeXBVbSJ0ZVFEVgjNISBdcLgYW29hohLvy24hwOia1WMh8OL4mA9d94yEQLurrpD2iP6cwBt&#10;XUsmVpbttDCxQ/VCQURKoZEu0GWutq4Fi6/rOohIVEWRacxvTIL2Jr2L5QLKrQfXSNaXAOeU8ICT&#10;Bmkw6QlqBRHIzst/oLRk3gZbxwGzuuiIZEWQxWj4QJubBpzIXFDq4E6ih/8Hy17trz2RHG/CZE6J&#10;AY0t//np26+Pn2+//Lj9/pU8w31U6eBCic437tr3q4BmotzWXqcvkiFtVvZ4Ula0kTDcnF7Mnk4o&#10;YXgyHw+nk4RY3IU6H+ILYTVJRkUZdGLC/mWIWVXeVwb8HSW1VtijPSgynk3m0x6rd0bUP2gpMlgl&#10;+VoqlRd+u7lSnmBoRdfrIT598D03ZcgB65yMU8WAV7zGq4WmdihTMNvc6HsR4TzgVNgKQtMVkBFS&#10;figbAfy54SQeHcpvcO5oKkELTokSOKbJyp4RpDrHE2VQBjVObesalazYbtq+exvLj9h5/BGg4I31&#10;HzAjjgESfL8Dj/nBMNyuKDLvzKvYzc3OebltMGqUxUu4eDlzP/tBSrf/73Wu4+7nsfw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KOKaydcAAAANAQAADwAAAAAAAAABACAAAAAiAAAAZHJzL2Rvd25y&#10;ZXYueG1sUEsBAhQAFAAAAAgAh07iQCFYL4E4AgAAhAQAAA4AAAAAAAAAAQAgAAAAJgEAAGRycy9l&#10;Mm9Eb2MueG1sUEsFBgAAAAAGAAYAWQEAANAFAAAAAA==&#10;" adj="5154">
                <v:fill on="t" focussize="0,0"/>
                <v:stroke color="#FF0000" joinstyle="round"/>
                <v:imagedata o:title=""/>
                <o:lock v:ext="edit" aspectratio="f"/>
                <v:textbox>
                  <w:txbxContent>
                    <w:p w14:paraId="5D120718">
                      <w:pPr>
                        <w:jc w:val="center"/>
                      </w:pPr>
                    </w:p>
                  </w:txbxContent>
                </v:textbox>
              </v:shape>
            </w:pict>
          </mc:Fallback>
        </mc:AlternateContent>
      </w:r>
      <w:r>
        <w:rPr>
          <w:color w:val="auto"/>
          <w:sz w:val="32"/>
          <w:highlight w:val="none"/>
        </w:rPr>
        <mc:AlternateContent>
          <mc:Choice Requires="wps">
            <w:drawing>
              <wp:anchor distT="0" distB="0" distL="114300" distR="114300" simplePos="0" relativeHeight="251748352" behindDoc="0" locked="0" layoutInCell="1" allowOverlap="1">
                <wp:simplePos x="0" y="0"/>
                <wp:positionH relativeFrom="column">
                  <wp:posOffset>7437120</wp:posOffset>
                </wp:positionH>
                <wp:positionV relativeFrom="paragraph">
                  <wp:posOffset>3288030</wp:posOffset>
                </wp:positionV>
                <wp:extent cx="78105" cy="76200"/>
                <wp:effectExtent l="7620" t="5080" r="9525" b="13970"/>
                <wp:wrapNone/>
                <wp:docPr id="155" name="自选图形 454"/>
                <wp:cNvGraphicFramePr/>
                <a:graphic xmlns:a="http://schemas.openxmlformats.org/drawingml/2006/main">
                  <a:graphicData uri="http://schemas.microsoft.com/office/word/2010/wordprocessingShape">
                    <wps:wsp>
                      <wps:cNvSpPr/>
                      <wps:spPr>
                        <a:xfrm rot="10800000">
                          <a:off x="0" y="0"/>
                          <a:ext cx="78105" cy="76200"/>
                        </a:xfrm>
                        <a:prstGeom prst="triangle">
                          <a:avLst>
                            <a:gd name="adj" fmla="val 50000"/>
                          </a:avLst>
                        </a:prstGeom>
                        <a:solidFill>
                          <a:srgbClr val="FFC000"/>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shape id="自选图形 454" o:spid="_x0000_s1026" o:spt="5" type="#_x0000_t5" style="position:absolute;left:0pt;margin-left:585.6pt;margin-top:258.9pt;height:6pt;width:6.15pt;rotation:11796480f;z-index:251748352;mso-width-relative:page;mso-height-relative:page;" fillcolor="#FFC000" filled="t" stroked="t" coordsize="21600,21600" o:gfxdata="UEsDBAoAAAAAAIdO4kAAAAAAAAAAAAAAAAAEAAAAZHJzL1BLAwQUAAAACACHTuJAwhev59sAAAAN&#10;AQAADwAAAGRycy9kb3ducmV2LnhtbE2PwU7DMBBE70j8g7VI3KjjoNAQ4vRQUYkDQqItQty28ZJE&#10;je0Qu035e7ancpzZp9mZcnGyvTjSGDrvNKhZAoJc7U3nGg3bzeouBxEiOoO9d6ThlwIsquurEgvj&#10;J/dOx3VsBIe4UKCGNsahkDLULVkMMz+Q49u3Hy1GlmMjzYgTh9tepknyIC12jj+0ONCypXq/PlgN&#10;X7jfTpQtwyr7+fhsXpA2z69vWt/eqOQJRKRTvMBwrs/VoeJOO39wJoietZqrlFkNmZrziDOi8vsM&#10;xI6t9DEHWZXy/4rqD1BLAwQUAAAACACHTuJArhq3akgCAACXBAAADgAAAGRycy9lMm9Eb2MueG1s&#10;rVTNbhMxEL4j8Q6W72Q3UdOGVTY9JIQLgkqFB5jY3l0j/2E7f5y4IZ6BG8e+A7xNJXgLxt40tIVD&#10;DuxhNbbH33zzzYynlzutyEb4IK2p6XBQUiIMs1yatqbv3i6fTSgJEQwHZY2o6V4Eejl7+mS6dZUY&#10;2c4qLjxBEBOqratpF6OriiKwTmgIA+uEwcPGeg0Rl74tuIctomtVjMryvNhaz523TISAu4v+kB4Q&#10;/SmAtmkkEwvL1lqY2KN6oSBiSqGTLtBZZts0gsU3TRNEJKqmmGnMfwyC9ir9i9kUqtaD6yQ7UIBT&#10;KDzKSYM0GPQItYAIZO3lX1BaMm+DbeKAWV30iWRFMIth+Uib6w6cyLmg1MEdRQ//D5a93lx5Ijl2&#10;wnhMiQGNJf/5+ebXpy+3X3/cfv9GzsZnSaWtCxU6X7srf1gFNFPKu8Zr4i1KOywnZfqyEpgb2WWh&#10;90ehxS4ShpsXk2GJ0RieXJxjU6QARY+UEJ0P8aWwmiSjptFLMK1KSkAFm1chZqX5gS3w95Q0WmHd&#10;NqDIODPoAQ/OCH0HmW4GqyRfSqXywrerufIEr9Z0uZwn+v3lB27KkG1Nn49HiTZg2zfYbmhqh9IF&#10;02ZuD26E+8CJ07+BE7EFhK4nkBFSfKi0jCJJDVUngL8wnMS9w+IYnEqayGjBKVEChzhZ2TOCVKd4&#10;oiDKoOSpqH0Zk7WyfI/NgG8Dit5Z/xHD4GRgfh/W4DEoGIbbWJA7cx77UVo7L9sudUDWLoFhv+aa&#10;HmYrDcT9dQ7+5z2Z/Q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CF6/n2wAAAA0BAAAPAAAAAAAA&#10;AAEAIAAAACIAAABkcnMvZG93bnJldi54bWxQSwECFAAUAAAACACHTuJArhq3akgCAACXBAAADgAA&#10;AAAAAAABACAAAAAqAQAAZHJzL2Uyb0RvYy54bWxQSwUGAAAAAAYABgBZAQAA5AUAAAAA&#10;" adj="10800">
                <v:fill on="t" focussize="0,0"/>
                <v:stroke color="#000000" joinstyle="miter"/>
                <v:imagedata o:title=""/>
                <o:lock v:ext="edit" aspectratio="f"/>
              </v:shape>
            </w:pict>
          </mc:Fallback>
        </mc:AlternateContent>
      </w:r>
      <w:r>
        <w:rPr>
          <w:color w:val="auto"/>
          <w:sz w:val="32"/>
          <w:highlight w:val="none"/>
        </w:rPr>
        <mc:AlternateContent>
          <mc:Choice Requires="wps">
            <w:drawing>
              <wp:anchor distT="0" distB="0" distL="114300" distR="114300" simplePos="0" relativeHeight="251751424" behindDoc="0" locked="0" layoutInCell="1" allowOverlap="1">
                <wp:simplePos x="0" y="0"/>
                <wp:positionH relativeFrom="column">
                  <wp:posOffset>7538085</wp:posOffset>
                </wp:positionH>
                <wp:positionV relativeFrom="paragraph">
                  <wp:posOffset>3331210</wp:posOffset>
                </wp:positionV>
                <wp:extent cx="76200" cy="76200"/>
                <wp:effectExtent l="5080" t="4445" r="13970" b="14605"/>
                <wp:wrapNone/>
                <wp:docPr id="147" name="自选图形 452"/>
                <wp:cNvGraphicFramePr/>
                <a:graphic xmlns:a="http://schemas.openxmlformats.org/drawingml/2006/main">
                  <a:graphicData uri="http://schemas.microsoft.com/office/word/2010/wordprocessingShape">
                    <wps:wsp>
                      <wps:cNvSpPr/>
                      <wps:spPr>
                        <a:xfrm>
                          <a:off x="0" y="0"/>
                          <a:ext cx="76200" cy="76200"/>
                        </a:xfrm>
                        <a:prstGeom prst="hexagon">
                          <a:avLst>
                            <a:gd name="adj" fmla="val 26311"/>
                            <a:gd name="vf" fmla="val 115470"/>
                          </a:avLst>
                        </a:prstGeom>
                        <a:solidFill>
                          <a:srgbClr val="FFC000"/>
                        </a:solidFill>
                        <a:ln w="6350"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shape id="自选图形 452" o:spid="_x0000_s1026" o:spt="9" type="#_x0000_t9" style="position:absolute;left:0pt;margin-left:593.55pt;margin-top:262.3pt;height:6pt;width:6pt;z-index:251751424;mso-width-relative:page;mso-height-relative:page;" fillcolor="#FFC000" filled="t" stroked="t" coordsize="21600,21600" o:gfxdata="UEsDBAoAAAAAAIdO4kAAAAAAAAAAAAAAAAAEAAAAZHJzL1BLAwQUAAAACACHTuJAhg7JX9oAAAAN&#10;AQAADwAAAGRycy9kb3ducmV2LnhtbE2PzU7DMBCE70i8g7VI3Kid0qZpiNMDEuKGRApU3NxkiQP+&#10;CbHThLdne4LjzH6anSl2szXshEPovJOQLAQwdLVvOtdKeNk/3GTAQlSuUcY7lPCDAXbl5UWh8sZP&#10;7hlPVWwZhbiQKwk6xj7nPNQarQoL36Oj24cfrIokh5Y3g5oo3Bq+FCLlVnWOPmjV473G+qsarYTs&#10;YL/H15XS5nOa3yrx+PQe1ijl9VUi7oBFnOMfDOf6VB1K6nT0o2sCM6STbJMQK2G9XKXAzkiy3ZJ1&#10;JOs2TYGXBf+/ovwFUEsDBBQAAAAIAIdO4kDUMy1qSAIAAKoEAAAOAAAAZHJzL2Uyb0RvYy54bWyt&#10;VEuOEzEQ3SNxB8t70kkmyaAonVkkhA2CkQYOULHd3Ub+YTs/VuwQZ2DHkjvAbUaCW1B292Qyg5Cy&#10;YNNddpdf1XvP1bOrvVZkK3yQ1pR00OtTIgyzXJq6pO/erp49pyREMByUNaKkBxHo1fzpk9nOTcXQ&#10;NlZx4QmCmDDduZI2MbppUQTWCA2hZ50w+LGyXkPEpa8L7mGH6FoVw35/Uuys585bJkLA3WX7kXaI&#10;/hxAW1WSiaVlGy1MbFG9UBCRUmikC3Seu60qweKbqgoiElVSZBrzE4tgvE7PYj6Dae3BNZJ1LcA5&#10;LTzipEEaLHqEWkIEsvHyLygtmbfBVrHHrC5aIlkRZDHoP9LmpgEnMheUOrij6OH/wbLX22tPJMeb&#10;MLqkxIBGy399/v7705fbrz9vf3wjo/EwqbRzYYrJN+7ad6uAYaK8r7xObyRD9lnZw1FZsY+E4ebl&#10;BK2nhOGXNkSM4v6o8yG+FFaTFCA5sYfatoLC9lWIWVnedQf8PSWVVujTFhQZTi4Gg87Hu5RtdZox&#10;GIxHl9lqLNnhYXRXNIEHqyRfSaXywtfrhfIE0Uu6Wi362Hrb74M0ZciupJOLcSIGOAkV3kAMtUM1&#10;g6nzfXhwIpwCI+o/gFNjSwhN20BGaPlpGUVSH6aNAP7CcBIPDv0yOKg0NaMFp0QJnOsU5cwIUp2T&#10;iYIog6Ykn1tnU7S2/ID3A38XyRbrP2IZHBbk92EDHouCYbhdUiTehovYTtfGeVk3eCp7k2HxCmfX&#10;u3FLM3K6zsXvfzHz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IYOyV/aAAAADQEAAA8AAAAAAAAA&#10;AQAgAAAAIgAAAGRycy9kb3ducmV2LnhtbFBLAQIUABQAAAAIAIdO4kDUMy1qSAIAAKoEAAAOAAAA&#10;AAAAAAEAIAAAACkBAABkcnMvZTJvRG9jLnhtbFBLBQYAAAAABgAGAFkBAADjBQAAAAA=&#10;" adj="5683">
                <v:fill on="t" focussize="0,0"/>
                <v:stroke weight="0.5pt" color="#000000" joinstyle="miter"/>
                <v:imagedata o:title=""/>
                <o:lock v:ext="edit" aspectratio="f"/>
              </v:shape>
            </w:pict>
          </mc:Fallback>
        </mc:AlternateContent>
      </w:r>
      <w:r>
        <w:rPr>
          <w:color w:val="auto"/>
          <w:sz w:val="32"/>
          <w:highlight w:val="none"/>
        </w:rPr>
        <mc:AlternateContent>
          <mc:Choice Requires="wps">
            <w:drawing>
              <wp:anchor distT="0" distB="0" distL="114300" distR="114300" simplePos="0" relativeHeight="251748352" behindDoc="0" locked="0" layoutInCell="1" allowOverlap="1">
                <wp:simplePos x="0" y="0"/>
                <wp:positionH relativeFrom="column">
                  <wp:posOffset>7665720</wp:posOffset>
                </wp:positionH>
                <wp:positionV relativeFrom="paragraph">
                  <wp:posOffset>3415030</wp:posOffset>
                </wp:positionV>
                <wp:extent cx="81915" cy="76200"/>
                <wp:effectExtent l="19050" t="20955" r="32385" b="36195"/>
                <wp:wrapNone/>
                <wp:docPr id="142" name="矩形 448"/>
                <wp:cNvGraphicFramePr/>
                <a:graphic xmlns:a="http://schemas.openxmlformats.org/drawingml/2006/main">
                  <a:graphicData uri="http://schemas.microsoft.com/office/word/2010/wordprocessingShape">
                    <wps:wsp>
                      <wps:cNvSpPr/>
                      <wps:spPr>
                        <a:xfrm rot="12420000" flipV="1">
                          <a:off x="0" y="0"/>
                          <a:ext cx="81915" cy="76200"/>
                        </a:xfrm>
                        <a:prstGeom prst="rect">
                          <a:avLst/>
                        </a:prstGeom>
                        <a:solidFill>
                          <a:srgbClr val="FFC000"/>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rect id="矩形 448" o:spid="_x0000_s1026" o:spt="1" style="position:absolute;left:0pt;flip:y;margin-left:603.6pt;margin-top:268.9pt;height:6pt;width:6.45pt;rotation:10027008f;z-index:251748352;mso-width-relative:page;mso-height-relative:page;" fillcolor="#FFC000" filled="t" stroked="t" coordsize="21600,21600" o:gfxdata="UEsDBAoAAAAAAIdO4kAAAAAAAAAAAAAAAAAEAAAAZHJzL1BLAwQUAAAACACHTuJAm60VCtwAAAAN&#10;AQAADwAAAGRycy9kb3ducmV2LnhtbE2PS0/DMBCE70j8B2uRuCBqJzyahjg9IHEoEhIplcrRjZc4&#10;In4Qu03779me4Dizn2ZnquXRDuyAY+y9k5DNBDB0rde96yRsPl5uC2AxKafV4B1KOGGEZX15UalS&#10;+8k1eFinjlGIi6WSYFIKJeexNWhVnPmAjm5ffrQqkRw7rkc1UbgdeC7EI7eqd/TBqIDPBtvv9d5K&#10;+FyszKkI2/CGzc/7a7yJ06oppLy+ysQTsITH9AfDuT5Vh5o67fze6cgG0rmY58RKeLib04gzkuci&#10;A7Yj635RAK8r/n9F/QtQSwMEFAAAAAgAh07iQKrydcUsAgAAawQAAA4AAABkcnMvZTJvRG9jLnht&#10;bK1UzY7TMBC+I/EOlu80bdVdulHTPbSUC4KVFrhPHSex5D/GbtPyMkjceAgeB/EajJ1SdhcOPXCJ&#10;xuPxN/N9M5PF7cFotpcYlLMVn4zGnEkrXK1sW/EP7zcv5pyFCLYG7ays+FEGfrt8/mzR+1JOXed0&#10;LZERiA1l7yvexejLogiikwbCyHlp6bJxaCDSEduiRugJ3ehiOh5fF73D2qMTMgTyrodLfkLESwBd&#10;0ygh107sjLRxQEWpIRKl0Ckf+DJX2zRSxHdNE2RkuuLENOYvJSF7m77FcgFli+A7JU4lwCUlPOFk&#10;QFlKeoZaQwS2Q/UXlFECXXBNHAlnioFIVoRYTMZPtLnvwMvMhaQO/ix6+H+w4u3+DpmqaRJmU84s&#10;GGr5zy/ffnz/ymazedKn96GksHt/h6dTIDORPTRoGDoSdTKdUW/HpGqjlf9IjqwG8WOHLPbxLLY8&#10;RCbIOZ/cTK44E3Tz8poep1TFgJmwPYb4WjrDklFxpE5mSNi/CXEI/R2SwoPTqt4orfMB2+1KI9sD&#10;dX2zWaXChiePwrRlfcVvrqapDKBRbmiEyDSe5Ai2zfkevQgPgRPffwOnwtYQuqGAjJDyQ2lUlElE&#10;KDsJ9Stbs3j0JLilTeOpGCNrzrSkxUxWjoyg9CWRpJ22JGFq19CgZG1dfaQG076TiJ3Dz5SGpp34&#10;fdoBUlKwgtwVJ+KDuYrDeuw8qrZLvc3aJTCawdyj076kIX94zsn//COWv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brRUK3AAAAA0BAAAPAAAAAAAAAAEAIAAAACIAAABkcnMvZG93bnJldi54bWxQ&#10;SwECFAAUAAAACACHTuJAqvJ1xSwCAABrBAAADgAAAAAAAAABACAAAAArAQAAZHJzL2Uyb0RvYy54&#10;bWxQSwUGAAAAAAYABgBZAQAAyQUAAAAA&#10;">
                <v:fill on="t" focussize="0,0"/>
                <v:stroke color="#000000" joinstyle="miter"/>
                <v:imagedata o:title=""/>
                <o:lock v:ext="edit" aspectratio="f"/>
              </v:rect>
            </w:pict>
          </mc:Fallback>
        </mc:AlternateContent>
      </w:r>
      <w:r>
        <w:rPr>
          <w:color w:val="auto"/>
          <w:sz w:val="32"/>
          <w:highlight w:val="none"/>
        </w:rPr>
        <mc:AlternateContent>
          <mc:Choice Requires="wps">
            <w:drawing>
              <wp:anchor distT="0" distB="0" distL="114300" distR="114300" simplePos="0" relativeHeight="251761664" behindDoc="0" locked="0" layoutInCell="1" allowOverlap="1">
                <wp:simplePos x="0" y="0"/>
                <wp:positionH relativeFrom="column">
                  <wp:posOffset>7611110</wp:posOffset>
                </wp:positionH>
                <wp:positionV relativeFrom="paragraph">
                  <wp:posOffset>3390265</wp:posOffset>
                </wp:positionV>
                <wp:extent cx="76200" cy="83820"/>
                <wp:effectExtent l="4445" t="4445" r="14605" b="6985"/>
                <wp:wrapNone/>
                <wp:docPr id="107" name="斜纹 107"/>
                <wp:cNvGraphicFramePr/>
                <a:graphic xmlns:a="http://schemas.openxmlformats.org/drawingml/2006/main">
                  <a:graphicData uri="http://schemas.microsoft.com/office/word/2010/wordprocessingShape">
                    <wps:wsp>
                      <wps:cNvSpPr/>
                      <wps:spPr>
                        <a:xfrm>
                          <a:off x="0" y="0"/>
                          <a:ext cx="76200" cy="83820"/>
                        </a:xfrm>
                        <a:prstGeom prst="diagStripe">
                          <a:avLst/>
                        </a:prstGeom>
                        <a:solidFill>
                          <a:srgbClr val="FFC000"/>
                        </a:solidFill>
                        <a:ln w="31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99.3pt;margin-top:266.95pt;height:6.6pt;width:6pt;z-index:251761664;v-text-anchor:middle;mso-width-relative:page;mso-height-relative:page;" fillcolor="#FFC000" filled="t" stroked="t" coordsize="76200,83820" o:gfxdata="UEsDBAoAAAAAAIdO4kAAAAAAAAAAAAAAAAAEAAAAZHJzL1BLAwQUAAAACACHTuJAzIv/T9sAAAAN&#10;AQAADwAAAGRycy9kb3ducmV2LnhtbE2PzU7DMBCE70i8g7VI3KjtFtokxOmBH1XiArR9ADd246jx&#10;Ooqd/vD0bE9wnNlPszPl8uw7drRDbAMqkBMBzGIdTIuNgu3m/SEDFpNGo7uAVsHFRlhWtzelLkw4&#10;4bc9rlPDKARjoRW4lPqC81g763WchN4i3fZh8DqRHBpuBn2icN/xqRBz7nWL9MHp3r44Wx/Wo1cg&#10;Lvrwsfh6XX2+1att5pwZf8Zcqfs7KZ6BJXtOfzBc61N1qKjTLoxoIutIyzybE6vgaTbLgV2RqRRk&#10;7ch6XEjgVcn/r6h+AVBLAwQUAAAACACHTuJAknK05GgCAADjBAAADgAAAGRycy9lMm9Eb2MueG1s&#10;rVTNbhMxEL4j8Q6W73ST/qVE3VRRoiCkCioFxNnxenct+Q/byaY8CCdeBB4IXoPP3m2bFpB64LI7&#10;4xnPzPfNjC+v9lqRnfBBWlPS8dGIEmG4raRpSvrxw+rVBSUhMlMxZY0o6a0I9Gr28sVl56bi2LZW&#10;VcITBDFh2rmStjG6aVEE3grNwpF1wsBYW69ZhOqbovKsQ3StiuPR6LzorK+ct1yEgNNlb6RDRP+c&#10;gLauJRdLy7damNhH9UKxCEihlS7QWa62rgWP7+s6iEhUSYE05i+SQN6kbzG7ZNPGM9dKPpTAnlPC&#10;E0yaSYOk96GWLDKy9fKPUFpyb4Ot4xG3uuiBZEaAYjx6ws26ZU5kLKA6uHvSw/8Ly9/tbjyRFSZh&#10;NKHEMI2W//z67deP7ySdgJ/OhSnc1u7GD1qAmMDua6/THzDIPnN6e8+p2EfCcTg5R9Mp4bBcnFwc&#10;Z8aLh6vOh/hGWE2SUNJKsmYdvcyw2ZTtrkNEUly4c0z5glWyWkmlsuKbzUJ5smNo8Wq1GCFdf+WR&#10;mzKkK+nJeHKGYhjmtsa8QNQO2INpKGGqwULw6HMjH10OhzmQ4B85Uo1LFtq+lhxhKEUZgEhE9tQl&#10;aWOrW1DvbT+TwfGVxP1rFuIN8xhCsIY1je/xqZVF8XaQKGmt//K38+SP2YCVkg5DDWSft8wLStRb&#10;g6l5PT49TVuQldOzCdpB/KFlc2gxW72wIHWMB8HxLCb/qO7E2lv9Cds8T1lhYoYjd8/hoCxiv2x4&#10;D7iYz7MbJt+xeG3WjqfgqYnGzrfR1jI3+4GdgTTMfp6BYU/Tch3q2evhbZr9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MyL/0/bAAAADQEAAA8AAAAAAAAAAQAgAAAAIgAAAGRycy9kb3ducmV2Lnht&#10;bFBLAQIUABQAAAAIAIdO4kCScrTkaAIAAOMEAAAOAAAAAAAAAAEAIAAAACoBAABkcnMvZTJvRG9j&#10;LnhtbFBLBQYAAAAABgAGAFkBAAAEBgAAAAA=&#10;" path="m0,41910l38100,0,76200,0,0,83820xe">
                <v:path o:connectlocs="38100,41910;0,62865;19050,20955;57150,0" o:connectangles="0,164,164,247"/>
                <v:fill on="t" focussize="0,0"/>
                <v:stroke weight="0.25pt" color="#000000 [3213]" joinstyle="round"/>
                <v:imagedata o:title=""/>
                <o:lock v:ext="edit" aspectratio="f"/>
              </v:shape>
            </w:pict>
          </mc:Fallback>
        </mc:AlternateContent>
      </w:r>
      <w:r>
        <w:rPr>
          <w:color w:val="auto"/>
          <w:sz w:val="32"/>
          <w:highlight w:val="none"/>
        </w:rPr>
        <mc:AlternateContent>
          <mc:Choice Requires="wps">
            <w:drawing>
              <wp:anchor distT="0" distB="0" distL="114300" distR="114300" simplePos="0" relativeHeight="251737088" behindDoc="0" locked="0" layoutInCell="1" allowOverlap="1">
                <wp:simplePos x="0" y="0"/>
                <wp:positionH relativeFrom="column">
                  <wp:posOffset>7673340</wp:posOffset>
                </wp:positionH>
                <wp:positionV relativeFrom="paragraph">
                  <wp:posOffset>2799715</wp:posOffset>
                </wp:positionV>
                <wp:extent cx="90805" cy="90170"/>
                <wp:effectExtent l="22225" t="22225" r="39370" b="40005"/>
                <wp:wrapNone/>
                <wp:docPr id="120" name="自选图形 471"/>
                <wp:cNvGraphicFramePr/>
                <a:graphic xmlns:a="http://schemas.openxmlformats.org/drawingml/2006/main">
                  <a:graphicData uri="http://schemas.microsoft.com/office/word/2010/wordprocessingShape">
                    <wps:wsp>
                      <wps:cNvSpPr/>
                      <wps:spPr>
                        <a:xfrm rot="1620000">
                          <a:off x="0" y="0"/>
                          <a:ext cx="90805" cy="90170"/>
                        </a:xfrm>
                        <a:prstGeom prst="bevel">
                          <a:avLst>
                            <a:gd name="adj" fmla="val 12500"/>
                          </a:avLst>
                        </a:prstGeom>
                        <a:solidFill>
                          <a:srgbClr val="00B050"/>
                        </a:solidFill>
                        <a:ln w="9525" cap="flat" cmpd="sng">
                          <a:solidFill>
                            <a:srgbClr val="FFFFFF"/>
                          </a:solidFill>
                          <a:prstDash val="solid"/>
                          <a:miter/>
                          <a:headEnd type="none" w="med" len="med"/>
                          <a:tailEnd type="none" w="med" len="med"/>
                        </a:ln>
                      </wps:spPr>
                      <wps:bodyPr vert="horz" wrap="square" anchor="t" anchorCtr="0" upright="1"/>
                    </wps:wsp>
                  </a:graphicData>
                </a:graphic>
              </wp:anchor>
            </w:drawing>
          </mc:Choice>
          <mc:Fallback>
            <w:pict>
              <v:shape id="自选图形 471" o:spid="_x0000_s1026" o:spt="84" type="#_x0000_t84" style="position:absolute;left:0pt;margin-left:604.2pt;margin-top:220.45pt;height:7.1pt;width:7.15pt;rotation:1769472f;z-index:251737088;mso-width-relative:page;mso-height-relative:page;" fillcolor="#00B050" filled="t" stroked="t" coordsize="21600,21600" o:gfxdata="UEsDBAoAAAAAAIdO4kAAAAAAAAAAAAAAAAAEAAAAZHJzL1BLAwQUAAAACACHTuJADMDOYtsAAAAN&#10;AQAADwAAAGRycy9kb3ducmV2LnhtbE2PwU7DMAyG70i8Q2Qkbixp1dGuazoJBJcdkNhA4pg2WVst&#10;caom27q3xzvB8bc//f5cbWZn2dlMYfAoIVkIYAZbrwfsJHzt358KYCEq1Mp6NBKuJsCmvr+rVKn9&#10;BT/NeRc7RiUYSiWhj3EsOQ9tb5wKCz8apN3BT05FilPH9aQuVO4sT4V45k4NSBd6NZrX3rTH3clJ&#10;cLnNt/ufD1xtm8LNxcvb1X4fpXx8SMQaWDRz/IPhpk/qUJNT40+oA7OUU1FkxErIMrECdkPSNM2B&#10;NTRaLhPgdcX/f1H/AlBLAwQUAAAACACHTuJA23OicUoCAACTBAAADgAAAGRycy9lMm9Eb2MueG1s&#10;rVRLjtQwEN0jcQfLeyZJi55P1OmRmKbZIBhp4ADVttMx8g/b/WPFDnEGdrPkDnCbkeAWlJ1MMz1s&#10;ekEWUTkuv3rvlSuTy61WZC18kNY0tDopKRGGWS7NsqHv382fnVMSIhgOyhrR0J0I9HL69Mlk42ox&#10;sp1VXHiCICbUG9fQLkZXF0VgndAQTqwTBjdb6zVEXPplwT1sEF2rYlSWp8XGeu68ZSIE/DrrN+mA&#10;6I8BtG0rmZhZttLCxB7VCwURJYVOukCnmW3bChbftm0QkaiGotKY31gE40V6F9MJ1EsPrpNsoADH&#10;UHikSYM0WHQPNYMIZOXlP1BaMm+DbeMJs7rohWRHUEVVPvLmpgMnsha0Ori96eH/wbI362tPJMeb&#10;MEJPDGhs+a8v339//nr37efdj1vy/KxKLm1cqDH5xl37YRUwTJK3rdfEW7S2OsUGl2U2AqWRbfZ5&#10;t/dZbCNh+PGiPC/HlDDcuSirs9yFogdKgM6H+EpYTVLQ0IVYC5UxYf06xOwyH5gC/0BJqxX2bA2K&#10;VKMxlkd+iDYkY3SPl04GqySfS6Xywi8XV8oTPIocyxfl+P7wQZoyZINMx6PEGfDKt3jVMNQObQtm&#10;mbkdnAgPgef5GVgdpCViMwhdTyBvpTSotYwi2Qx1J4C/NJzEncPGGJxImshowSlRAgc4RTkzglTH&#10;ZKIhyqBDqaF9C1O0sHyHFwH/C+h4Z/0nLINTgfo+rsBjUTAMPzcUhffhVezHaOW8XHap+1liAsO7&#10;mlswzFUahofrXPzvv2T6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AzAzmLbAAAADQEAAA8AAAAA&#10;AAAAAQAgAAAAIgAAAGRycy9kb3ducmV2LnhtbFBLAQIUABQAAAAIAIdO4kDbc6JxSgIAAJMEAAAO&#10;AAAAAAAAAAEAIAAAACoBAABkcnMvZTJvRG9jLnhtbFBLBQYAAAAABgAGAFkBAADmBQAAAAA=&#10;" adj="2700">
                <v:fill on="t" focussize="0,0"/>
                <v:stroke color="#FFFFFF" joinstyle="miter"/>
                <v:imagedata o:title=""/>
                <o:lock v:ext="edit" aspectratio="f"/>
              </v:shape>
            </w:pict>
          </mc:Fallback>
        </mc:AlternateContent>
      </w:r>
      <w:r>
        <w:rPr>
          <w:color w:val="auto"/>
          <w:sz w:val="32"/>
          <w:highlight w:val="none"/>
        </w:rPr>
        <mc:AlternateContent>
          <mc:Choice Requires="wps">
            <w:drawing>
              <wp:anchor distT="0" distB="0" distL="114300" distR="114300" simplePos="0" relativeHeight="251742208" behindDoc="0" locked="0" layoutInCell="1" allowOverlap="1">
                <wp:simplePos x="0" y="0"/>
                <wp:positionH relativeFrom="column">
                  <wp:posOffset>7602220</wp:posOffset>
                </wp:positionH>
                <wp:positionV relativeFrom="paragraph">
                  <wp:posOffset>2789555</wp:posOffset>
                </wp:positionV>
                <wp:extent cx="76200" cy="76200"/>
                <wp:effectExtent l="4445" t="4445" r="14605" b="14605"/>
                <wp:wrapNone/>
                <wp:docPr id="125" name="自选图形 445"/>
                <wp:cNvGraphicFramePr/>
                <a:graphic xmlns:a="http://schemas.openxmlformats.org/drawingml/2006/main">
                  <a:graphicData uri="http://schemas.microsoft.com/office/word/2010/wordprocessingShape">
                    <wps:wsp>
                      <wps:cNvSpPr/>
                      <wps:spPr>
                        <a:xfrm>
                          <a:off x="0" y="0"/>
                          <a:ext cx="76200" cy="76200"/>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C000"/>
                        </a:solidFill>
                        <a:ln w="9525" cap="flat" cmpd="sng">
                          <a:solidFill>
                            <a:srgbClr val="00B050"/>
                          </a:solidFill>
                          <a:prstDash val="solid"/>
                          <a:headEnd type="none" w="med" len="med"/>
                          <a:tailEnd type="none" w="med" len="med"/>
                        </a:ln>
                      </wps:spPr>
                      <wps:bodyPr vert="horz" wrap="square" anchor="t" anchorCtr="0" upright="1"/>
                    </wps:wsp>
                  </a:graphicData>
                </a:graphic>
              </wp:anchor>
            </w:drawing>
          </mc:Choice>
          <mc:Fallback>
            <w:pict>
              <v:shape id="自选图形 445" o:spid="_x0000_s1026" o:spt="100" style="position:absolute;left:0pt;margin-left:598.6pt;margin-top:219.65pt;height:6pt;width:6pt;z-index:251742208;mso-width-relative:page;mso-height-relative:page;" fillcolor="#FFC000" filled="t" stroked="t" coordsize="21600,21600" o:gfxdata="UEsDBAoAAAAAAIdO4kAAAAAAAAAAAAAAAAAEAAAAZHJzL1BLAwQUAAAACACHTuJAR2FGIdsAAAAN&#10;AQAADwAAAGRycy9kb3ducmV2LnhtbE2PzU7DMBCE70i8g7VIXBC1k0AhIU4l/q5IhFbl6CZLEhGv&#10;o9hNWp6e7QmOM/tpdiZfHWwvJhx950hDtFAgkCpXd9RoWH+8Xt+D8MFQbXpHqOGIHlbF+VlustrN&#10;9I5TGRrBIeQzo6ENYcik9FWL1viFG5D49uVGawLLsZH1aGYOt72MlVpKazriD60Z8KnF6rvcWw3b&#10;l7eUVPJ5vNrM0/Sotj9ltXzW+vIiUg8gAh7CHwyn+lwdCu60c3uqvehZR+ldzKyGmyRNQJyQWKVs&#10;7di6jRKQRS7/ryh+AVBLAwQUAAAACACHTuJATbSO6mMDAAB5CQAADgAAAGRycy9lMm9Eb2MueG1s&#10;rVbNbtswDL4P2DsIPg5o7aRJmgZNirVZdhm2os0eQJXl2IBtaZISOzvtNuwZdttx77C9TYHtLUZK&#10;tvPTpMuKXRJKJj+SHylR5xdllpIFVzoR+dBrHQce4TkTYZLPht776eSo7xFtaB7SVOR86C259i5G&#10;z5+dF3LA2yIWacgVAZBcDwo59GJj5MD3NYt5RvWxkDyHj5FQGTWwVDM/VLQA9Cz120HQ8wuhQqkE&#10;41rD7th99CpEdQigiKKE8bFg84znxqEqnlIDKek4kdob2WijiDPzLoo0NyQdepCpsb/gBOQ7/PVH&#10;53QwU1TGCatCoIeEsJVTRpMcnDZQY2oomavkAVSWMCW0iMwxE5nvErGMQBatYIub25hKbnMBqrVs&#10;SNf/D5a9XVwrkoTQCe2uR3KaQcl/ff7++9OX+68/7398I51OF1kqpB6A8q28VtVKg4gpl5HK8B+S&#10;IaVldtkwy0tDGGye9qD0HmHwxYmA4a9M2Vyb11xYGLp4o40rSwiSJTWsAjPlG49EWQoleuGTk1bv&#10;hBSk3eoBdmXRKE63FeM9ijdriq1+5+R0L+TlA801TMhmVsdL4zoFVuZVDiARikesfRrYTpFCI12t&#10;oI/M1JQBDGhi0vsMMGurbwXH47ZJq7/hw+E7T7sNzjb0GxeWD6R2R1ibJqs0mnL83QbZtqk85mcj&#10;MgeObD2WzTbFjZ9tylyIVYUUXBZ4Tdgmg4vClNBDcFWYEloELgtTXrouk9RggbFIKJICimp7kMS1&#10;hN8yseBTYbXM6mCsx73SoIpNBSlu6rxIvBK1eYl9Yw0D7BVd2I1uB1Z15x8AcFQbPBXg6a4f9cxS&#10;oTn02EPG0Mz1hz0krg93keYUkTMn7aOsocC6W3G2xx63keGasH80f7Jh42e345ow6F7sP3s6m57E&#10;ll67TbVIk3CSpCnyq9Xs7ipVZEGhzSeTq6p7wGRDLc2xpc+6OBAYhREfwWgFMZMwJnQ+s9fXhsUG&#10;cBBcBl17IW8DS6XNmOrYBWAR3ImKOQ1f5SExSwnjJ4d3h4chZDz0SMrhmYKSrZmhSXqIJrhO4Rr1&#10;cWy5QYXSnQiXMO7g9QPnOxbqI7iB2Q9ZfZhTBU5pzmAbznotXhlYQSHnUiWzGKxa9jpEMJjIlvrq&#10;9YAjf31tna9eTKM/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1wUAAFtDb250ZW50X1R5cGVzXS54bWxQSwECFAAKAAAAAACHTuJAAAAAAAAAAAAA&#10;AAAABgAAAAAAAAAAABAAAAC5BAAAX3JlbHMvUEsBAhQAFAAAAAgAh07iQIoUZjzRAAAAlAEAAAsA&#10;AAAAAAAAAQAgAAAA3QQAAF9yZWxzLy5yZWxzUEsBAhQACgAAAAAAh07iQAAAAAAAAAAAAAAAAAQA&#10;AAAAAAAAAAAQAAAAAAAAAGRycy9QSwECFAAUAAAACACHTuJAR2FGIdsAAAANAQAADwAAAAAAAAAB&#10;ACAAAAAiAAAAZHJzL2Rvd25yZXYueG1sUEsBAhQAFAAAAAgAh07iQE20jupjAwAAeQkAAA4AAAAA&#10;AAAAAQAgAAAAKgEAAGRycy9lMm9Eb2MueG1sUEsFBgAAAAAGAAYAWQEAAP8GA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B050" joinstyle="round"/>
                <v:imagedata o:title=""/>
                <o:lock v:ext="edit" aspectratio="f"/>
              </v:shape>
            </w:pict>
          </mc:Fallback>
        </mc:AlternateContent>
      </w:r>
      <w:r>
        <w:rPr>
          <w:color w:val="auto"/>
          <w:sz w:val="32"/>
          <w:highlight w:val="none"/>
        </w:rPr>
        <mc:AlternateContent>
          <mc:Choice Requires="wps">
            <w:drawing>
              <wp:anchor distT="0" distB="0" distL="114300" distR="114300" simplePos="0" relativeHeight="251748352" behindDoc="0" locked="0" layoutInCell="1" allowOverlap="1">
                <wp:simplePos x="0" y="0"/>
                <wp:positionH relativeFrom="column">
                  <wp:posOffset>7568565</wp:posOffset>
                </wp:positionH>
                <wp:positionV relativeFrom="paragraph">
                  <wp:posOffset>2895600</wp:posOffset>
                </wp:positionV>
                <wp:extent cx="78105" cy="76200"/>
                <wp:effectExtent l="7620" t="5080" r="9525" b="13970"/>
                <wp:wrapNone/>
                <wp:docPr id="154" name="自选图形 454"/>
                <wp:cNvGraphicFramePr/>
                <a:graphic xmlns:a="http://schemas.openxmlformats.org/drawingml/2006/main">
                  <a:graphicData uri="http://schemas.microsoft.com/office/word/2010/wordprocessingShape">
                    <wps:wsp>
                      <wps:cNvSpPr/>
                      <wps:spPr>
                        <a:xfrm rot="10800000">
                          <a:off x="0" y="0"/>
                          <a:ext cx="78105" cy="76200"/>
                        </a:xfrm>
                        <a:prstGeom prst="triangle">
                          <a:avLst>
                            <a:gd name="adj" fmla="val 50000"/>
                          </a:avLst>
                        </a:prstGeom>
                        <a:solidFill>
                          <a:srgbClr val="FFC000"/>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shape id="自选图形 454" o:spid="_x0000_s1026" o:spt="5" type="#_x0000_t5" style="position:absolute;left:0pt;margin-left:595.95pt;margin-top:228pt;height:6pt;width:6.15pt;rotation:11796480f;z-index:251748352;mso-width-relative:page;mso-height-relative:page;" fillcolor="#FFC000" filled="t" stroked="t" coordsize="21600,21600" o:gfxdata="UEsDBAoAAAAAAIdO4kAAAAAAAAAAAAAAAAAEAAAAZHJzL1BLAwQUAAAACACHTuJAVGeD4NsAAAAN&#10;AQAADwAAAGRycy9kb3ducmV2LnhtbE2PwU7DMBBE70j8g7VI3KidqInaEKeHikocEBJtEeK2jZck&#10;amyH2G3K37M9wXFmn2ZnytXF9uJMY+i805DMFAhytTedazTsd5uHBYgQ0RnsvSMNPxRgVd3elFgY&#10;P7k3Om9jIzjEhQI1tDEOhZShbslimPmBHN++/GgxshwbaUacONz2MlUqlxY7xx9aHGjdUn3cnqyG&#10;TzzuJ8rWYZN9v380z0i7p5dXre/vEvUIItIl/sFwrc/VoeJOB39yJoiedbJMlsxqmGc5r7oiqZqn&#10;IA5s5QsFsirl/xXVL1BLAwQUAAAACACHTuJAuneVl0gCAACXBAAADgAAAGRycy9lMm9Eb2MueG1s&#10;rVTNbhMxEL4j8Q6W72Q3UdOGVTY9JIQLgkqFB5jY3l0j/2E7f5y4IZ6BG8e+A7xNJXgLxt40tIVD&#10;DuxhNbbH33zzzYynlzutyEb4IK2p6XBQUiIMs1yatqbv3i6fTSgJEQwHZY2o6V4Eejl7+mS6dZUY&#10;2c4qLjxBEBOqratpF6OriiKwTmgIA+uEwcPGeg0Rl74tuIctomtVjMryvNhaz523TISAu4v+kB4Q&#10;/SmAtmkkEwvL1lqY2KN6oSBiSqGTLtBZZts0gsU3TRNEJKqmmGnMfwyC9ir9i9kUqtaD6yQ7UIBT&#10;KDzKSYM0GPQItYAIZO3lX1BaMm+DbeKAWV30iWRFMIth+Uib6w6cyLmg1MEdRQ//D5a93lx5Ijl2&#10;wviMEgMaS/7z882vT19uv/64/f6NnOE+qrR1oULna3flD6uAZkp513hNvEVph+WkTF9WAnMjuyz0&#10;/ii02EXCcPNiMizHlDA8uTjHpkgBih4pITof4kthNUlGTaOXYFqVlIAKNq9CzErzA1vg7ylptMK6&#10;bUCRcWbQAx6cEfoOMt0MVkm+lErlhW9Xc+UJXq3pcjlP9PvLD9yUIduaPh+PEm3Atm+w3dDUDqUL&#10;ps3cHtwI94ETp38DJ2ILCF1PICOk+FBpGUWSGqpOAH9hOIl7h8UxOJU0kdGCU6IEDnGysmcEqU7x&#10;REGUQclTUfsyJmtl+R6bAd8GFL2z/iOGwcnA/D6swWNQMAy3sSB35jz2o7R2XrZd6oCsXQLDfs01&#10;PcxWGoj76xz8z3sy+w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UZ4Pg2wAAAA0BAAAPAAAAAAAA&#10;AAEAIAAAACIAAABkcnMvZG93bnJldi54bWxQSwECFAAUAAAACACHTuJAuneVl0gCAACXBAAADgAA&#10;AAAAAAABACAAAAAqAQAAZHJzL2Uyb0RvYy54bWxQSwUGAAAAAAYABgBZAQAA5AUAAAAA&#10;" adj="10800">
                <v:fill on="t" focussize="0,0"/>
                <v:stroke color="#000000" joinstyle="miter"/>
                <v:imagedata o:title=""/>
                <o:lock v:ext="edit" aspectratio="f"/>
              </v:shape>
            </w:pict>
          </mc:Fallback>
        </mc:AlternateContent>
      </w:r>
      <w:r>
        <w:rPr>
          <w:color w:val="auto"/>
          <w:sz w:val="32"/>
          <w:highlight w:val="none"/>
        </w:rPr>
        <mc:AlternateContent>
          <mc:Choice Requires="wps">
            <w:drawing>
              <wp:anchor distT="0" distB="0" distL="114300" distR="114300" simplePos="0" relativeHeight="251750400" behindDoc="0" locked="0" layoutInCell="1" allowOverlap="1">
                <wp:simplePos x="0" y="0"/>
                <wp:positionH relativeFrom="column">
                  <wp:posOffset>7652385</wp:posOffset>
                </wp:positionH>
                <wp:positionV relativeFrom="paragraph">
                  <wp:posOffset>2918460</wp:posOffset>
                </wp:positionV>
                <wp:extent cx="76200" cy="76200"/>
                <wp:effectExtent l="5080" t="4445" r="13970" b="14605"/>
                <wp:wrapNone/>
                <wp:docPr id="146" name="自选图形 452"/>
                <wp:cNvGraphicFramePr/>
                <a:graphic xmlns:a="http://schemas.openxmlformats.org/drawingml/2006/main">
                  <a:graphicData uri="http://schemas.microsoft.com/office/word/2010/wordprocessingShape">
                    <wps:wsp>
                      <wps:cNvSpPr/>
                      <wps:spPr>
                        <a:xfrm>
                          <a:off x="0" y="0"/>
                          <a:ext cx="76200" cy="76200"/>
                        </a:xfrm>
                        <a:prstGeom prst="hexagon">
                          <a:avLst>
                            <a:gd name="adj" fmla="val 26311"/>
                            <a:gd name="vf" fmla="val 115470"/>
                          </a:avLst>
                        </a:prstGeom>
                        <a:solidFill>
                          <a:srgbClr val="FFC000"/>
                        </a:solidFill>
                        <a:ln w="6350"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shape id="自选图形 452" o:spid="_x0000_s1026" o:spt="9" type="#_x0000_t9" style="position:absolute;left:0pt;margin-left:602.55pt;margin-top:229.8pt;height:6pt;width:6pt;z-index:251750400;mso-width-relative:page;mso-height-relative:page;" fillcolor="#FFC000" filled="t" stroked="t" coordsize="21600,21600" o:gfxdata="UEsDBAoAAAAAAIdO4kAAAAAAAAAAAAAAAAAEAAAAZHJzL1BLAwQUAAAACACHTuJA4nU0htkAAAAN&#10;AQAADwAAAGRycy9kb3ducmV2LnhtbE2PS0/DMBCE70j8B2uRuFE7UZO2aZwekBA3JMJL3NxkiQN+&#10;hNhpwr9ne4LjzH6anSkPizXshGPovZOQrAQwdI1ve9dJeH66u9kCC1G5VhnvUMIPBjhUlxelKlo/&#10;u0c81bFjFOJCoSToGIeC89BotCqs/ICObh9+tCqSHDvejmqmcGt4KkTOreodfdBqwFuNzVc9WQnb&#10;N/s9vayVNp/z8lqL+4f3kKGU11eJ2AOLuMQ/GM71qTpU1OnoJ9cGZkinIkuIlbDOdjmwM5ImG7KO&#10;ZG2SHHhV8v8rql9QSwMEFAAAAAgAh07iQA68KfRIAgAAqgQAAA4AAABkcnMvZTJvRG9jLnhtbK1U&#10;S44TMRDdI3EHy3vSSSbJoCidWSSEDYKRBg5Qsd3dRv5hOz9W7BBnYMeSO8BtRoJbUHb3ZDKDkLJg&#10;0112l1/Ve8/Vs6u9VmQrfJDWlHTQ61MiDLNcmrqk796unj2nJEQwHJQ1oqQHEejV/OmT2c5NxdA2&#10;VnHhCYKYMN25kjYxumlRBNYIDaFnnTD4sbJeQ8SlrwvuYYfoWhXDfn9S7KznzlsmQsDdZfuRdoj+&#10;HEBbVZKJpWUbLUxsUb1QEJFSaKQLdJ67rSrB4puqCiISVVJkGvMTi2C8Ts9iPoNp7cE1knUtwDkt&#10;POKkQRoseoRaQgSy8fIvKC2Zt8FWscesLloiWRFkMeg/0uamAScyF5Q6uKPo4f/Bstfba08kx5sw&#10;mlBiQKPlvz5///3py+3Xn7c/vpHReJhU2rkwxeQbd+27VcAwUd5XXqc3kiH7rOzhqKzYR8Jw83KC&#10;1lPC8EsbIkZxf9T5EF8Kq0kKkJzYQ21bQWH7KsSsLO+6A/6ekkor9GkLigwnF4NB5+NdyrY6zRgM&#10;xqPLbDWW7PAwuiuawINVkq+kUnnh6/VCeYLoJV2tFn1sve33QZoyZFfSycU4EQOchApvIIbaoZrB&#10;1Pk+PDgRToER9R/AqbElhKZtICO0/LSMIqkP00YAf2E4iQeHfhkcVJqa0YJTogTOdYpyZgSpzslE&#10;QZRBU5LPrbMpWlt+wPuBv4tki/UfsQwOC/L7sAGPRcEw3C4pEm/DRWyna+O8rBs8lb3JsHiFs+vd&#10;uKUZOV3n4ve/mPk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4nU0htkAAAANAQAADwAAAAAAAAAB&#10;ACAAAAAiAAAAZHJzL2Rvd25yZXYueG1sUEsBAhQAFAAAAAgAh07iQA68KfRIAgAAqgQAAA4AAAAA&#10;AAAAAQAgAAAAKAEAAGRycy9lMm9Eb2MueG1sUEsFBgAAAAAGAAYAWQEAAOIFAAAAAA==&#10;" adj="5683">
                <v:fill on="t" focussize="0,0"/>
                <v:stroke weight="0.5pt" color="#000000" joinstyle="miter"/>
                <v:imagedata o:title=""/>
                <o:lock v:ext="edit" aspectratio="f"/>
              </v:shape>
            </w:pict>
          </mc:Fallback>
        </mc:AlternateContent>
      </w:r>
      <w:r>
        <w:rPr>
          <w:color w:val="auto"/>
          <w:sz w:val="32"/>
          <w:highlight w:val="none"/>
        </w:rPr>
        <mc:AlternateContent>
          <mc:Choice Requires="wps">
            <w:drawing>
              <wp:anchor distT="0" distB="0" distL="114300" distR="114300" simplePos="0" relativeHeight="251747328" behindDoc="0" locked="0" layoutInCell="1" allowOverlap="1">
                <wp:simplePos x="0" y="0"/>
                <wp:positionH relativeFrom="column">
                  <wp:posOffset>7729220</wp:posOffset>
                </wp:positionH>
                <wp:positionV relativeFrom="paragraph">
                  <wp:posOffset>2969260</wp:posOffset>
                </wp:positionV>
                <wp:extent cx="76200" cy="83820"/>
                <wp:effectExtent l="4445" t="4445" r="14605" b="6985"/>
                <wp:wrapNone/>
                <wp:docPr id="136" name="斜纹 136"/>
                <wp:cNvGraphicFramePr/>
                <a:graphic xmlns:a="http://schemas.openxmlformats.org/drawingml/2006/main">
                  <a:graphicData uri="http://schemas.microsoft.com/office/word/2010/wordprocessingShape">
                    <wps:wsp>
                      <wps:cNvSpPr/>
                      <wps:spPr>
                        <a:xfrm>
                          <a:off x="0" y="0"/>
                          <a:ext cx="76200" cy="83820"/>
                        </a:xfrm>
                        <a:prstGeom prst="diagStripe">
                          <a:avLst/>
                        </a:prstGeom>
                        <a:solidFill>
                          <a:srgbClr val="FFC000"/>
                        </a:solidFill>
                        <a:ln w="31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608.6pt;margin-top:233.8pt;height:6.6pt;width:6pt;z-index:251747328;v-text-anchor:middle;mso-width-relative:page;mso-height-relative:page;" fillcolor="#FFC000" filled="t" stroked="t" coordsize="76200,83820" o:gfxdata="UEsDBAoAAAAAAIdO4kAAAAAAAAAAAAAAAAAEAAAAZHJzL1BLAwQUAAAACACHTuJAL/ZzBtoAAAAN&#10;AQAADwAAAGRycy9kb3ducmV2LnhtbE2PzU7DMBCE70i8g7VI3KgdCyVpiNMDP6rEBSh9gG1s4qix&#10;HcVOf3h6tid6nNlPszP16uQGdjBT7INXkC0EMOPboHvfKdh+vz2UwGJCr3EI3ig4mwir5vamxkqH&#10;o/8yh03qGIX4WKECm9JYcR5baxzGRRiNp9tPmBwmklPH9YRHCncDl0Lk3GHv6YPF0Txb0+43s1Mg&#10;zrh/Lz5f1h+v7XpbWqvn33mp1P1dJp6AJXNK/zBc6lN1aKjTLsxeRzaQllkhiVXwmBc5sAsi5ZKs&#10;HVmlKIE3Nb9e0fwBUEsDBBQAAAAIAIdO4kDf516kaAIAAOMEAAAOAAAAZHJzL2Uyb0RvYy54bWyt&#10;VM1uEzEQviPxDpbvdJP+E3VTRYmCkCpaKSDOjte7a8l/2E425UE48SL0geA1+OzdtmkBqQcuuzOe&#10;8cx838z44nKnFdkKH6Q1JR0fjCgRhttKmqaknz4u35xTEiIzFVPWiJLeikAvp69fXXRuIg5ta1Ul&#10;PEEQEyadK2kbo5sUReCt0CwcWCcMjLX1mkWovikqzzpE16o4HI1Oi876ynnLRQg4XfRGOkT0Lwlo&#10;61pysbB8o4WJfVQvFIuAFFrpAp3mauta8Hhd10FEokoKpDF/kQTyOn2L6QWbNJ65VvKhBPaSEp5h&#10;0kwaJH0ItWCRkY2Xf4TSknsbbB0PuNVFDyQzAhTj0TNuVi1zImMB1cE9kB7+X1j+YXvjiawwCUen&#10;lBim0fKf377/uvtB0gn46VyYwG3lbvygBYgJ7K72Ov0Bg+wyp7cPnIpdJByHZ6doOiUclvOj88PM&#10;ePF41fkQ3wmrSRJKWknWrKKXGTabsO1ViEiKC/eOKV+wSlZLqVRWfLOeK0+2DC1eLucjpOuvPHFT&#10;hnQlPRqfnaAYhrmtMS8QtQP2YBpKmGqwEDz63Mgnl8N+DiT4R45U44KFtq8lRxhKUQYgEpE9dUla&#10;2+oW1Hvbz2RwfClx/4qFeMM8hhCsYU3jNT61sijeDhIlrfVf/3ae/DEbsFLSYaiB7MuGeUGJem8w&#10;NW/Hx8dpC7JyfHKGdhC/b1nvW8xGzy1IHeNBcDyLyT+qe7H2Vn/GNs9SVpiY4cjdczgo89gvG94D&#10;Lmaz7IbJdyxemZXjKXhqorGzTbS1zM1+ZGcgDbOfZ2DY07Rc+3r2enybp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L/ZzBtoAAAANAQAADwAAAAAAAAABACAAAAAiAAAAZHJzL2Rvd25yZXYueG1s&#10;UEsBAhQAFAAAAAgAh07iQN/nXqRoAgAA4wQAAA4AAAAAAAAAAQAgAAAAKQEAAGRycy9lMm9Eb2Mu&#10;eG1sUEsFBgAAAAAGAAYAWQEAAAMGAAAAAA==&#10;" path="m0,41910l38100,0,76200,0,0,83820xe">
                <v:path o:connectlocs="38100,41910;0,62865;19050,20955;57150,0" o:connectangles="0,164,164,247"/>
                <v:fill on="t" focussize="0,0"/>
                <v:stroke weight="0.25pt" color="#000000 [3213]" joinstyle="round"/>
                <v:imagedata o:title=""/>
                <o:lock v:ext="edit" aspectratio="f"/>
              </v:shape>
            </w:pict>
          </mc:Fallback>
        </mc:AlternateContent>
      </w:r>
      <w:r>
        <w:rPr>
          <w:color w:val="auto"/>
          <w:sz w:val="32"/>
          <w:highlight w:val="none"/>
        </w:rPr>
        <mc:AlternateContent>
          <mc:Choice Requires="wps">
            <w:drawing>
              <wp:anchor distT="0" distB="0" distL="114300" distR="114300" simplePos="0" relativeHeight="251743232" behindDoc="0" locked="0" layoutInCell="1" allowOverlap="1">
                <wp:simplePos x="0" y="0"/>
                <wp:positionH relativeFrom="column">
                  <wp:posOffset>7812405</wp:posOffset>
                </wp:positionH>
                <wp:positionV relativeFrom="paragraph">
                  <wp:posOffset>3009265</wp:posOffset>
                </wp:positionV>
                <wp:extent cx="81915" cy="76200"/>
                <wp:effectExtent l="19050" t="20955" r="32385" b="36195"/>
                <wp:wrapNone/>
                <wp:docPr id="129" name="矩形 448"/>
                <wp:cNvGraphicFramePr/>
                <a:graphic xmlns:a="http://schemas.openxmlformats.org/drawingml/2006/main">
                  <a:graphicData uri="http://schemas.microsoft.com/office/word/2010/wordprocessingShape">
                    <wps:wsp>
                      <wps:cNvSpPr/>
                      <wps:spPr>
                        <a:xfrm rot="12420000" flipV="1">
                          <a:off x="4829175" y="1776730"/>
                          <a:ext cx="81915" cy="76200"/>
                        </a:xfrm>
                        <a:prstGeom prst="rect">
                          <a:avLst/>
                        </a:prstGeom>
                        <a:solidFill>
                          <a:srgbClr val="FFC000"/>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rect id="矩形 448" o:spid="_x0000_s1026" o:spt="1" style="position:absolute;left:0pt;flip:y;margin-left:615.15pt;margin-top:236.95pt;height:6pt;width:6.45pt;rotation:10027008f;z-index:251743232;mso-width-relative:page;mso-height-relative:page;" fillcolor="#FFC000" filled="t" stroked="t" coordsize="21600,21600" o:gfxdata="UEsDBAoAAAAAAIdO4kAAAAAAAAAAAAAAAAAEAAAAZHJzL1BLAwQUAAAACACHTuJAIqPIx9wAAAAN&#10;AQAADwAAAGRycy9kb3ducmV2LnhtbE2PwU7DMAyG70i8Q2QkLmhL1g5oS9MdkDgMCWkdk+CYNaap&#10;aJzSZOv29mQnOP72p9+fy9XJ9uyIo+8cSVjMBTCkxumOWgm795dZBswHRVr1jlDCGT2squurUhXa&#10;TVTjcRtaFkvIF0qCCWEoOPeNQav83A1IcfflRqtCjGPL9aimWG57ngjxwK3qKF4wasBng8339mAl&#10;fOZrc86Gj+EN65/Nq7/z07rOpLy9WYgnYAFP4Q+Gi35Uhyo67d2BtGd9zEkq0shKWD6mObALkizT&#10;BNg+jrL7HHhV8v9fVL9QSwMEFAAAAAgAh07iQK7xtcI3AgAAdwQAAA4AAABkcnMvZTJvRG9jLnht&#10;bK1Uy67TMBDdI/EPlvc0TejtI2p6Fy1lg+BKF9hPHSex5Be227T8DBI7PoLPQfwGY6f3CYsu2Fhj&#10;z+TMnDMzWV4flSQH7rwwuqL5aEwJ18zUQrcV/fRx+2pOiQ+ga5BG84qeuKfXq5cvlr0teWE6I2vu&#10;CIJoX/a2ol0ItswyzzquwI+M5RqdjXEKAl5dm9UOekRXMivG42nWG1dbZxj3Hl83g5OeEd0lgKZp&#10;BOMbw/aK6zCgOi4hICXfCevpKlXbNJyFD03jeSCyosg0pBOToL2LZ7ZaQtk6sJ1g5xLgkhKecVIg&#10;NCa9h9pAALJ34i8oJZgz3jRhxIzKBiJJEWSRj59pc9uB5YkLSu3tvej+/8Gy94cbR0SNk1AsKNGg&#10;sOW/v/349fM7mUzmUZ/e+hLDbu2NO988mpHssXGKOIOi5sUEeztGVRsp7Gd8SGogP3Ks6GReLPLZ&#10;FSUndMxm09nrs/D8GAjDgHm+yNHN0D+bIlBMmw34MY91PrzlRpFoVNRhVxM8HN75MITehcRwb6So&#10;t0LKdHHtbi0dOQBOwHa7jkUOnzwJk5r0FV1cFbEMwLFucJzQVBal8bpN+Z584R8DR+7/Bo6FbcB3&#10;QwEJIeaHUonAo6BQdhzqN7om4WRRfI1bR2MxiteUSI5LGq0UGUDISyJRO6lRwti6oVnR2pn6hM3G&#10;3UcRO+O+YhqcfOT3ZQ8Ok4Jm+FxRJD6Y6zCsyt460Xaxz0m7CIbzmHp03p048I/vKfnD/2L1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CKjyMfcAAAADQEAAA8AAAAAAAAAAQAgAAAAIgAAAGRycy9k&#10;b3ducmV2LnhtbFBLAQIUABQAAAAIAIdO4kCu8bXCNwIAAHcEAAAOAAAAAAAAAAEAIAAAACsBAABk&#10;cnMvZTJvRG9jLnhtbFBLBQYAAAAABgAGAFkBAADUBQAAAAA=&#10;">
                <v:fill on="t" focussize="0,0"/>
                <v:stroke color="#000000" joinstyle="miter"/>
                <v:imagedata o:title=""/>
                <o:lock v:ext="edit" aspectratio="f"/>
              </v:rect>
            </w:pict>
          </mc:Fallback>
        </mc:AlternateContent>
      </w:r>
      <w:r>
        <w:rPr>
          <w:color w:val="auto"/>
          <w:sz w:val="32"/>
          <w:highlight w:val="none"/>
        </w:rPr>
        <mc:AlternateContent>
          <mc:Choice Requires="wps">
            <w:drawing>
              <wp:anchor distT="0" distB="0" distL="114300" distR="114300" simplePos="0" relativeHeight="251727872" behindDoc="0" locked="0" layoutInCell="1" allowOverlap="1">
                <wp:simplePos x="0" y="0"/>
                <wp:positionH relativeFrom="column">
                  <wp:posOffset>6823075</wp:posOffset>
                </wp:positionH>
                <wp:positionV relativeFrom="paragraph">
                  <wp:posOffset>2200275</wp:posOffset>
                </wp:positionV>
                <wp:extent cx="1645285" cy="497840"/>
                <wp:effectExtent l="32385" t="341630" r="36830" b="360680"/>
                <wp:wrapNone/>
                <wp:docPr id="99" name="文本框 19"/>
                <wp:cNvGraphicFramePr/>
                <a:graphic xmlns:a="http://schemas.openxmlformats.org/drawingml/2006/main">
                  <a:graphicData uri="http://schemas.microsoft.com/office/word/2010/wordprocessingShape">
                    <wps:wsp>
                      <wps:cNvSpPr txBox="1"/>
                      <wps:spPr>
                        <a:xfrm rot="1560000">
                          <a:off x="8086725" y="3074035"/>
                          <a:ext cx="1645285" cy="497840"/>
                        </a:xfrm>
                        <a:prstGeom prst="rect">
                          <a:avLst/>
                        </a:prstGeom>
                        <a:noFill/>
                        <a:ln w="9525" cap="sq" cmpd="sng">
                          <a:solidFill>
                            <a:schemeClr val="tx1"/>
                          </a:solidFill>
                          <a:prstDash val="solid"/>
                          <a:miter/>
                          <a:headEnd type="none" w="med" len="med"/>
                          <a:tailEnd type="none" w="med" len="med"/>
                        </a:ln>
                      </wps:spPr>
                      <wps:txbx>
                        <w:txbxContent>
                          <w:p w14:paraId="4FB76940">
                            <w:pPr>
                              <w:rPr>
                                <w:rFonts w:hint="default" w:eastAsia="宋体"/>
                                <w:lang w:val="en-US" w:eastAsia="zh-CN"/>
                              </w:rPr>
                            </w:pPr>
                            <w:r>
                              <w:rPr>
                                <w:rFonts w:hint="eastAsia"/>
                                <w:lang w:val="en-US" w:eastAsia="zh-CN"/>
                              </w:rPr>
                              <w:t>2#原料库房</w:t>
                            </w:r>
                          </w:p>
                        </w:txbxContent>
                      </wps:txbx>
                      <wps:bodyPr rot="0" spcFirstLastPara="0" vertOverflow="overflow" horzOverflow="overflow" vert="horz" wrap="square" lIns="0" tIns="45720" rIns="91440" bIns="45720" numCol="1" spcCol="0" rtlCol="0" fromWordArt="0" anchor="t" anchorCtr="0" forceAA="0" upright="0" compatLnSpc="1">
                        <a:noAutofit/>
                      </wps:bodyPr>
                    </wps:wsp>
                  </a:graphicData>
                </a:graphic>
              </wp:anchor>
            </w:drawing>
          </mc:Choice>
          <mc:Fallback>
            <w:pict>
              <v:shape id="文本框 19" o:spid="_x0000_s1026" o:spt="202" type="#_x0000_t202" style="position:absolute;left:0pt;margin-left:537.25pt;margin-top:173.25pt;height:39.2pt;width:129.55pt;rotation:1703936f;z-index:251727872;mso-width-relative:page;mso-height-relative:page;" filled="f" stroked="t" coordsize="21600,21600" o:gfxdata="UEsDBAoAAAAAAIdO4kAAAAAAAAAAAAAAAAAEAAAAZHJzL1BLAwQUAAAACACHTuJAPh88btwAAAAN&#10;AQAADwAAAGRycy9kb3ducmV2LnhtbE2PTUvDQBCG74L/YRnBm91tE9M2ZlNU6EEKBasUvG2z4ya4&#10;HyG7aau/3ulJb/MyD+88U63OzrIjDrELXsJ0IoChb4LuvJHw/ra+WwCLSXmtbPAo4RsjrOrrq0qV&#10;Opz8Kx53yTAq8bFUEtqU+pLz2LToVJyEHj3tPsPgVKI4GK4HdaJyZ/lMiII71Xm60Koen1tsvnaj&#10;k/C4wfX+Z/NiTCb4aOdP+BGXWylvb6biAVjCc/qD4aJP6lCT0yGMXkdmKYt5fk+shCwvaLggWZYV&#10;wA4S8lm+BF5X/P8X9S9QSwMEFAAAAAgAh07iQNGhCyulAgAAPgUAAA4AAABkcnMvZTJvRG9jLnht&#10;bK1US24UMRDdI3EHy3syPZP5Kz3RkCEIKSKRAmLtcbunLfmH7flxALgBKzbsOVfOwbN7JgmBRRb0&#10;olW2n19Vvary2flOK7IRPkhrSto9KSgRhttKmlVJP364fDWmJERmKqasESXdi0DPZy9fnG3dVPRs&#10;Y1UlPAGJCdOtK2kTo5t2OoE3QrNwYp0wOKyt1yxi6VedyrMt2LXq9Ipi2NlaXzlvuQgBu4v2kB4Y&#10;/XMIbV1LLhaWr7UwsWX1QrGIlEIjXaCzHG1dCx6v6zqISFRJkWnMfziBvUz/zuyMTVeeuUbyQwjs&#10;OSE8yUkzaeD0nmrBIiNrL/+i0pJ7G2wdT7jVnTaRrAiy6BZPtLltmBM5F0gd3L3o4f/R8vebG09k&#10;VdLJhBLDNCp+9/3b3Y9fdz+/ku4kCbR1YQrcrQMy7l7bHdrmuB+wmfLe1V4Tb6FvdzAs8GU1kB8B&#10;elyMh6PegJJ9SU+LUb84HbTCi10kPNEN+4PeGAAORH8yGvdzZTotb+J3PsS3wmqSjJJ6FDZ7YJur&#10;EBEjoEdIght7KZXKxVWGbJHdIPnnDA0bPsPQDikHs8okwSpZpQvpavCr5YXyZMNSy+QvBQsHf8CS&#10;twULTYvLR21OWkbhs+dGsOqNqUjcO6hqME00haJFRYkSGL5kZWRkUj0HiSCUQSypIq3yyYq75Q40&#10;yVzaao8q5UKgxYPjlxKBXrEQb5hHZ2MTsx+v8auVRTT2YFHSWP/lX/sJj4bDKcLHpCQF18wjGfXO&#10;oBXTWGWjPxj1sPB5Men2UUSyfHxi1vrCQtVujiybCR/V0ay91Z/wPMyTRxwxw+G3pPFoXsR2dvG8&#10;cDGfZ9Daeblq2gsYKsfilbl1PLlpW2G+jraWuUseNDqoiLHKtT08AWluH68z6uHZm/0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Ph88btwAAAANAQAADwAAAAAAAAABACAAAAAiAAAAZHJzL2Rvd25y&#10;ZXYueG1sUEsBAhQAFAAAAAgAh07iQNGhCyulAgAAPgUAAA4AAAAAAAAAAQAgAAAAKwEAAGRycy9l&#10;Mm9Eb2MueG1sUEsFBgAAAAAGAAYAWQEAAEIGAAAAAA==&#10;">
                <v:fill on="f" focussize="0,0"/>
                <v:stroke color="#000000 [3213]" joinstyle="miter" endcap="square"/>
                <v:imagedata o:title=""/>
                <o:lock v:ext="edit" aspectratio="f"/>
                <v:textbox inset="0mm,1.27mm,2.54mm,1.27mm">
                  <w:txbxContent>
                    <w:p w14:paraId="4FB76940">
                      <w:pPr>
                        <w:rPr>
                          <w:rFonts w:hint="default" w:eastAsia="宋体"/>
                          <w:lang w:val="en-US" w:eastAsia="zh-CN"/>
                        </w:rPr>
                      </w:pPr>
                      <w:r>
                        <w:rPr>
                          <w:rFonts w:hint="eastAsia"/>
                          <w:lang w:val="en-US" w:eastAsia="zh-CN"/>
                        </w:rPr>
                        <w:t>2#原料库房</w:t>
                      </w:r>
                    </w:p>
                  </w:txbxContent>
                </v:textbox>
              </v:shape>
            </w:pict>
          </mc:Fallback>
        </mc:AlternateContent>
      </w:r>
      <w:r>
        <w:rPr>
          <w:color w:val="auto"/>
          <w:sz w:val="32"/>
          <w:highlight w:val="none"/>
        </w:rPr>
        <mc:AlternateContent>
          <mc:Choice Requires="wps">
            <w:drawing>
              <wp:anchor distT="0" distB="0" distL="114300" distR="114300" simplePos="0" relativeHeight="251729920" behindDoc="0" locked="0" layoutInCell="1" allowOverlap="1">
                <wp:simplePos x="0" y="0"/>
                <wp:positionH relativeFrom="column">
                  <wp:posOffset>6616065</wp:posOffset>
                </wp:positionH>
                <wp:positionV relativeFrom="paragraph">
                  <wp:posOffset>2657475</wp:posOffset>
                </wp:positionV>
                <wp:extent cx="1645920" cy="420370"/>
                <wp:effectExtent l="15240" t="346075" r="15240" b="357505"/>
                <wp:wrapNone/>
                <wp:docPr id="101" name="文本框 77"/>
                <wp:cNvGraphicFramePr/>
                <a:graphic xmlns:a="http://schemas.openxmlformats.org/drawingml/2006/main">
                  <a:graphicData uri="http://schemas.microsoft.com/office/word/2010/wordprocessingShape">
                    <wps:wsp>
                      <wps:cNvSpPr txBox="1"/>
                      <wps:spPr>
                        <a:xfrm rot="1560000">
                          <a:off x="7388860" y="2773680"/>
                          <a:ext cx="1645920" cy="420370"/>
                        </a:xfrm>
                        <a:prstGeom prst="rect">
                          <a:avLst/>
                        </a:prstGeom>
                        <a:noFill/>
                        <a:ln w="9525" cap="sq" cmpd="sng">
                          <a:solidFill>
                            <a:schemeClr val="tx1"/>
                          </a:solidFill>
                          <a:prstDash val="sysDot"/>
                          <a:miter/>
                          <a:headEnd type="none" w="med" len="med"/>
                          <a:tailEnd type="none" w="med" len="med"/>
                        </a:ln>
                      </wps:spPr>
                      <wps:txbx>
                        <w:txbxContent>
                          <w:p w14:paraId="19252070">
                            <w:pPr>
                              <w:rPr>
                                <w:rFonts w:hint="default" w:eastAsia="宋体"/>
                                <w:lang w:val="en-US" w:eastAsia="zh-CN"/>
                              </w:rPr>
                            </w:pPr>
                            <w:r>
                              <w:rPr>
                                <w:rFonts w:hint="eastAsia"/>
                                <w:lang w:val="en-US" w:eastAsia="zh-CN"/>
                              </w:rPr>
                              <w:t>5#生产线</w:t>
                            </w:r>
                          </w:p>
                        </w:txbxContent>
                      </wps:txbx>
                      <wps:bodyPr rot="0" spcFirstLastPara="0" vertOverflow="overflow" horzOverflow="overflow" vert="horz" wrap="square" lIns="0" tIns="45720" rIns="91440" bIns="45720" numCol="1" spcCol="0" rtlCol="0" fromWordArt="0" anchor="t" anchorCtr="0" forceAA="0" upright="0" compatLnSpc="1">
                        <a:noAutofit/>
                      </wps:bodyPr>
                    </wps:wsp>
                  </a:graphicData>
                </a:graphic>
              </wp:anchor>
            </w:drawing>
          </mc:Choice>
          <mc:Fallback>
            <w:pict>
              <v:shape id="文本框 77" o:spid="_x0000_s1026" o:spt="202" type="#_x0000_t202" style="position:absolute;left:0pt;margin-left:520.95pt;margin-top:209.25pt;height:33.1pt;width:129.6pt;rotation:1703936f;z-index:251729920;mso-width-relative:page;mso-height-relative:page;" filled="f" stroked="t" coordsize="21600,21600" o:gfxdata="UEsDBAoAAAAAAIdO4kAAAAAAAAAAAAAAAAAEAAAAZHJzL1BLAwQUAAAACACHTuJASrn/J9cAAAAN&#10;AQAADwAAAGRycy9kb3ducmV2LnhtbE2PwU7DMAyG70i8Q2QkbixJKaOUpjsgJu3Kut6zxrQVjVM1&#10;abfx9MtOcPztT78/F5uzHdiCk+8dKZArAQypcaanVsGh2j5lwHzQZPTgCBVc0MOmvL8rdG7cib5w&#10;2YeWxRLyuVbQhTDmnPumQ6v9yo1IcfftJqtDjFPLzaRPsdwOPBFiza3uKV7o9IgfHTY/+9kqIPpN&#10;6sPuc15q9G1zqbZJldVKPT5I8Q4s4Dn8wXDTj+pQRqejm8l4NsQsUvkWWQWpzF6A3ZBnISWwYxxl&#10;6SvwsuD/vyivUEsDBBQAAAAIAIdO4kBsSEJRqAIAAEAFAAAOAAAAZHJzL2Uyb0RvYy54bWytVMtu&#10;EzEU3SPxD5b3dJI0r0aZVKGhCKmilQpi7Xg8GUt+YTsvPgD+gBUb9nxXv4NjT9KWwqILZjG6to/P&#10;vffcez0932lFNsIHaU1JuycdSoThtpJmVdKPHy5fjSkJkZmKKWtESfci0PPZyxfTrZuInm2sqoQn&#10;IDFhsnUlbWJ0k6IIvBGahRPrhMFhbb1mEUu/KirPtmDXquh1OsNia33lvOUiBOwu2kN6YPTPIbR1&#10;LblYWL7WwsSW1QvFIlIKjXSBznK0dS14vK7rICJRJUWmMf/hBPYy/YvZlE1WnrlG8kMI7DkhPMlJ&#10;M2ng9J5qwSIjay//otKSextsHU+41UWbSFYEWXQ7T7S5bZgTORdIHdy96OH/0fL3mxtPZIVO6HQp&#10;MUyj5Hffv939+HX38ysZjZJCWxcmAN46QOPutd0BfdwP2EyJ72qvibcQuDsYdvBlOZAgAXp0Oh6P&#10;h9B8X9LeaHQ6HB+UF7tIeKIb9gdnPQA4EP1e53SUAUXLm/idD/GtsJoko6Qelc0e2OYqRMQI6BGS&#10;4MZeSqVydZUh25KeDXoD0DN0bPgMQzvkHMwqkwSrZJUupKvBr5YXypMNSz2Tv5QsHPwBS94WLDQt&#10;LuzDwsa2nbSMwmfXjWDVG1ORuHeQ1WCeaIpFi4oSJTB+ycrIyKR6DhJRKINgUkla6ZMVd8sdaJK5&#10;tNUeZcqVgJ7B8UuJSK9YiDfMo7exiemP1/jVyiIae7Aoaaz/8q/9hEfL4RThY1aShGvmkYx6Z9CM&#10;oIzZ6A9GqYg+L866/T4Wy8cnZq0vLGRFqyGybCZ8VEez9lZ/wgMxTx5xxAyH35LGo3kR2+nFA8PF&#10;fJ5Ba+flqmkvYKwci1fm1vHkpu2F+TraWuY2edDooCIGKxf38AikyX28zqiHh2/2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Eq5/yfXAAAADQEAAA8AAAAAAAAAAQAgAAAAIgAAAGRycy9kb3ducmV2&#10;LnhtbFBLAQIUABQAAAAIAIdO4kBsSEJRqAIAAEAFAAAOAAAAAAAAAAEAIAAAACYBAABkcnMvZTJv&#10;RG9jLnhtbFBLBQYAAAAABgAGAFkBAABABgAAAAA=&#10;">
                <v:fill on="f" focussize="0,0"/>
                <v:stroke color="#000000 [3213]" joinstyle="miter" dashstyle="1 1" endcap="square"/>
                <v:imagedata o:title=""/>
                <o:lock v:ext="edit" aspectratio="f"/>
                <v:textbox inset="0mm,1.27mm,2.54mm,1.27mm">
                  <w:txbxContent>
                    <w:p w14:paraId="19252070">
                      <w:pPr>
                        <w:rPr>
                          <w:rFonts w:hint="default" w:eastAsia="宋体"/>
                          <w:lang w:val="en-US" w:eastAsia="zh-CN"/>
                        </w:rPr>
                      </w:pPr>
                      <w:r>
                        <w:rPr>
                          <w:rFonts w:hint="eastAsia"/>
                          <w:lang w:val="en-US" w:eastAsia="zh-CN"/>
                        </w:rPr>
                        <w:t>5#生产线</w:t>
                      </w:r>
                    </w:p>
                  </w:txbxContent>
                </v:textbox>
              </v:shape>
            </w:pict>
          </mc:Fallback>
        </mc:AlternateContent>
      </w:r>
      <w:r>
        <w:rPr>
          <w:color w:val="auto"/>
          <w:sz w:val="32"/>
          <w:highlight w:val="none"/>
        </w:rPr>
        <mc:AlternateContent>
          <mc:Choice Requires="wps">
            <w:drawing>
              <wp:anchor distT="0" distB="0" distL="114300" distR="114300" simplePos="0" relativeHeight="251731968" behindDoc="0" locked="0" layoutInCell="1" allowOverlap="1">
                <wp:simplePos x="0" y="0"/>
                <wp:positionH relativeFrom="column">
                  <wp:posOffset>6439535</wp:posOffset>
                </wp:positionH>
                <wp:positionV relativeFrom="paragraph">
                  <wp:posOffset>3035935</wp:posOffset>
                </wp:positionV>
                <wp:extent cx="1633855" cy="389890"/>
                <wp:effectExtent l="5715" t="356235" r="17780" b="358775"/>
                <wp:wrapNone/>
                <wp:docPr id="103" name="文本框 83"/>
                <wp:cNvGraphicFramePr/>
                <a:graphic xmlns:a="http://schemas.openxmlformats.org/drawingml/2006/main">
                  <a:graphicData uri="http://schemas.microsoft.com/office/word/2010/wordprocessingShape">
                    <wps:wsp>
                      <wps:cNvSpPr txBox="1"/>
                      <wps:spPr>
                        <a:xfrm rot="1620000">
                          <a:off x="7480935" y="3413760"/>
                          <a:ext cx="1633855" cy="389890"/>
                        </a:xfrm>
                        <a:prstGeom prst="rect">
                          <a:avLst/>
                        </a:prstGeom>
                        <a:noFill/>
                        <a:ln w="9525" cap="sq" cmpd="sng">
                          <a:solidFill>
                            <a:schemeClr val="tx1"/>
                          </a:solidFill>
                          <a:prstDash val="sysDot"/>
                          <a:miter/>
                          <a:headEnd type="none" w="med" len="med"/>
                          <a:tailEnd type="none" w="med" len="med"/>
                        </a:ln>
                      </wps:spPr>
                      <wps:txbx>
                        <w:txbxContent>
                          <w:p w14:paraId="29E0A08C">
                            <w:pPr>
                              <w:rPr>
                                <w:rFonts w:hint="default" w:eastAsia="宋体"/>
                                <w:lang w:val="en-US" w:eastAsia="zh-CN"/>
                              </w:rPr>
                            </w:pPr>
                            <w:r>
                              <w:rPr>
                                <w:rFonts w:hint="eastAsia"/>
                                <w:lang w:val="en-US" w:eastAsia="zh-CN"/>
                              </w:rPr>
                              <w:t>4#生产线</w:t>
                            </w:r>
                          </w:p>
                        </w:txbxContent>
                      </wps:txbx>
                      <wps:bodyPr rot="0" spcFirstLastPara="0" vertOverflow="overflow" horzOverflow="overflow" vert="horz" wrap="square" lIns="0" tIns="45720" rIns="0" bIns="45720" numCol="1" spcCol="0" rtlCol="0" fromWordArt="0" anchor="t" anchorCtr="0" forceAA="0" upright="0" compatLnSpc="1">
                        <a:noAutofit/>
                      </wps:bodyPr>
                    </wps:wsp>
                  </a:graphicData>
                </a:graphic>
              </wp:anchor>
            </w:drawing>
          </mc:Choice>
          <mc:Fallback>
            <w:pict>
              <v:shape id="文本框 83" o:spid="_x0000_s1026" o:spt="202" type="#_x0000_t202" style="position:absolute;left:0pt;margin-left:507.05pt;margin-top:239.05pt;height:30.7pt;width:128.65pt;rotation:1769472f;z-index:251731968;mso-width-relative:page;mso-height-relative:page;" filled="f" stroked="t" coordsize="21600,21600" o:gfxdata="UEsDBAoAAAAAAIdO4kAAAAAAAAAAAAAAAAAEAAAAZHJzL1BLAwQUAAAACACHTuJAA6xncNwAAAAN&#10;AQAADwAAAGRycy9kb3ducmV2LnhtbE2PQU7DMBBF90jcwRokNhW13aakhDhdICFUqRJq4ABuPE0i&#10;7HEUu2nh9Lgr2M3XPP15U24uzrIJx9B7UiDnAhhS401PrYLPj9eHNbAQNRltPaGCbwywqW5vSl0Y&#10;f6Y9TnVsWSqhUGgFXYxDwXloOnQ6zP2AlHZHPzodUxxbbkZ9TuXO8oUQj9zpntKFTg/40mHzVZ+c&#10;gu3Pss72u3422Blt8ym+745vk1L3d1I8A4t4iX8wXPWTOlTJ6eBPZAKzKQuZycQqyPJ1Gq7IIpcZ&#10;sIOC1fJpBbwq+f8vql9QSwMEFAAAAAgAh07iQOvJw6akAgAAPAUAAA4AAABkcnMvZTJvRG9jLnht&#10;bK1UzW4TMRC+I/EOlu90N0nTJlE3VWgoQqpopYI4O15v1pL/sJ0/HgDegBMX7jxXn4PP3qQthUMP&#10;7GE1O/72m5lvZnx2vtWKrIUP0pqK9o5KSoThtpZmWdGPHy5fjSgJkZmaKWtERXci0PPpyxdnGzcR&#10;fdtaVQtPQGLCZOMq2sboJkUReCs0C0fWCYPDxnrNIj79sqg924Bdq6JflifFxvraectFCPDOu0O6&#10;Z/TPIbRNI7mYW77SwsSO1QvFIkoKrXSBTnO2TSN4vG6aICJRFUWlMb8RBPYivYvpGZssPXOt5PsU&#10;2HNSeFKTZtIg6D3VnEVGVl7+RaUl9zbYJh5xq4uukKwIquiVT7S5bZkTuRZIHdy96OH/0fL36xtP&#10;ZI1JKAeUGKbR8rvv3+5+/Lr7+ZWMBkmhjQsTAG8doHH72m6BPvgDnKnwbeM18RYC907Q5rLMcqBA&#10;AvTp8agcD4aU7Co6OO4NTk/2yottJDzRnQwGoyEAPCFG49E4A4qON/E7H+JbYTVJRkU9OpsjsPVV&#10;iMgR0AMkwY29lErl7ipDNhUdD/uJnmFiw2cY2qHmYJaZJFgl6/RD+jX45eJCebJmaWbyk4pFgD9g&#10;KdqchbbDhV2Y29iNk5ZR+By6Fax+Y2oSdw6yGuwTTbloUVOiBNYvWRkZmVTPQSILZZBMakknfbLi&#10;drEFTTIXtt6hTbkTGPLg+KVEplcsxBvmMdtwYvvjNV6NssjG7i1KWuu//Muf8Bg5nCJ97EqScMU8&#10;ilHvDIYxLVY2joenfXz4g3fx2GtW+sJC0l7OKpsJG9XBbLzVn3A5zFI0HDHDEbOi8WBexG5zcblw&#10;MZtl0Mp5uWy7H7BSjsUrc+t4CtPNwWwVbSPziDzos1cQS5Ubu78A0tY+/s6oh0tv+h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DrGdw3AAAAA0BAAAPAAAAAAAAAAEAIAAAACIAAABkcnMvZG93bnJl&#10;di54bWxQSwECFAAUAAAACACHTuJA68nDpqQCAAA8BQAADgAAAAAAAAABACAAAAArAQAAZHJzL2Uy&#10;b0RvYy54bWxQSwUGAAAAAAYABgBZAQAAQQYAAAAA&#10;">
                <v:fill on="f" focussize="0,0"/>
                <v:stroke color="#000000 [3213]" joinstyle="miter" dashstyle="1 1" endcap="square"/>
                <v:imagedata o:title=""/>
                <o:lock v:ext="edit" aspectratio="f"/>
                <v:textbox inset="0mm,1.27mm,0mm,1.27mm">
                  <w:txbxContent>
                    <w:p w14:paraId="29E0A08C">
                      <w:pPr>
                        <w:rPr>
                          <w:rFonts w:hint="default" w:eastAsia="宋体"/>
                          <w:lang w:val="en-US" w:eastAsia="zh-CN"/>
                        </w:rPr>
                      </w:pPr>
                      <w:r>
                        <w:rPr>
                          <w:rFonts w:hint="eastAsia"/>
                          <w:lang w:val="en-US" w:eastAsia="zh-CN"/>
                        </w:rPr>
                        <w:t>4#生产线</w:t>
                      </w:r>
                    </w:p>
                  </w:txbxContent>
                </v:textbox>
              </v:shape>
            </w:pict>
          </mc:Fallback>
        </mc:AlternateContent>
      </w:r>
      <w:r>
        <w:rPr>
          <w:color w:val="auto"/>
          <w:sz w:val="32"/>
          <w:highlight w:val="none"/>
        </w:rPr>
        <mc:AlternateContent>
          <mc:Choice Requires="wps">
            <w:drawing>
              <wp:anchor distT="0" distB="0" distL="114300" distR="114300" simplePos="0" relativeHeight="251730944" behindDoc="0" locked="0" layoutInCell="1" allowOverlap="1">
                <wp:simplePos x="0" y="0"/>
                <wp:positionH relativeFrom="column">
                  <wp:posOffset>6252845</wp:posOffset>
                </wp:positionH>
                <wp:positionV relativeFrom="paragraph">
                  <wp:posOffset>3391535</wp:posOffset>
                </wp:positionV>
                <wp:extent cx="1634490" cy="418465"/>
                <wp:effectExtent l="15240" t="343535" r="26670" b="361950"/>
                <wp:wrapNone/>
                <wp:docPr id="102" name="文本框 79"/>
                <wp:cNvGraphicFramePr/>
                <a:graphic xmlns:a="http://schemas.openxmlformats.org/drawingml/2006/main">
                  <a:graphicData uri="http://schemas.microsoft.com/office/word/2010/wordprocessingShape">
                    <wps:wsp>
                      <wps:cNvSpPr txBox="1"/>
                      <wps:spPr>
                        <a:xfrm rot="1560000">
                          <a:off x="7015480" y="3183255"/>
                          <a:ext cx="1634490" cy="418465"/>
                        </a:xfrm>
                        <a:prstGeom prst="rect">
                          <a:avLst/>
                        </a:prstGeom>
                        <a:noFill/>
                        <a:ln w="9525" cap="sq" cmpd="sng">
                          <a:solidFill>
                            <a:schemeClr val="tx1"/>
                          </a:solidFill>
                          <a:prstDash val="sysDot"/>
                          <a:miter/>
                          <a:headEnd type="none" w="med" len="med"/>
                          <a:tailEnd type="none" w="med" len="med"/>
                        </a:ln>
                      </wps:spPr>
                      <wps:txbx>
                        <w:txbxContent>
                          <w:p w14:paraId="11A39A63">
                            <w:pPr>
                              <w:rPr>
                                <w:rFonts w:hint="default" w:eastAsia="宋体"/>
                                <w:lang w:val="en-US" w:eastAsia="zh-CN"/>
                              </w:rPr>
                            </w:pPr>
                            <w:r>
                              <w:rPr>
                                <w:rFonts w:hint="eastAsia"/>
                                <w:lang w:val="en-US" w:eastAsia="zh-CN"/>
                              </w:rPr>
                              <w:t>3#生产线</w:t>
                            </w:r>
                          </w:p>
                        </w:txbxContent>
                      </wps:txbx>
                      <wps:bodyPr rot="0" spcFirstLastPara="0" vertOverflow="overflow" horzOverflow="overflow" vert="horz" wrap="square" lIns="0" tIns="45720" rIns="0" bIns="45720" numCol="1" spcCol="0" rtlCol="0" fromWordArt="0" anchor="t" anchorCtr="0" forceAA="0" upright="0" compatLnSpc="1">
                        <a:noAutofit/>
                      </wps:bodyPr>
                    </wps:wsp>
                  </a:graphicData>
                </a:graphic>
              </wp:anchor>
            </w:drawing>
          </mc:Choice>
          <mc:Fallback>
            <w:pict>
              <v:shape id="文本框 79" o:spid="_x0000_s1026" o:spt="202" type="#_x0000_t202" style="position:absolute;left:0pt;margin-left:492.35pt;margin-top:267.05pt;height:32.95pt;width:128.7pt;rotation:1703936f;z-index:251730944;mso-width-relative:page;mso-height-relative:page;" filled="f" stroked="t" coordsize="21600,21600" o:gfxdata="UEsDBAoAAAAAAIdO4kAAAAAAAAAAAAAAAAAEAAAAZHJzL1BLAwQUAAAACACHTuJApr2qFdkAAAAM&#10;AQAADwAAAGRycy9kb3ducmV2LnhtbE2Py07DMBBF90j8gzVI7KidEEISMqkEEmuUtkJdurETR/Uj&#10;it00/D3uCnYzmqM759bb1WiyyNmPziIkGwZE2s6J0Q4Ih/3nUwHEB24F185KhB/pYdvc39W8Eu5q&#10;W7nswkBiiPUVR1AhTBWlvlPScL9xk7Tx1rvZ8BDXeaBi5tcYbjRNGcup4aONHxSf5IeS3Xl3MQhL&#10;vx7asj/79/Ir/2ZH3R5FoRAfHxL2BiTINfzBcNOP6tBEp5O7WOGJRiiL7DWiCC/PWQLkRqRZGqcT&#10;Qs4YA9rU9H+J5hdQSwMEFAAAAAgAh07iQJyNPl+lAgAAPAUAAA4AAABkcnMvZTJvRG9jLnhtbK1U&#10;zW4TMRC+I/EOlu90kzRJ06ibKjQUIVW0UkGcHa83a8l/2E6y4QHgDThx4c5z9Tn47E3aUjj0wB5W&#10;s+Nvv5n5ZsZn561WZCN8kNaUtH/Uo0QYbitpViX9+OHy1YSSEJmpmLJGlHQnAj2fvXxxtnVTMbCN&#10;VZXwBCQmTLeupE2MbloUgTdCs3BknTA4rK3XLOLTr4rKsy3YtSoGvd642FpfOW+5CAHeRXdI94z+&#10;OYS2riUXC8vXWpjYsXqhWERJoZEu0FnOtq4Fj9d1HUQkqqSoNOY3gsBepncxO2PTlWeukXyfAntO&#10;Ck9q0kwaBL2nWrDIyNrLv6i05N4GW8cjbnXRFZIVQRX93hNtbhvmRK4FUgd3L3r4f7T8/ebGE1lh&#10;EnoDSgzTaPnd9293P37d/fxKTk6TQlsXpgDeOkBj+9q2QB/8Ac5UeFt7TbyFwP3RuIcny4ECCdAn&#10;vf5oOIHmu5Ie9yfHg9GoU160kfBENz4eDk8B4EAM+5PhOAOKjjfxOx/iW2E1SUZJPTqbI7DNVYjI&#10;EdADJMGNvZRK5e4qQ7YlPR0NRqBnmNjwGYZ2qDmYVSYJVskq/ZB+DX61vFCebFiamfykZBHgD1iK&#10;tmCh6XBhFxY2dkVpGYXPoRvBqjemInHnIKvBPtGUixYVJUpg/ZKVkZFJ9RwkslAGyaSWdNInK7bL&#10;FjTJXNpqhzblTkDP4PilRKZXLMQb5jHbcGL74zVetbLIxu4tShrrv/zLn/AYOZwifexKknDNPIpR&#10;7wyGEZQxG8PRyQAf/uBdPvaatb6wkLSfs8pmwkZ1MGtv9SdcDvMUDUfMcMQsaTyYF7HbXFwuXMzn&#10;GbR2Xq6a7geslGPxytw6nsJ0czBfR1vLPCIP+uwVxFLlxu4vgLS1j78z6uHSm/0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pr2qFdkAAAAMAQAADwAAAAAAAAABACAAAAAiAAAAZHJzL2Rvd25yZXYu&#10;eG1sUEsBAhQAFAAAAAgAh07iQJyNPl+lAgAAPAUAAA4AAAAAAAAAAQAgAAAAKAEAAGRycy9lMm9E&#10;b2MueG1sUEsFBgAAAAAGAAYAWQEAAD8GAAAAAA==&#10;">
                <v:fill on="f" focussize="0,0"/>
                <v:stroke color="#000000 [3213]" joinstyle="miter" dashstyle="1 1" endcap="square"/>
                <v:imagedata o:title=""/>
                <o:lock v:ext="edit" aspectratio="f"/>
                <v:textbox inset="0mm,1.27mm,0mm,1.27mm">
                  <w:txbxContent>
                    <w:p w14:paraId="11A39A63">
                      <w:pPr>
                        <w:rPr>
                          <w:rFonts w:hint="default" w:eastAsia="宋体"/>
                          <w:lang w:val="en-US" w:eastAsia="zh-CN"/>
                        </w:rPr>
                      </w:pPr>
                      <w:r>
                        <w:rPr>
                          <w:rFonts w:hint="eastAsia"/>
                          <w:lang w:val="en-US" w:eastAsia="zh-CN"/>
                        </w:rPr>
                        <w:t>3#生产线</w:t>
                      </w:r>
                    </w:p>
                  </w:txbxContent>
                </v:textbox>
              </v:shape>
            </w:pict>
          </mc:Fallback>
        </mc:AlternateContent>
      </w:r>
      <w:r>
        <w:rPr>
          <w:color w:val="auto"/>
          <w:sz w:val="32"/>
          <w:highlight w:val="none"/>
        </w:rPr>
        <mc:AlternateContent>
          <mc:Choice Requires="wps">
            <w:drawing>
              <wp:anchor distT="0" distB="0" distL="114300" distR="114300" simplePos="0" relativeHeight="251728896" behindDoc="0" locked="0" layoutInCell="1" allowOverlap="1">
                <wp:simplePos x="0" y="0"/>
                <wp:positionH relativeFrom="column">
                  <wp:posOffset>5127625</wp:posOffset>
                </wp:positionH>
                <wp:positionV relativeFrom="paragraph">
                  <wp:posOffset>1428115</wp:posOffset>
                </wp:positionV>
                <wp:extent cx="1589405" cy="1732915"/>
                <wp:effectExtent l="306070" t="267335" r="314325" b="266700"/>
                <wp:wrapNone/>
                <wp:docPr id="100" name="文本框 20"/>
                <wp:cNvGraphicFramePr/>
                <a:graphic xmlns:a="http://schemas.openxmlformats.org/drawingml/2006/main">
                  <a:graphicData uri="http://schemas.microsoft.com/office/word/2010/wordprocessingShape">
                    <wps:wsp>
                      <wps:cNvSpPr txBox="1"/>
                      <wps:spPr>
                        <a:xfrm rot="1560000">
                          <a:off x="5667375" y="2148205"/>
                          <a:ext cx="1589405" cy="1732915"/>
                        </a:xfrm>
                        <a:prstGeom prst="rect">
                          <a:avLst/>
                        </a:prstGeom>
                        <a:noFill/>
                        <a:ln w="9525" cap="sq" cmpd="sng">
                          <a:solidFill>
                            <a:schemeClr val="tx1"/>
                          </a:solidFill>
                          <a:prstDash val="solid"/>
                          <a:miter/>
                          <a:headEnd type="none" w="med" len="med"/>
                          <a:tailEnd type="none" w="med" len="med"/>
                        </a:ln>
                      </wps:spPr>
                      <wps:txbx>
                        <w:txbxContent>
                          <w:p w14:paraId="04F0F135">
                            <w:pPr>
                              <w:rPr>
                                <w:rFonts w:hint="eastAsia" w:eastAsia="宋体"/>
                                <w:lang w:eastAsia="zh-CN"/>
                              </w:rPr>
                            </w:pPr>
                            <w:r>
                              <w:rPr>
                                <w:rFonts w:hint="eastAsia"/>
                                <w:lang w:eastAsia="zh-CN"/>
                              </w:rPr>
                              <w:t>产品库房</w:t>
                            </w:r>
                          </w:p>
                        </w:txbxContent>
                      </wps:txbx>
                      <wps:bodyPr rot="0" spcFirstLastPara="0" vertOverflow="overflow" horzOverflow="overflow" vert="horz" wrap="square" lIns="91440" tIns="45720" rIns="91440" bIns="45720" numCol="1" spcCol="0" rtlCol="0" fromWordArt="0" anchor="ctr" anchorCtr="0" forceAA="0" upright="0" compatLnSpc="1">
                        <a:noAutofit/>
                      </wps:bodyPr>
                    </wps:wsp>
                  </a:graphicData>
                </a:graphic>
              </wp:anchor>
            </w:drawing>
          </mc:Choice>
          <mc:Fallback>
            <w:pict>
              <v:shape id="文本框 20" o:spid="_x0000_s1026" o:spt="202" type="#_x0000_t202" style="position:absolute;left:0pt;margin-left:403.75pt;margin-top:112.45pt;height:136.45pt;width:125.15pt;rotation:1703936f;z-index:251728896;v-text-anchor:middle;mso-width-relative:page;mso-height-relative:page;" filled="f" stroked="t" coordsize="21600,21600" o:gfxdata="UEsDBAoAAAAAAIdO4kAAAAAAAAAAAAAAAAAEAAAAZHJzL1BLAwQUAAAACACHTuJAgeiyZdgAAAAM&#10;AQAADwAAAGRycy9kb3ducmV2LnhtbE2PPW/CMBCG90r9D9ZV6lZsLCg4jcNAxVqpwMBo4iOJ8EcU&#10;Gwj99T2mdrvTPXrvecvV6B274pC6GDRMJwIYhjraLjQa9rvN2xJYyiZY42JADXdMsKqen0pT2HgL&#10;33jd5oZRSEiF0dDm3Becp7pFb9Ik9hjodoqDN5nWoeF2MDcK945LId65N12gD63pcd1ifd5evAa1&#10;HhXe1anZyM+DdF+Hn7Psd1q/vkzFB7CMY/6D4aFP6lCR0zFegk3MaViKxZxQDVLOFLAHIeYLanPU&#10;MFM08Krk/0tUv1BLAwQUAAAACACHTuJA6XORNKYCAABGBQAADgAAAGRycy9lMm9Eb2MueG1srVRL&#10;bhQxEN0jcQfLe9LTk/lkRumJhgxBSBGJFBBrj9s9bck/bM+PA8ANWLFhz7lyDp7dkw+BRRb0olV2&#10;Pb+qeq7y6dlOK7IRPkhrKloe9SgRhttamlVFP364eHVCSYjM1ExZIyq6F4GezV6+ON26qejb1qpa&#10;eAISE6ZbV9E2RjctisBboVk4sk4YOBvrNYtY+lVRe7YFu1ZFv9cbFVvra+ctFyFgd9E56YHRP4fQ&#10;No3kYmH5WgsTO1YvFIsoKbTSBTrL2TaN4PGqaYKIRFUUlcb8RxDYy/QvZqdsuvLMtZIfUmDPSeFJ&#10;TZpJg6D3VAsWGVl7+ReVltzbYJt4xK0uukKyIqii7D3R5qZlTuRaIHVw96KH/0fL32+uPZE1OqEH&#10;TQzTuPLb799uf/y6/fmV9LNCWxemAN44QOPutd0BnZRL+wGbqfBd4zXxFgKXw1EPX5YDBRKgh6PR&#10;+Hg8pGRf0X45OOn3hp3yYhcJT3TDk8kAm4QDUY6P+5MyI4qOOAVwPsS3wmqSjIp6XG0OwTaXISIZ&#10;QO8gCW7shVQqX68yZFvRybCf+BlaNnyGoR2KDmaVSYJVsk4H0tHgV8tz5cmGpabJX8oWAf6ApWgL&#10;FtoOl11dUVpG4XPkVrD6jalJ3DvIajBPNKWiRU2JEhi/ZGVkZFI9B4kklEEuD9InK+6WO9Akc2nr&#10;Pa4p3wQuNDh+IZHoJQvxmnn0NjYx/fEKv0ZZZGMPFiWt9V/+tZ/waDl4kT5mJSm4Zh7FqHcGzTgp&#10;BwPQxrwYDMfoGuIfe5aPPWatzy2ULXN22Uz4qO7Mxlv9CY/EPEWFixmO2BXl0d8tzmM3w3hmuJjP&#10;M2ztvFy13REMl2Px0tw4ngJ1DTFfR9vI3CsPSh20xHjlGz48BWl+H68z6uH5m/0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geiyZdgAAAAMAQAADwAAAAAAAAABACAAAAAiAAAAZHJzL2Rvd25yZXYu&#10;eG1sUEsBAhQAFAAAAAgAh07iQOlzkTSmAgAARgUAAA4AAAAAAAAAAQAgAAAAJwEAAGRycy9lMm9E&#10;b2MueG1sUEsFBgAAAAAGAAYAWQEAAD8GAAAAAA==&#10;">
                <v:fill on="f" focussize="0,0"/>
                <v:stroke color="#000000 [3213]" joinstyle="miter" endcap="square"/>
                <v:imagedata o:title=""/>
                <o:lock v:ext="edit" aspectratio="f"/>
                <v:textbox>
                  <w:txbxContent>
                    <w:p w14:paraId="04F0F135">
                      <w:pPr>
                        <w:rPr>
                          <w:rFonts w:hint="eastAsia" w:eastAsia="宋体"/>
                          <w:lang w:eastAsia="zh-CN"/>
                        </w:rPr>
                      </w:pPr>
                      <w:r>
                        <w:rPr>
                          <w:rFonts w:hint="eastAsia"/>
                          <w:lang w:eastAsia="zh-CN"/>
                        </w:rPr>
                        <w:t>产品库房</w:t>
                      </w:r>
                    </w:p>
                  </w:txbxContent>
                </v:textbox>
              </v:shape>
            </w:pict>
          </mc:Fallback>
        </mc:AlternateContent>
      </w:r>
      <w:r>
        <w:rPr>
          <w:color w:val="auto"/>
          <w:sz w:val="32"/>
          <w:highlight w:val="none"/>
        </w:rPr>
        <mc:AlternateContent>
          <mc:Choice Requires="wps">
            <w:drawing>
              <wp:anchor distT="0" distB="0" distL="114300" distR="114300" simplePos="0" relativeHeight="251769856" behindDoc="0" locked="0" layoutInCell="1" allowOverlap="1">
                <wp:simplePos x="0" y="0"/>
                <wp:positionH relativeFrom="column">
                  <wp:posOffset>8599805</wp:posOffset>
                </wp:positionH>
                <wp:positionV relativeFrom="paragraph">
                  <wp:posOffset>5856605</wp:posOffset>
                </wp:positionV>
                <wp:extent cx="76200" cy="76200"/>
                <wp:effectExtent l="4445" t="4445" r="14605" b="14605"/>
                <wp:wrapNone/>
                <wp:docPr id="170" name="自选图形 445"/>
                <wp:cNvGraphicFramePr/>
                <a:graphic xmlns:a="http://schemas.openxmlformats.org/drawingml/2006/main">
                  <a:graphicData uri="http://schemas.microsoft.com/office/word/2010/wordprocessingShape">
                    <wps:wsp>
                      <wps:cNvSpPr/>
                      <wps:spPr>
                        <a:xfrm>
                          <a:off x="0" y="0"/>
                          <a:ext cx="76200" cy="76200"/>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C000"/>
                        </a:solidFill>
                        <a:ln w="9525" cap="flat" cmpd="sng">
                          <a:solidFill>
                            <a:srgbClr val="00B050"/>
                          </a:solidFill>
                          <a:prstDash val="solid"/>
                          <a:headEnd type="none" w="med" len="med"/>
                          <a:tailEnd type="none" w="med" len="med"/>
                        </a:ln>
                      </wps:spPr>
                      <wps:bodyPr vert="horz" wrap="square" anchor="t" anchorCtr="0" upright="1"/>
                    </wps:wsp>
                  </a:graphicData>
                </a:graphic>
              </wp:anchor>
            </w:drawing>
          </mc:Choice>
          <mc:Fallback>
            <w:pict>
              <v:shape id="自选图形 445" o:spid="_x0000_s1026" o:spt="100" style="position:absolute;left:0pt;margin-left:677.15pt;margin-top:461.15pt;height:6pt;width:6pt;z-index:251769856;mso-width-relative:page;mso-height-relative:page;" fillcolor="#FFC000" filled="t" stroked="t" coordsize="21600,21600" o:gfxdata="UEsDBAoAAAAAAIdO4kAAAAAAAAAAAAAAAAAEAAAAZHJzL1BLAwQUAAAACACHTuJAEr3qb9gAAAAN&#10;AQAADwAAAGRycy9kb3ducmV2LnhtbE1Py07DMBC8I/EP1iJxQdRuDBENcSrxuiI1gMrRTZYkIl5H&#10;sZu0fD3bE9xmdkazM/n64Hox4Rg6TwaWCwUCqfJ1R42B97eX6zsQIVqqbe8JDRwxwLo4P8ttVvuZ&#10;NjiVsREcQiGzBtoYh0zKULXobFj4AYm1Lz86G5mOjaxHO3O462WiVCqd7Yg/tHbAxxar73LvDGyf&#10;X1ek9Ofx6mOepge1/Smr9MmYy4ulugcR8RD/zHCqz9Wh4E47v6c6iJ65vr3R7DWwShIGJ4tOU0Y7&#10;PmnWZJHL/yuKX1BLAwQUAAAACACHTuJAuckmzmMDAAB5CQAADgAAAGRycy9lMm9Eb2MueG1srVbN&#10;btQwEL4j8Q5Wjkhtsttuf1bdrWhLuSCo2vIAruNsIiWxsb2blBM3xDNw48g7wNtUgrfgs51kf7pb&#10;SsVld+zMfDPzzXjso+O6yMmMK52JchT0tqOA8JKJOCsno+D99fnWQUC0oWVMc1HyUXDLdXA8fv7s&#10;qJJD3hepyGOuCEBKPazkKEiNkcMw1CzlBdXbQvISHxOhCmqwVJMwVrQCepGH/SjaCyuhYqkE41pj&#10;98x/DBpE9RhAkSQZ42eCTQteGo+qeE4NUtJpJnUwdtEmCWfmXZJobkg+CpCpcb9wAvnG/objIzqc&#10;KCrTjDUh0MeEsJJTQbMSTjuoM2oomarsHlSRMSW0SMw2E0XoE3GMIItetMLNVUold7mAai070vX/&#10;g2VvZxeKZDE6YR+clLRAyX99/v7705e7rz/vfnwju7sDy1Il9RDKV/JCNSsN0aZcJ6qw/0iG1I7Z&#10;245ZXhvCsLm/h9IHhOGLF4ERzk3ZVJvXXDgYOnujjS9LDMmRGjeBmfpNQJIiR4lehGSnt7dDKtLv&#10;7QG7segUr1cV0w2KlwuKvYPdnf2NkCf3NBcwkc2kjZembQqsLpscIBFqj1gfPNukpNCWrl50YJlp&#10;KQMMNO33TQY2a6fvBM/jqknvYMmHx/ee1hscLul3Lhwflto1YS2bzNPoyvF3G8u2S+UhP0uReXDL&#10;1kPZrFLc+VmlzIfYVEhhWNgx4ZoMg8LU6CGMClOjRTAsTH3iu0xSYwvsigiRVCiq60GStpL9VogZ&#10;vxZOy8wPxmLccw2q2LUg1WWbF0nnojYvbd84w8j2iq7cxmAXq7bzHwGw1Ro8FeDprh/0zHKhOXrs&#10;PmPWzPeHOyS+D9eR5hUtZ17aRFlHgXM352yDvd22DLeE/aP5kw07P+sdt4She20rutPZ9aRt6YVp&#10;qkWexedZnlt+tZrcnOaKzCja/Pz8tOkemCyp5aVt6cNBf4CJTXHFJ7haIRYS14QuJ258LVksAUfR&#10;STRwA3kVWCptzqhOfQAOwZ+olNP4VRkTcytx/ZR4dwQ2hILHAck5nilWcjUzNMsfownXOcZoaK8t&#10;f1FZ6UbEt7ju8PrB+U6F+gg3uPuR1YcpVXBKS4ZtnPVWPDVYoZBTqbJJCqueG4cWDDeyo755Pdgr&#10;f3HtnM9fTOM/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1AUAAFtDb250ZW50X1R5cGVzXS54bWxQSwECFAAKAAAAAACHTuJAAAAAAAAAAAAAAAAA&#10;BgAAAAAAAAAAABAAAAC2BAAAX3JlbHMvUEsBAhQAFAAAAAgAh07iQIoUZjzRAAAAlAEAAAsAAAAA&#10;AAAAAQAgAAAA2gQAAF9yZWxzLy5yZWxzUEsBAhQACgAAAAAAh07iQAAAAAAAAAAAAAAAAAQAAAAA&#10;AAAAAAAQAAAAAAAAAGRycy9QSwECFAAUAAAACACHTuJAEr3qb9gAAAANAQAADwAAAAAAAAABACAA&#10;AAAiAAAAZHJzL2Rvd25yZXYueG1sUEsBAhQAFAAAAAgAh07iQLnJJs5jAwAAeQkAAA4AAAAAAAAA&#10;AQAgAAAAJwEAAGRycy9lMm9Eb2MueG1sUEsFBgAAAAAGAAYAWQEAAPwGA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B050" joinstyle="round"/>
                <v:imagedata o:title=""/>
                <o:lock v:ext="edit" aspectratio="f"/>
              </v:shape>
            </w:pict>
          </mc:Fallback>
        </mc:AlternateContent>
      </w:r>
      <w:r>
        <w:rPr>
          <w:color w:val="auto"/>
          <w:sz w:val="32"/>
          <w:highlight w:val="none"/>
        </w:rPr>
        <mc:AlternateContent>
          <mc:Choice Requires="wps">
            <w:drawing>
              <wp:anchor distT="0" distB="0" distL="114300" distR="114300" simplePos="0" relativeHeight="251768832" behindDoc="0" locked="0" layoutInCell="1" allowOverlap="1">
                <wp:simplePos x="0" y="0"/>
                <wp:positionH relativeFrom="column">
                  <wp:posOffset>8576310</wp:posOffset>
                </wp:positionH>
                <wp:positionV relativeFrom="paragraph">
                  <wp:posOffset>5673725</wp:posOffset>
                </wp:positionV>
                <wp:extent cx="90805" cy="90170"/>
                <wp:effectExtent l="22225" t="22225" r="39370" b="40005"/>
                <wp:wrapNone/>
                <wp:docPr id="169" name="自选图形 471"/>
                <wp:cNvGraphicFramePr/>
                <a:graphic xmlns:a="http://schemas.openxmlformats.org/drawingml/2006/main">
                  <a:graphicData uri="http://schemas.microsoft.com/office/word/2010/wordprocessingShape">
                    <wps:wsp>
                      <wps:cNvSpPr/>
                      <wps:spPr>
                        <a:xfrm rot="1620000">
                          <a:off x="0" y="0"/>
                          <a:ext cx="90805" cy="90170"/>
                        </a:xfrm>
                        <a:prstGeom prst="bevel">
                          <a:avLst>
                            <a:gd name="adj" fmla="val 12500"/>
                          </a:avLst>
                        </a:prstGeom>
                        <a:solidFill>
                          <a:srgbClr val="00B050"/>
                        </a:solidFill>
                        <a:ln w="9525" cap="flat" cmpd="sng">
                          <a:solidFill>
                            <a:srgbClr val="FFFFFF"/>
                          </a:solidFill>
                          <a:prstDash val="solid"/>
                          <a:miter/>
                          <a:headEnd type="none" w="med" len="med"/>
                          <a:tailEnd type="none" w="med" len="med"/>
                        </a:ln>
                      </wps:spPr>
                      <wps:bodyPr vert="horz" wrap="square" anchor="t" anchorCtr="0" upright="1"/>
                    </wps:wsp>
                  </a:graphicData>
                </a:graphic>
              </wp:anchor>
            </w:drawing>
          </mc:Choice>
          <mc:Fallback>
            <w:pict>
              <v:shape id="自选图形 471" o:spid="_x0000_s1026" o:spt="84" type="#_x0000_t84" style="position:absolute;left:0pt;margin-left:675.3pt;margin-top:446.75pt;height:7.1pt;width:7.15pt;rotation:1769472f;z-index:251768832;mso-width-relative:page;mso-height-relative:page;" fillcolor="#00B050" filled="t" stroked="t" coordsize="21600,21600" o:gfxdata="UEsDBAoAAAAAAIdO4kAAAAAAAAAAAAAAAAAEAAAAZHJzL1BLAwQUAAAACACHTuJA9daNktsAAAAN&#10;AQAADwAAAGRycy9kb3ducmV2LnhtbE2Py07DMBBF90j8gzVI7KhdQvMiTiUQbLpAogWJpRMPSVR7&#10;HMVum/497oour+bo3jPVeraGHXHygyMJy4UAhtQ6PVAn4Wv3/pAD80GRVsYRSjijh3V9e1OpUrsT&#10;feJxGzoWS8iXSkIfwlhy7tserfILNyLF26+brAoxTh3XkzrFcmv4oxApt2qguNCrEV97bPfbg5Vg&#10;M5Ntdj8fVGya3M75y9vZfO+lvL9bimdgAefwD8NFP6pDHZ0adyDtmYk5WYk0shLyIlkBuyBJ+lQA&#10;ayQUIsuA1xW//qL+A1BLAwQUAAAACACHTuJAZZ4BQ0sCAACTBAAADgAAAGRycy9lMm9Eb2MueG1s&#10;rVRLjhMxEN0jcQfLe6Y7EclMWumMxISwQTDSwAEqtjtt5B+282PFDnEGdrPkDnCbkeAWlN09YTJs&#10;sqAXrXK7/Oq9V66eXu60Ihvhg7SmpoOzkhJhmOXSrGr6/t3i2QUlIYLhoKwRNd2LQC9nT59Mt64S&#10;Q9taxYUnCGJCtXU1bWN0VVEE1goN4cw6YXCzsV5DxKVfFdzDFtG1KoZlOS621nPnLRMh4Nd5t0l7&#10;RH8KoG0aycTcsrUWJnaoXiiIKCm00gU6y2ybRrD4tmmCiETVFJXG/MYiGC/Tu5hNoVp5cK1kPQU4&#10;hcIjTRqkwaIHqDlEIGsv/4HSknkbbBPPmNVFJyQ7gioG5SNvblpwImtBq4M7mB7+Hyx7s7n2RHK8&#10;CeMJJQY0tvzXl++/P3+9+/bz7scteX4+SC5tXagw+cZd+34VMEySd43XxFu0djDGBpdlNgKlkV32&#10;eX/wWewiYfhxUl6UI0oY7kzKwXnuQtEBJUDnQ3wlrCYpqOlSbITKmLB5HWJ2mfdMgX+gpNEKe7YB&#10;RQbDEZZHfojWJ2N0j5dOBqskX0il8sKvllfKEzyKHMsX5ej+8FGaMmSLTEfDxBnwyjd41TDUDm0L&#10;ZpW5HZ0ID4EX+elZHaUlYnMIbUcgb6U0qLSMItkMVSuAvzScxL3DxhicSJrIaMEpUQIHOEU5M4JU&#10;p2SiIcqgQ6mhXQtTtLR8jxcB/wvoeGv9JyyDU4H6Pq7BY1EwDD/XFIV34VXsxmjtvFy1qftZYgLD&#10;u5pb0M9VGoaH61z8779k9g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11o2S2wAAAA0BAAAPAAAA&#10;AAAAAAEAIAAAACIAAABkcnMvZG93bnJldi54bWxQSwECFAAUAAAACACHTuJAZZ4BQ0sCAACTBAAA&#10;DgAAAAAAAAABACAAAAAqAQAAZHJzL2Uyb0RvYy54bWxQSwUGAAAAAAYABgBZAQAA5wUAAAAA&#10;" adj="2700">
                <v:fill on="t" focussize="0,0"/>
                <v:stroke color="#FFFFFF" joinstyle="miter"/>
                <v:imagedata o:title=""/>
                <o:lock v:ext="edit" aspectratio="f"/>
              </v:shape>
            </w:pict>
          </mc:Fallback>
        </mc:AlternateContent>
      </w:r>
      <w:r>
        <w:rPr>
          <w:color w:val="auto"/>
          <w:highlight w:val="none"/>
          <w:shd w:val="clear" w:color="auto" w:fill="auto"/>
        </w:rPr>
        <w:drawing>
          <wp:anchor distT="0" distB="0" distL="114300" distR="114300" simplePos="0" relativeHeight="251691008" behindDoc="0" locked="0" layoutInCell="1" allowOverlap="1">
            <wp:simplePos x="0" y="0"/>
            <wp:positionH relativeFrom="column">
              <wp:posOffset>8876665</wp:posOffset>
            </wp:positionH>
            <wp:positionV relativeFrom="paragraph">
              <wp:posOffset>83820</wp:posOffset>
            </wp:positionV>
            <wp:extent cx="645160" cy="685165"/>
            <wp:effectExtent l="0" t="0" r="2540" b="635"/>
            <wp:wrapNone/>
            <wp:docPr id="2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09"/>
                    <pic:cNvPicPr>
                      <a:picLocks noChangeAspect="1"/>
                    </pic:cNvPicPr>
                  </pic:nvPicPr>
                  <pic:blipFill>
                    <a:blip r:embed="rId35"/>
                    <a:stretch>
                      <a:fillRect/>
                    </a:stretch>
                  </pic:blipFill>
                  <pic:spPr>
                    <a:xfrm>
                      <a:off x="0" y="0"/>
                      <a:ext cx="645160" cy="685165"/>
                    </a:xfrm>
                    <a:prstGeom prst="rect">
                      <a:avLst/>
                    </a:prstGeom>
                    <a:noFill/>
                    <a:ln>
                      <a:noFill/>
                    </a:ln>
                  </pic:spPr>
                </pic:pic>
              </a:graphicData>
            </a:graphic>
          </wp:anchor>
        </w:drawing>
      </w:r>
      <w:r>
        <w:rPr>
          <w:color w:val="auto"/>
          <w:sz w:val="32"/>
          <w:highlight w:val="none"/>
        </w:rPr>
        <mc:AlternateContent>
          <mc:Choice Requires="wps">
            <w:drawing>
              <wp:anchor distT="0" distB="0" distL="114300" distR="114300" simplePos="0" relativeHeight="251662336" behindDoc="0" locked="0" layoutInCell="1" allowOverlap="1">
                <wp:simplePos x="0" y="0"/>
                <wp:positionH relativeFrom="column">
                  <wp:posOffset>106680</wp:posOffset>
                </wp:positionH>
                <wp:positionV relativeFrom="page">
                  <wp:posOffset>772795</wp:posOffset>
                </wp:positionV>
                <wp:extent cx="9467850" cy="6050915"/>
                <wp:effectExtent l="9525" t="9525" r="9525" b="16510"/>
                <wp:wrapNone/>
                <wp:docPr id="202" name="文本框 202"/>
                <wp:cNvGraphicFramePr/>
                <a:graphic xmlns:a="http://schemas.openxmlformats.org/drawingml/2006/main">
                  <a:graphicData uri="http://schemas.microsoft.com/office/word/2010/wordprocessingShape">
                    <wps:wsp>
                      <wps:cNvSpPr txBox="1"/>
                      <wps:spPr>
                        <a:xfrm>
                          <a:off x="646430" y="772795"/>
                          <a:ext cx="9467850" cy="6050915"/>
                        </a:xfrm>
                        <a:prstGeom prst="rect">
                          <a:avLst/>
                        </a:prstGeom>
                        <a:noFill/>
                        <a:ln w="19050" cap="sq" cmpd="sng">
                          <a:solidFill>
                            <a:schemeClr val="tx1"/>
                          </a:solidFill>
                          <a:prstDash val="solid"/>
                          <a:miter/>
                          <a:headEnd type="none" w="med" len="med"/>
                          <a:tailEnd type="none" w="med" len="med"/>
                        </a:ln>
                      </wps:spPr>
                      <wps:txbx>
                        <w:txbxContent>
                          <w:p w14:paraId="0206E41E"/>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8.4pt;margin-top:60.85pt;height:476.45pt;width:745.5pt;mso-position-vertical-relative:page;z-index:251662336;mso-width-relative:page;mso-height-relative:page;" filled="f" stroked="t" coordsize="21600,21600" o:gfxdata="UEsDBAoAAAAAAIdO4kAAAAAAAAAAAAAAAAAEAAAAZHJzL1BLAwQUAAAACACHTuJAIrvMpNgAAAAM&#10;AQAADwAAAGRycy9kb3ducmV2LnhtbE2PQU/DMAyF70j8h8hIXCaWtLB2Kk13mLTTuDAQ56wxbUXi&#10;VE3Wbf8e7wQn+9lPz5/rzcU7MeMUh0AasqUCgdQGO1Cn4fNj97QGEZMha1wg1HDFCJvm/q42lQ1n&#10;esf5kDrBIRQro6FPaaykjG2P3sRlGJF49x0mbxLLqZN2MmcO907mShXSm4H4Qm9G3PbY/hxOXsO8&#10;+tqF67bdPy9y11lcrPeFf9P68SFTryASXtKfGW74jA4NMx3DiWwUjnXB5IlrnpUgboaVKnl05E6V&#10;LwXIppb/n2h+AVBLAwQUAAAACACHTuJA0M8+xJ0CAAA2BQAADgAAAGRycy9lMm9Eb2MueG1srVTL&#10;bhMxFN0j8Q+W93QmIY8m6gSFhiKkilYqiLXj8WQs+YXtvPgA+ANWbNjzXf0Ojj1JWwqLLshicu17&#10;fO69x/f67NVOK7IRPkhrKto7KSkRhttamlVFP364eHFKSYjM1ExZIyq6F4G+mj1/drZ1U9G3rVW1&#10;8AQkJky3rqJtjG5aFIG3QrNwYp0wcDbWaxax9Kui9mwLdq2KflmOiq31tfOWixCwu+ic9MDon0Jo&#10;m0ZysbB8rYWJHasXikWUFFrpAp3lbJtG8HjVNEFEoiqKSmP+IgjsZfoWszM2XXnmWskPKbCnpPCo&#10;Js2kQdA7qgWLjKy9/ItKS+5tsE084VYXXSFZEVTRKx9pc9MyJ3ItkDq4O9HD/6Pl7zfXnsi6ov2y&#10;T4lhGld++/3b7Y9ftz+/krQJibYuTIG8ccDG3Wu7Q+Mc9wM2U+W7xuv0j5oI/KPBaPASKu8rOh73&#10;x5NhJ7XYRcLhngxG49Mh/ByAUTksJ72MKO6JnA/xrbCaJKOiHneZJWabyxCRFKBHSIpr7IVUKt+n&#10;MmSLDCegRQCGJg2fYWiHMoNZZZZglazTiXQ2+NXyXHmyYalN8i+liwh/wFK4BQtth8uurioto/A5&#10;dCtY/cbUJO4dhDSYIJpy0aKmRAkMXLIyMjKpnoJEEsogl3QHndbJirvlDjTJXNp6j3vxtmvu4PiF&#10;RKKXLMRr5tHNEAHzHq/waZRFNvZgUdJa/+Vf+wmPJoMX6WM6koJr5lGMemfQfpPeYADamBeD4biP&#10;hX/oWT70mLU+t1C2h5fF8WwmfFRHs/FWf8KzME9R4WKGI3ZF49E8j93M4lnhYj7PoLXzctXiAGgx&#10;TI7FS3PjeFp3/TBfR9vI3Cr3Oh2UxDjl+z2MfprXh+uMun/uZ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IrvMpNgAAAAMAQAADwAAAAAAAAABACAAAAAiAAAAZHJzL2Rvd25yZXYueG1sUEsBAhQA&#10;FAAAAAgAh07iQNDPPsSdAgAANgUAAA4AAAAAAAAAAQAgAAAAJwEAAGRycy9lMm9Eb2MueG1sUEsF&#10;BgAAAAAGAAYAWQEAADYGAAAAAA==&#10;">
                <v:fill on="f" focussize="0,0"/>
                <v:stroke weight="1.5pt" color="#000000 [3213]" joinstyle="miter" endcap="square"/>
                <v:imagedata o:title=""/>
                <o:lock v:ext="edit" aspectratio="f"/>
                <v:textbox>
                  <w:txbxContent>
                    <w:p w14:paraId="0206E41E"/>
                  </w:txbxContent>
                </v:textbox>
              </v:shape>
            </w:pict>
          </mc:Fallback>
        </mc:AlternateContent>
      </w:r>
      <w:r>
        <w:rPr>
          <w:color w:val="auto"/>
          <w:sz w:val="32"/>
          <w:highlight w:val="none"/>
        </w:rPr>
        <mc:AlternateContent>
          <mc:Choice Requires="wps">
            <w:drawing>
              <wp:anchor distT="0" distB="0" distL="114300" distR="114300" simplePos="0" relativeHeight="251759616" behindDoc="0" locked="0" layoutInCell="1" allowOverlap="1">
                <wp:simplePos x="0" y="0"/>
                <wp:positionH relativeFrom="column">
                  <wp:posOffset>2608580</wp:posOffset>
                </wp:positionH>
                <wp:positionV relativeFrom="paragraph">
                  <wp:posOffset>2701925</wp:posOffset>
                </wp:positionV>
                <wp:extent cx="76200" cy="83820"/>
                <wp:effectExtent l="4445" t="4445" r="14605" b="6985"/>
                <wp:wrapNone/>
                <wp:docPr id="87" name="斜纹 87"/>
                <wp:cNvGraphicFramePr/>
                <a:graphic xmlns:a="http://schemas.openxmlformats.org/drawingml/2006/main">
                  <a:graphicData uri="http://schemas.microsoft.com/office/word/2010/wordprocessingShape">
                    <wps:wsp>
                      <wps:cNvSpPr/>
                      <wps:spPr>
                        <a:xfrm>
                          <a:off x="0" y="0"/>
                          <a:ext cx="76200" cy="83820"/>
                        </a:xfrm>
                        <a:prstGeom prst="diagStripe">
                          <a:avLst/>
                        </a:prstGeom>
                        <a:solidFill>
                          <a:srgbClr val="FFC000"/>
                        </a:solidFill>
                        <a:ln w="31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05.4pt;margin-top:212.75pt;height:6.6pt;width:6pt;z-index:251759616;v-text-anchor:middle;mso-width-relative:page;mso-height-relative:page;" fillcolor="#FFC000" filled="t" stroked="t" coordsize="76200,83820" o:gfxdata="UEsDBAoAAAAAAIdO4kAAAAAAAAAAAAAAAAAEAAAAZHJzL1BLAwQUAAAACACHTuJAOoCxENkAAAAL&#10;AQAADwAAAGRycy9kb3ducmV2LnhtbE2PzU7DMBCE70i8g7VI3Kid0NIQ4vTAjypxAUofYBsvcdTY&#10;jmKnPzw9ywluszuj2W+r1cn14kBj7ILXkM0UCPJNMJ1vNWw/X24KEDGhN9gHTxrOFGFVX15UWJpw&#10;9B902KRWcImPJWqwKQ2llLGx5DDOwkCeva8wOkw8jq00Ix653PUyV+pOOuw8X7A40KOlZr+ZnAZ1&#10;xv3r8v1p/fbcrLeFtWb6nu61vr7K1AOIRKf0F4ZffEaHmpl2YfImil7DPFOMnljkiwUITszznDc7&#10;FrfFEmRdyf8/1D9QSwMEFAAAAAgAh07iQMKzRf5nAgAA4QQAAA4AAABkcnMvZTJvRG9jLnhtbK1U&#10;224TMRB9R+IfLL/TTXpLiLqpokRBSBWtFBDPjte7a8k3bOdSPoQnfoR+EPwGx95tmxaQ+sDL7oxn&#10;PDPnzIwvLvdaka3wQVpT0uHRgBJhuK2kaUr66ePyzZiSEJmpmLJGlPRWBHo5ff3qYucm4ti2VlXC&#10;EwQxYbJzJW1jdJOiCLwVmoUj64SBsbZeswjVN0Xl2Q7RtSqOB4PzYmd95bzlIgScLjoj7SP6lwS0&#10;dS25WFi+0cLELqoXikVACq10gU5ztXUteLyu6yAiUSUF0pi/SAJ5nb7F9IJNGs9cK3lfAntJCc8w&#10;aSYNkj6EWrDIyMbLP0Jpyb0Nto5H3OqiA5IZAYrh4Bk3q5Y5kbGA6uAeSA//Lyz/sL3xRFYlHY8o&#10;MUyj4z+/ff9194PgAOzsXJjAaeVufK8FiAnqvvY6/QGC7DOjtw+Min0kHIejc7ScEg7L+GR8nPku&#10;Hq86H+I7YTVJQkkryZpV9DKDZhO2vQoRSXHh3jHlC1bJaimVyopv1nPlyZahwcvlfIB03ZUnbsqQ&#10;XUlPhqMzFMMwtTWmBaJ2QB5MQwlTDdaBR5/b+ORyOMyBBP/IkWpcsNB2teQIfSnKAEQisqMuSWtb&#10;3YJ4b7uJDI4vJe5fsRBvmMcIgjUsabzGp1YWxdteoqS1/uvfzpM/JgNWSnYYaSD7smFeUKLeG8zM&#10;2+HpadqBrJyejdAO4g8t60OL2ei5BalDPAeOZzH5R3Uv1t7qz9jlWcoKEzMcuTsOe2Ueu1XDa8DF&#10;bJbdMPeOxSuzcjwFT000draJtpa52Y/s9KRh8vMM9FuaVutQz16PL9P0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DqAsRDZAAAACwEAAA8AAAAAAAAAAQAgAAAAIgAAAGRycy9kb3ducmV2LnhtbFBL&#10;AQIUABQAAAAIAIdO4kDCs0X+ZwIAAOEEAAAOAAAAAAAAAAEAIAAAACgBAABkcnMvZTJvRG9jLnht&#10;bFBLBQYAAAAABgAGAFkBAAABBgAAAAA=&#10;" path="m0,41910l38100,0,76200,0,0,83820xe">
                <v:path o:connectlocs="38100,41910;0,62865;19050,20955;57150,0" o:connectangles="0,164,164,247"/>
                <v:fill on="t" focussize="0,0"/>
                <v:stroke weight="0.25pt" color="#000000 [3213]" joinstyle="round"/>
                <v:imagedata o:title=""/>
                <o:lock v:ext="edit" aspectratio="f"/>
              </v:shape>
            </w:pict>
          </mc:Fallback>
        </mc:AlternateContent>
      </w:r>
      <w:r>
        <w:rPr>
          <w:color w:val="auto"/>
          <w:sz w:val="32"/>
          <w:highlight w:val="none"/>
        </w:rPr>
        <mc:AlternateContent>
          <mc:Choice Requires="wps">
            <w:drawing>
              <wp:anchor distT="0" distB="0" distL="114300" distR="114300" simplePos="0" relativeHeight="251755520" behindDoc="0" locked="0" layoutInCell="1" allowOverlap="1">
                <wp:simplePos x="0" y="0"/>
                <wp:positionH relativeFrom="column">
                  <wp:posOffset>2654300</wp:posOffset>
                </wp:positionH>
                <wp:positionV relativeFrom="paragraph">
                  <wp:posOffset>2743835</wp:posOffset>
                </wp:positionV>
                <wp:extent cx="76200" cy="76200"/>
                <wp:effectExtent l="5080" t="4445" r="13970" b="14605"/>
                <wp:wrapNone/>
                <wp:docPr id="150" name="自选图形 452"/>
                <wp:cNvGraphicFramePr/>
                <a:graphic xmlns:a="http://schemas.openxmlformats.org/drawingml/2006/main">
                  <a:graphicData uri="http://schemas.microsoft.com/office/word/2010/wordprocessingShape">
                    <wps:wsp>
                      <wps:cNvSpPr/>
                      <wps:spPr>
                        <a:xfrm>
                          <a:off x="0" y="0"/>
                          <a:ext cx="76200" cy="76200"/>
                        </a:xfrm>
                        <a:prstGeom prst="hexagon">
                          <a:avLst>
                            <a:gd name="adj" fmla="val 26311"/>
                            <a:gd name="vf" fmla="val 115470"/>
                          </a:avLst>
                        </a:prstGeom>
                        <a:solidFill>
                          <a:srgbClr val="FFC000"/>
                        </a:solidFill>
                        <a:ln w="6350"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shape id="自选图形 452" o:spid="_x0000_s1026" o:spt="9" type="#_x0000_t9" style="position:absolute;left:0pt;margin-left:209pt;margin-top:216.05pt;height:6pt;width:6pt;z-index:251755520;mso-width-relative:page;mso-height-relative:page;" fillcolor="#FFC000" filled="t" stroked="t" coordsize="21600,21600" o:gfxdata="UEsDBAoAAAAAAIdO4kAAAAAAAAAAAAAAAAAEAAAAZHJzL1BLAwQUAAAACACHTuJAKqp8StcAAAAL&#10;AQAADwAAAGRycy9kb3ducmV2LnhtbE2PS0/EMAyE70j8h8hI3NikuwFVpekekBA3JMpL3LKNaQp5&#10;lCbdln+POcFtbI/G39T71Tt2xCkNMSgoNgIYhi6aIfQKnh5vL0pgKetgtIsBFXxjgn1zelLrysQl&#10;POCxzT2jkJAqrcDmPFacp86i12kTRwx0e4+T15nGqedm0guFe8e3Qlxxr4dAH6we8cZi99nOXkH5&#10;6r/mZ6mt+1jWl1bc3b+lS1Tq/KwQ18AyrvnPDL/4hA4NMR3iHExiToEsSuqSSey2BTByyJ2gzYGE&#10;lAXwpub/OzQ/UEsDBBQAAAAIAIdO4kAVr0hgSAIAAKoEAAAOAAAAZHJzL2Uyb0RvYy54bWytVEuO&#10;EzEQ3SNxB8t70unMTAZF6cwiIWwQjDRwgIrt7jbyD9v5sWKHOAM7ltwBbjMS3IKyuyeTGYSUBZvu&#10;srv8qt57rp5e7bQiG+GDtKai5WBIiTDMcmmair57u3z2nJIQwXBQ1oiK7kWgV7OnT6ZbNxEj21rF&#10;hScIYsJk6yraxugmRRFYKzSEgXXC4Mfaeg0Rl74puIctomtVjIbDcbG1njtvmQgBdxfdR9oj+lMA&#10;bV1LJhaWrbUwsUP1QkFESqGVLtBZ7rauBYtv6jqISFRFkWnMTyyC8So9i9kUJo0H10rWtwCntPCI&#10;kwZpsOgBagERyNrLv6C0ZN4GW8cBs7roiGRFkEU5fKTNTQtOZC4odXAH0cP/g2WvN9eeSI434QI1&#10;MaDR8l+fv//+9OX268/bH9/I+cUoqbR1YYLJN+7a96uAYaK8q71ObyRDdlnZ/UFZsYuE4eblGK2n&#10;hOGXLkSM4v6o8yG+FFaTFCA5sYPGdoLC5lWIWVnedwf8PSW1VujTBhQZjc/KsvfxLmVTH2eU5cX5&#10;ZbYaS/Z4GN0VTeDBKsmXUqm88M1qrjxB9Ioul/Mhtt71+yBNGbKt6Pgs6cYAJ6HGG4ihdqhmME2+&#10;Dw9OhGNgRP0HcGpsAaHtGsgIHT8to0jqw6QVwF8YTuLeoV8GB5WmZrTglCiBc52inBlBqlMyURBl&#10;0JTkc+dsilaW7/F+4O8i2WL9RyyDw4L8PqzBY1EwDLcrisS7cB676Vo7L5sWT2VvMixe4ex6P25p&#10;Ro7Xufj9L2b2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CqqfErXAAAACwEAAA8AAAAAAAAAAQAg&#10;AAAAIgAAAGRycy9kb3ducmV2LnhtbFBLAQIUABQAAAAIAIdO4kAVr0hgSAIAAKoEAAAOAAAAAAAA&#10;AAEAIAAAACYBAABkcnMvZTJvRG9jLnhtbFBLBQYAAAAABgAGAFkBAADgBQAAAAA=&#10;" adj="5683">
                <v:fill on="t" focussize="0,0"/>
                <v:stroke weight="0.5pt" color="#000000" joinstyle="miter"/>
                <v:imagedata o:title=""/>
                <o:lock v:ext="edit" aspectratio="f"/>
              </v:shape>
            </w:pict>
          </mc:Fallback>
        </mc:AlternateContent>
      </w:r>
      <w:r>
        <w:rPr>
          <w:color w:val="auto"/>
          <w:sz w:val="32"/>
          <w:highlight w:val="none"/>
        </w:rPr>
        <mc:AlternateContent>
          <mc:Choice Requires="wps">
            <w:drawing>
              <wp:anchor distT="0" distB="0" distL="114300" distR="114300" simplePos="0" relativeHeight="251756544" behindDoc="0" locked="0" layoutInCell="1" allowOverlap="1">
                <wp:simplePos x="0" y="0"/>
                <wp:positionH relativeFrom="column">
                  <wp:posOffset>2742565</wp:posOffset>
                </wp:positionH>
                <wp:positionV relativeFrom="paragraph">
                  <wp:posOffset>2805430</wp:posOffset>
                </wp:positionV>
                <wp:extent cx="78105" cy="76200"/>
                <wp:effectExtent l="7620" t="5080" r="9525" b="13970"/>
                <wp:wrapNone/>
                <wp:docPr id="153" name="自选图形 454"/>
                <wp:cNvGraphicFramePr/>
                <a:graphic xmlns:a="http://schemas.openxmlformats.org/drawingml/2006/main">
                  <a:graphicData uri="http://schemas.microsoft.com/office/word/2010/wordprocessingShape">
                    <wps:wsp>
                      <wps:cNvSpPr/>
                      <wps:spPr>
                        <a:xfrm rot="10800000">
                          <a:off x="0" y="0"/>
                          <a:ext cx="78105" cy="76200"/>
                        </a:xfrm>
                        <a:prstGeom prst="triangle">
                          <a:avLst>
                            <a:gd name="adj" fmla="val 50000"/>
                          </a:avLst>
                        </a:prstGeom>
                        <a:solidFill>
                          <a:srgbClr val="FFC000"/>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shape id="自选图形 454" o:spid="_x0000_s1026" o:spt="5" type="#_x0000_t5" style="position:absolute;left:0pt;margin-left:215.95pt;margin-top:220.9pt;height:6pt;width:6.15pt;rotation:11796480f;z-index:251756544;mso-width-relative:page;mso-height-relative:page;" fillcolor="#FFC000" filled="t" stroked="t" coordsize="21600,21600" o:gfxdata="UEsDBAoAAAAAAIdO4kAAAAAAAAAAAAAAAAAEAAAAZHJzL1BLAwQUAAAACACHTuJAM+zz0dsAAAAL&#10;AQAADwAAAGRycy9kb3ducmV2LnhtbE2PwU7DMBBE70j8g7VI3KiT1kFtiNNDRSUOCIm2CPW2jZck&#10;amyH2G3K37Ocym1G+zQ7UywvthNnGkLrnYZ0koAgV3nTulrDbrt+mIMIEZ3BzjvS8EMBluXtTYG5&#10;8aN7p/Mm1oJDXMhRQxNjn0sZqoYshonvyfHtyw8WI9uhlmbAkcNtJ6dJ8igtto4/NNjTqqHquDlZ&#10;DXs87kbKVmGdfX981i9I2+fXN63v79LkCUSkS7zC8Fefq0PJnQ7+5EwQnQY1SxeMslApb2BCKTUF&#10;cWCRzeYgy0L+31D+AlBLAwQUAAAACACHTuJAFX7pCUgCAACXBAAADgAAAGRycy9lMm9Eb2MueG1s&#10;rVRLjhMxEN0jcQfLe9KdMJkJrXRmkRA2CEYaOEDFdncb+Yft/FixQ5yBHUvuALcZCW5B2Z0JMwOL&#10;LOhFq2yXX716VeXp5U4rshE+SGtqOhyUlAjDLJemrenbN8snE0pCBMNBWSNquheBXs4eP5puXSVG&#10;trOKC08QxIRq62raxeiqogisExrCwDph8LCxXkPEpW8L7mGL6FoVo7I8L7bWc+ctEyHg7qI/pAdE&#10;fwqgbRrJxMKytRYm9qheKIiYUuikC3SW2TaNYPF10wQRiaopZhrzH4OgvUr/YjaFqvXgOskOFOAU&#10;Cg9y0iANBj1CLSACWXv5F5SWzNtgmzhgVhd9IlkRzGJYPtDmugMnci4odXBH0cP/g2WvNleeSI6d&#10;MH5KiQGNJf/56duvj59vvvy4+f6VnI3PkkpbFyp0vnZX/rAKaKaUd43XxFuUdlhOyvRlJTA3sstC&#10;749Ci10kDDcvJsNyTAnDk4tzbIoUoOiREqLzIb4QVpNk1DR6CaZVSQmoYPMyxKw0P7AF/o6SRius&#10;2wYUGWcGPeDBGaFvIdPNYJXkS6lUXvh2NVee4NWaLpfzRL+/fM9NGbKt6bPxKNEGbPsG2w1N7VC6&#10;YNrM7d6NcBc4cfo3cCK2gND1BDJCig+VllEkqaHqBPDnhpO4d1gcg1NJExktOCVK4BAnK3tGkOoU&#10;TxREGZQ8FbUvY7JWlu+xGfBtQNE76z9gGJwMzO/9GjwGBcNwGwtya85jP0pr52XbpQ7I2iUw7Ndc&#10;08NspYG4u87B/7wns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z7PPR2wAAAAsBAAAPAAAAAAAA&#10;AAEAIAAAACIAAABkcnMvZG93bnJldi54bWxQSwECFAAUAAAACACHTuJAFX7pCUgCAACXBAAADgAA&#10;AAAAAAABACAAAAAqAQAAZHJzL2Uyb0RvYy54bWxQSwUGAAAAAAYABgBZAQAA5AUAAAAA&#10;" adj="10800">
                <v:fill on="t" focussize="0,0"/>
                <v:stroke color="#000000" joinstyle="miter"/>
                <v:imagedata o:title=""/>
                <o:lock v:ext="edit" aspectratio="f"/>
              </v:shape>
            </w:pict>
          </mc:Fallback>
        </mc:AlternateContent>
      </w:r>
      <w:r>
        <w:rPr>
          <w:color w:val="auto"/>
          <w:sz w:val="32"/>
          <w:highlight w:val="none"/>
        </w:rPr>
        <mc:AlternateContent>
          <mc:Choice Requires="wps">
            <w:drawing>
              <wp:anchor distT="0" distB="0" distL="114300" distR="114300" simplePos="0" relativeHeight="251745280" behindDoc="0" locked="0" layoutInCell="1" allowOverlap="1">
                <wp:simplePos x="0" y="0"/>
                <wp:positionH relativeFrom="column">
                  <wp:posOffset>2817495</wp:posOffset>
                </wp:positionH>
                <wp:positionV relativeFrom="paragraph">
                  <wp:posOffset>2814955</wp:posOffset>
                </wp:positionV>
                <wp:extent cx="76835" cy="92075"/>
                <wp:effectExtent l="4445" t="4445" r="13970" b="17780"/>
                <wp:wrapNone/>
                <wp:docPr id="127" name="自选图形 459"/>
                <wp:cNvGraphicFramePr/>
                <a:graphic xmlns:a="http://schemas.openxmlformats.org/drawingml/2006/main">
                  <a:graphicData uri="http://schemas.microsoft.com/office/word/2010/wordprocessingShape">
                    <wps:wsp>
                      <wps:cNvSpPr/>
                      <wps:spPr>
                        <a:xfrm>
                          <a:off x="4828540" y="2373630"/>
                          <a:ext cx="76835" cy="92075"/>
                        </a:xfrm>
                        <a:prstGeom prst="can">
                          <a:avLst>
                            <a:gd name="adj" fmla="val 28597"/>
                          </a:avLst>
                        </a:prstGeom>
                        <a:solidFill>
                          <a:srgbClr val="FFC000"/>
                        </a:solidFill>
                        <a:ln w="9525" cap="flat" cmpd="sng">
                          <a:solidFill>
                            <a:srgbClr val="000000"/>
                          </a:solidFill>
                          <a:prstDash val="solid"/>
                          <a:headEnd type="none" w="med" len="med"/>
                          <a:tailEnd type="none" w="med" len="med"/>
                        </a:ln>
                      </wps:spPr>
                      <wps:bodyPr vert="horz" wrap="square" anchor="t" anchorCtr="0" upright="1"/>
                    </wps:wsp>
                  </a:graphicData>
                </a:graphic>
              </wp:anchor>
            </w:drawing>
          </mc:Choice>
          <mc:Fallback>
            <w:pict>
              <v:shape id="自选图形 459" o:spid="_x0000_s1026" o:spt="22" type="#_x0000_t22" style="position:absolute;left:0pt;margin-left:221.85pt;margin-top:221.65pt;height:7.25pt;width:6.05pt;z-index:251745280;mso-width-relative:page;mso-height-relative:page;" fillcolor="#FFC000" filled="t" stroked="t" coordsize="21600,21600" o:gfxdata="UEsDBAoAAAAAAIdO4kAAAAAAAAAAAAAAAAAEAAAAZHJzL1BLAwQUAAAACACHTuJAz/Auw9kAAAAL&#10;AQAADwAAAGRycy9kb3ducmV2LnhtbE2PwU7DMBBE70j8g7VI3KhdmtIqxKmgUoU40iDU3tx4SSLi&#10;dRQ7TeHr2fYCtxnt0+xMtjq5VhyxD40nDdOJAoFUettQpeG92NwtQYRoyJrWE2r4xgCr/PoqM6n1&#10;I73hcRsrwSEUUqOhjrFLpQxljc6Eie+Q+Pbpe2ci276Stjcjh7tW3iv1IJ1piD/UpsN1jeXXdnAa&#10;wrMd7CsV683TqPZU7n5emo9C69ubqXoEEfEU/2A41+fqkHOngx/IBtFqSJLZgtGLmIFgIpnPeczh&#10;LBZLkHkm/2/IfwFQSwMEFAAAAAgAh07iQNp4XYdEAgAAhQQAAA4AAABkcnMvZTJvRG9jLnhtbK1U&#10;S47UMBDdI3EHy3s6mXT39EeTnsU0zQbBSAMHqLadjpF/2O4fK3aIM7BjyR3gNiPBLSg7YX4IaRZs&#10;knJcfvXeK1fOzg9akZ3wQVpT05NBSYkwzHJpNjV9+2b1bEpJiGA4KGtETY8i0PPF0ydnezcXlW2t&#10;4sITBDFhvnc1bWN086IIrBUawsA6YXCzsV5DxKXfFNzDHtG1KqqyPC321nPnLRMh4Ndlt0l7RP8Y&#10;QNs0komlZVstTOxQvVAQUVJopQt0kdk2jWDxddMEEYmqKSqN+YlFMF6nZ7E4g/nGg2sl6ynAYyg8&#10;0KRBGix6A7WECGTr5V9QWjJvg23igFlddEKyI6jipHzgzVULTmQtaHVwN6aH/wfLXu0uPZEcb0I1&#10;ocSAxpb//PTt18fP119+XH//SkbjWXJp78Ick6/cpe9XAcMk+dB4nd4ohhxqOppW0/EI/T3WtBpO&#10;hqfD3mVxiIRhwuR0OhxTwnB/VpWTcUIvbmGcD/GFsJqkoKYMOmNh9zLE7DDvWQJ/R0mjFfZrB4pg&#10;1dmkx+qTEfUPWjoZrJJ8JZXKC79ZXyhP8GhNV6uLssw08ci9NGXIHnmOq8QY8Lo3eM0w1A4tC2aT&#10;m37vRLgLjKj/AE7ElhDajkBGSORh3grgzw0n8eiwFQZnkCYKWnBKlMCRTVHOjCDVYzJRkzLocWph&#10;17QUrS0/YuvxT4Aut9Z/wDI4B6jq/RY8FgXD8HNNUW4XXsRucLbOy02Lp06y3QkMb2duYj9J6frf&#10;Xefit3+Px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P8C7D2QAAAAsBAAAPAAAAAAAAAAEAIAAA&#10;ACIAAABkcnMvZG93bnJldi54bWxQSwECFAAUAAAACACHTuJA2nhdh0QCAACFBAAADgAAAAAAAAAB&#10;ACAAAAAoAQAAZHJzL2Uyb0RvYy54bWxQSwUGAAAAAAYABgBZAQAA3gUAAAAA&#10;" adj="5154">
                <v:fill on="t" focussize="0,0"/>
                <v:stroke color="#000000" joinstyle="round"/>
                <v:imagedata o:title=""/>
                <o:lock v:ext="edit" aspectratio="f"/>
              </v:shape>
            </w:pict>
          </mc:Fallback>
        </mc:AlternateContent>
      </w:r>
      <w:r>
        <w:rPr>
          <w:color w:val="auto"/>
          <w:sz w:val="32"/>
          <w:highlight w:val="none"/>
        </w:rPr>
        <mc:AlternateContent>
          <mc:Choice Requires="wps">
            <w:drawing>
              <wp:anchor distT="0" distB="0" distL="114300" distR="114300" simplePos="0" relativeHeight="251754496" behindDoc="0" locked="0" layoutInCell="1" allowOverlap="1">
                <wp:simplePos x="0" y="0"/>
                <wp:positionH relativeFrom="column">
                  <wp:posOffset>2520315</wp:posOffset>
                </wp:positionH>
                <wp:positionV relativeFrom="paragraph">
                  <wp:posOffset>2672715</wp:posOffset>
                </wp:positionV>
                <wp:extent cx="81915" cy="76200"/>
                <wp:effectExtent l="19050" t="20955" r="32385" b="36195"/>
                <wp:wrapNone/>
                <wp:docPr id="149" name="矩形 448"/>
                <wp:cNvGraphicFramePr/>
                <a:graphic xmlns:a="http://schemas.openxmlformats.org/drawingml/2006/main">
                  <a:graphicData uri="http://schemas.microsoft.com/office/word/2010/wordprocessingShape">
                    <wps:wsp>
                      <wps:cNvSpPr/>
                      <wps:spPr>
                        <a:xfrm rot="12420000" flipV="1">
                          <a:off x="0" y="0"/>
                          <a:ext cx="81915" cy="76200"/>
                        </a:xfrm>
                        <a:prstGeom prst="rect">
                          <a:avLst/>
                        </a:prstGeom>
                        <a:solidFill>
                          <a:srgbClr val="FFC000"/>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rect id="矩形 448" o:spid="_x0000_s1026" o:spt="1" style="position:absolute;left:0pt;flip:y;margin-left:198.45pt;margin-top:210.45pt;height:6pt;width:6.45pt;rotation:10027008f;z-index:251754496;mso-width-relative:page;mso-height-relative:page;" fillcolor="#FFC000" filled="t" stroked="t" coordsize="21600,21600" o:gfxdata="UEsDBAoAAAAAAIdO4kAAAAAAAAAAAAAAAAAEAAAAZHJzL1BLAwQUAAAACACHTuJAX8v9cNsAAAAL&#10;AQAADwAAAGRycy9kb3ducmV2LnhtbE2PwU7DMBBE70j8g7VIXBC1m1ZVnMbpAYlDkZBIQaJHN17i&#10;iNgOsdu0f89yorcZ7dPsTLk5u56dcIxd8ArmMwEMfRNM51sFH+/PjzmwmLQ3ug8eFVwwwqa6vSl1&#10;YcLkazztUssoxMdCK7ApDQXnsbHodJyFAT3dvsLodCI7ttyMeqJw1/NMiBV3uvP0weoBnyw237uj&#10;U7CXW3vJh8/hFeuft5f4EKdtnSt1fzcXa2AJz+kfhr/6VB0q6nQIR28i6xUs5EoSqmCZCRJELIWk&#10;MQcSi0wCr0p+vaH6BVBLAwQUAAAACACHTuJAlT3+xCwCAABrBAAADgAAAGRycy9lMm9Eb2MueG1s&#10;rVTNjtMwEL4j8Q6W7zRt1V22UdM9tJQLgpUWuE8dJ7HkP8Zu0/IySNx4CB4H8RqMnVJ2Fw49cInG&#10;4/E3830zk8XtwWi2lxiUsxWfjMacSStcrWxb8Q/vNy9uOAsRbA3aWVnxowz8dvn82aL3pZy6zula&#10;IiMQG8reV7yL0ZdFEUQnDYSR89LSZePQQKQjtkWN0BO60cV0PL4ueoe1RydkCORdD5f8hIiXALqm&#10;UUKundgZaeOAilJDJEqhUz7wZa62aaSI75omyMh0xYlpzF9KQvY2fYvlAsoWwXdKnEqAS0p4wsmA&#10;spT0DLWGCGyH6i8oowS64Jo4Es4UA5GsCLGYjJ9oc9+Bl5kLSR38WfTw/2DF2/0dMlXTJMzmnFkw&#10;1PKfX779+P6VzWY3SZ/eh5LC7v0dnk6BzET20KBh6EjUyXRGvR2Tqo1W/iM5shrEjx2y2Mez2PIQ&#10;mSDnzWQ+ueJM0M3La3qcUhUDZsL2GOJr6QxLRsWROpkhYf8mxCH0d0gKD06reqO0zgdstyuNbA/U&#10;9c1mlQobnjwK05b1FZ9fTVMZQKPc0AiRaTzJEWyb8z16ER4CJ77/Bk6FrSF0QwEZIeWH0qgok4hQ&#10;dhLqV7Zm8ehJcEubxlMxRtacaUmLmawcGUHpSyJJO21JwtSuoUHJ2rr6SA2mfScRO4efKQ1NO/H7&#10;tAOkpGAFuStOxAdzFYf12HlUbZd6m7VLYDSDuUenfUlD/vCck//5Ryx/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F/L/XDbAAAACwEAAA8AAAAAAAAAAQAgAAAAIgAAAGRycy9kb3ducmV2LnhtbFBL&#10;AQIUABQAAAAIAIdO4kCVPf7ELAIAAGsEAAAOAAAAAAAAAAEAIAAAACoBAABkcnMvZTJvRG9jLnht&#10;bFBLBQYAAAAABgAGAFkBAADIBQAAAAA=&#10;">
                <v:fill on="t" focussize="0,0"/>
                <v:stroke color="#000000" joinstyle="miter"/>
                <v:imagedata o:title=""/>
                <o:lock v:ext="edit" aspectratio="f"/>
              </v:rect>
            </w:pict>
          </mc:Fallback>
        </mc:AlternateContent>
      </w:r>
      <w:r>
        <w:rPr>
          <w:color w:val="auto"/>
          <w:sz w:val="32"/>
          <w:highlight w:val="none"/>
        </w:rPr>
        <mc:AlternateContent>
          <mc:Choice Requires="wps">
            <w:drawing>
              <wp:anchor distT="0" distB="0" distL="114300" distR="114300" simplePos="0" relativeHeight="251739136" behindDoc="0" locked="0" layoutInCell="1" allowOverlap="1">
                <wp:simplePos x="0" y="0"/>
                <wp:positionH relativeFrom="column">
                  <wp:posOffset>2407920</wp:posOffset>
                </wp:positionH>
                <wp:positionV relativeFrom="paragraph">
                  <wp:posOffset>2913380</wp:posOffset>
                </wp:positionV>
                <wp:extent cx="76200" cy="76200"/>
                <wp:effectExtent l="4445" t="4445" r="14605" b="14605"/>
                <wp:wrapNone/>
                <wp:docPr id="122" name="自选图形 445"/>
                <wp:cNvGraphicFramePr/>
                <a:graphic xmlns:a="http://schemas.openxmlformats.org/drawingml/2006/main">
                  <a:graphicData uri="http://schemas.microsoft.com/office/word/2010/wordprocessingShape">
                    <wps:wsp>
                      <wps:cNvSpPr/>
                      <wps:spPr>
                        <a:xfrm>
                          <a:off x="0" y="0"/>
                          <a:ext cx="76200" cy="76200"/>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C000"/>
                        </a:solidFill>
                        <a:ln w="9525" cap="flat" cmpd="sng">
                          <a:solidFill>
                            <a:srgbClr val="00B050"/>
                          </a:solidFill>
                          <a:prstDash val="solid"/>
                          <a:headEnd type="none" w="med" len="med"/>
                          <a:tailEnd type="none" w="med" len="med"/>
                        </a:ln>
                      </wps:spPr>
                      <wps:bodyPr vert="horz" wrap="square" anchor="t" anchorCtr="0" upright="1"/>
                    </wps:wsp>
                  </a:graphicData>
                </a:graphic>
              </wp:anchor>
            </w:drawing>
          </mc:Choice>
          <mc:Fallback>
            <w:pict>
              <v:shape id="自选图形 445" o:spid="_x0000_s1026" o:spt="100" style="position:absolute;left:0pt;margin-left:189.6pt;margin-top:229.4pt;height:6pt;width:6pt;z-index:251739136;mso-width-relative:page;mso-height-relative:page;" fillcolor="#FFC000" filled="t" stroked="t" coordsize="21600,21600" o:gfxdata="UEsDBAoAAAAAAIdO4kAAAAAAAAAAAAAAAAAEAAAAZHJzL1BLAwQUAAAACACHTuJAnFp3PtkAAAAL&#10;AQAADwAAAGRycy9kb3ducmV2LnhtbE2PTU+DQBCG7yb+h82YeDF2l6ItIEsTv65NRE09bmEEIjtL&#10;2C20/nrHkx7nnSfvR7452l5MOPrOkYZooUAgVa7uqNHw9vp8nYDwwVBtekeo4YQeNsX5WW6y2s30&#10;glMZGsEm5DOjoQ1hyKT0VYvW+IUbkPj36UZrAp9jI+vRzGxue7lUaiWt6YgTWjPgQ4vVV3mwGnZP&#10;25RU/HG6ep+n6V7tvstq9aj15UWk7kAEPIY/GH7rc3UouNPeHaj2otcQr9MloxpubhPewEScRqzs&#10;WVmrBGSRy/8bih9QSwMEFAAAAAgAh07iQJOFpbhlAwAAeQkAAA4AAABkcnMvZTJvRG9jLnhtbK1W&#10;zW7bMAy+D9g7CD4OaO2kSZoGTYq1WXYZtqLNHkCV5diAbWmSEjs77TbsGXbbce+wvU2B7S1GSrbz&#10;06TLil0SSiY/kh8pSucXZZaSBVc6EfnQax0HHuE5E2GSz4be++nkqO8RbWge0lTkfOgtufYuRs+f&#10;nRdywNsiFmnIFQGQXA8KOfRiY+TA9zWLeUb1sZA8h4+RUBk1sFQzP1S0APQs9dtB0PMLoUKpBONa&#10;w+7YffQqRHUIoIiihPGxYPOM58ahKp5SAynpOJHaG9loo4gz8y6KNDckHXqQqbG/4ATkO/z1R+d0&#10;MFNUxgmrQqCHhLCVU0aTHJw2UGNqKJmr5AFUljAltIjMMROZ7xKxjEAWrWCLm9uYSm5zAaq1bEjX&#10;/w+WvV1cK5KE0AnttkdymkHJf33+/vvTl/uvP+9/fCOdThdZKqQegPKtvFbVSoOIKZeRyvAfkiGl&#10;ZXbZMMtLQxhsnvag9B5h8MWJgOGvTNlcm9dcWBi6eKONK0sIkiU1rAIz5RuPRFkKJXrhk5NW74QU&#10;pN3qAXZl0ShOtxXjPYo3a4qtfufkdC/k5QPNNUzIZlbHS+M6BVbmVQ4gEYpHrH0a2E6RQiNdraCP&#10;zNSUAQxoYtL7DDBrq28Fx+O2Sau/4cPhO0+7Dc429BsXlg+kdkdYmyarNJpy/N0G2bapPOZnIzIH&#10;jmw9ls02xY2fbcpciFWFFAwLHBO2yWBQmBJ6CEaFKaFFYFiY8tJ1maQGC4xFQpEUUFTbgySuJfyW&#10;iQWfCqtlVgdjPe6VBlVsKkhxU+dF4pWozUvsG2sYYK/owm50O7CqO/8AgKPa4KkAT3f9qGeWCs2h&#10;xx4yhmauP+whcX24izSniJw5aR9lDQXW3YqzPfa4jQzXhP2j+ZMNGz+7HdeEQfdi/9nT2fQktvTa&#10;NNUiTcJJkqbIr1azu6tUkQWFNp9MrqruAZMNtTTHlj7rtrswsSlc8RFcrSBmEq4Jnc/s+Nqw2AAO&#10;gsugawfyNrBU2oypjl0AFsGdqJjT8FUeErOUcP3k8O7wMISMhx5JOTxTULI1MzRJD9EE1ymMUR+v&#10;LXdRoXQnwiVcd/D6gfMdC/UR3MDdD1l9mFMFTmnOYBvOei1eGVhBIedSJbMYrFp2HCIY3MiW+ur1&#10;gFf++to6X72YRn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1wUAAFtDb250ZW50X1R5cGVzXS54bWxQSwECFAAKAAAAAACHTuJAAAAAAAAAAAAA&#10;AAAABgAAAAAAAAAAABAAAAC5BAAAX3JlbHMvUEsBAhQAFAAAAAgAh07iQIoUZjzRAAAAlAEAAAsA&#10;AAAAAAAAAQAgAAAA3QQAAF9yZWxzLy5yZWxzUEsBAhQACgAAAAAAh07iQAAAAAAAAAAAAAAAAAQA&#10;AAAAAAAAAAAQAAAAAAAAAGRycy9QSwECFAAUAAAACACHTuJAnFp3PtkAAAALAQAADwAAAAAAAAAB&#10;ACAAAAAiAAAAZHJzL2Rvd25yZXYueG1sUEsBAhQAFAAAAAgAh07iQJOFpbhlAwAAeQkAAA4AAAAA&#10;AAAAAQAgAAAAKAEAAGRycy9lMm9Eb2MueG1sUEsFBgAAAAAGAAYAWQEAAP8GA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B050" joinstyle="round"/>
                <v:imagedata o:title=""/>
                <o:lock v:ext="edit" aspectratio="f"/>
              </v:shape>
            </w:pict>
          </mc:Fallback>
        </mc:AlternateContent>
      </w:r>
      <w:r>
        <w:rPr>
          <w:color w:val="auto"/>
          <w:sz w:val="32"/>
          <w:highlight w:val="none"/>
        </w:rPr>
        <mc:AlternateContent>
          <mc:Choice Requires="wps">
            <w:drawing>
              <wp:anchor distT="0" distB="0" distL="114300" distR="114300" simplePos="0" relativeHeight="251735040" behindDoc="0" locked="0" layoutInCell="1" allowOverlap="1">
                <wp:simplePos x="0" y="0"/>
                <wp:positionH relativeFrom="column">
                  <wp:posOffset>2426335</wp:posOffset>
                </wp:positionH>
                <wp:positionV relativeFrom="paragraph">
                  <wp:posOffset>2838450</wp:posOffset>
                </wp:positionV>
                <wp:extent cx="90805" cy="90170"/>
                <wp:effectExtent l="22225" t="22225" r="39370" b="40005"/>
                <wp:wrapNone/>
                <wp:docPr id="117" name="自选图形 471"/>
                <wp:cNvGraphicFramePr/>
                <a:graphic xmlns:a="http://schemas.openxmlformats.org/drawingml/2006/main">
                  <a:graphicData uri="http://schemas.microsoft.com/office/word/2010/wordprocessingShape">
                    <wps:wsp>
                      <wps:cNvSpPr/>
                      <wps:spPr>
                        <a:xfrm rot="1620000">
                          <a:off x="0" y="0"/>
                          <a:ext cx="90805" cy="90170"/>
                        </a:xfrm>
                        <a:prstGeom prst="bevel">
                          <a:avLst>
                            <a:gd name="adj" fmla="val 12500"/>
                          </a:avLst>
                        </a:prstGeom>
                        <a:solidFill>
                          <a:srgbClr val="00B050"/>
                        </a:solidFill>
                        <a:ln w="9525" cap="flat" cmpd="sng">
                          <a:solidFill>
                            <a:srgbClr val="FFFFFF"/>
                          </a:solidFill>
                          <a:prstDash val="solid"/>
                          <a:miter/>
                          <a:headEnd type="none" w="med" len="med"/>
                          <a:tailEnd type="none" w="med" len="med"/>
                        </a:ln>
                      </wps:spPr>
                      <wps:bodyPr vert="horz" wrap="square" anchor="t" anchorCtr="0" upright="1"/>
                    </wps:wsp>
                  </a:graphicData>
                </a:graphic>
              </wp:anchor>
            </w:drawing>
          </mc:Choice>
          <mc:Fallback>
            <w:pict>
              <v:shape id="自选图形 471" o:spid="_x0000_s1026" o:spt="84" type="#_x0000_t84" style="position:absolute;left:0pt;margin-left:191.05pt;margin-top:223.5pt;height:7.1pt;width:7.15pt;rotation:1769472f;z-index:251735040;mso-width-relative:page;mso-height-relative:page;" fillcolor="#00B050" filled="t" stroked="t" coordsize="21600,21600" o:gfxdata="UEsDBAoAAAAAAIdO4kAAAAAAAAAAAAAAAAAEAAAAZHJzL1BLAwQUAAAACACHTuJAMIBQkdoAAAAL&#10;AQAADwAAAGRycy9kb3ducmV2LnhtbE2PwU6DQBCG7ya+w2ZMvNkFSoAiSxONXnowsdXE4wIjkO7O&#10;Enbb0rd3POlxZr788/3VdrFGnHH2oyMF8SoCgdS6bqRewcfh9aEA4YOmThtHqOCKHrb17U2ly85d&#10;6B3P+9ALDiFfagVDCFMppW8HtNqv3ITEt283Wx14nHvZzfrC4dbIJIoyafVI/GHQEz4P2B73J6vA&#10;5ibfHb7eaLNrCrsUTy9X83lU6v4ujh5BBFzCHwy/+qwONTs17kSdF0bBukhiRhWkac6lmFhvshRE&#10;w5ssTkDWlfzfof4BUEsDBBQAAAAIAIdO4kBtTnT2SwIAAJMEAAAOAAAAZHJzL2Uyb0RvYy54bWyt&#10;VM1u1DAQviPxDpbvbJIV222jzVaiS7kgqFR4gFnb2Rj5D9u72eXEDfEM3HrkHeBtKsFbMHbS0pZL&#10;D+QQjePxN9/3jSeL071WZCd8kNY0tJqUlAjDLJdm09D3786fHVMSIhgOyhrR0IMI9HT59Mmid7WY&#10;2s4qLjxBEBPq3jW0i9HVRRFYJzSEiXXC4GZrvYaIS78puIce0bUqpmV5VPTWc+ctEyHg19WwSUdE&#10;/xhA27aSiZVlWy1MHFC9UBBRUuikC3SZ2batYPFt2wYRiWooKo35jUUwXqd3sVxAvfHgOslGCvAY&#10;Cg80aZAGi95CrSAC2Xr5D5SWzNtg2zhhVheDkOwIqqjKB95cduBE1oJWB3drevh/sOzN7sITyfEm&#10;VHNKDGhs+a8v339//nr97ef1jyvyfF4ll3oXaky+dBd+XAUMk+R96zXxFq2tjrDBZZmNQGlkn30+&#10;3Pos9pEw/HhSHpczShjunJTVPHehGIASoPMhvhJWkxQ0dC12QmVM2L0OMbvMR6bAP1DSaoU924Ei&#10;1XSG5ZEfoo3JGN3gpZPBKsnPpVJ54TfrM+UJHkWO5YtydnP4XpoypEems2niDHjlW7xqGGqHtgWz&#10;ydzunQh3gc/zM7K6l5aIrSB0A4G8ldKg1jKKZDPUnQD+0nASDw4bY3AiaSKjBadECRzgFOXMCFI9&#10;JhMNUQYdSg0dWpiiteUHvAj4X0DHO+s/YRmcCtT3cQsei4Jh+LmhKHwIz+IwRlvn5aZL3c8SExje&#10;1dyCca7SMNxd5+J//yXL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DCAUJHaAAAACwEAAA8AAAAA&#10;AAAAAQAgAAAAIgAAAGRycy9kb3ducmV2LnhtbFBLAQIUABQAAAAIAIdO4kBtTnT2SwIAAJMEAAAO&#10;AAAAAAAAAAEAIAAAACkBAABkcnMvZTJvRG9jLnhtbFBLBQYAAAAABgAGAFkBAADmBQAAAAA=&#10;" adj="2700">
                <v:fill on="t" focussize="0,0"/>
                <v:stroke color="#FFFFFF" joinstyle="miter"/>
                <v:imagedata o:title=""/>
                <o:lock v:ext="edit" aspectratio="f"/>
              </v:shape>
            </w:pict>
          </mc:Fallback>
        </mc:AlternateContent>
      </w:r>
      <w:r>
        <w:rPr>
          <w:color w:val="auto"/>
          <w:sz w:val="24"/>
          <w:highlight w:val="none"/>
        </w:rPr>
        <mc:AlternateContent>
          <mc:Choice Requires="wpg">
            <w:drawing>
              <wp:anchor distT="0" distB="0" distL="114300" distR="114300" simplePos="0" relativeHeight="251734016" behindDoc="0" locked="0" layoutInCell="1" allowOverlap="1">
                <wp:simplePos x="0" y="0"/>
                <wp:positionH relativeFrom="column">
                  <wp:posOffset>1645920</wp:posOffset>
                </wp:positionH>
                <wp:positionV relativeFrom="paragraph">
                  <wp:posOffset>2192020</wp:posOffset>
                </wp:positionV>
                <wp:extent cx="1469390" cy="1762125"/>
                <wp:effectExtent l="301625" t="81280" r="114935" b="99695"/>
                <wp:wrapNone/>
                <wp:docPr id="116" name="组合 116"/>
                <wp:cNvGraphicFramePr/>
                <a:graphic xmlns:a="http://schemas.openxmlformats.org/drawingml/2006/main">
                  <a:graphicData uri="http://schemas.microsoft.com/office/word/2010/wordprocessingGroup">
                    <wpg:wgp>
                      <wpg:cNvGrpSpPr/>
                      <wpg:grpSpPr>
                        <a:xfrm>
                          <a:off x="0" y="0"/>
                          <a:ext cx="1469308" cy="1762108"/>
                          <a:chOff x="3839" y="1421431"/>
                          <a:chExt cx="1519" cy="2155"/>
                        </a:xfrm>
                      </wpg:grpSpPr>
                      <wps:wsp>
                        <wps:cNvPr id="112" name="文本框 112"/>
                        <wps:cNvSpPr txBox="1"/>
                        <wps:spPr>
                          <a:xfrm rot="1560000">
                            <a:off x="3839" y="1421431"/>
                            <a:ext cx="714" cy="1844"/>
                          </a:xfrm>
                          <a:prstGeom prst="rect">
                            <a:avLst/>
                          </a:prstGeom>
                          <a:noFill/>
                          <a:ln w="9525" cap="sq" cmpd="sng">
                            <a:solidFill>
                              <a:schemeClr val="tx1"/>
                            </a:solidFill>
                            <a:prstDash val="solid"/>
                            <a:miter/>
                            <a:headEnd type="none" w="med" len="med"/>
                            <a:tailEnd type="none" w="med" len="med"/>
                          </a:ln>
                        </wps:spPr>
                        <wps:txbx>
                          <w:txbxContent>
                            <w:p w14:paraId="0D864C37">
                              <w:pPr>
                                <w:rPr>
                                  <w:rFonts w:hint="default" w:eastAsia="宋体"/>
                                  <w:lang w:val="en-US" w:eastAsia="zh-CN"/>
                                </w:rPr>
                              </w:pPr>
                              <w:r>
                                <w:rPr>
                                  <w:rFonts w:hint="eastAsia"/>
                                  <w:lang w:val="en-US" w:eastAsia="zh-CN"/>
                                </w:rPr>
                                <w:t>1#原料库房</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wps:wsp>
                        <wps:cNvPr id="114" name="文本框 114"/>
                        <wps:cNvSpPr txBox="1"/>
                        <wps:spPr>
                          <a:xfrm rot="1560000">
                            <a:off x="4694" y="1421850"/>
                            <a:ext cx="664" cy="734"/>
                          </a:xfrm>
                          <a:prstGeom prst="rect">
                            <a:avLst/>
                          </a:prstGeom>
                          <a:noFill/>
                          <a:ln w="9525" cap="sq" cmpd="sng">
                            <a:solidFill>
                              <a:schemeClr val="tx1"/>
                            </a:solidFill>
                            <a:prstDash val="sysDot"/>
                            <a:miter/>
                            <a:headEnd type="none" w="med" len="med"/>
                            <a:tailEnd type="none" w="med" len="med"/>
                          </a:ln>
                        </wps:spPr>
                        <wps:txbx>
                          <w:txbxContent>
                            <w:p w14:paraId="031B134F">
                              <w:pPr>
                                <w:rPr>
                                  <w:rFonts w:hint="default" w:eastAsia="宋体"/>
                                  <w:lang w:val="en-US" w:eastAsia="zh-CN"/>
                                </w:rPr>
                              </w:pPr>
                              <w:r>
                                <w:rPr>
                                  <w:rFonts w:hint="eastAsia"/>
                                  <w:lang w:val="en-US" w:eastAsia="zh-CN"/>
                                </w:rPr>
                                <w:t>2#生产线</w:t>
                              </w:r>
                            </w:p>
                          </w:txbxContent>
                        </wps:txbx>
                        <wps:bodyPr rot="0" spcFirstLastPara="0" vertOverflow="overflow" horzOverflow="overflow" vert="horz" wrap="square" lIns="0" tIns="45720" rIns="91440" bIns="45720" numCol="1" spcCol="0" rtlCol="0" fromWordArt="0" anchor="t" anchorCtr="0" forceAA="0" upright="0" compatLnSpc="1">
                          <a:noAutofit/>
                        </wps:bodyPr>
                      </wps:wsp>
                      <wps:wsp>
                        <wps:cNvPr id="115" name="文本框 115"/>
                        <wps:cNvSpPr txBox="1"/>
                        <wps:spPr>
                          <a:xfrm rot="1560000">
                            <a:off x="4357" y="1422496"/>
                            <a:ext cx="648" cy="1090"/>
                          </a:xfrm>
                          <a:prstGeom prst="rect">
                            <a:avLst/>
                          </a:prstGeom>
                          <a:noFill/>
                          <a:ln w="9525" cap="sq" cmpd="sng">
                            <a:solidFill>
                              <a:schemeClr val="tx1"/>
                            </a:solidFill>
                            <a:prstDash val="sysDot"/>
                            <a:miter/>
                            <a:headEnd type="none" w="med" len="med"/>
                            <a:tailEnd type="none" w="med" len="med"/>
                          </a:ln>
                        </wps:spPr>
                        <wps:txbx>
                          <w:txbxContent>
                            <w:p w14:paraId="7DD90107">
                              <w:pPr>
                                <w:rPr>
                                  <w:rFonts w:hint="default" w:eastAsia="宋体"/>
                                  <w:lang w:val="en-US" w:eastAsia="zh-CN"/>
                                </w:rPr>
                              </w:pPr>
                              <w:r>
                                <w:rPr>
                                  <w:rFonts w:hint="eastAsia"/>
                                  <w:lang w:val="en-US" w:eastAsia="zh-CN"/>
                                </w:rPr>
                                <w:t>1#生产线</w:t>
                              </w:r>
                            </w:p>
                          </w:txbxContent>
                        </wps:txbx>
                        <wps:bodyPr rot="0" spcFirstLastPara="0" vertOverflow="overflow" horzOverflow="overflow" vert="horz" wrap="square" lIns="0" tIns="45720" rIns="91440" bIns="45720" numCol="1" spcCol="0" rtlCol="0" fromWordArt="0" anchor="t" anchorCtr="0" forceAA="0" upright="0" compatLnSpc="1">
                          <a:noAutofit/>
                        </wps:bodyPr>
                      </wps:wsp>
                    </wpg:wgp>
                  </a:graphicData>
                </a:graphic>
              </wp:anchor>
            </w:drawing>
          </mc:Choice>
          <mc:Fallback>
            <w:pict>
              <v:group id="_x0000_s1026" o:spid="_x0000_s1026" o:spt="203" style="position:absolute;left:0pt;margin-left:129.6pt;margin-top:172.6pt;height:138.75pt;width:115.7pt;z-index:251734016;mso-width-relative:page;mso-height-relative:page;" coordorigin="3839,1421431" coordsize="1519,2155" o:gfxdata="UEsDBAoAAAAAAIdO4kAAAAAAAAAAAAAAAAAEAAAAZHJzL1BLAwQUAAAACACHTuJAHlAAO9wAAAAL&#10;AQAADwAAAGRycy9kb3ducmV2LnhtbE2PwU7DMAyG70i8Q2QkbixpthZW6k5oAk7TJDYkxC1rvLZa&#10;k1RN1m5vTzjBzZY//f7+YnUxHRtp8K2zCMlMACNbOd3aGuFz//bwBMwHZbXqnCWEK3lYlbc3hcq1&#10;m+wHjbtQsxhifa4QmhD6nHNfNWSUn7mebLwd3WBUiOtQcz2oKYabjkshMm5Ua+OHRvW0bqg67c4G&#10;4X1S08s8eR03p+P6+r1Pt1+bhBDv7xLxDCzQJfzB8Ksf1aGMTgd3ttqzDkGmSxlRhPkijUMkFkuR&#10;ATsgZFI+Ai8L/r9D+QNQSwMEFAAAAAgAh07iQAkk0QyGAwAAJg0AAA4AAABkcnMvZTJvRG9jLnht&#10;bO1XzW7jNhC+F+g7ELw3smTJjoU4izTeBAWCboC06JmWqB+AIlmSju2ei22PPfXUy973Dfo8TV+j&#10;HynJyWa3QNAARRddH5ThzHA483F+mJMXu06QW25sq+SSxkcTSrgsVNnKekm//ebii2NKrGOyZEJJ&#10;vqR7bumL088/O9nqnCeqUaLkhsCItPlWL2njnM6jyBYN75g9UppLCCtlOuawNHVUGraF9U5EyWQy&#10;i7bKlNqoglsL7qoX0sGieYpBVVVtwVeq2HRcut6q4YI5hGSbVlt6GrytKl64V1VluSNiSRGpC18c&#10;Anrtv9HpCctrw3TTFoML7CkuPIqpY63EoQdTK+YY2Zj2PVNdWxhlVeWOCtVFfSABEUQRTx5hc2nU&#10;RodY6nxb6wPouKhHqP9js8XXt9eGtCUyIZ5RIlmHK//z9x//+OVn4jnAZ6vrHGqXRt/oazMw6n7l&#10;Q95VpvN/EQzZBWT3B2T5zpECzDidLaYTZFYBWTyfJTEWAfuiwQX5fdPj6YISL06TOJ3Go/jlaCKL&#10;Iff7kzjLvDQaz468iwePthqJae/Rss9D66ZhmodLsB6GA1rJiNbdrz/d/fb27s1rAJZ4v7wD0PRo&#10;Ebf7Uvn4R74FcwSNGIV8jLPZBL+QPQOEH4ZixHIepwOOx2n6Dg4s18a6S6464oklNcj/YJjdXlnX&#10;QzaqeC+kumiFCPcgJNku6SJLMhhnqGv7PYhOIzOsrIMRq0Rb+g1+qzX1+lwYcst8ZYXf4Ms7av60&#10;FbNNrxdEXo3lXeu4CVTDWflSlsTtNXJPoulQ70rHS0oER4/yVNB0rBVP0URiCIn88BfRA+4pt1vv&#10;YMaTa1XucTkBf3QCq4uLFo5eMeuumUEDABMt0r3CpxIK3qiBoqRR5ocP8b0+Mg1SuI+G4hHcMINg&#10;xFcSObiI09R3oLBIs3mChXkoWT+UyE13roBsHLwLpNd3YiQro7rv0EnP/KkQMVng7CV1I3nu+jaH&#10;Tlzws7OgtNGmrZt+A/qPZu5K3ujCH9Onw9nGqaoNmXKP04AkaqpH718oLmR434oeFldIdu/Ws4oL&#10;nQjWhz5znA0jYCyu2QxC32Tm04+ttvZ2pdz/tLg+Fdajp8PfTS109/cLK0zT5xfWNJuPhZWki/B2&#10;YPmhsNJx+k8WoeYO0/u/P7U+VRbm10c7ssLrEM/n8GAcnvr+ff5wHUbc/b83p3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wUAAFtDb250ZW50&#10;X1R5cGVzXS54bWxQSwECFAAKAAAAAACHTuJAAAAAAAAAAAAAAAAABgAAAAAAAAAAABAAAADdBAAA&#10;X3JlbHMvUEsBAhQAFAAAAAgAh07iQIoUZjzRAAAAlAEAAAsAAAAAAAAAAQAgAAAAAQUAAF9yZWxz&#10;Ly5yZWxzUEsBAhQACgAAAAAAh07iQAAAAAAAAAAAAAAAAAQAAAAAAAAAAAAQAAAAAAAAAGRycy9Q&#10;SwECFAAUAAAACACHTuJAHlAAO9wAAAALAQAADwAAAAAAAAABACAAAAAiAAAAZHJzL2Rvd25yZXYu&#10;eG1sUEsBAhQAFAAAAAgAh07iQAkk0QyGAwAAJg0AAA4AAAAAAAAAAQAgAAAAKwEAAGRycy9lMm9E&#10;b2MueG1sUEsFBgAAAAAGAAYAWQEAACMHAAAAAA==&#10;">
                <o:lock v:ext="edit" aspectratio="f"/>
                <v:shape id="_x0000_s1026" o:spid="_x0000_s1026" o:spt="202" type="#_x0000_t202" style="position:absolute;left:3839;top:1421431;height:1844;width:714;rotation:1703936f;" filled="f" stroked="t" coordsize="21600,21600" o:gfxdata="UEsDBAoAAAAAAIdO4kAAAAAAAAAAAAAAAAAEAAAAZHJzL1BLAwQUAAAACACHTuJA50+db70AAADc&#10;AAAADwAAAGRycy9kb3ducmV2LnhtbEVPS2sCMRC+F/wPYYReSje7QkW2RkFF7E26LdLjdDNuVjeT&#10;JYmv/vpGKPQ2H99zpvOr7cSZfGgdKyiyHARx7XTLjYLPj/XzBESIyBo7x6TgRgHms8HDFEvtLvxO&#10;5yo2IoVwKFGBibEvpQy1IYshcz1x4vbOW4wJ+kZqj5cUbjs5yvOxtNhyajDY09JQfaxOVsFGF4uf&#10;l7A6HnpZ7XfmyX+tt99KPQ6L/BVEpGv8F/+533SaX4zg/ky6Q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T51vvQAA&#10;ANwAAAAPAAAAAAAAAAEAIAAAACIAAABkcnMvZG93bnJldi54bWxQSwECFAAUAAAACACHTuJAMy8F&#10;njsAAAA5AAAAEAAAAAAAAAABACAAAAAMAQAAZHJzL3NoYXBleG1sLnhtbFBLBQYAAAAABgAGAFsB&#10;AAC2AwAAAAA=&#10;">
                  <v:fill on="f" focussize="0,0"/>
                  <v:stroke color="#000000 [3213]" joinstyle="miter" endcap="square"/>
                  <v:imagedata o:title=""/>
                  <o:lock v:ext="edit" aspectratio="f"/>
                  <v:textbox>
                    <w:txbxContent>
                      <w:p w14:paraId="0D864C37">
                        <w:pPr>
                          <w:rPr>
                            <w:rFonts w:hint="default" w:eastAsia="宋体"/>
                            <w:lang w:val="en-US" w:eastAsia="zh-CN"/>
                          </w:rPr>
                        </w:pPr>
                        <w:r>
                          <w:rPr>
                            <w:rFonts w:hint="eastAsia"/>
                            <w:lang w:val="en-US" w:eastAsia="zh-CN"/>
                          </w:rPr>
                          <w:t>1#原料库房</w:t>
                        </w:r>
                      </w:p>
                    </w:txbxContent>
                  </v:textbox>
                </v:shape>
                <v:shape id="_x0000_s1026" o:spid="_x0000_s1026" o:spt="202" type="#_x0000_t202" style="position:absolute;left:4694;top:1421850;height:734;width:664;rotation:1703936f;" filled="f" stroked="t" coordsize="21600,21600" o:gfxdata="UEsDBAoAAAAAAIdO4kAAAAAAAAAAAAAAAAAEAAAAZHJzL1BLAwQUAAAACACHTuJA7MdqnbUAAADc&#10;AAAADwAAAGRycy9kb3ducmV2LnhtbEVPSwrCMBDdC94hjODOpi0iUo0uRMGt1u6HZmyLzaQ0sX5O&#10;bwTB3Tzed9bbp2nFQL1rLCtIohgEcWl1w5WCS36YLUE4j6yxtUwKXuRguxmP1php++ATDWdfiRDC&#10;LkMFtfddJqUrazLoItsRB+5qe4M+wL6SusdHCDetTON4IQ02HBpq7GhXU3k7340C5ndaXI77+1CQ&#10;q8pXfkjzZaHUdJLEKxCenv4v/rmPOsxP5vB9JlwgNx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7MdqnbUAAADcAAAADwAA&#10;AAAAAAABACAAAAAiAAAAZHJzL2Rvd25yZXYueG1sUEsBAhQAFAAAAAgAh07iQDMvBZ47AAAAOQAA&#10;ABAAAAAAAAAAAQAgAAAABAEAAGRycy9zaGFwZXhtbC54bWxQSwUGAAAAAAYABgBbAQAArgMAAAAA&#10;">
                  <v:fill on="f" focussize="0,0"/>
                  <v:stroke color="#000000 [3213]" joinstyle="miter" dashstyle="1 1" endcap="square"/>
                  <v:imagedata o:title=""/>
                  <o:lock v:ext="edit" aspectratio="f"/>
                  <v:textbox inset="0mm,1.27mm,2.54mm,1.27mm">
                    <w:txbxContent>
                      <w:p w14:paraId="031B134F">
                        <w:pPr>
                          <w:rPr>
                            <w:rFonts w:hint="default" w:eastAsia="宋体"/>
                            <w:lang w:val="en-US" w:eastAsia="zh-CN"/>
                          </w:rPr>
                        </w:pPr>
                        <w:r>
                          <w:rPr>
                            <w:rFonts w:hint="eastAsia"/>
                            <w:lang w:val="en-US" w:eastAsia="zh-CN"/>
                          </w:rPr>
                          <w:t>2#生产线</w:t>
                        </w:r>
                      </w:p>
                    </w:txbxContent>
                  </v:textbox>
                </v:shape>
                <v:shape id="_x0000_s1026" o:spid="_x0000_s1026" o:spt="202" type="#_x0000_t202" style="position:absolute;left:4357;top:1422496;height:1090;width:648;rotation:1703936f;" filled="f" stroked="t" coordsize="21600,21600" o:gfxdata="UEsDBAoAAAAAAIdO4kAAAAAAAAAAAAAAAAAEAAAAZHJzL1BLAwQUAAAACACHTuJAg4vPBrUAAADc&#10;AAAADwAAAGRycy9kb3ducmV2LnhtbEVPSwrCMBDdC94hjODOpi0oUo0uRMGt1u6HZmyLzaQ0sX5O&#10;bwTB3Tzed9bbp2nFQL1rLCtIohgEcWl1w5WCS36YLUE4j6yxtUwKXuRguxmP1php++ATDWdfiRDC&#10;LkMFtfddJqUrazLoItsRB+5qe4M+wL6SusdHCDetTON4IQ02HBpq7GhXU3k7340C5ndaXI77+1CQ&#10;q8pXfkjzZaHUdJLEKxCenv4v/rmPOsxP5vB9JlwgNx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g4vPBrUAAADcAAAADwAA&#10;AAAAAAABACAAAAAiAAAAZHJzL2Rvd25yZXYueG1sUEsBAhQAFAAAAAgAh07iQDMvBZ47AAAAOQAA&#10;ABAAAAAAAAAAAQAgAAAABAEAAGRycy9zaGFwZXhtbC54bWxQSwUGAAAAAAYABgBbAQAArgMAAAAA&#10;">
                  <v:fill on="f" focussize="0,0"/>
                  <v:stroke color="#000000 [3213]" joinstyle="miter" dashstyle="1 1" endcap="square"/>
                  <v:imagedata o:title=""/>
                  <o:lock v:ext="edit" aspectratio="f"/>
                  <v:textbox inset="0mm,1.27mm,2.54mm,1.27mm">
                    <w:txbxContent>
                      <w:p w14:paraId="7DD90107">
                        <w:pPr>
                          <w:rPr>
                            <w:rFonts w:hint="default" w:eastAsia="宋体"/>
                            <w:lang w:val="en-US" w:eastAsia="zh-CN"/>
                          </w:rPr>
                        </w:pPr>
                        <w:r>
                          <w:rPr>
                            <w:rFonts w:hint="eastAsia"/>
                            <w:lang w:val="en-US" w:eastAsia="zh-CN"/>
                          </w:rPr>
                          <w:t>1#生产线</w:t>
                        </w:r>
                      </w:p>
                    </w:txbxContent>
                  </v:textbox>
                </v:shape>
              </v:group>
            </w:pict>
          </mc:Fallback>
        </mc:AlternateContent>
      </w:r>
      <w:r>
        <w:rPr>
          <w:color w:val="auto"/>
          <w:sz w:val="24"/>
          <w:highlight w:val="none"/>
        </w:rPr>
        <mc:AlternateContent>
          <mc:Choice Requires="wps">
            <w:drawing>
              <wp:anchor distT="0" distB="0" distL="114300" distR="114300" simplePos="0" relativeHeight="251715584" behindDoc="0" locked="0" layoutInCell="1" allowOverlap="1">
                <wp:simplePos x="0" y="0"/>
                <wp:positionH relativeFrom="column">
                  <wp:posOffset>5051425</wp:posOffset>
                </wp:positionH>
                <wp:positionV relativeFrom="paragraph">
                  <wp:posOffset>1776095</wp:posOffset>
                </wp:positionV>
                <wp:extent cx="3225800" cy="1741170"/>
                <wp:effectExtent l="224790" t="625475" r="226060" b="643255"/>
                <wp:wrapNone/>
                <wp:docPr id="86" name="文本框 86"/>
                <wp:cNvGraphicFramePr/>
                <a:graphic xmlns:a="http://schemas.openxmlformats.org/drawingml/2006/main">
                  <a:graphicData uri="http://schemas.microsoft.com/office/word/2010/wordprocessingShape">
                    <wps:wsp>
                      <wps:cNvSpPr txBox="1"/>
                      <wps:spPr>
                        <a:xfrm rot="1560000">
                          <a:off x="0" y="0"/>
                          <a:ext cx="3225800" cy="1741170"/>
                        </a:xfrm>
                        <a:prstGeom prst="rect">
                          <a:avLst/>
                        </a:prstGeom>
                        <a:noFill/>
                        <a:ln w="9525" cap="sq" cmpd="sng">
                          <a:solidFill>
                            <a:srgbClr val="000000"/>
                          </a:solidFill>
                          <a:prstDash val="sysDot"/>
                          <a:miter/>
                          <a:headEnd type="none" w="med" len="med"/>
                          <a:tailEnd type="none" w="med" len="med"/>
                        </a:ln>
                      </wps:spPr>
                      <wps:txbx>
                        <w:txbxContent>
                          <w:p w14:paraId="75FBAA3E"/>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397.75pt;margin-top:139.85pt;height:137.1pt;width:254pt;rotation:1703936f;z-index:251715584;mso-width-relative:page;mso-height-relative:page;" filled="f" stroked="t" coordsize="21600,21600" o:gfxdata="UEsDBAoAAAAAAIdO4kAAAAAAAAAAAAAAAAAEAAAAZHJzL1BLAwQUAAAACACHTuJAYdiLhNsAAAAM&#10;AQAADwAAAGRycy9kb3ducmV2LnhtbE2PsU7DMBCGdyTewTokNmq3kQkJuXQoQiAWRKEqoxObxCK2&#10;g+02zdvjTjDe3af/vr9an8xAjsoH7SzCcsGAKNs6qW2H8PH+eHMHJERhpRicVQizCrCuLy8qUUo3&#10;2Td13MaOpBAbSoHQxziWlIa2V0aEhRuVTbcv542IafQdlV5MKdwMdMXYLTVC2/ShF6Pa9Kr93h4M&#10;wtPu07HX5/3cbB5m/aJ/Ou7NhHh9tWT3QKI6xT8YzvpJHerk1LiDlYEMCHnBeUIRVnmRAzkTGcvS&#10;qkHgPCuA1hX9X6L+BVBLAwQUAAAACACHTuJALloJ550CAAA4BQAADgAAAGRycy9lMm9Eb2MueG1s&#10;rVTNbhMxEL4j8Q6W73SzIelP1E0VGoqQKlqpIM6O15u15D9sJ9nwAPQNOHHhznP1OfjsTdpSOPTA&#10;HlbjmW+/mfk8s6dnnVZkLXyQ1lS0PBhQIgy3tTTLin76ePHqmJIQmamZskZUdCsCPZu+fHG6cRMx&#10;tK1VtfAEJCZMNq6ibYxuUhSBt0KzcGCdMAg21msWcfTLovZsA3atiuFgcFhsrK+dt1yEAO+8D9Id&#10;o38OoW0aycXc8pUWJvasXigW0VJopQt0mqttGsHjVdMEEYmqKDqN+Y0ksBfpXUxP2WTpmWsl35XA&#10;nlPCk540kwZJ76nmLDKy8vIvKi25t8E28YBbXfSNZEXQRTl4os1Ny5zIvUDq4O5FD/+Pln9YX3si&#10;64oeH1JimMaN332/vfvx6+7nNwIfBNq4MAHuxgEZuze2w9js/QHO1HfXeE28hb7l+HCAJ6uB/gjQ&#10;EHt7L7boIuFwvh4Ox8fAEY5YeTQqy6N8HUVPlkidD/GdsJoko6Iet5lp2foyRBQG6B6S4MZeSKXy&#10;jSpDNhU9GQ/H4GeY0vAFhnboM5hlJglWyTp9kD4Nfrk4V56sWZqT/KQOkeAPWMo2Z6HtcWEb5jb2&#10;I6RlFD6nbgWr35qaxK2DlgY7RFMtWtSUKIGVS1ZGRibVc5CoQhkUk+6h1ztZsVt0oEnmwtZb3E2W&#10;H4IGxy8kKr1kIV4zj3mGExsfr/BqlEU1dmdR0lr/9V/+hMeYIYrysR9JwhXzaEa9NxjAk3I0Am3M&#10;h9H4aIiDfxxZPI6YlT63kLbM1WUz4aPam423+jN+DLOUFSFmOHJXNO7N89hvLX4sXMxmGbRyXi5b&#10;fABarJNj8dLcOJ7O/TzMVtE2Mo/Kg047JbFQ+YJ3y5829vE5ox5+eNP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YdiLhNsAAAAMAQAADwAAAAAAAAABACAAAAAiAAAAZHJzL2Rvd25yZXYueG1sUEsB&#10;AhQAFAAAAAgAh07iQC5aCeedAgAAOAUAAA4AAAAAAAAAAQAgAAAAKgEAAGRycy9lMm9Eb2MueG1s&#10;UEsFBgAAAAAGAAYAWQEAADkGAAAAAA==&#10;">
                <v:fill on="f" focussize="0,0"/>
                <v:stroke color="#000000" joinstyle="miter" dashstyle="1 1" endcap="square"/>
                <v:imagedata o:title=""/>
                <o:lock v:ext="edit" aspectratio="f"/>
                <v:textbox>
                  <w:txbxContent>
                    <w:p w14:paraId="75FBAA3E"/>
                  </w:txbxContent>
                </v:textbox>
              </v:shape>
            </w:pict>
          </mc:Fallback>
        </mc:AlternateContent>
      </w:r>
      <w:r>
        <w:rPr>
          <w:color w:val="auto"/>
          <w:sz w:val="32"/>
          <w:highlight w:val="none"/>
        </w:rPr>
        <mc:AlternateContent>
          <mc:Choice Requires="wps">
            <w:drawing>
              <wp:anchor distT="0" distB="0" distL="114300" distR="114300" simplePos="0" relativeHeight="251701248" behindDoc="0" locked="0" layoutInCell="1" allowOverlap="1">
                <wp:simplePos x="0" y="0"/>
                <wp:positionH relativeFrom="column">
                  <wp:posOffset>165735</wp:posOffset>
                </wp:positionH>
                <wp:positionV relativeFrom="paragraph">
                  <wp:posOffset>5631180</wp:posOffset>
                </wp:positionV>
                <wp:extent cx="914400" cy="344170"/>
                <wp:effectExtent l="0" t="0" r="0" b="0"/>
                <wp:wrapNone/>
                <wp:docPr id="130" name="文本框 20"/>
                <wp:cNvGraphicFramePr/>
                <a:graphic xmlns:a="http://schemas.openxmlformats.org/drawingml/2006/main">
                  <a:graphicData uri="http://schemas.microsoft.com/office/word/2010/wordprocessingShape">
                    <wps:wsp>
                      <wps:cNvSpPr txBox="1"/>
                      <wps:spPr>
                        <a:xfrm>
                          <a:off x="0" y="0"/>
                          <a:ext cx="914400" cy="344170"/>
                        </a:xfrm>
                        <a:prstGeom prst="rect">
                          <a:avLst/>
                        </a:prstGeom>
                        <a:noFill/>
                        <a:ln>
                          <a:noFill/>
                        </a:ln>
                      </wps:spPr>
                      <wps:txbx>
                        <w:txbxContent>
                          <w:p w14:paraId="41282FED">
                            <w:pPr>
                              <w:rPr>
                                <w:rFonts w:hint="default" w:eastAsia="宋体"/>
                                <w:lang w:val="en-US" w:eastAsia="zh-CN"/>
                              </w:rPr>
                            </w:pPr>
                            <w:r>
                              <w:rPr>
                                <w:rFonts w:hint="eastAsia"/>
                                <w:lang w:eastAsia="zh-CN"/>
                              </w:rPr>
                              <w:t>比例尺：</w:t>
                            </w:r>
                            <w:r>
                              <w:rPr>
                                <w:rFonts w:hint="eastAsia"/>
                                <w:lang w:val="en-US" w:eastAsia="zh-CN"/>
                              </w:rPr>
                              <w:t>40m</w:t>
                            </w:r>
                          </w:p>
                        </w:txbxContent>
                      </wps:txbx>
                      <wps:bodyPr wrap="square" upright="0"/>
                    </wps:wsp>
                  </a:graphicData>
                </a:graphic>
              </wp:anchor>
            </w:drawing>
          </mc:Choice>
          <mc:Fallback>
            <w:pict>
              <v:shape id="文本框 20" o:spid="_x0000_s1026" o:spt="202" type="#_x0000_t202" style="position:absolute;left:0pt;margin-left:13.05pt;margin-top:443.4pt;height:27.1pt;width:72pt;z-index:251701248;mso-width-relative:page;mso-height-relative:page;" filled="f" stroked="f" coordsize="21600,21600" o:gfxdata="UEsDBAoAAAAAAIdO4kAAAAAAAAAAAAAAAAAEAAAAZHJzL1BLAwQUAAAACACHTuJAm3i/59cAAAAK&#10;AQAADwAAAGRycy9kb3ducmV2LnhtbE2PTU/DMAyG70j8h8hI3FjSaZSu1N0BxHWI8SFxy1qvrWic&#10;qsnW7t/jneBo+9Hr5y02s+vVicbQeUZIFgYUceXrjhuEj/eXuwxUiJZr23smhDMF2JTXV4XNaz/x&#10;G512sVESwiG3CG2MQ651qFpyNiz8QCy3gx+djTKOja5HO0m46/XSmFQ727F8aO1ATy1VP7ujQ/jc&#10;Hr6/Vua1eXb3w+Rno9mtNeLtTWIeQUWa4x8MF31Rh1Kc9v7IdVA9wjJNhETIslQqXIAHI5s9wnqV&#10;GNBlof9XKH8BUEsDBBQAAAAIAIdO4kCgO5M4twEAAF4DAAAOAAAAZHJzL2Uyb0RvYy54bWytU0uO&#10;EzEQ3SNxB8t70p1MxKeVzkijaNggQBo4gOMupy35h8tJdy4AN2DFhj3nyjkoO5lkGDazmI3brnp+&#10;Ve+Ve3E9WsN2EFF71/LppOYMnPSddpuWf/1y++otZ5iE64TxDlq+B+TXy5cvFkNoYOZ7bzqIjEgc&#10;NkNoeZ9SaKoKZQ9W4MQHcJRUPlqR6Bg3VRfFQOzWVLO6fl0NPnYhegmIFF0dk/zEGJ9C6JXSElZe&#10;bi24dGSNYEQiSdjrgHxZulUKZPqkFEJipuWkNJWVitB+nddquRDNJorQa3lqQTylhUearNCOip6p&#10;ViIJto36PyqrZfToVZpIb6ujkOIIqZjWj7y560WAooWsxnA2HZ+PVn7cfY5Md/QSrsgTJyyN/PDz&#10;x+HXn8Pv72xWHBoCNgS8CwRN440fCZ2dy3GkYBY+qmjzlyQxyhPX/uwvjIlJCr6bzuc1ZSSlrubz&#10;6ZvCXl0uh4jpPXjL8qblkcZXXBW7D5ioIEHvIbmW87famDJC4/4JEDBHqkuHeZfG9Xhqe+27PakZ&#10;aPItx29bEYGzbYh605c3kovlK2R7KXt6InmuD88Fdfktln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m3i/59cAAAAKAQAADwAAAAAAAAABACAAAAAiAAAAZHJzL2Rvd25yZXYueG1sUEsBAhQAFAAA&#10;AAgAh07iQKA7kzi3AQAAXgMAAA4AAAAAAAAAAQAgAAAAJgEAAGRycy9lMm9Eb2MueG1sUEsFBgAA&#10;AAAGAAYAWQEAAE8FAAAAAA==&#10;">
                <v:fill on="f" focussize="0,0"/>
                <v:stroke on="f"/>
                <v:imagedata o:title=""/>
                <o:lock v:ext="edit" aspectratio="f"/>
                <v:textbox>
                  <w:txbxContent>
                    <w:p w14:paraId="41282FED">
                      <w:pPr>
                        <w:rPr>
                          <w:rFonts w:hint="default" w:eastAsia="宋体"/>
                          <w:lang w:val="en-US" w:eastAsia="zh-CN"/>
                        </w:rPr>
                      </w:pPr>
                      <w:r>
                        <w:rPr>
                          <w:rFonts w:hint="eastAsia"/>
                          <w:lang w:eastAsia="zh-CN"/>
                        </w:rPr>
                        <w:t>比例尺：</w:t>
                      </w:r>
                      <w:r>
                        <w:rPr>
                          <w:rFonts w:hint="eastAsia"/>
                          <w:lang w:val="en-US" w:eastAsia="zh-CN"/>
                        </w:rPr>
                        <w:t>40m</w:t>
                      </w:r>
                    </w:p>
                  </w:txbxContent>
                </v:textbox>
              </v:shape>
            </w:pict>
          </mc:Fallback>
        </mc:AlternateContent>
      </w:r>
      <w:r>
        <w:rPr>
          <w:color w:val="auto"/>
          <w:sz w:val="32"/>
          <w:highlight w:val="none"/>
        </w:rPr>
        <mc:AlternateContent>
          <mc:Choice Requires="wps">
            <w:drawing>
              <wp:anchor distT="0" distB="0" distL="114300" distR="114300" simplePos="0" relativeHeight="251707392" behindDoc="0" locked="0" layoutInCell="1" allowOverlap="1">
                <wp:simplePos x="0" y="0"/>
                <wp:positionH relativeFrom="column">
                  <wp:posOffset>163195</wp:posOffset>
                </wp:positionH>
                <wp:positionV relativeFrom="paragraph">
                  <wp:posOffset>5813425</wp:posOffset>
                </wp:positionV>
                <wp:extent cx="902970" cy="162560"/>
                <wp:effectExtent l="4445" t="0" r="6985" b="8890"/>
                <wp:wrapNone/>
                <wp:docPr id="134" name="任意多边形 134"/>
                <wp:cNvGraphicFramePr/>
                <a:graphic xmlns:a="http://schemas.openxmlformats.org/drawingml/2006/main">
                  <a:graphicData uri="http://schemas.microsoft.com/office/word/2010/wordprocessingShape">
                    <wps:wsp>
                      <wps:cNvSpPr/>
                      <wps:spPr>
                        <a:xfrm>
                          <a:off x="1751965" y="5232400"/>
                          <a:ext cx="902970" cy="162560"/>
                        </a:xfrm>
                        <a:custGeom>
                          <a:avLst/>
                          <a:gdLst>
                            <a:gd name="connisteX0" fmla="*/ 7620 w 1873250"/>
                            <a:gd name="connsiteY0" fmla="*/ 0 h 222250"/>
                            <a:gd name="connisteX1" fmla="*/ 0 w 1873250"/>
                            <a:gd name="connsiteY1" fmla="*/ 222250 h 222250"/>
                            <a:gd name="connisteX2" fmla="*/ 1873250 w 1873250"/>
                            <a:gd name="connsiteY2" fmla="*/ 222250 h 222250"/>
                            <a:gd name="connisteX3" fmla="*/ 1873250 w 1873250"/>
                            <a:gd name="connsiteY3" fmla="*/ 24130 h 222250"/>
                          </a:gdLst>
                          <a:ahLst/>
                          <a:cxnLst>
                            <a:cxn ang="0">
                              <a:pos x="connisteX0" y="connsiteY0"/>
                            </a:cxn>
                            <a:cxn ang="0">
                              <a:pos x="connisteX1" y="connsiteY1"/>
                            </a:cxn>
                            <a:cxn ang="0">
                              <a:pos x="connisteX2" y="connsiteY2"/>
                            </a:cxn>
                            <a:cxn ang="0">
                              <a:pos x="connisteX3" y="connsiteY3"/>
                            </a:cxn>
                          </a:cxnLst>
                          <a:rect l="l" t="t" r="r" b="b"/>
                          <a:pathLst>
                            <a:path w="1873250" h="222250">
                              <a:moveTo>
                                <a:pt x="7620" y="0"/>
                              </a:moveTo>
                              <a:lnTo>
                                <a:pt x="0" y="222250"/>
                              </a:lnTo>
                              <a:lnTo>
                                <a:pt x="1873250" y="222250"/>
                              </a:lnTo>
                              <a:lnTo>
                                <a:pt x="1873250" y="24130"/>
                              </a:lnTo>
                            </a:path>
                          </a:pathLst>
                        </a:cu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2.85pt;margin-top:457.75pt;height:12.8pt;width:71.1pt;z-index:251707392;mso-width-relative:page;mso-height-relative:page;" filled="f" stroked="t" coordsize="1873250,222250" o:gfxdata="UEsDBAoAAAAAAIdO4kAAAAAAAAAAAAAAAAAEAAAAZHJzL1BLAwQUAAAACACHTuJAxqMtgNwAAAAK&#10;AQAADwAAAGRycy9kb3ducmV2LnhtbE2PTU/DMAyG70j8h8hIXNCWZlo3VppOfAghIWBiIO3qNaYt&#10;NE7VpNvg15Od4Gj70evnzZcH24od9b5xrEGNExDEpTMNVxre3+5HlyB8QDbYOiYN3+RhWZye5JgZ&#10;t+dX2q1DJWII+ww11CF0mZS+rMmiH7uOON4+XG8xxLGvpOlxH8NtKydJMpMWG44fauzotqbyaz1Y&#10;Dc83NPwgfTp7J58215vHl9X04ULr8zOVXIEIdAh/MBz1ozoU0WnrBjZetBom6TySGhYqTUEcgdl8&#10;AWIbN1OlQBa5/F+h+AVQSwMEFAAAAAgAh07iQNsOpbffAgAAagcAAA4AAABkcnMvZTJvRG9jLnht&#10;bK1VzW7UMBC+I/EOlo9IND/b3e2umu2BVbkgqNQiwdHrOJtIjm3Z7mZ7586dI+IlUAVPQxGPwdhx&#10;tm5B6haRQ2LH832e+WY8Pj7ZthxtmDaNFAXODlKMmKCybMS6wG8vTp8fYWQsESXhUrACXzGDTxZP&#10;nxx3as5yWUteMo2ARJh5pwpcW6vmSWJozVpiDqRiAhYrqVtiYarXSalJB+wtT/I0nSSd1KXSkjJj&#10;4O+yX8SBUe9DKKuqoWwp6WXLhO1ZNePEQkimbpTBC+9tVTFq31SVYRbxAkOk1r9hExiv3DtZHJP5&#10;WhNVNzS4QPZx4V5MLWkEbLqjWhJL0KVu/qBqG6qlkZU9oLJN+kC8IhBFlt7T5rwmivlYQGqjdqKb&#10;/0dLX2/ONGpKqITRIUaCtJDyH9fXPz98vPny6df3rzffPiO3BEJ1yszB/lyd6TAzMHRRbyvdui/E&#10;g7ZANR1ns8kYo6sCj/NRfpgGodnWIgoGszSfTSEFFAyyST6e+PXkloheGvuSSU9KNq+M7fNUwsir&#10;XAZPqRSiMZa9A7Kq5ZC6ZwmaTvIUdSg7mo7y8ZDiGGEay97HiBTVKIfnr9aeP4v49yCPzXviB3fI&#10;ox2C6w8HEYP23Gf0L/vEoPwwG90VDBK3HlJD6iFbdCtCumCEiGsvqT8jShpXJXHuoA7cNCQGkg2U&#10;gHK5fgAMSsfgzBXq3mCQLwbnjwKDJjF4FIN7D0L4GrqQ6z/c9x+LEfQf7fvPymHIXBHrVBuGqINT&#10;EYoX1QXuE+ula+WGXUhvaJ2GrtS9G8MBujXgIjbsrQJTL9FgMHyVZ9xtDLE91twVRlChJwUZXGw+&#10;I7sgnTbR8RbytOHc68CFC302zqF1UAJ3SwU9HYatgv5kxBojwtdwaVGrvRpG8qZ0aCeI0evVC67R&#10;hrhW75/gyx0zpY1dElP3dn5p5zL46Xpc39XcaCXLK9/s/H9owT6ScF24Hh/PPfr2ilz8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FQFAABbQ29u&#10;dGVudF9UeXBlc10ueG1sUEsBAhQACgAAAAAAh07iQAAAAAAAAAAAAAAAAAYAAAAAAAAAAAAQAAAA&#10;NgQAAF9yZWxzL1BLAQIUABQAAAAIAIdO4kCKFGY80QAAAJQBAAALAAAAAAAAAAEAIAAAAFoEAABf&#10;cmVscy8ucmVsc1BLAQIUAAoAAAAAAIdO4kAAAAAAAAAAAAAAAAAEAAAAAAAAAAAAEAAAAAAAAABk&#10;cnMvUEsBAhQAFAAAAAgAh07iQMajLYDcAAAACgEAAA8AAAAAAAAAAQAgAAAAIgAAAGRycy9kb3du&#10;cmV2LnhtbFBLAQIUABQAAAAIAIdO4kDbDqW33wIAAGoHAAAOAAAAAAAAAAEAIAAAACsBAABkcnMv&#10;ZTJvRG9jLnhtbFBLBQYAAAAABgAGAFkBAAB8BgAAAAA=&#10;" path="m7620,0l0,222250,1873250,222250,1873250,24130e">
                <v:path o:connectlocs="3673,0;0,162560;902970,162560;902970,17649" o:connectangles="0,0,0,0"/>
                <v:fill on="f" focussize="0,0"/>
                <v:stroke color="#000000 [3213]" joinstyle="round"/>
                <v:imagedata o:title=""/>
                <o:lock v:ext="edit" aspectratio="f"/>
              </v:shape>
            </w:pict>
          </mc:Fallback>
        </mc:AlternateContent>
      </w:r>
      <w:r>
        <w:rPr>
          <w:color w:val="auto"/>
          <w:sz w:val="32"/>
          <w:highlight w:val="none"/>
        </w:rPr>
        <mc:AlternateContent>
          <mc:Choice Requires="wps">
            <w:drawing>
              <wp:anchor distT="0" distB="0" distL="114300" distR="114300" simplePos="0" relativeHeight="251692032" behindDoc="0" locked="0" layoutInCell="1" allowOverlap="1">
                <wp:simplePos x="0" y="0"/>
                <wp:positionH relativeFrom="column">
                  <wp:posOffset>4149725</wp:posOffset>
                </wp:positionH>
                <wp:positionV relativeFrom="paragraph">
                  <wp:posOffset>5567680</wp:posOffset>
                </wp:positionV>
                <wp:extent cx="2266315" cy="457200"/>
                <wp:effectExtent l="0" t="0" r="0" b="0"/>
                <wp:wrapNone/>
                <wp:docPr id="219" name="文本框 244"/>
                <wp:cNvGraphicFramePr/>
                <a:graphic xmlns:a="http://schemas.openxmlformats.org/drawingml/2006/main">
                  <a:graphicData uri="http://schemas.microsoft.com/office/word/2010/wordprocessingShape">
                    <wps:wsp>
                      <wps:cNvSpPr txBox="1"/>
                      <wps:spPr>
                        <a:xfrm>
                          <a:off x="0" y="0"/>
                          <a:ext cx="2266315" cy="457200"/>
                        </a:xfrm>
                        <a:prstGeom prst="rect">
                          <a:avLst/>
                        </a:prstGeom>
                        <a:noFill/>
                        <a:ln>
                          <a:noFill/>
                        </a:ln>
                      </wps:spPr>
                      <wps:txbx>
                        <w:txbxContent>
                          <w:p w14:paraId="174EC12B">
                            <w:pPr>
                              <w:pStyle w:val="16"/>
                              <w:ind w:left="0" w:leftChars="0" w:firstLine="0" w:firstLineChars="0"/>
                              <w:jc w:val="both"/>
                              <w:rPr>
                                <w:rFonts w:hint="eastAsia" w:ascii="Times New Roman" w:hAnsi="Times New Roman"/>
                                <w:b/>
                                <w:bCs/>
                                <w:color w:val="auto"/>
                                <w:sz w:val="28"/>
                                <w:szCs w:val="28"/>
                                <w:highlight w:val="none"/>
                                <w:shd w:val="clear" w:color="auto" w:fill="auto"/>
                                <w:lang w:val="en-US" w:eastAsia="zh-CN" w:bidi="ar"/>
                              </w:rPr>
                            </w:pPr>
                            <w:r>
                              <w:rPr>
                                <w:rFonts w:hint="eastAsia" w:ascii="Times New Roman" w:hAnsi="Times New Roman"/>
                                <w:b/>
                                <w:bCs/>
                                <w:color w:val="auto"/>
                                <w:sz w:val="28"/>
                                <w:szCs w:val="28"/>
                                <w:highlight w:val="none"/>
                                <w:shd w:val="clear" w:color="auto" w:fill="auto"/>
                                <w:lang w:eastAsia="zh-CN" w:bidi="ar"/>
                              </w:rPr>
                              <w:t>附图</w:t>
                            </w:r>
                            <w:r>
                              <w:rPr>
                                <w:rFonts w:hint="eastAsia"/>
                                <w:b/>
                                <w:bCs/>
                                <w:color w:val="auto"/>
                                <w:sz w:val="28"/>
                                <w:szCs w:val="28"/>
                                <w:highlight w:val="none"/>
                                <w:shd w:val="clear" w:color="auto" w:fill="auto"/>
                                <w:lang w:val="en-US" w:eastAsia="zh-CN" w:bidi="ar"/>
                              </w:rPr>
                              <w:t>5</w:t>
                            </w:r>
                            <w:r>
                              <w:rPr>
                                <w:rFonts w:hint="eastAsia" w:ascii="Times New Roman" w:hAnsi="Times New Roman"/>
                                <w:b/>
                                <w:bCs/>
                                <w:color w:val="auto"/>
                                <w:sz w:val="28"/>
                                <w:szCs w:val="28"/>
                                <w:highlight w:val="none"/>
                                <w:shd w:val="clear" w:color="auto" w:fill="auto"/>
                                <w:lang w:val="en-US" w:eastAsia="zh-CN" w:bidi="ar"/>
                              </w:rPr>
                              <w:t xml:space="preserve">   </w:t>
                            </w:r>
                            <w:r>
                              <w:rPr>
                                <w:rFonts w:hint="eastAsia" w:cs="Times New Roman"/>
                                <w:b/>
                                <w:bCs/>
                                <w:color w:val="auto"/>
                                <w:sz w:val="28"/>
                                <w:szCs w:val="28"/>
                                <w:highlight w:val="none"/>
                                <w:shd w:val="clear" w:color="auto" w:fill="auto"/>
                                <w:lang w:eastAsia="zh-CN" w:bidi="ar"/>
                              </w:rPr>
                              <w:t>产噪设备分布</w:t>
                            </w:r>
                            <w:r>
                              <w:rPr>
                                <w:rFonts w:hint="eastAsia" w:ascii="Times New Roman" w:hAnsi="Times New Roman" w:eastAsia="宋体" w:cs="Times New Roman"/>
                                <w:b/>
                                <w:bCs/>
                                <w:color w:val="auto"/>
                                <w:sz w:val="28"/>
                                <w:szCs w:val="28"/>
                                <w:highlight w:val="none"/>
                                <w:shd w:val="clear" w:color="auto" w:fill="auto"/>
                                <w:lang w:eastAsia="zh-CN" w:bidi="ar"/>
                              </w:rPr>
                              <w:t>图</w:t>
                            </w:r>
                          </w:p>
                          <w:p w14:paraId="4549591B"/>
                        </w:txbxContent>
                      </wps:txbx>
                      <wps:bodyPr vert="horz" wrap="square" anchor="t" anchorCtr="0" upright="1"/>
                    </wps:wsp>
                  </a:graphicData>
                </a:graphic>
              </wp:anchor>
            </w:drawing>
          </mc:Choice>
          <mc:Fallback>
            <w:pict>
              <v:shape id="文本框 244" o:spid="_x0000_s1026" o:spt="202" type="#_x0000_t202" style="position:absolute;left:0pt;margin-left:326.75pt;margin-top:438.4pt;height:36pt;width:178.45pt;z-index:251692032;mso-width-relative:page;mso-height-relative:page;" filled="f" stroked="f" coordsize="21600,21600" o:gfxdata="UEsDBAoAAAAAAIdO4kAAAAAAAAAAAAAAAAAEAAAAZHJzL1BLAwQUAAAACACHTuJApqN+G9kAAAAM&#10;AQAADwAAAGRycy9kb3ducmV2LnhtbE2Py07DMBBF90j8gzVI7KgdSEIaMukCxBZEeUjs3HiaRMTj&#10;KHab8Pe4K7oczdG951abxQ7iSJPvHSMkKwWCuHGm5xbh4/35pgDhg2ajB8eE8EseNvXlRaVL42Z+&#10;o+M2tCKGsC81QhfCWErpm46s9is3Esff3k1Wh3hOrTSTnmO4HeStUrm0uufY0OmRHjtqfrYHi/D5&#10;sv/+StVr+2SzcXaLkmzXEvH6KlEPIAIt4R+Gk35Uhzo67dyBjRcDQp7dZRFFKO7zuOFEqESlIHYI&#10;67QoQNaVPB9R/wFQSwMEFAAAAAgAh07iQGPN6hPOAQAAhQMAAA4AAABkcnMvZTJvRG9jLnhtbK1T&#10;wY7TMBC9I/EPlu80begWiOquBNVyQYC08AGu4zSWYo8Zu03KB8AfcOLCfb+r38HYabuwXPbAxRnP&#10;jN/MezNZXg+2Y3uNwYATfDaZcqadgtq4reCfP908e8lZiNLVsgOnBT/owK9XT58se1/pElroao2M&#10;QFyoei94G6OviiKoVlsZJuC1o2ADaGWkK26LGmVP6LYryul0UfSAtUdQOgTyrscgPyHiYwChaYzS&#10;a1A7q10cUVF3MhKl0Bof+Cp32zRaxQ9NE3RkneDENOaTipC9SWexWspqi9K3Rp1akI9p4QEnK42j&#10;oheotYyS7dD8A2WNQgjQxIkCW4xEsiLEYjZ9oM1tK73OXEjq4C+ih/8Hq97vPyIzteDl7BVnTloa&#10;+fHH9+PPu+Ovb6ycz5NEvQ8VZd56yo3Daxhocc7+QM7EfGjQpi9xYhQngQ8XgfUQmSJnWS4Wz2dX&#10;nCmKza9e0D4kmOL+tccQ32qwLBmCIw0w6yr370IcU88pqZiDG9N1eYid+8tBmMlTpNbHFpMVh81w&#10;4rOB+kB06E+gOi3gV8562gPBw5edRM2ZdIrcgsez+SaOi7PzaLYtvcoa5Ao0nUzjtElp/H/ecx/3&#10;f8/q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KajfhvZAAAADAEAAA8AAAAAAAAAAQAgAAAAIgAA&#10;AGRycy9kb3ducmV2LnhtbFBLAQIUABQAAAAIAIdO4kBjzeoTzgEAAIUDAAAOAAAAAAAAAAEAIAAA&#10;ACgBAABkcnMvZTJvRG9jLnhtbFBLBQYAAAAABgAGAFkBAABoBQAAAAA=&#10;">
                <v:fill on="f" focussize="0,0"/>
                <v:stroke on="f"/>
                <v:imagedata o:title=""/>
                <o:lock v:ext="edit" aspectratio="f"/>
                <v:textbox>
                  <w:txbxContent>
                    <w:p w14:paraId="174EC12B">
                      <w:pPr>
                        <w:pStyle w:val="16"/>
                        <w:ind w:left="0" w:leftChars="0" w:firstLine="0" w:firstLineChars="0"/>
                        <w:jc w:val="both"/>
                        <w:rPr>
                          <w:rFonts w:hint="eastAsia" w:ascii="Times New Roman" w:hAnsi="Times New Roman"/>
                          <w:b/>
                          <w:bCs/>
                          <w:color w:val="auto"/>
                          <w:sz w:val="28"/>
                          <w:szCs w:val="28"/>
                          <w:highlight w:val="none"/>
                          <w:shd w:val="clear" w:color="auto" w:fill="auto"/>
                          <w:lang w:val="en-US" w:eastAsia="zh-CN" w:bidi="ar"/>
                        </w:rPr>
                      </w:pPr>
                      <w:r>
                        <w:rPr>
                          <w:rFonts w:hint="eastAsia" w:ascii="Times New Roman" w:hAnsi="Times New Roman"/>
                          <w:b/>
                          <w:bCs/>
                          <w:color w:val="auto"/>
                          <w:sz w:val="28"/>
                          <w:szCs w:val="28"/>
                          <w:highlight w:val="none"/>
                          <w:shd w:val="clear" w:color="auto" w:fill="auto"/>
                          <w:lang w:eastAsia="zh-CN" w:bidi="ar"/>
                        </w:rPr>
                        <w:t>附图</w:t>
                      </w:r>
                      <w:r>
                        <w:rPr>
                          <w:rFonts w:hint="eastAsia"/>
                          <w:b/>
                          <w:bCs/>
                          <w:color w:val="auto"/>
                          <w:sz w:val="28"/>
                          <w:szCs w:val="28"/>
                          <w:highlight w:val="none"/>
                          <w:shd w:val="clear" w:color="auto" w:fill="auto"/>
                          <w:lang w:val="en-US" w:eastAsia="zh-CN" w:bidi="ar"/>
                        </w:rPr>
                        <w:t>5</w:t>
                      </w:r>
                      <w:r>
                        <w:rPr>
                          <w:rFonts w:hint="eastAsia" w:ascii="Times New Roman" w:hAnsi="Times New Roman"/>
                          <w:b/>
                          <w:bCs/>
                          <w:color w:val="auto"/>
                          <w:sz w:val="28"/>
                          <w:szCs w:val="28"/>
                          <w:highlight w:val="none"/>
                          <w:shd w:val="clear" w:color="auto" w:fill="auto"/>
                          <w:lang w:val="en-US" w:eastAsia="zh-CN" w:bidi="ar"/>
                        </w:rPr>
                        <w:t xml:space="preserve">   </w:t>
                      </w:r>
                      <w:r>
                        <w:rPr>
                          <w:rFonts w:hint="eastAsia" w:cs="Times New Roman"/>
                          <w:b/>
                          <w:bCs/>
                          <w:color w:val="auto"/>
                          <w:sz w:val="28"/>
                          <w:szCs w:val="28"/>
                          <w:highlight w:val="none"/>
                          <w:shd w:val="clear" w:color="auto" w:fill="auto"/>
                          <w:lang w:eastAsia="zh-CN" w:bidi="ar"/>
                        </w:rPr>
                        <w:t>产噪设备分布</w:t>
                      </w:r>
                      <w:r>
                        <w:rPr>
                          <w:rFonts w:hint="eastAsia" w:ascii="Times New Roman" w:hAnsi="Times New Roman" w:eastAsia="宋体" w:cs="Times New Roman"/>
                          <w:b/>
                          <w:bCs/>
                          <w:color w:val="auto"/>
                          <w:sz w:val="28"/>
                          <w:szCs w:val="28"/>
                          <w:highlight w:val="none"/>
                          <w:shd w:val="clear" w:color="auto" w:fill="auto"/>
                          <w:lang w:eastAsia="zh-CN" w:bidi="ar"/>
                        </w:rPr>
                        <w:t>图</w:t>
                      </w:r>
                    </w:p>
                    <w:p w14:paraId="4549591B"/>
                  </w:txbxContent>
                </v:textbox>
              </v:shape>
            </w:pict>
          </mc:Fallback>
        </mc:AlternateContent>
      </w:r>
      <w:r>
        <w:rPr>
          <w:color w:val="auto"/>
          <w:highlight w:val="none"/>
        </w:rPr>
        <w:br w:type="page"/>
      </w:r>
    </w:p>
    <w:p w14:paraId="12AF29C4">
      <w:pPr>
        <w:bidi w:val="0"/>
        <w:jc w:val="center"/>
        <w:rPr>
          <w:rFonts w:hint="eastAsia" w:ascii="Times New Roman" w:hAnsi="Times New Roman"/>
          <w:b/>
          <w:bCs/>
          <w:color w:val="auto"/>
          <w:sz w:val="28"/>
          <w:szCs w:val="28"/>
          <w:highlight w:val="none"/>
          <w:shd w:val="clear" w:color="auto" w:fill="auto"/>
          <w:lang w:val="en-US" w:eastAsia="zh-CN" w:bidi="ar"/>
        </w:rPr>
      </w:pPr>
      <w:r>
        <w:rPr>
          <w:color w:val="auto"/>
          <w:sz w:val="21"/>
          <w:highlight w:val="none"/>
        </w:rPr>
        <mc:AlternateContent>
          <mc:Choice Requires="wps">
            <w:drawing>
              <wp:anchor distT="0" distB="0" distL="114300" distR="114300" simplePos="0" relativeHeight="251683840" behindDoc="0" locked="0" layoutInCell="1" allowOverlap="1">
                <wp:simplePos x="0" y="0"/>
                <wp:positionH relativeFrom="column">
                  <wp:posOffset>8144510</wp:posOffset>
                </wp:positionH>
                <wp:positionV relativeFrom="paragraph">
                  <wp:posOffset>5445760</wp:posOffset>
                </wp:positionV>
                <wp:extent cx="276225" cy="152400"/>
                <wp:effectExtent l="4445" t="4445" r="5080" b="14605"/>
                <wp:wrapNone/>
                <wp:docPr id="53" name="文本框 417"/>
                <wp:cNvGraphicFramePr/>
                <a:graphic xmlns:a="http://schemas.openxmlformats.org/drawingml/2006/main">
                  <a:graphicData uri="http://schemas.microsoft.com/office/word/2010/wordprocessingShape">
                    <wps:wsp>
                      <wps:cNvSpPr txBox="1"/>
                      <wps:spPr>
                        <a:xfrm>
                          <a:off x="0" y="0"/>
                          <a:ext cx="276225" cy="152400"/>
                        </a:xfrm>
                        <a:prstGeom prst="rect">
                          <a:avLst/>
                        </a:prstGeom>
                        <a:solidFill>
                          <a:srgbClr val="FFFFFF"/>
                        </a:solidFill>
                        <a:ln w="9525" cap="flat" cmpd="sng">
                          <a:solidFill>
                            <a:srgbClr val="FF0000"/>
                          </a:solidFill>
                          <a:prstDash val="solid"/>
                          <a:miter/>
                          <a:headEnd type="none" w="med" len="med"/>
                          <a:tailEnd type="none" w="med" len="med"/>
                        </a:ln>
                      </wps:spPr>
                      <wps:txbx>
                        <w:txbxContent>
                          <w:p w14:paraId="1A79322B"/>
                        </w:txbxContent>
                      </wps:txbx>
                      <wps:bodyPr vert="horz" wrap="square" anchor="t" anchorCtr="0" upright="1"/>
                    </wps:wsp>
                  </a:graphicData>
                </a:graphic>
              </wp:anchor>
            </w:drawing>
          </mc:Choice>
          <mc:Fallback>
            <w:pict>
              <v:shape id="文本框 417" o:spid="_x0000_s1026" o:spt="202" type="#_x0000_t202" style="position:absolute;left:0pt;margin-left:641.3pt;margin-top:428.8pt;height:12pt;width:21.75pt;z-index:251683840;mso-width-relative:page;mso-height-relative:page;" fillcolor="#FFFFFF" filled="t" stroked="t" coordsize="21600,21600" o:gfxdata="UEsDBAoAAAAAAIdO4kAAAAAAAAAAAAAAAAAEAAAAZHJzL1BLAwQUAAAACACHTuJA0igYRdwAAAAN&#10;AQAADwAAAGRycy9kb3ducmV2LnhtbE2PQU+DQBCF7yb+h82YeGnsAsYtQZYeTDTa9CI1TXrbwgik&#10;7CxhtxT/vdOT3ubNvLz5Xr6ebS8mHH3nSEO8jEAgVa7uqNHwtXt9SEH4YKg2vSPU8IMe1sXtTW6y&#10;2l3oE6cyNIJDyGdGQxvCkEnpqxat8Us3IPHt243WBJZjI+vRXDjc9jKJIiWt6Yg/tGbAlxarU3m2&#10;Gg4f02m7cvvdZqPKxbt8K7fzotP6/i6OnkEEnMOfGa74jA4FMx3dmWovetZJmij2akifVjxcLY+J&#10;ikEceZXGCmSRy/8til9QSwMEFAAAAAgAh07iQPtTN0ktAgAAawQAAA4AAABkcnMvZTJvRG9jLnht&#10;bK1US5LTMBTcU8UdVNozdsJkBlxxpooJYUMBVQMHUGQ5VpV+SEricAC4ASs27DlXzkFLzmTIwCIL&#10;vHCepad+3f2eMr3ptSIb4YO0pqaji5ISYbhtpFnV9NPHxbMXlITITMOUNaKmOxHozezpk+nWVWJs&#10;O6sa4QlATKi2rqZdjK4qisA7oVm4sE4YbLbWaxbx6VdF49kW6FoV47K8KrbWN85bLkLA6nzYpAdE&#10;fw6gbVvJxdzytRYmDqheKBYhKXTSBTrLbNtW8Pi+bYOIRNUUSmN+owjiZXoXsymrVp65TvIDBXYO&#10;hUeaNJMGRY9QcxYZWXv5F5SW3Ntg23jBrS4GIdkRqBiVj7y565gTWQusDu5oevh/sPzd5oMnsqnp&#10;5Dklhml0fP/92/7Hr/3Pr+RydJ0c2rpQIfHOITX2r2yPublfD1hMwvvW6/QLSQT78Hd39Ff0kXAs&#10;jq+vxuMJJRxbo8n4ssz+Fw+HnQ/xjbCapKCmHu3LrrLN2xBBBKn3KalWsEo2C6lU/vCr5a3yZMPQ&#10;6kV+EkccOUlThmxr+nKSeTDMb4u5ASXt4EEwq1zv5EQ4BS7x/As4EZuz0A0EMkJKY5WWUfgcdYI1&#10;r01D4s7BZoPrRRMZLRpKlMBtTFHOjEyqczKhThmITB0aOpGi2C97wKRwaZsduob7Dj8767+gIqYd&#10;Uj+vmUd9ZjiWawoPhvA2Dtdj7bxcdTiVW50rYAazoYf7kob8z+/M4+E/YvY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0igYRdwAAAANAQAADwAAAAAAAAABACAAAAAiAAAAZHJzL2Rvd25yZXYueG1s&#10;UEsBAhQAFAAAAAgAh07iQPtTN0ktAgAAawQAAA4AAAAAAAAAAQAgAAAAKwEAAGRycy9lMm9Eb2Mu&#10;eG1sUEsFBgAAAAAGAAYAWQEAAMoFAAAAAA==&#10;">
                <v:fill on="t" focussize="0,0"/>
                <v:stroke color="#FF0000" joinstyle="miter"/>
                <v:imagedata o:title=""/>
                <o:lock v:ext="edit" aspectratio="f"/>
                <v:textbox>
                  <w:txbxContent>
                    <w:p w14:paraId="1A79322B"/>
                  </w:txbxContent>
                </v:textbox>
              </v:shape>
            </w:pict>
          </mc:Fallback>
        </mc:AlternateContent>
      </w:r>
      <w:r>
        <w:rPr>
          <w:color w:val="auto"/>
          <w:sz w:val="21"/>
          <w:highlight w:val="none"/>
        </w:rPr>
        <mc:AlternateContent>
          <mc:Choice Requires="wps">
            <w:drawing>
              <wp:anchor distT="0" distB="0" distL="114300" distR="114300" simplePos="0" relativeHeight="251684864" behindDoc="0" locked="0" layoutInCell="1" allowOverlap="1">
                <wp:simplePos x="0" y="0"/>
                <wp:positionH relativeFrom="column">
                  <wp:posOffset>8230235</wp:posOffset>
                </wp:positionH>
                <wp:positionV relativeFrom="paragraph">
                  <wp:posOffset>5641975</wp:posOffset>
                </wp:positionV>
                <wp:extent cx="133350" cy="133350"/>
                <wp:effectExtent l="4445" t="4445" r="14605" b="14605"/>
                <wp:wrapNone/>
                <wp:docPr id="57" name="椭圆 423"/>
                <wp:cNvGraphicFramePr/>
                <a:graphic xmlns:a="http://schemas.openxmlformats.org/drawingml/2006/main">
                  <a:graphicData uri="http://schemas.microsoft.com/office/word/2010/wordprocessingShape">
                    <wps:wsp>
                      <wps:cNvSpPr/>
                      <wps:spPr>
                        <a:xfrm>
                          <a:off x="0" y="0"/>
                          <a:ext cx="133350" cy="133350"/>
                        </a:xfrm>
                        <a:prstGeom prst="ellipse">
                          <a:avLst/>
                        </a:prstGeom>
                        <a:solidFill>
                          <a:srgbClr val="00B050"/>
                        </a:solidFill>
                        <a:ln w="9525" cap="flat" cmpd="sng">
                          <a:solidFill>
                            <a:srgbClr val="00B050"/>
                          </a:solidFill>
                          <a:prstDash val="solid"/>
                          <a:headEnd type="none" w="med" len="med"/>
                          <a:tailEnd type="none" w="med" len="med"/>
                        </a:ln>
                      </wps:spPr>
                      <wps:bodyPr vert="horz" wrap="square" anchor="t" anchorCtr="0" upright="1"/>
                    </wps:wsp>
                  </a:graphicData>
                </a:graphic>
              </wp:anchor>
            </w:drawing>
          </mc:Choice>
          <mc:Fallback>
            <w:pict>
              <v:shape id="椭圆 423" o:spid="_x0000_s1026" o:spt="3" type="#_x0000_t3" style="position:absolute;left:0pt;margin-left:648.05pt;margin-top:444.25pt;height:10.5pt;width:10.5pt;z-index:251684864;mso-width-relative:page;mso-height-relative:page;" fillcolor="#00B050" filled="t" stroked="t" coordsize="21600,21600" o:gfxdata="UEsDBAoAAAAAAIdO4kAAAAAAAAAAAAAAAAAEAAAAZHJzL1BLAwQUAAAACACHTuJAHKD5LtkAAAAN&#10;AQAADwAAAGRycy9kb3ducmV2LnhtbE2Py07DMBBF90j8gzVI7KjtohQnxKkQArFDos2iSzcekqh+&#10;RLH74O+ZrmB5Z47unKnXF+/YCec0xqBBLgQwDF20Y+g1tNv3BwUsZROscTGghh9MsG5ub2pT2XgO&#10;X3ja5J5RSUiV0TDkPFWcp25Ab9IiThho9x1nbzLFued2Nmcq944vhVhxb8ZAFwYz4euA3WFz9Bq2&#10;H263w0PRivLlE8dWJRnfOq3v76R4Bpbxkv9guOqTOjTktI/HYBNzlJflShKrQSlVALsij/KJRnsN&#10;pSgL4E3N/3/R/AJQSwMEFAAAAAgAh07iQFgi+4ITAgAATAQAAA4AAABkcnMvZTJvRG9jLnhtbK1U&#10;zY7TMBC+I/EOlu80aUthiZquxJblgmClXR5g6jiJJf/hcZuWB+ApOHLlsZbnYOyULrtceuDizNjj&#10;b+b7Zpzl5d5otpMBlbM1n05KzqQVrlG2q/nnu+sXF5xhBNuAdlbW/CCRX66eP1sOvpIz1zvdyMAI&#10;xGI1+Jr3MfqqKFD00gBOnJeWDlsXDERyQ1c0AQZCN7qYleWrYnCh8cEJiUi76/GQHxHDOYCubZWQ&#10;aye2Rto4ogapIRIl7JVHvsrVtq0U8VPbooxM15yYxrxSErI3aS1WS6i6AL5X4lgCnFPCE04GlKWk&#10;J6g1RGDboP6BMkoEh66NE+FMMRLJihCLaflEm9sevMxcSGr0J9Hx/8GKj7ubwFRT88VrziwY6viv&#10;Hz/vv39jL2fzJM/gsaKoW38Tjh6Smbju22DSl1iwfZb0cJJU7iMTtDmdz+cLElvQ0dEmlOLhsg8Y&#10;30tnWDJqLrWm/iXSUMHuA8Yx+k9U2kanVXOttM5O6DZXOrAdpAaXb0tKNl55FKYtG2r+ZjFbUClA&#10;U9vStJBpPDFH2+V8j27gecCpsDVgPxaQEcaZ6iU072zD4sGTpJaeEk8lGNlwpiW9vGRRpVBFUPqc&#10;SBJNW9IuNWRsQbI2rjlQB+lBk3q9C18pDY0zsfqyhUBJwQrarjnRHc2rOM7/1gfV9XRrmhVLYDRk&#10;uTnHB5Gm+G8/J3/4Cax+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Byg+S7ZAAAADQEAAA8AAAAA&#10;AAAAAQAgAAAAIgAAAGRycy9kb3ducmV2LnhtbFBLAQIUABQAAAAIAIdO4kBYIvuCEwIAAEwEAAAO&#10;AAAAAAAAAAEAIAAAACgBAABkcnMvZTJvRG9jLnhtbFBLBQYAAAAABgAGAFkBAACtBQAAAAA=&#10;">
                <v:fill on="t" focussize="0,0"/>
                <v:stroke color="#00B050" joinstyle="round"/>
                <v:imagedata o:title=""/>
                <o:lock v:ext="edit" aspectratio="f"/>
              </v:shape>
            </w:pict>
          </mc:Fallback>
        </mc:AlternateContent>
      </w:r>
      <w:r>
        <w:rPr>
          <w:color w:val="auto"/>
          <w:sz w:val="21"/>
          <w:highlight w:val="none"/>
        </w:rPr>
        <mc:AlternateContent>
          <mc:Choice Requires="wps">
            <w:drawing>
              <wp:anchor distT="0" distB="0" distL="114300" distR="114300" simplePos="0" relativeHeight="251699200" behindDoc="0" locked="0" layoutInCell="1" allowOverlap="1">
                <wp:simplePos x="0" y="0"/>
                <wp:positionH relativeFrom="column">
                  <wp:posOffset>3295650</wp:posOffset>
                </wp:positionH>
                <wp:positionV relativeFrom="paragraph">
                  <wp:posOffset>5600065</wp:posOffset>
                </wp:positionV>
                <wp:extent cx="3962400" cy="380365"/>
                <wp:effectExtent l="4445" t="4445" r="14605" b="15240"/>
                <wp:wrapNone/>
                <wp:docPr id="38" name="文本框 38"/>
                <wp:cNvGraphicFramePr/>
                <a:graphic xmlns:a="http://schemas.openxmlformats.org/drawingml/2006/main">
                  <a:graphicData uri="http://schemas.microsoft.com/office/word/2010/wordprocessingShape">
                    <wps:wsp>
                      <wps:cNvSpPr txBox="1"/>
                      <wps:spPr>
                        <a:xfrm>
                          <a:off x="3750945" y="6710680"/>
                          <a:ext cx="3962400" cy="380365"/>
                        </a:xfrm>
                        <a:prstGeom prst="rect">
                          <a:avLst/>
                        </a:prstGeom>
                        <a:solidFill>
                          <a:schemeClr val="bg1"/>
                        </a:solidFill>
                        <a:ln w="9525" cap="sq" cmpd="sng">
                          <a:solidFill>
                            <a:schemeClr val="tx1"/>
                          </a:solidFill>
                          <a:prstDash val="sysDot"/>
                          <a:miter/>
                          <a:headEnd type="none" w="med" len="med"/>
                          <a:tailEnd type="none" w="med" len="med"/>
                        </a:ln>
                      </wps:spPr>
                      <wps:txbx>
                        <w:txbxContent>
                          <w:p w14:paraId="0986370E">
                            <w:pPr>
                              <w:jc w:val="center"/>
                            </w:pPr>
                            <w:r>
                              <w:rPr>
                                <w:rFonts w:hint="eastAsia" w:ascii="Times New Roman" w:hAnsi="Times New Roman"/>
                                <w:b/>
                                <w:bCs/>
                                <w:color w:val="auto"/>
                                <w:sz w:val="28"/>
                                <w:szCs w:val="28"/>
                                <w:highlight w:val="none"/>
                                <w:shd w:val="clear" w:color="auto" w:fill="auto"/>
                                <w:lang w:eastAsia="zh-CN" w:bidi="ar"/>
                              </w:rPr>
                              <w:t>附图</w:t>
                            </w:r>
                            <w:r>
                              <w:rPr>
                                <w:rFonts w:hint="eastAsia"/>
                                <w:b/>
                                <w:bCs/>
                                <w:color w:val="auto"/>
                                <w:sz w:val="28"/>
                                <w:szCs w:val="28"/>
                                <w:highlight w:val="none"/>
                                <w:shd w:val="clear" w:color="auto" w:fill="auto"/>
                                <w:lang w:val="en-US" w:eastAsia="zh-CN" w:bidi="ar"/>
                              </w:rPr>
                              <w:t>6</w:t>
                            </w:r>
                            <w:r>
                              <w:rPr>
                                <w:rFonts w:hint="eastAsia" w:ascii="Times New Roman" w:hAnsi="Times New Roman"/>
                                <w:b/>
                                <w:bCs/>
                                <w:color w:val="auto"/>
                                <w:sz w:val="28"/>
                                <w:szCs w:val="28"/>
                                <w:highlight w:val="none"/>
                                <w:shd w:val="clear" w:color="auto" w:fill="auto"/>
                                <w:lang w:val="en-US" w:eastAsia="zh-CN" w:bidi="ar"/>
                              </w:rPr>
                              <w:t xml:space="preserve">   </w:t>
                            </w:r>
                            <w:r>
                              <w:rPr>
                                <w:rFonts w:hint="eastAsia" w:ascii="Times New Roman" w:hAnsi="Times New Roman" w:eastAsia="宋体" w:cs="Times New Roman"/>
                                <w:b/>
                                <w:bCs/>
                                <w:color w:val="auto"/>
                                <w:sz w:val="28"/>
                                <w:szCs w:val="28"/>
                                <w:highlight w:val="none"/>
                                <w:shd w:val="clear" w:color="auto" w:fill="auto"/>
                                <w:lang w:eastAsia="zh-CN" w:bidi="ar"/>
                              </w:rPr>
                              <w:t>参考检测数据距离示意图</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59.5pt;margin-top:440.95pt;height:29.95pt;width:312pt;z-index:251699200;mso-width-relative:page;mso-height-relative:page;" fillcolor="#FFFFFF [3212]" filled="t" stroked="t" coordsize="21600,21600" o:gfxdata="UEsDBAoAAAAAAIdO4kAAAAAAAAAAAAAAAAAEAAAAZHJzL1BLAwQUAAAACACHTuJAWk91tNkAAAAM&#10;AQAADwAAAGRycy9kb3ducmV2LnhtbE2PwU7DMBBE70j8g7VI3KhjKDQJ2VSiCNErpeLsxEuSEq/T&#10;2G3K39c9wXF2RrNviuXJ9uJIo+8cI6hZAoK4dqbjBmH7+XaXgvBBs9G9Y0L4JQ/L8vqq0LlxE3/Q&#10;cRMaEUvY5xqhDWHIpfR1S1b7mRuIo/ftRqtDlGMjzainWG57eZ8kT9LqjuOHVg+0aqn+2Rwswm6/&#10;/VJ2V6mX9/ViX03T6jVbdIi3Nyp5BhHoFP7CcMGP6FBGpsod2HjRIzyqLG4JCGmqMhCXhJo/xFOF&#10;kM1VCrIs5P8R5RlQSwMEFAAAAAgAh07iQMxKdhylAgAAXgUAAA4AAABkcnMvZTJvRG9jLnhtbK1U&#10;zW4TMRC+I/EOlu90N79tom6q0BCEVNFKBXF2vN6sJa9tbOePB4A34MSFO8/V5+CzN2nT0kMP7MEZ&#10;21++mflmxucX20aRtXBeGl3QzklOidDclFIvC/r50/zNGSU+MF0yZbQo6E54ejF5/ep8Y8eia2qj&#10;SuEISLQfb2xB6xDsOMs8r0XD/ImxQuOyMq5hAVu3zErHNmBvVNbN82G2Ma60znDhPU5n7SXdM7qX&#10;EJqqklzMDF81QoeW1QnFAlLytbSeTlK0VSV4uK4qLwJRBUWmIa1wAnsR12xyzsZLx2wt+T4E9pIQ&#10;nuTUMKnh9J5qxgIjKyf/oWokd8abKpxw02RtIkkRZNHJn2hzWzMrUi6Q2tt70f3/o+Uf1zeOyLKg&#10;PdRdswYVv/v54+7Xn7vf3wnOINDG+jFwtxbIsH1rtmibw7nHYcx7W7km/iIjgvve6SAf9QeU7Ao6&#10;PO3kw7O91GIbCI+A0bDbz1EFDkTvLO8NB5Eye2Cyzof3wjQkGgV1KGVSmK2vfGihB0h07I2S5Vwq&#10;lTZuubhUjqwZyj5P3579EUxpsinoaNBFoJyhl/1XGI2FGl4vk7dHeH9Mm6fvOdoY1oz5unXvd35m&#10;QsSxcSODcMmqBSvf6ZKEnYXiGpNGYyyNKClRAoMZrYQMTKqXICGd0lAwVqutSrTCdrEFTTQXptyh&#10;gs60Q+Atn0tEesV8uGEOXY9q4F0I11gqZRCN2VuU1MZ9e+484tGMuEX4mKIo4Yo5JKM+aLTpqNPv&#10;x7FLm/7gtIuNO75ZHN/oVXNpULEOXiDLkxnxQR3MypnmC56PafSKK6Y5fBc0HMzL0M42nh8uptME&#10;WlknlzX+AFoMnWXhSt9aHvexJtpMV8FUMvXUg057JTF2qSv3T0Sc6+N9Qj08i5O/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Wk91tNkAAAAMAQAADwAAAAAAAAABACAAAAAiAAAAZHJzL2Rvd25yZXYu&#10;eG1sUEsBAhQAFAAAAAgAh07iQMxKdhylAgAAXgUAAA4AAAAAAAAAAQAgAAAAKAEAAGRycy9lMm9E&#10;b2MueG1sUEsFBgAAAAAGAAYAWQEAAD8GAAAAAA==&#10;">
                <v:fill on="t" focussize="0,0"/>
                <v:stroke color="#000000 [3213]" joinstyle="miter" dashstyle="1 1" endcap="square"/>
                <v:imagedata o:title=""/>
                <o:lock v:ext="edit" aspectratio="f"/>
                <v:textbox>
                  <w:txbxContent>
                    <w:p w14:paraId="0986370E">
                      <w:pPr>
                        <w:jc w:val="center"/>
                      </w:pPr>
                      <w:r>
                        <w:rPr>
                          <w:rFonts w:hint="eastAsia" w:ascii="Times New Roman" w:hAnsi="Times New Roman"/>
                          <w:b/>
                          <w:bCs/>
                          <w:color w:val="auto"/>
                          <w:sz w:val="28"/>
                          <w:szCs w:val="28"/>
                          <w:highlight w:val="none"/>
                          <w:shd w:val="clear" w:color="auto" w:fill="auto"/>
                          <w:lang w:eastAsia="zh-CN" w:bidi="ar"/>
                        </w:rPr>
                        <w:t>附图</w:t>
                      </w:r>
                      <w:r>
                        <w:rPr>
                          <w:rFonts w:hint="eastAsia"/>
                          <w:b/>
                          <w:bCs/>
                          <w:color w:val="auto"/>
                          <w:sz w:val="28"/>
                          <w:szCs w:val="28"/>
                          <w:highlight w:val="none"/>
                          <w:shd w:val="clear" w:color="auto" w:fill="auto"/>
                          <w:lang w:val="en-US" w:eastAsia="zh-CN" w:bidi="ar"/>
                        </w:rPr>
                        <w:t>6</w:t>
                      </w:r>
                      <w:r>
                        <w:rPr>
                          <w:rFonts w:hint="eastAsia" w:ascii="Times New Roman" w:hAnsi="Times New Roman"/>
                          <w:b/>
                          <w:bCs/>
                          <w:color w:val="auto"/>
                          <w:sz w:val="28"/>
                          <w:szCs w:val="28"/>
                          <w:highlight w:val="none"/>
                          <w:shd w:val="clear" w:color="auto" w:fill="auto"/>
                          <w:lang w:val="en-US" w:eastAsia="zh-CN" w:bidi="ar"/>
                        </w:rPr>
                        <w:t xml:space="preserve">   </w:t>
                      </w:r>
                      <w:r>
                        <w:rPr>
                          <w:rFonts w:hint="eastAsia" w:ascii="Times New Roman" w:hAnsi="Times New Roman" w:eastAsia="宋体" w:cs="Times New Roman"/>
                          <w:b/>
                          <w:bCs/>
                          <w:color w:val="auto"/>
                          <w:sz w:val="28"/>
                          <w:szCs w:val="28"/>
                          <w:highlight w:val="none"/>
                          <w:shd w:val="clear" w:color="auto" w:fill="auto"/>
                          <w:lang w:eastAsia="zh-CN" w:bidi="ar"/>
                        </w:rPr>
                        <w:t>参考检测数据距离示意图</w:t>
                      </w:r>
                    </w:p>
                  </w:txbxContent>
                </v:textbox>
              </v:shape>
            </w:pict>
          </mc:Fallback>
        </mc:AlternateContent>
      </w:r>
      <w:r>
        <w:rPr>
          <w:color w:val="auto"/>
          <w:sz w:val="21"/>
          <w:highlight w:val="none"/>
        </w:rPr>
        <mc:AlternateContent>
          <mc:Choice Requires="wps">
            <w:drawing>
              <wp:anchor distT="0" distB="0" distL="114300" distR="114300" simplePos="0" relativeHeight="251679744" behindDoc="0" locked="0" layoutInCell="1" allowOverlap="1">
                <wp:simplePos x="0" y="0"/>
                <wp:positionH relativeFrom="column">
                  <wp:posOffset>4001135</wp:posOffset>
                </wp:positionH>
                <wp:positionV relativeFrom="paragraph">
                  <wp:posOffset>3704590</wp:posOffset>
                </wp:positionV>
                <wp:extent cx="685800" cy="266065"/>
                <wp:effectExtent l="0" t="0" r="0" b="0"/>
                <wp:wrapNone/>
                <wp:docPr id="47" name="文本框 403"/>
                <wp:cNvGraphicFramePr/>
                <a:graphic xmlns:a="http://schemas.openxmlformats.org/drawingml/2006/main">
                  <a:graphicData uri="http://schemas.microsoft.com/office/word/2010/wordprocessingShape">
                    <wps:wsp>
                      <wps:cNvSpPr txBox="1"/>
                      <wps:spPr>
                        <a:xfrm>
                          <a:off x="0" y="0"/>
                          <a:ext cx="685800" cy="266065"/>
                        </a:xfrm>
                        <a:prstGeom prst="rect">
                          <a:avLst/>
                        </a:prstGeom>
                        <a:noFill/>
                        <a:ln>
                          <a:noFill/>
                        </a:ln>
                      </wps:spPr>
                      <wps:txbx>
                        <w:txbxContent>
                          <w:p w14:paraId="1E2073F5">
                            <w:pPr>
                              <w:rPr>
                                <w:rFonts w:hint="default" w:eastAsia="宋体"/>
                                <w:color w:val="FFFFFF"/>
                                <w:lang w:val="en-US" w:eastAsia="zh-CN"/>
                              </w:rPr>
                            </w:pPr>
                            <w:r>
                              <w:rPr>
                                <w:rFonts w:hint="eastAsia"/>
                                <w:color w:val="FFFFFF"/>
                                <w:lang w:val="en-US" w:eastAsia="zh-CN"/>
                              </w:rPr>
                              <w:t>4700m</w:t>
                            </w:r>
                          </w:p>
                        </w:txbxContent>
                      </wps:txbx>
                      <wps:bodyPr vert="horz" wrap="square" anchor="t" anchorCtr="0" upright="1"/>
                    </wps:wsp>
                  </a:graphicData>
                </a:graphic>
              </wp:anchor>
            </w:drawing>
          </mc:Choice>
          <mc:Fallback>
            <w:pict>
              <v:shape id="文本框 403" o:spid="_x0000_s1026" o:spt="202" type="#_x0000_t202" style="position:absolute;left:0pt;margin-left:315.05pt;margin-top:291.7pt;height:20.95pt;width:54pt;z-index:251679744;mso-width-relative:page;mso-height-relative:page;" filled="f" stroked="f" coordsize="21600,21600" o:gfxdata="UEsDBAoAAAAAAIdO4kAAAAAAAAAAAAAAAAAEAAAAZHJzL1BLAwQUAAAACACHTuJAeca9A9gAAAAL&#10;AQAADwAAAGRycy9kb3ducmV2LnhtbE2PwU7DMAyG70i8Q2Qkbizpuo5Smu4A4gpiwKTdssZrKxqn&#10;arK1vD3mxI72/+n353Izu16ccQydJw3JQoFAqr3tqNHw+fFyl4MI0ZA1vSfU8IMBNtX1VWkK6yd6&#10;x/M2NoJLKBRGQxvjUEgZ6hadCQs/IHF29KMzkcexkXY0E5e7Xi6VWktnOuILrRnwqcX6e3tyGr5e&#10;j/vdSr01zy4bJj8rSe5Ban17k6hHEBHn+A/Dnz6rQ8VOB38iG0SvYZ2qhFENWZ6uQDBxn+a8OXC0&#10;zFKQVSkvf6h+AVBLAwQUAAAACACHTuJAKFhhmM0BAACDAwAADgAAAGRycy9lMm9Eb2MueG1srVPB&#10;btswDL0P6D8Iujd209YLjDgFtqC7DNuAbh+gyHIswBJVUYmdfcD2Bzvtsvu+K99RSk7Srb300ItM&#10;kdQj3yM9vxlMx7bKowZb8YtJzpmyEmpt1xX/9vX2fMYZBmFr0YFVFd8p5DeLszfz3pVqCi10tfKM&#10;QCyWvat4G4Irswxlq4zACThlKdiANyLQ1a+z2oue0E2XTfO8yHrwtfMgFSJ5l2OQHxD9SwChabRU&#10;S5Abo2wYUb3qRCBK2GqHfJG6bRolw+emQRVYV3FiGtJJRchexTNbzEW59sK1Wh5aEC9p4QknI7Sl&#10;oieopQiCbbx+BmW09IDQhIkEk41EkiLE4iJ/os1dK5xKXEhqdCfR8fVg5aftF890XfGrt5xZYWji&#10;+18/97//7v/8YFf5ZVSod1hS4p2j1DC8g4H25uhHckbiQ+NN/BIlRnHSd3fSVw2BSXIWs+tZThFJ&#10;oWlR5MV1RMkeHzuP4YMCw6JRcU/jS6qK7UcMY+oxJdaycKu7Lo2ws/85CDN6stj52GG0wrAaDnRW&#10;UO+IDf0HVKcF/52znrag4ni/EV5xJqwkd8XD0XwfxrXZOK/XLb1KEqQKNJtE47BHcfj/3lMfj//O&#10;4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5xr0D2AAAAAsBAAAPAAAAAAAAAAEAIAAAACIAAABk&#10;cnMvZG93bnJldi54bWxQSwECFAAUAAAACACHTuJAKFhhmM0BAACDAwAADgAAAAAAAAABACAAAAAn&#10;AQAAZHJzL2Uyb0RvYy54bWxQSwUGAAAAAAYABgBZAQAAZgUAAAAA&#10;">
                <v:fill on="f" focussize="0,0"/>
                <v:stroke on="f"/>
                <v:imagedata o:title=""/>
                <o:lock v:ext="edit" aspectratio="f"/>
                <v:textbox>
                  <w:txbxContent>
                    <w:p w14:paraId="1E2073F5">
                      <w:pPr>
                        <w:rPr>
                          <w:rFonts w:hint="default" w:eastAsia="宋体"/>
                          <w:color w:val="FFFFFF"/>
                          <w:lang w:val="en-US" w:eastAsia="zh-CN"/>
                        </w:rPr>
                      </w:pPr>
                      <w:r>
                        <w:rPr>
                          <w:rFonts w:hint="eastAsia"/>
                          <w:color w:val="FFFFFF"/>
                          <w:lang w:val="en-US" w:eastAsia="zh-CN"/>
                        </w:rPr>
                        <w:t>4700m</w:t>
                      </w:r>
                    </w:p>
                  </w:txbxContent>
                </v:textbox>
              </v:shape>
            </w:pict>
          </mc:Fallback>
        </mc:AlternateContent>
      </w:r>
      <w:r>
        <w:rPr>
          <w:color w:val="auto"/>
          <w:sz w:val="21"/>
          <w:highlight w:val="none"/>
        </w:rPr>
        <mc:AlternateContent>
          <mc:Choice Requires="wps">
            <w:drawing>
              <wp:anchor distT="0" distB="0" distL="114300" distR="114300" simplePos="0" relativeHeight="251681792" behindDoc="0" locked="0" layoutInCell="1" allowOverlap="1">
                <wp:simplePos x="0" y="0"/>
                <wp:positionH relativeFrom="column">
                  <wp:posOffset>2009775</wp:posOffset>
                </wp:positionH>
                <wp:positionV relativeFrom="paragraph">
                  <wp:posOffset>2472055</wp:posOffset>
                </wp:positionV>
                <wp:extent cx="3916045" cy="2313305"/>
                <wp:effectExtent l="0" t="0" r="8255" b="10795"/>
                <wp:wrapNone/>
                <wp:docPr id="51" name="自选图形 411"/>
                <wp:cNvGraphicFramePr/>
                <a:graphic xmlns:a="http://schemas.openxmlformats.org/drawingml/2006/main">
                  <a:graphicData uri="http://schemas.microsoft.com/office/word/2010/wordprocessingShape">
                    <wps:wsp>
                      <wps:cNvCnPr/>
                      <wps:spPr>
                        <a:xfrm>
                          <a:off x="0" y="0"/>
                          <a:ext cx="3916045" cy="2313305"/>
                        </a:xfrm>
                        <a:prstGeom prst="straightConnector1">
                          <a:avLst/>
                        </a:prstGeom>
                        <a:ln w="9525" cap="flat" cmpd="sng">
                          <a:solidFill>
                            <a:schemeClr val="bg1"/>
                          </a:solidFill>
                          <a:prstDash val="solid"/>
                          <a:headEnd type="arrow" w="med" len="med"/>
                          <a:tailEnd type="arrow" w="med" len="med"/>
                        </a:ln>
                      </wps:spPr>
                      <wps:bodyPr/>
                    </wps:wsp>
                  </a:graphicData>
                </a:graphic>
              </wp:anchor>
            </w:drawing>
          </mc:Choice>
          <mc:Fallback>
            <w:pict>
              <v:shape id="自选图形 411" o:spid="_x0000_s1026" o:spt="32" type="#_x0000_t32" style="position:absolute;left:0pt;margin-left:158.25pt;margin-top:194.65pt;height:182.15pt;width:308.35pt;z-index:251681792;mso-width-relative:page;mso-height-relative:page;" filled="f" stroked="t" coordsize="21600,21600" o:gfxdata="UEsDBAoAAAAAAIdO4kAAAAAAAAAAAAAAAAAEAAAAZHJzL1BLAwQUAAAACACHTuJARpIAf9oAAAAL&#10;AQAADwAAAGRycy9kb3ducmV2LnhtbE2PPW/CMBCG90r9D9YhdSt2cAkQ4jC0QlXVCejSzcTXJMIf&#10;aWwC/fe9TnS70z1673nLzdVZNuIQu+AVZFMBDH0dTOcbBR+H7eMSWEzaG22DRwU/GGFT3d+VujDh&#10;4nc47lPDKMTHQitoU+oLzmPdotNxGnr0dPsKg9OJ1qHhZtAXCneWz4TIudOdpw+t7vG5xfq0PzsF&#10;7vR62C2+s/6zCW/vOD5tuXixSj1MMrEGlvCabjD86ZM6VOR0DGdvIrMKZJbPCaVhuZLAiFhJOQN2&#10;VLCYyxx4VfL/HapfUEsDBBQAAAAIAIdO4kCsNJrF/QEAAO4DAAAOAAAAZHJzL2Uyb0RvYy54bWyt&#10;U82O0zAQviPxDpbvNEm7XbFR0z20lAuCSsADuLaTWPKfPN6mvXFDPAM3jrwDvM1K8BaMndKF5dID&#10;OThjz8w3830eL24PRpO9DKCcbWg1KSmRljuhbNfQ9+82z55TApFZwbSzsqFHCfR2+fTJYvC1nLre&#10;aSEDQRAL9eAb2sfo66IA3kvDYOK8tOhsXTAs4jZ0hQhsQHSji2lZXheDC8IHxyUAnq5HJz0hhksA&#10;XdsqLteO3xlp44gapGYRKUGvPNBl7rZtJY9v2hZkJLqhyDTmFYugvUtrsVywugvM94qfWmCXtPCI&#10;k2HKYtEz1JpFRu6C+gfKKB4cuDZOuDPFSCQrgiyq8pE2b3vmZeaCUoM/iw7/D5a/3m8DUaKh84oS&#10;ywze+I+PX39++HT/+fv9ty/kqqqSSIOHGmNXdhtOO/DbkBgf2mDSH7mQQxb2eBZWHiLheDi7qa7L&#10;qzklHH3TWTWblfOEWjyk+wDxpXSGJKOhEANTXR9Xzlq8RBeqLC/bv4I4Jv5OSLW1JUNDb+bTVILh&#10;ULY4DGgaj8TAdjkXnFZio7ROGRC63UoHsmc4GJv8nRr6KywVWTPox7jsSmGs7iUTL6wg8ehRMRaC&#10;G2jqwUhBiZb4spKVQyNT+qJQVENbFCVpPaqbrJ0Txyx6PscxyLKdRjbN2Z/7nP3wTJe/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EaSAH/aAAAACwEAAA8AAAAAAAAAAQAgAAAAIgAAAGRycy9kb3du&#10;cmV2LnhtbFBLAQIUABQAAAAIAIdO4kCsNJrF/QEAAO4DAAAOAAAAAAAAAAEAIAAAACkBAABkcnMv&#10;ZTJvRG9jLnhtbFBLBQYAAAAABgAGAFkBAACYBQAAAAA=&#10;">
                <v:fill on="f" focussize="0,0"/>
                <v:stroke color="#FFFFFF [3212]" joinstyle="round" startarrow="open" endarrow="open"/>
                <v:imagedata o:title=""/>
                <o:lock v:ext="edit" aspectratio="f"/>
              </v:shape>
            </w:pict>
          </mc:Fallback>
        </mc:AlternateContent>
      </w:r>
      <w:r>
        <w:rPr>
          <w:color w:val="auto"/>
          <w:sz w:val="21"/>
          <w:highlight w:val="none"/>
        </w:rPr>
        <mc:AlternateContent>
          <mc:Choice Requires="wps">
            <w:drawing>
              <wp:anchor distT="0" distB="0" distL="114300" distR="114300" simplePos="0" relativeHeight="251680768" behindDoc="0" locked="0" layoutInCell="1" allowOverlap="1">
                <wp:simplePos x="0" y="0"/>
                <wp:positionH relativeFrom="column">
                  <wp:posOffset>5896610</wp:posOffset>
                </wp:positionH>
                <wp:positionV relativeFrom="page">
                  <wp:posOffset>5476240</wp:posOffset>
                </wp:positionV>
                <wp:extent cx="133350" cy="133350"/>
                <wp:effectExtent l="4445" t="4445" r="14605" b="14605"/>
                <wp:wrapNone/>
                <wp:docPr id="50" name="椭圆 424"/>
                <wp:cNvGraphicFramePr/>
                <a:graphic xmlns:a="http://schemas.openxmlformats.org/drawingml/2006/main">
                  <a:graphicData uri="http://schemas.microsoft.com/office/word/2010/wordprocessingShape">
                    <wps:wsp>
                      <wps:cNvSpPr/>
                      <wps:spPr>
                        <a:xfrm>
                          <a:off x="0" y="0"/>
                          <a:ext cx="133350" cy="133350"/>
                        </a:xfrm>
                        <a:prstGeom prst="ellipse">
                          <a:avLst/>
                        </a:prstGeom>
                        <a:solidFill>
                          <a:srgbClr val="00B050"/>
                        </a:solidFill>
                        <a:ln w="9525" cap="flat" cmpd="sng">
                          <a:solidFill>
                            <a:srgbClr val="00B050"/>
                          </a:solidFill>
                          <a:prstDash val="solid"/>
                          <a:headEnd type="none" w="med" len="med"/>
                          <a:tailEnd type="none" w="med" len="med"/>
                        </a:ln>
                      </wps:spPr>
                      <wps:bodyPr wrap="square" upright="1"/>
                    </wps:wsp>
                  </a:graphicData>
                </a:graphic>
              </wp:anchor>
            </w:drawing>
          </mc:Choice>
          <mc:Fallback>
            <w:pict>
              <v:shape id="椭圆 424" o:spid="_x0000_s1026" o:spt="3" type="#_x0000_t3" style="position:absolute;left:0pt;margin-left:464.3pt;margin-top:431.2pt;height:10.5pt;width:10.5pt;mso-position-vertical-relative:page;z-index:251680768;mso-width-relative:page;mso-height-relative:page;" fillcolor="#00B050" filled="t" stroked="t" coordsize="21600,21600" o:gfxdata="UEsDBAoAAAAAAIdO4kAAAAAAAAAAAAAAAAAEAAAAZHJzL1BLAwQUAAAACACHTuJAzPsEwtgAAAAL&#10;AQAADwAAAGRycy9kb3ducmV2LnhtbE2Py07DMBBF90j8gzVI7KidECInxKkQArFDos2iSzeeJlH9&#10;iGL3wd8zrGA5d47unGnWV2fZGZc4Ba8gWwlg6PtgJj8o6LbvDxJYTNobbYNHBd8YYd3e3jS6NuHi&#10;v/C8SQOjEh9rrWBMaa45j/2ITsdVmNHT7hAWpxONy8DNoi9U7izPhSi505OnC6Oe8XXE/rg5OQXb&#10;D7vb4fGpE9XLJ06djFl465W6v8vEM7CE1/QHw68+qUNLTvtw8iYyq6DKZUmoAlnmBTAiqqKiZE+J&#10;fCyAtw3//0P7A1BLAwQUAAAACACHTuJAqJjKF/wBAAAnBAAADgAAAGRycy9lMm9Eb2MueG1srVPN&#10;jtMwEL4j8Q6W7zRpu0UQNV0JynJBsNLCA0xtJ7HkPzxu074AT8GRK48Fz7HjJHTZ5dIDl2Rsj7/5&#10;vm/G6+ujNeygImrvaj6flZwpJ7zUrq35l883L15xhgmcBOOdqvlJIb/ePH+27kOlFr7zRqrICMRh&#10;1YeadymFqihQdMoCznxQjg4bHy0kWsa2kBF6QremWJTly6L3UYbohUKk3e14yCfEeAmgbxot1NaL&#10;vVUujahRGUgkCTsdkG8Gtk2jRPrUNKgSMzUnpWn4UhGKd/lbbNZQtRFCp8VEAS6h8ESTBe2o6Blq&#10;CwnYPup/oKwW0aNv0kx4W4xCBkdIxbx84s1dB0ENWshqDGfT8f/Bio+H28i0rPmKLHFgqeO/f/z8&#10;9f0bu1pcZXv6gBVl3YXbOK2Qwqz12ESb/6SCHQdLT2dL1TExQZvz5XKZkQUdTTGhFA+XQ8T0XnnL&#10;clBzZQz1L4uGCg4fMI3Zf7LyNnqj5Y02ZljEdvfWRHaA3ODyTUnFxiuP0oxjfc1frxYrogI0tQ1N&#10;C4U2kHJ07VDv0Q28DDgT2wJ2I4EBYZypToF85yRLp0CWOnpKPFOwSnJmFL28HBFTqBJoc0kmmWYc&#10;eZcbMrYgRzsvT9TBnkaYlHzdQ6RC+xB125Gd88GMnEfzM/g+zXoe0L/XA+7D+97c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Mz7BMLYAAAACwEAAA8AAAAAAAAAAQAgAAAAIgAAAGRycy9kb3ducmV2&#10;LnhtbFBLAQIUABQAAAAIAIdO4kComMoX/AEAACcEAAAOAAAAAAAAAAEAIAAAACcBAABkcnMvZTJv&#10;RG9jLnhtbFBLBQYAAAAABgAGAFkBAACVBQAAAAA=&#10;">
                <v:fill on="t" focussize="0,0"/>
                <v:stroke color="#00B050" joinstyle="round"/>
                <v:imagedata o:title=""/>
                <o:lock v:ext="edit" aspectratio="f"/>
              </v:shape>
            </w:pict>
          </mc:Fallback>
        </mc:AlternateContent>
      </w:r>
      <w:r>
        <w:rPr>
          <w:color w:val="auto"/>
          <w:sz w:val="21"/>
          <w:highlight w:val="none"/>
        </w:rPr>
        <mc:AlternateContent>
          <mc:Choice Requires="wps">
            <w:drawing>
              <wp:anchor distT="0" distB="0" distL="114300" distR="114300" simplePos="0" relativeHeight="251682816" behindDoc="0" locked="0" layoutInCell="1" allowOverlap="1">
                <wp:simplePos x="0" y="0"/>
                <wp:positionH relativeFrom="column">
                  <wp:posOffset>8068310</wp:posOffset>
                </wp:positionH>
                <wp:positionV relativeFrom="page">
                  <wp:posOffset>5660390</wp:posOffset>
                </wp:positionV>
                <wp:extent cx="1257300" cy="1067435"/>
                <wp:effectExtent l="5080" t="4445" r="13970" b="13970"/>
                <wp:wrapNone/>
                <wp:docPr id="52" name="文本框 412"/>
                <wp:cNvGraphicFramePr/>
                <a:graphic xmlns:a="http://schemas.openxmlformats.org/drawingml/2006/main">
                  <a:graphicData uri="http://schemas.microsoft.com/office/word/2010/wordprocessingShape">
                    <wps:wsp>
                      <wps:cNvSpPr txBox="1"/>
                      <wps:spPr>
                        <a:xfrm>
                          <a:off x="0" y="0"/>
                          <a:ext cx="1257300" cy="106743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AD27D45">
                            <w:pPr>
                              <w:jc w:val="center"/>
                              <w:rPr>
                                <w:rFonts w:hint="eastAsia"/>
                                <w:sz w:val="28"/>
                                <w:szCs w:val="28"/>
                                <w:lang w:eastAsia="zh-CN"/>
                              </w:rPr>
                            </w:pPr>
                            <w:r>
                              <w:rPr>
                                <w:rFonts w:hint="eastAsia"/>
                                <w:sz w:val="28"/>
                                <w:szCs w:val="28"/>
                                <w:lang w:eastAsia="zh-CN"/>
                              </w:rPr>
                              <w:t>图例</w:t>
                            </w:r>
                          </w:p>
                          <w:p w14:paraId="7F10EBCC">
                            <w:pPr>
                              <w:jc w:val="both"/>
                              <w:rPr>
                                <w:rFonts w:hint="default"/>
                                <w:sz w:val="21"/>
                                <w:szCs w:val="21"/>
                                <w:lang w:val="en-US" w:eastAsia="zh-CN"/>
                              </w:rPr>
                            </w:pPr>
                            <w:r>
                              <w:rPr>
                                <w:rFonts w:hint="eastAsia"/>
                                <w:sz w:val="21"/>
                                <w:szCs w:val="21"/>
                                <w:lang w:val="en-US" w:eastAsia="zh-CN"/>
                              </w:rPr>
                              <w:t xml:space="preserve">    本项目</w:t>
                            </w:r>
                          </w:p>
                          <w:p w14:paraId="142F4597">
                            <w:pPr>
                              <w:ind w:left="420" w:hanging="420" w:hangingChars="200"/>
                              <w:jc w:val="both"/>
                              <w:rPr>
                                <w:rFonts w:hint="default"/>
                                <w:sz w:val="21"/>
                                <w:szCs w:val="21"/>
                                <w:lang w:val="en-US" w:eastAsia="zh-CN"/>
                              </w:rPr>
                            </w:pPr>
                            <w:r>
                              <w:rPr>
                                <w:rFonts w:hint="eastAsia"/>
                                <w:sz w:val="21"/>
                                <w:szCs w:val="21"/>
                                <w:lang w:val="en-US" w:eastAsia="zh-CN"/>
                              </w:rPr>
                              <w:t xml:space="preserve">    大气参照监测点</w:t>
                            </w:r>
                          </w:p>
                          <w:p w14:paraId="6BEA6F3D">
                            <w:pPr>
                              <w:jc w:val="both"/>
                              <w:rPr>
                                <w:rFonts w:hint="eastAsia"/>
                                <w:sz w:val="21"/>
                                <w:szCs w:val="21"/>
                                <w:lang w:eastAsia="zh-CN"/>
                              </w:rPr>
                            </w:pPr>
                          </w:p>
                        </w:txbxContent>
                      </wps:txbx>
                      <wps:bodyPr vert="horz" wrap="square" anchor="t" anchorCtr="0" upright="1"/>
                    </wps:wsp>
                  </a:graphicData>
                </a:graphic>
              </wp:anchor>
            </w:drawing>
          </mc:Choice>
          <mc:Fallback>
            <w:pict>
              <v:shape id="文本框 412" o:spid="_x0000_s1026" o:spt="202" type="#_x0000_t202" style="position:absolute;left:0pt;margin-left:635.3pt;margin-top:445.7pt;height:84.05pt;width:99pt;mso-position-vertical-relative:page;z-index:251682816;mso-width-relative:page;mso-height-relative:page;" fillcolor="#FFFFFF" filled="t" stroked="t" coordsize="21600,21600" o:gfxdata="UEsDBAoAAAAAAIdO4kAAAAAAAAAAAAAAAAAEAAAAZHJzL1BLAwQUAAAACACHTuJA3TzZ8dwAAAAO&#10;AQAADwAAAGRycy9kb3ducmV2LnhtbE2PwU7DMBBE70j8g7VIXBC1U9I0CXF6QALBrZSqXN3ETSLs&#10;dbDdtPw92xPcdnZHs2+q1dkaNmkfBocSkpkAprFx7YCdhO3H830OLESFrTIOtYQfHWBVX19Vqmzd&#10;Cd/1tIkdoxAMpZLQxziWnIem11aFmRs10u3gvFWRpO9469WJwq3hcyEybtWA9KFXo37qdfO1OVoJ&#10;efo6fYa3h/WuyQ6miHfL6eXbS3l7k4hHYFGf458ZLviEDjUx7d0R28AM6flSZOSltCJJgV0saZbT&#10;ak+TWBQL4HXF/9eofwFQSwMEFAAAAAgAh07iQK2eFUwuAgAAbQQAAA4AAABkcnMvZTJvRG9jLnht&#10;bK1UzY7TMBC+I/EOlu80aXa7y0ZNV2JLuSBAWvYBpo6TWPIfttukPAC8AScu3HmuPgdjp9v9gUMP&#10;+OCMPeNvZr6Zyfx6UJJsufPC6IpOJzklXDNTC91W9O7z6tVrSnwAXYM0mld0xz29Xrx8Me9tyQvT&#10;GVlzRxBE+7K3Fe1CsGWWedZxBX5iLNeobIxTEPDo2qx20CO6klmR5xdZb1xtnWHce7xdjkp6QHSn&#10;AJqmEYwvDdsorsOI6riEgCn5TlhPFynapuEsfGwazwORFcVMQ9rRCcrruGeLOZStA9sJdggBTgnh&#10;WU4KhEanR6glBCAbJ/6CUoI5400TJsyobEwkMYJZTPNn3Nx2YHnKBan29ki6/3+w7MP2kyOiruis&#10;oESDworvf3zf//y9//WNnE+LyFBvfYmGtxZNw/DGDNg39/ceL2PiQ+NU/GJKBPXI7+7ILx8CYfFR&#10;Mbs8y1HFUDfNLy7Pz2YRJ3t4bp0P77hRJAoVdVjAxCts3/swmt6bRG/eSFGvhJTp4Nr1jXRkC1js&#10;VVoH9CdmUpO+olezYoaBAHZwg52DorLIgtdt8vfkhX8MnKf1L+AY2BJ8NwaQEKIZlEoE7pLUcajf&#10;6pqEnUWiNQ4YjcEoXlMiOc5jlJJlACFPsUTupEYKY43GWkQpDOsBYaK4NvUO64YTj3x2xn1Fj9jv&#10;mOqXDTj0D5rhdUWRg1G8CeOAbKwTbYevUrGTB+zCVK7DxMQ2f3xOcTz8JR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N082fHcAAAADgEAAA8AAAAAAAAAAQAgAAAAIgAAAGRycy9kb3ducmV2Lnht&#10;bFBLAQIUABQAAAAIAIdO4kCtnhVMLgIAAG0EAAAOAAAAAAAAAAEAIAAAACsBAABkcnMvZTJvRG9j&#10;LnhtbFBLBQYAAAAABgAGAFkBAADLBQAAAAA=&#10;">
                <v:fill on="t" focussize="0,0"/>
                <v:stroke color="#000000" joinstyle="miter"/>
                <v:imagedata o:title=""/>
                <o:lock v:ext="edit" aspectratio="f"/>
                <v:textbox>
                  <w:txbxContent>
                    <w:p w14:paraId="3AD27D45">
                      <w:pPr>
                        <w:jc w:val="center"/>
                        <w:rPr>
                          <w:rFonts w:hint="eastAsia"/>
                          <w:sz w:val="28"/>
                          <w:szCs w:val="28"/>
                          <w:lang w:eastAsia="zh-CN"/>
                        </w:rPr>
                      </w:pPr>
                      <w:r>
                        <w:rPr>
                          <w:rFonts w:hint="eastAsia"/>
                          <w:sz w:val="28"/>
                          <w:szCs w:val="28"/>
                          <w:lang w:eastAsia="zh-CN"/>
                        </w:rPr>
                        <w:t>图例</w:t>
                      </w:r>
                    </w:p>
                    <w:p w14:paraId="7F10EBCC">
                      <w:pPr>
                        <w:jc w:val="both"/>
                        <w:rPr>
                          <w:rFonts w:hint="default"/>
                          <w:sz w:val="21"/>
                          <w:szCs w:val="21"/>
                          <w:lang w:val="en-US" w:eastAsia="zh-CN"/>
                        </w:rPr>
                      </w:pPr>
                      <w:r>
                        <w:rPr>
                          <w:rFonts w:hint="eastAsia"/>
                          <w:sz w:val="21"/>
                          <w:szCs w:val="21"/>
                          <w:lang w:val="en-US" w:eastAsia="zh-CN"/>
                        </w:rPr>
                        <w:t xml:space="preserve">    本项目</w:t>
                      </w:r>
                    </w:p>
                    <w:p w14:paraId="142F4597">
                      <w:pPr>
                        <w:ind w:left="420" w:hanging="420" w:hangingChars="200"/>
                        <w:jc w:val="both"/>
                        <w:rPr>
                          <w:rFonts w:hint="default"/>
                          <w:sz w:val="21"/>
                          <w:szCs w:val="21"/>
                          <w:lang w:val="en-US" w:eastAsia="zh-CN"/>
                        </w:rPr>
                      </w:pPr>
                      <w:r>
                        <w:rPr>
                          <w:rFonts w:hint="eastAsia"/>
                          <w:sz w:val="21"/>
                          <w:szCs w:val="21"/>
                          <w:lang w:val="en-US" w:eastAsia="zh-CN"/>
                        </w:rPr>
                        <w:t xml:space="preserve">    大气参照监测点</w:t>
                      </w:r>
                    </w:p>
                    <w:p w14:paraId="6BEA6F3D">
                      <w:pPr>
                        <w:jc w:val="both"/>
                        <w:rPr>
                          <w:rFonts w:hint="eastAsia"/>
                          <w:sz w:val="21"/>
                          <w:szCs w:val="21"/>
                          <w:lang w:eastAsia="zh-CN"/>
                        </w:rPr>
                      </w:pPr>
                    </w:p>
                  </w:txbxContent>
                </v:textbox>
              </v:shape>
            </w:pict>
          </mc:Fallback>
        </mc:AlternateContent>
      </w:r>
      <w:r>
        <w:rPr>
          <w:color w:val="auto"/>
          <w:highlight w:val="none"/>
          <w:shd w:val="clear" w:color="auto" w:fill="auto"/>
        </w:rPr>
        <w:drawing>
          <wp:anchor distT="0" distB="0" distL="114300" distR="114300" simplePos="0" relativeHeight="251673600" behindDoc="0" locked="0" layoutInCell="1" allowOverlap="1">
            <wp:simplePos x="0" y="0"/>
            <wp:positionH relativeFrom="column">
              <wp:posOffset>8674735</wp:posOffset>
            </wp:positionH>
            <wp:positionV relativeFrom="paragraph">
              <wp:posOffset>92075</wp:posOffset>
            </wp:positionV>
            <wp:extent cx="645160" cy="685165"/>
            <wp:effectExtent l="0" t="0" r="2540" b="635"/>
            <wp:wrapNone/>
            <wp:docPr id="16"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9"/>
                    <pic:cNvPicPr>
                      <a:picLocks noChangeAspect="1"/>
                    </pic:cNvPicPr>
                  </pic:nvPicPr>
                  <pic:blipFill>
                    <a:blip r:embed="rId35"/>
                    <a:stretch>
                      <a:fillRect/>
                    </a:stretch>
                  </pic:blipFill>
                  <pic:spPr>
                    <a:xfrm>
                      <a:off x="0" y="0"/>
                      <a:ext cx="645160" cy="685165"/>
                    </a:xfrm>
                    <a:prstGeom prst="rect">
                      <a:avLst/>
                    </a:prstGeom>
                    <a:noFill/>
                    <a:ln>
                      <a:noFill/>
                    </a:ln>
                  </pic:spPr>
                </pic:pic>
              </a:graphicData>
            </a:graphic>
          </wp:anchor>
        </w:drawing>
      </w:r>
      <w:r>
        <w:rPr>
          <w:color w:val="auto"/>
          <w:highlight w:val="none"/>
        </w:rPr>
        <w:drawing>
          <wp:inline distT="0" distB="0" distL="114300" distR="114300">
            <wp:extent cx="8686165" cy="5970905"/>
            <wp:effectExtent l="19050" t="19050" r="19685" b="29845"/>
            <wp:docPr id="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pic:cNvPicPr>
                      <a:picLocks noChangeAspect="1"/>
                    </pic:cNvPicPr>
                  </pic:nvPicPr>
                  <pic:blipFill>
                    <a:blip r:embed="rId39"/>
                    <a:stretch>
                      <a:fillRect/>
                    </a:stretch>
                  </pic:blipFill>
                  <pic:spPr>
                    <a:xfrm>
                      <a:off x="0" y="0"/>
                      <a:ext cx="8686165" cy="5970905"/>
                    </a:xfrm>
                    <a:prstGeom prst="rect">
                      <a:avLst/>
                    </a:prstGeom>
                    <a:noFill/>
                    <a:ln w="19050" cmpd="sng">
                      <a:solidFill>
                        <a:schemeClr val="tx1"/>
                      </a:solidFill>
                      <a:prstDash val="solid"/>
                    </a:ln>
                  </pic:spPr>
                </pic:pic>
              </a:graphicData>
            </a:graphic>
          </wp:inline>
        </w:drawing>
      </w:r>
      <w:r>
        <w:rPr>
          <w:color w:val="auto"/>
          <w:sz w:val="21"/>
          <w:highlight w:val="none"/>
        </w:rPr>
        <mc:AlternateContent>
          <mc:Choice Requires="wps">
            <w:drawing>
              <wp:anchor distT="0" distB="0" distL="114300" distR="114300" simplePos="0" relativeHeight="251666432" behindDoc="1" locked="0" layoutInCell="1" allowOverlap="1">
                <wp:simplePos x="0" y="0"/>
                <wp:positionH relativeFrom="column">
                  <wp:posOffset>8677910</wp:posOffset>
                </wp:positionH>
                <wp:positionV relativeFrom="paragraph">
                  <wp:posOffset>5055235</wp:posOffset>
                </wp:positionV>
                <wp:extent cx="276225" cy="152400"/>
                <wp:effectExtent l="4445" t="4445" r="5080" b="14605"/>
                <wp:wrapNone/>
                <wp:docPr id="1" name="文本框 420"/>
                <wp:cNvGraphicFramePr/>
                <a:graphic xmlns:a="http://schemas.openxmlformats.org/drawingml/2006/main">
                  <a:graphicData uri="http://schemas.microsoft.com/office/word/2010/wordprocessingShape">
                    <wps:wsp>
                      <wps:cNvSpPr txBox="1"/>
                      <wps:spPr>
                        <a:xfrm>
                          <a:off x="0" y="0"/>
                          <a:ext cx="276225" cy="152400"/>
                        </a:xfrm>
                        <a:prstGeom prst="rect">
                          <a:avLst/>
                        </a:prstGeom>
                        <a:solidFill>
                          <a:srgbClr val="FFFFFF"/>
                        </a:solidFill>
                        <a:ln w="9525" cap="flat" cmpd="sng">
                          <a:solidFill>
                            <a:srgbClr val="FFFF00"/>
                          </a:solidFill>
                          <a:prstDash val="solid"/>
                          <a:miter/>
                          <a:headEnd type="none" w="med" len="med"/>
                          <a:tailEnd type="none" w="med" len="med"/>
                        </a:ln>
                      </wps:spPr>
                      <wps:txbx>
                        <w:txbxContent>
                          <w:p w14:paraId="643DC790"/>
                        </w:txbxContent>
                      </wps:txbx>
                      <wps:bodyPr vert="horz" wrap="square" anchor="t" anchorCtr="0" upright="1"/>
                    </wps:wsp>
                  </a:graphicData>
                </a:graphic>
              </wp:anchor>
            </w:drawing>
          </mc:Choice>
          <mc:Fallback>
            <w:pict>
              <v:shape id="文本框 420" o:spid="_x0000_s1026" o:spt="202" type="#_x0000_t202" style="position:absolute;left:0pt;margin-left:683.3pt;margin-top:398.05pt;height:12pt;width:21.75pt;z-index:-251650048;mso-width-relative:page;mso-height-relative:page;" fillcolor="#FFFFFF" filled="t" stroked="t" coordsize="21600,21600" o:gfxdata="UEsDBAoAAAAAAIdO4kAAAAAAAAAAAAAAAAAEAAAAZHJzL1BLAwQUAAAACACHTuJAD69qRNgAAAAN&#10;AQAADwAAAGRycy9kb3ducmV2LnhtbE2PzU7DMBCE70i8g7VI3KidFoUQ4vRQiQvi0hA4u/GSRI3X&#10;ke3+8fRsT3Cb0X6ananWZzeJI4Y4etKQLRQIpM7bkXoN7cfrQwEiJkPWTJ5QwwUjrOvbm8qU1p9o&#10;i8cm9YJDKJZGw5DSXEoZuwGdiQs/I/Ht2wdnEtvQSxvMicPdJJdK5dKZkfjDYGbcDNjtm4PTgH7v&#10;6fLTtJ+bN79tw3tcua9C6/u7TL2ASHhOfzBc63N1qLnTzh/IRjGxX+V5zqyGp+c8A3FFHjPFaqeh&#10;WLKQdSX/r6h/AVBLAwQUAAAACACHTuJALvn9aSgCAABqBAAADgAAAGRycy9lMm9Eb2MueG1srVRL&#10;rtMwFJ0jsQfLc5o2en1A1fRJvFImCJAeLMB1nMSSf9hum7IA2AEjJsxZV9fBsVNaXpl0QAfpjX19&#10;7jnnXmd+12tFtsIHaU1FJ6MxJcJwW0vTVvTTx9WzF5SEyEzNlDWionsR6N3i6ZP5zs1EaTurauEJ&#10;QEyY7VxFuxjdrCgC74RmYWSdMNhsrNcs4tW3Re3ZDuhaFeV4fFvsrK+dt1yEgNXlsEmPiP4aQNs0&#10;koul5RstTBxQvVAsQlLopAt0kdk2jeDxfdMEEYmqKJTG/EQRxOv0LBZzNms9c53kRwrsGgoXmjST&#10;BkVPUEsWGdl4+Q+UltzbYJs44lYXg5DsCFRMxhfePHTMiawFVgd3Mj38P1j+bvvBE1ljEigxTKPh&#10;h+/fDj9+HX5+JTdlNmjnwgx5Dw6ZsX9l+5QM49J6wGLS3Tdep38oItiHvfuTvaKPhGOxfH5bllNK&#10;OLYm0/JmnNGL82HnQ3wjrCYpqKhH97KpbPs2RBRE6p+UVCtYJeuVVCq/+HZ9rzzZMnR6lX+JI448&#10;SlOG7Cr6cpp5MIxvg7EBJe1gQTBtrvfoRLgEPtF+lJaILVnoBgJ5axguLaPwecw6werXpiZx72Cz&#10;we2iiYwWNSVK4DKmKGdGJtU1mVCnDESeO5Gi2K97wKRwbes9uobrDj8767+gIoYdUj9vmEd9ZjiW&#10;KwoPhvA+Drdj47xsO5zKrc4VMILZ0ON1STP+93vmcf5ELH4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D69qRNgAAAANAQAADwAAAAAAAAABACAAAAAiAAAAZHJzL2Rvd25yZXYueG1sUEsBAhQAFAAA&#10;AAgAh07iQC75/WkoAgAAagQAAA4AAAAAAAAAAQAgAAAAJwEAAGRycy9lMm9Eb2MueG1sUEsFBgAA&#10;AAAGAAYAWQEAAMEFAAAAAA==&#10;">
                <v:fill on="t" focussize="0,0"/>
                <v:stroke color="#FFFF00" joinstyle="miter"/>
                <v:imagedata o:title=""/>
                <o:lock v:ext="edit" aspectratio="f"/>
                <v:textbox>
                  <w:txbxContent>
                    <w:p w14:paraId="643DC790"/>
                  </w:txbxContent>
                </v:textbox>
              </v:shape>
            </w:pict>
          </mc:Fallback>
        </mc:AlternateContent>
      </w:r>
    </w:p>
    <w:p w14:paraId="52448A03">
      <w:pPr>
        <w:jc w:val="center"/>
        <w:rPr>
          <w:rFonts w:ascii="Times New Roman" w:hAnsi="Times New Roman"/>
          <w:color w:val="auto"/>
          <w:highlight w:val="none"/>
          <w:shd w:val="clear" w:color="auto" w:fill="auto"/>
          <w:lang w:bidi="ar"/>
        </w:rPr>
        <w:sectPr>
          <w:pgSz w:w="16838" w:h="11906" w:orient="landscape"/>
          <w:pgMar w:top="1134" w:right="567" w:bottom="1134" w:left="567" w:header="851" w:footer="851" w:gutter="0"/>
          <w:pgNumType w:fmt="decimal"/>
          <w:cols w:space="720" w:num="1"/>
          <w:docGrid w:type="lines" w:linePitch="312" w:charSpace="0"/>
        </w:sectPr>
      </w:pPr>
    </w:p>
    <w:p w14:paraId="6BABF0C3">
      <w:pPr>
        <w:bidi w:val="0"/>
        <w:jc w:val="center"/>
        <w:rPr>
          <w:rFonts w:hint="eastAsia"/>
          <w:color w:val="auto"/>
          <w:highlight w:val="none"/>
          <w:lang w:eastAsia="zh-CN"/>
        </w:rPr>
      </w:pPr>
      <w:r>
        <w:rPr>
          <w:color w:val="auto"/>
          <w:sz w:val="32"/>
          <w:highlight w:val="none"/>
        </w:rPr>
        <mc:AlternateContent>
          <mc:Choice Requires="wps">
            <w:drawing>
              <wp:anchor distT="0" distB="0" distL="114300" distR="114300" simplePos="0" relativeHeight="251677696" behindDoc="0" locked="0" layoutInCell="1" allowOverlap="1">
                <wp:simplePos x="0" y="0"/>
                <wp:positionH relativeFrom="column">
                  <wp:posOffset>2189480</wp:posOffset>
                </wp:positionH>
                <wp:positionV relativeFrom="paragraph">
                  <wp:posOffset>4109720</wp:posOffset>
                </wp:positionV>
                <wp:extent cx="76200" cy="76200"/>
                <wp:effectExtent l="13970" t="15875" r="24130" b="22225"/>
                <wp:wrapNone/>
                <wp:docPr id="26" name="自选图形 346"/>
                <wp:cNvGraphicFramePr/>
                <a:graphic xmlns:a="http://schemas.openxmlformats.org/drawingml/2006/main">
                  <a:graphicData uri="http://schemas.microsoft.com/office/word/2010/wordprocessingShape">
                    <wps:wsp>
                      <wps:cNvSpPr/>
                      <wps:spPr>
                        <a:xfrm>
                          <a:off x="0" y="0"/>
                          <a:ext cx="76200" cy="76200"/>
                        </a:xfrm>
                        <a:prstGeom prst="star5">
                          <a:avLst/>
                        </a:prstGeom>
                        <a:solidFill>
                          <a:srgbClr val="FFFF00"/>
                        </a:solidFill>
                        <a:ln w="9525" cap="flat" cmpd="sng">
                          <a:solidFill>
                            <a:srgbClr val="FFFF00"/>
                          </a:solidFill>
                          <a:prstDash val="solid"/>
                          <a:miter/>
                          <a:headEnd type="none" w="med" len="med"/>
                          <a:tailEnd type="none" w="med" len="med"/>
                        </a:ln>
                      </wps:spPr>
                      <wps:bodyPr vert="horz" wrap="square" anchor="t" anchorCtr="0" upright="1"/>
                    </wps:wsp>
                  </a:graphicData>
                </a:graphic>
              </wp:anchor>
            </w:drawing>
          </mc:Choice>
          <mc:Fallback>
            <w:pict>
              <v:shape id="自选图形 346" o:spid="_x0000_s1026" style="position:absolute;left:0pt;margin-left:172.4pt;margin-top:323.6pt;height:6pt;width:6pt;z-index:251677696;mso-width-relative:page;mso-height-relative:page;" fillcolor="#FFFF00" filled="t" stroked="t" coordsize="76200,76200" o:gfxdata="UEsDBAoAAAAAAIdO4kAAAAAAAAAAAAAAAAAEAAAAZHJzL1BLAwQUAAAACACHTuJABf1betkAAAAL&#10;AQAADwAAAGRycy9kb3ducmV2LnhtbE2PTU+DQBCG7yb+h82YeLNLgdIWWXowMdH0YESTXrcwskR2&#10;Ftkt4L93POnx/cg7zxSHxfZiwtF3jhSsVxEIpNo1HbUK3t8e73YgfNDU6N4RKvhGD4fy+qrQeeNm&#10;esWpCq3gEfK5VmBCGHIpfW3Qar9yAxJnH260OrAcW9mMeuZx28s4ijJpdUd8wegBHwzWn9XFKqie&#10;5XH7tCynr8TT7HY4meP4otTtzTq6BxFwCX9l+MVndCiZ6ewu1HjRK0jSlNGDgizdxiC4kWwyds7s&#10;bPYxyLKQ/38ofwBQSwMEFAAAAAgAh07iQFFzWxcfAgAAWAQAAA4AAABkcnMvZTJvRG9jLnhtbK1U&#10;zY7TMBC+I/EOlu80baEFoqZ72FIuCFZaeICp7SSW/IftNi0nbohn4MaRd4C3WQnegrFduuxy6YEc&#10;krE9/ma+b2ayuNhrRXbCB2lNQyejMSXCMMul6Rr67u360TNKQgTDQVkjGnoQgV4sHz5YDK4WU9tb&#10;xYUnCGJCPbiG9jG6uqoC64WGMLJOGDxsrdcQcem7insYEF2rajoez6vBeu68ZSIE3F2VQ3pE9OcA&#10;2raVTKws22phYkH1QkFESqGXLtBlzrZtBYtv2jaISFRDkWnMbwyC9ia9q+UC6s6D6yU7pgDnpHCP&#10;kwZpMOgJagURyNbLf6C0ZN4G28YRs7oqRLIiyGIyvqfNdQ9OZC4odXAn0cP/g2Wvd1eeSN7Q6ZwS&#10;Axor/vPTt18fP998+XHz/St5/GSeRBpcqNH32l354yqgmRjvW6/TF7mQfRb2cBJW7CNhuPl0jpWn&#10;hOFJMRGjur3qfIgvhdUkGQ3F7vOzrCbsXoVYfP/4pFDBKsnXUqm88N3mUnmyAyzxGh+MVK7ccVOG&#10;DA19PpvOMA/Avm2xX9DUDrkH0+V4d26E84BTYisIfUkgI5Su0jKKJBbUvQD+wnASDw7lNThWNCWj&#10;BadECZzCZGXPCFKd44niKYMaprKUQiRrY/kBq4nDjSr21n/AMNjayO/9FjwGBcNwu6FIvJiXsczC&#10;1nnZ9XhrkrVLYNhwuUjH4Ugd/fc6B7/9ISx/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AX9W3rZ&#10;AAAACwEAAA8AAAAAAAAAAQAgAAAAIgAAAGRycy9kb3ducmV2LnhtbFBLAQIUABQAAAAIAIdO4kBR&#10;c1sXHwIAAFgEAAAOAAAAAAAAAAEAIAAAACgBAABkcnMvZTJvRG9jLnhtbFBLBQYAAAAABgAGAFkB&#10;AAC5BQAAAAA=&#10;" path="m0,29105l29105,29105,38100,0,47094,29105,76199,29105,52652,47093,61647,76199,38100,58211,14552,76199,23547,47093xe">
                <v:path o:connectlocs="38100,0;0,29105;14552,76199;61647,76199;76199,29105" o:connectangles="247,164,82,82,0"/>
                <v:fill on="t" focussize="0,0"/>
                <v:stroke color="#FFFF00" joinstyle="miter"/>
                <v:imagedata o:title=""/>
                <o:lock v:ext="edit" aspectratio="f"/>
              </v:shape>
            </w:pict>
          </mc:Fallback>
        </mc:AlternateContent>
      </w:r>
      <w:r>
        <w:rPr>
          <w:b/>
          <w:color w:val="auto"/>
          <w:highlight w:val="none"/>
          <w:shd w:val="clear" w:color="auto" w:fill="auto"/>
        </w:rPr>
        <mc:AlternateContent>
          <mc:Choice Requires="wps">
            <w:drawing>
              <wp:anchor distT="0" distB="0" distL="114300" distR="114300" simplePos="0" relativeHeight="251669504" behindDoc="0" locked="0" layoutInCell="1" allowOverlap="1">
                <wp:simplePos x="0" y="0"/>
                <wp:positionH relativeFrom="column">
                  <wp:posOffset>2087245</wp:posOffset>
                </wp:positionH>
                <wp:positionV relativeFrom="paragraph">
                  <wp:posOffset>2626995</wp:posOffset>
                </wp:positionV>
                <wp:extent cx="914400" cy="373380"/>
                <wp:effectExtent l="4445" t="5080" r="14605" b="1183640"/>
                <wp:wrapNone/>
                <wp:docPr id="6" name="自选图形 32"/>
                <wp:cNvGraphicFramePr/>
                <a:graphic xmlns:a="http://schemas.openxmlformats.org/drawingml/2006/main">
                  <a:graphicData uri="http://schemas.microsoft.com/office/word/2010/wordprocessingShape">
                    <wps:wsp>
                      <wps:cNvSpPr/>
                      <wps:spPr>
                        <a:xfrm>
                          <a:off x="0" y="0"/>
                          <a:ext cx="914400" cy="373380"/>
                        </a:xfrm>
                        <a:prstGeom prst="wedgeRoundRectCallout">
                          <a:avLst>
                            <a:gd name="adj1" fmla="val -33819"/>
                            <a:gd name="adj2" fmla="val 352040"/>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1CAA4A3A">
                            <w:pPr>
                              <w:rPr>
                                <w:sz w:val="21"/>
                                <w:szCs w:val="21"/>
                              </w:rPr>
                            </w:pPr>
                            <w:r>
                              <w:rPr>
                                <w:rFonts w:hint="eastAsia"/>
                                <w:sz w:val="21"/>
                                <w:szCs w:val="21"/>
                              </w:rPr>
                              <w:t>本项目</w:t>
                            </w:r>
                          </w:p>
                        </w:txbxContent>
                      </wps:txbx>
                      <wps:bodyPr vert="horz" wrap="square" anchor="t" anchorCtr="0" upright="1"/>
                    </wps:wsp>
                  </a:graphicData>
                </a:graphic>
              </wp:anchor>
            </w:drawing>
          </mc:Choice>
          <mc:Fallback>
            <w:pict>
              <v:shape id="自选图形 32" o:spid="_x0000_s1026" o:spt="62" type="#_x0000_t62" style="position:absolute;left:0pt;margin-left:164.35pt;margin-top:206.85pt;height:29.4pt;width:72pt;z-index:251669504;mso-width-relative:page;mso-height-relative:page;" fillcolor="#FFFFFF" filled="t" stroked="t" coordsize="21600,21600" o:gfxdata="UEsDBAoAAAAAAIdO4kAAAAAAAAAAAAAAAAAEAAAAZHJzL1BLAwQUAAAACACHTuJANsy3H9kAAAAL&#10;AQAADwAAAGRycy9kb3ducmV2LnhtbE2PwU7DMAyG70i8Q2QkbixpO9jUNZ3QJA5wQGxMaEc3DW1F&#10;41RN1o23x3AZt8/yr9+fi/XZ9WKyY+g8aUhmCoQl4+uOGg3796e7JYgQkWrsPVkN3zbAury+KjCv&#10;/Ym2dtrFRnAJhRw1tDEOuZTBtNZhmPnBEu8+/egw8jg2sh7xxOWul6lSD9JhR3yhxcFuWmu+dken&#10;4eN5Gx5xrw5vVTe9JJvBvGZktL69SdQKRLTneAnDrz6rQ8lOlT9SHUSvIUuXC45qmCcZAyfmi5Sh&#10;+oN7kGUh//9Q/gBQSwMEFAAAAAgAh07iQHMNGwloAgAA6gQAAA4AAABkcnMvZTJvRG9jLnhtbK1U&#10;zXLTMBC+M8M7aHRvbOevbaZODwnhwkCnhQdQJNkWoz8kJU44cWN4Bm4ceQd4m87AW7CS3TYtHHLA&#10;B3klrT59++2uLi53SqItd14YXeJikGPENTVM6LrE796uTs4w8oFoRqTRvMR77vHl/Pmzi9bO+NA0&#10;RjLuEIBoP2ttiZsQ7CzLPG24In5gLNewWRmnSICpqzPmSAvoSmbDPJ9mrXHMOkO597C67DZxj+iO&#10;ATRVJShfGrpRXIcO1XFJAoTkG2E9nie2VcVpeFNVngckSwyRhjTCJWCv45jNL8isdsQ2gvYUyDEU&#10;nsSkiNBw6T3UkgSCNk78BaUEdcabKgyoUVkXSFIEoijyJ9rcNMTyFAtI7e296P7/wdLX2yuHBCvx&#10;FCNNFCT81+fvvz99uf368/bHNzQaRola62fgeWOvXD/zYMZ4d5VT8Q+RoF2SdX8vK98FRGHxvBiP&#10;cxCcwtbodDQ6S7JnD4et8+ElNwpFo8QtZzW/NhvNriF/CyKl2YSkLtm+8iHJzHqyhL0vMKqUhKxt&#10;iUQnAF+c92k9cBoeOo0mw3x8l/sDp9GhUzGdTk8jEBDt7wXrjmok4Y0UbCWkTBNXrxfSISBR4lX6&#10;+sOP3KRGLSgyGU5ADwLtU0HZgqkspMDrOoX56IQ/BM7T9y/gSGxJfNMRSAidCkoE7lKZN5ywF5qh&#10;sLeQZg3djSMZxRlGksNjEK3kGYiQx3iCIFKDQrE+uoqIVtitd32ZrA3bQ33BcwN5bYz7CDdCs0Go&#10;HzbEwf1EU1guMWjQmYvQdefGOlE3cKpI0UZcaIGUjb5dY48dzhOPhydq/g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2zLcf2QAAAAsBAAAPAAAAAAAAAAEAIAAAACIAAABkcnMvZG93bnJldi54bWxQ&#10;SwECFAAUAAAACACHTuJAcw0bCWgCAADqBAAADgAAAAAAAAABACAAAAAoAQAAZHJzL2Uyb0RvYy54&#10;bWxQSwUGAAAAAAYABgBZAQAAAgYAAAAA&#10;" adj="3495,86841,14400">
                <v:fill on="t" focussize="0,0"/>
                <v:stroke color="#000000" joinstyle="miter"/>
                <v:imagedata o:title=""/>
                <o:lock v:ext="edit" aspectratio="f"/>
                <v:textbox>
                  <w:txbxContent>
                    <w:p w14:paraId="1CAA4A3A">
                      <w:pPr>
                        <w:rPr>
                          <w:sz w:val="21"/>
                          <w:szCs w:val="21"/>
                        </w:rPr>
                      </w:pPr>
                      <w:r>
                        <w:rPr>
                          <w:rFonts w:hint="eastAsia"/>
                          <w:sz w:val="21"/>
                          <w:szCs w:val="21"/>
                        </w:rPr>
                        <w:t>本项目</w:t>
                      </w:r>
                    </w:p>
                  </w:txbxContent>
                </v:textbox>
              </v:shape>
            </w:pict>
          </mc:Fallback>
        </mc:AlternateContent>
      </w:r>
      <w:r>
        <w:rPr>
          <w:rFonts w:hint="eastAsia"/>
          <w:color w:val="auto"/>
          <w:highlight w:val="none"/>
          <w:lang w:eastAsia="zh-CN"/>
        </w:rPr>
        <w:drawing>
          <wp:inline distT="0" distB="0" distL="114300" distR="114300">
            <wp:extent cx="5585460" cy="8110855"/>
            <wp:effectExtent l="0" t="0" r="15240" b="4445"/>
            <wp:docPr id="143" name="图片 194" descr="ea162fe2980dd21d568653675949b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94" descr="ea162fe2980dd21d568653675949bb6"/>
                    <pic:cNvPicPr>
                      <a:picLocks noChangeAspect="1"/>
                    </pic:cNvPicPr>
                  </pic:nvPicPr>
                  <pic:blipFill>
                    <a:blip r:embed="rId40"/>
                    <a:stretch>
                      <a:fillRect/>
                    </a:stretch>
                  </pic:blipFill>
                  <pic:spPr>
                    <a:xfrm>
                      <a:off x="0" y="0"/>
                      <a:ext cx="5585460" cy="8110855"/>
                    </a:xfrm>
                    <a:prstGeom prst="rect">
                      <a:avLst/>
                    </a:prstGeom>
                    <a:noFill/>
                    <a:ln>
                      <a:noFill/>
                    </a:ln>
                  </pic:spPr>
                </pic:pic>
              </a:graphicData>
            </a:graphic>
          </wp:inline>
        </w:drawing>
      </w:r>
    </w:p>
    <w:p w14:paraId="6F723993">
      <w:pPr>
        <w:jc w:val="center"/>
        <w:rPr>
          <w:rFonts w:hint="eastAsia" w:ascii="Times New Roman" w:hAnsi="Times New Roman" w:eastAsia="宋体" w:cs="Times New Roman"/>
          <w:b/>
          <w:bCs/>
          <w:color w:val="auto"/>
          <w:sz w:val="28"/>
          <w:szCs w:val="28"/>
          <w:highlight w:val="none"/>
          <w:shd w:val="clear" w:color="auto" w:fill="auto"/>
          <w:lang w:eastAsia="zh-CN" w:bidi="ar"/>
        </w:rPr>
      </w:pPr>
      <w:r>
        <w:rPr>
          <w:rFonts w:hint="eastAsia" w:ascii="Times New Roman" w:hAnsi="Times New Roman"/>
          <w:b/>
          <w:bCs/>
          <w:color w:val="auto"/>
          <w:sz w:val="28"/>
          <w:szCs w:val="28"/>
          <w:highlight w:val="none"/>
          <w:shd w:val="clear" w:color="auto" w:fill="auto"/>
          <w:lang w:eastAsia="zh-CN" w:bidi="ar"/>
        </w:rPr>
        <w:t>附图</w:t>
      </w:r>
      <w:r>
        <w:rPr>
          <w:rFonts w:hint="eastAsia"/>
          <w:b/>
          <w:bCs/>
          <w:color w:val="auto"/>
          <w:sz w:val="28"/>
          <w:szCs w:val="28"/>
          <w:highlight w:val="none"/>
          <w:shd w:val="clear" w:color="auto" w:fill="auto"/>
          <w:lang w:val="en-US" w:eastAsia="zh-CN" w:bidi="ar"/>
        </w:rPr>
        <w:t>7</w:t>
      </w:r>
      <w:r>
        <w:rPr>
          <w:rFonts w:hint="eastAsia" w:ascii="Times New Roman" w:hAnsi="Times New Roman"/>
          <w:b/>
          <w:bCs/>
          <w:color w:val="auto"/>
          <w:sz w:val="28"/>
          <w:szCs w:val="28"/>
          <w:highlight w:val="none"/>
          <w:shd w:val="clear" w:color="auto" w:fill="auto"/>
          <w:lang w:val="en-US" w:eastAsia="zh-CN" w:bidi="ar"/>
        </w:rPr>
        <w:t xml:space="preserve"> </w:t>
      </w:r>
      <w:r>
        <w:rPr>
          <w:rFonts w:hint="eastAsia" w:ascii="Times New Roman" w:hAnsi="Times New Roman" w:eastAsia="宋体" w:cs="Times New Roman"/>
          <w:b/>
          <w:bCs/>
          <w:color w:val="auto"/>
          <w:sz w:val="28"/>
          <w:szCs w:val="28"/>
          <w:highlight w:val="none"/>
          <w:shd w:val="clear" w:color="auto" w:fill="auto"/>
          <w:lang w:val="en-US" w:eastAsia="zh-CN" w:bidi="ar"/>
        </w:rPr>
        <w:t xml:space="preserve">  岫岩满族自治县生态保护红线图</w:t>
      </w:r>
    </w:p>
    <w:p w14:paraId="4CC608A2">
      <w:pPr>
        <w:rPr>
          <w:rFonts w:hint="eastAsia" w:ascii="Times New Roman" w:hAnsi="Times New Roman" w:eastAsia="宋体" w:cs="Times New Roman"/>
          <w:b/>
          <w:bCs/>
          <w:color w:val="auto"/>
          <w:sz w:val="28"/>
          <w:szCs w:val="28"/>
          <w:highlight w:val="none"/>
          <w:shd w:val="clear" w:color="auto" w:fill="auto"/>
          <w:lang w:eastAsia="zh-CN" w:bidi="ar"/>
        </w:rPr>
      </w:pPr>
      <w:r>
        <w:rPr>
          <w:rFonts w:hint="eastAsia" w:ascii="Times New Roman" w:hAnsi="Times New Roman" w:eastAsia="宋体" w:cs="Times New Roman"/>
          <w:b/>
          <w:bCs/>
          <w:color w:val="auto"/>
          <w:sz w:val="28"/>
          <w:szCs w:val="28"/>
          <w:highlight w:val="none"/>
          <w:shd w:val="clear" w:color="auto" w:fill="auto"/>
          <w:lang w:eastAsia="zh-CN" w:bidi="ar"/>
        </w:rPr>
        <w:br w:type="page"/>
      </w:r>
    </w:p>
    <w:p w14:paraId="3AAF3505">
      <w:pPr>
        <w:rPr>
          <w:rFonts w:hint="eastAsia" w:ascii="Times New Roman" w:hAnsi="Times New Roman"/>
          <w:b/>
          <w:bCs/>
          <w:color w:val="auto"/>
          <w:sz w:val="28"/>
          <w:szCs w:val="28"/>
          <w:highlight w:val="none"/>
          <w:shd w:val="clear" w:color="auto" w:fill="auto"/>
          <w:lang w:eastAsia="zh-CN" w:bidi="ar"/>
        </w:rPr>
      </w:pPr>
      <w:r>
        <w:rPr>
          <w:color w:val="auto"/>
          <w:sz w:val="32"/>
          <w:highlight w:val="none"/>
        </w:rPr>
        <mc:AlternateContent>
          <mc:Choice Requires="wps">
            <w:drawing>
              <wp:anchor distT="0" distB="0" distL="114300" distR="114300" simplePos="0" relativeHeight="251693056" behindDoc="0" locked="0" layoutInCell="1" allowOverlap="1">
                <wp:simplePos x="0" y="0"/>
                <wp:positionH relativeFrom="column">
                  <wp:posOffset>2112645</wp:posOffset>
                </wp:positionH>
                <wp:positionV relativeFrom="paragraph">
                  <wp:posOffset>3610610</wp:posOffset>
                </wp:positionV>
                <wp:extent cx="76200" cy="76200"/>
                <wp:effectExtent l="13970" t="15875" r="24130" b="22225"/>
                <wp:wrapNone/>
                <wp:docPr id="239" name="自选图形 346"/>
                <wp:cNvGraphicFramePr/>
                <a:graphic xmlns:a="http://schemas.openxmlformats.org/drawingml/2006/main">
                  <a:graphicData uri="http://schemas.microsoft.com/office/word/2010/wordprocessingShape">
                    <wps:wsp>
                      <wps:cNvSpPr/>
                      <wps:spPr>
                        <a:xfrm>
                          <a:off x="0" y="0"/>
                          <a:ext cx="76200" cy="76200"/>
                        </a:xfrm>
                        <a:prstGeom prst="star5">
                          <a:avLst/>
                        </a:prstGeom>
                        <a:solidFill>
                          <a:srgbClr val="FFFF00"/>
                        </a:solidFill>
                        <a:ln w="9525" cap="flat" cmpd="sng">
                          <a:solidFill>
                            <a:srgbClr val="FFFF00"/>
                          </a:solidFill>
                          <a:prstDash val="solid"/>
                          <a:miter/>
                          <a:headEnd type="none" w="med" len="med"/>
                          <a:tailEnd type="none" w="med" len="med"/>
                        </a:ln>
                      </wps:spPr>
                      <wps:bodyPr vert="horz" wrap="square" anchor="t" anchorCtr="0" upright="1"/>
                    </wps:wsp>
                  </a:graphicData>
                </a:graphic>
              </wp:anchor>
            </w:drawing>
          </mc:Choice>
          <mc:Fallback>
            <w:pict>
              <v:shape id="自选图形 346" o:spid="_x0000_s1026" style="position:absolute;left:0pt;margin-left:166.35pt;margin-top:284.3pt;height:6pt;width:6pt;z-index:251693056;mso-width-relative:page;mso-height-relative:page;" fillcolor="#FFFF00" filled="t" stroked="t" coordsize="76200,76200" o:gfxdata="UEsDBAoAAAAAAIdO4kAAAAAAAAAAAAAAAAAEAAAAZHJzL1BLAwQUAAAACACHTuJAjS36gdkAAAAL&#10;AQAADwAAAGRycy9kb3ducmV2LnhtbE2PwU7DMAyG70i8Q2QkbizZOrqqa7oDEhJoB0RB4pq1XlvR&#10;OCXJ2vL2mBMc/fvT78/FYbGDmNCH3pGG9UqBQKpd01Or4f3t8S4DEaKhxgyOUMM3BjiU11eFyRs3&#10;0ytOVWwFl1DIjYYuxjGXMtQdWhNWbkTi3dl5ayKPvpWNNzOX20FulEqlNT3xhc6M+NBh/VldrIbq&#10;WR53T8vy8ZUEml2GU3f0L1rf3qzVHkTEJf7B8KvP6lCy08ldqAli0JAkmx2jGu7TLAXBRLLdcnLi&#10;JFMpyLKQ/38ofwBQSwMEFAAAAAgAh07iQIqjiF8hAgAAWQQAAA4AAABkcnMvZTJvRG9jLnhtbK1U&#10;zY7TMBC+I/EOlu80bZcubNR0D1vKBcFKCw8wtZ3Ekv+w3ablxA3xDNw48g7wNivBWzC2S5ddLj2Q&#10;QzK2x9/M981M5pc7rchW+CCtaehkNKZEGGa5NF1D371dPXlOSYhgOChrREP3ItDLxeNH88HVYmp7&#10;q7jwBEFMqAfX0D5GV1dVYL3QEEbWCYOHrfUaIi59V3EPA6JrVU3H4/NqsJ47b5kIAXeX5ZAeEP0p&#10;gLZtJRNLyzZamFhQvVAQkVLopQt0kbNtW8Him7YNIhLVUGQa8xuDoL1O72oxh7rz4HrJDinAKSk8&#10;4KRBGgx6hFpCBLLx8h8oLZm3wbZxxKyuCpGsCLKYjB9oc9ODE5kLSh3cUfTw/2DZ6+21J5I3dHp2&#10;QYkBjSX/+enbr4+fb7/8uP3+lZw9PU8qDS7U6Hzjrv1hFdBMlHet1+mLZMguK7s/Kit2kTDcfHaO&#10;paeE4UkxEaO6u+p8iC+F1SQZDcX287MsJ2xfhVh8//ikUMEqyVdSqbzw3fpKebIFrPEKH4xUrtxz&#10;U4YMDb2YTWeYB2DjttgwaGqH5IPpcrx7N8JpwCmxJYS+JJARSltpGUUSC+peAH9hOIl7h/IanCua&#10;ktGCU6IEjmGysmcEqU7xRPGUQQ1TWUohkrW2fI/lxOlGFXvrP2AY7G3k934DHoOCYbjdUCRezKtY&#10;hmHjvOx6vDXJ2iUw7LhcpMN0pJb+e52D3/0RFr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jS36&#10;gdkAAAALAQAADwAAAAAAAAABACAAAAAiAAAAZHJzL2Rvd25yZXYueG1sUEsBAhQAFAAAAAgAh07i&#10;QIqjiF8hAgAAWQQAAA4AAAAAAAAAAQAgAAAAKAEAAGRycy9lMm9Eb2MueG1sUEsFBgAAAAAGAAYA&#10;WQEAALsFAAAAAA==&#10;" path="m0,29105l29105,29105,38100,0,47094,29105,76199,29105,52652,47093,61647,76199,38100,58211,14552,76199,23547,47093xe">
                <v:path o:connectlocs="38100,0;0,29105;14552,76199;61647,76199;76199,29105" o:connectangles="247,164,82,82,0"/>
                <v:fill on="t" focussize="0,0"/>
                <v:stroke color="#FFFF00" joinstyle="miter"/>
                <v:imagedata o:title=""/>
                <o:lock v:ext="edit" aspectratio="f"/>
              </v:shape>
            </w:pict>
          </mc:Fallback>
        </mc:AlternateContent>
      </w:r>
      <w:r>
        <w:rPr>
          <w:b/>
          <w:color w:val="auto"/>
          <w:highlight w:val="none"/>
          <w:shd w:val="clear" w:color="auto" w:fill="auto"/>
        </w:rPr>
        <mc:AlternateContent>
          <mc:Choice Requires="wps">
            <w:drawing>
              <wp:anchor distT="0" distB="0" distL="114300" distR="114300" simplePos="0" relativeHeight="251694080" behindDoc="0" locked="0" layoutInCell="1" allowOverlap="1">
                <wp:simplePos x="0" y="0"/>
                <wp:positionH relativeFrom="column">
                  <wp:posOffset>1865630</wp:posOffset>
                </wp:positionH>
                <wp:positionV relativeFrom="paragraph">
                  <wp:posOffset>2310130</wp:posOffset>
                </wp:positionV>
                <wp:extent cx="914400" cy="373380"/>
                <wp:effectExtent l="4445" t="5080" r="14605" b="974090"/>
                <wp:wrapNone/>
                <wp:docPr id="240" name="自选图形 32"/>
                <wp:cNvGraphicFramePr/>
                <a:graphic xmlns:a="http://schemas.openxmlformats.org/drawingml/2006/main">
                  <a:graphicData uri="http://schemas.microsoft.com/office/word/2010/wordprocessingShape">
                    <wps:wsp>
                      <wps:cNvSpPr/>
                      <wps:spPr>
                        <a:xfrm>
                          <a:off x="0" y="0"/>
                          <a:ext cx="914400" cy="373380"/>
                        </a:xfrm>
                        <a:prstGeom prst="wedgeRoundRectCallout">
                          <a:avLst>
                            <a:gd name="adj1" fmla="val -16111"/>
                            <a:gd name="adj2" fmla="val 298809"/>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63AE7B86">
                            <w:pPr>
                              <w:rPr>
                                <w:sz w:val="21"/>
                                <w:szCs w:val="21"/>
                              </w:rPr>
                            </w:pPr>
                            <w:r>
                              <w:rPr>
                                <w:rFonts w:hint="eastAsia"/>
                                <w:sz w:val="21"/>
                                <w:szCs w:val="21"/>
                              </w:rPr>
                              <w:t>本项目</w:t>
                            </w:r>
                          </w:p>
                        </w:txbxContent>
                      </wps:txbx>
                      <wps:bodyPr vert="horz" wrap="square" anchor="t" anchorCtr="0" upright="1"/>
                    </wps:wsp>
                  </a:graphicData>
                </a:graphic>
              </wp:anchor>
            </w:drawing>
          </mc:Choice>
          <mc:Fallback>
            <w:pict>
              <v:shape id="自选图形 32" o:spid="_x0000_s1026" o:spt="62" type="#_x0000_t62" style="position:absolute;left:0pt;margin-left:146.9pt;margin-top:181.9pt;height:29.4pt;width:72pt;z-index:251694080;mso-width-relative:page;mso-height-relative:page;" fillcolor="#FFFFFF" filled="t" stroked="t" coordsize="21600,21600" o:gfxdata="UEsDBAoAAAAAAIdO4kAAAAAAAAAAAAAAAAAEAAAAZHJzL1BLAwQUAAAACACHTuJAd8yN1tYAAAAL&#10;AQAADwAAAGRycy9kb3ducmV2LnhtbE2Py07DMBBF90j8gzVI7KjdBCUQ4lTipa4pfIAbT+Ko8TiK&#10;3Tbw9UxXsDujubpzpt4sfhQnnOMQSMN6pUAgtcEO1Gv4+ny/ewARkyFrxkCo4RsjbJrrq9pUNpzp&#10;A0+71AsuoVgZDS6lqZIytg69iaswIfGuC7M3ice5l3Y2Zy73o8yUKqQ3A/EFZyZ8cdgedkevIdF2&#10;OnR9+Vp2P8X09rxdFqWc1rc3a/UEIuGS/sJw0Wd1aNhpH45koxg1ZI85qycNeXEBTtznJcOeIcsK&#10;kE0t///Q/AJQSwMEFAAAAAgAh07iQJzOqOZpAgAA7AQAAA4AAABkcnMvZTJvRG9jLnhtbK1UzXLT&#10;MBC+M8M7aHRv/ZM2TTJ1ekgoFwY6LTyAIsm2GP0hKXHCiRvDM3DjyDvA23QG3oKVbNq05ZADPtgr&#10;efXtt9/u6vxiqyTacOeF0RUujnOMuKaGCd1U+N3by6MJRj4QzYg0mld4xz2+mD9/dt7ZGS9NayTj&#10;DgGI9rPOVrgNwc6yzNOWK+KPjeUaftbGKRJg6ZqMOdIBupJZmefjrDOOWWco9x52l/1PPCC6QwBN&#10;XQvKl4auFdehR3VckgAp+VZYj+eJbV1zGt7UtecByQpDpiG9IQjYq/jO5udk1jhiW0EHCuQQCo9y&#10;UkRoCHoHtSSBoLUTT6CUoM54U4djalTWJ5IUgSyK/JE2Ny2xPOUCUnt7J7r/f7D09ebKIcEqXJ6A&#10;JpooKPmvz99/f/py+/Xn7Y9vaFRGkTrrZ+B7Y6/csPJgxoy3tVPxC7mgbRJ2dycs3wZEYXNanJzk&#10;AE/h1+hsNJok4bP7w9b58JIbhaJR4Y6zhl+btWbXUMEFkdKsQ9KXbF75kIRmA1nC3hcY1UpC3TZE&#10;oqNiXBTFUNg9p3LfqZxOJvn0qdNo36kYj8dn0QeIDnHB+ks1kvBGCnYppEwL16wW0iEgUeHL9AyH&#10;H7hJjTpQ5LQ8BT0IDFANjQumslAEr5uU5oMTfh84T8+/gCOxJfFtTyAh9AkqEbhLjd5ywl5ohsLO&#10;Qpk1zDeOZBRnGEkO10G0kmcgQh7iCYJIDQrF/ug7Ilphu9oObbIybAcdBhcO1LU17iNEhHGDVD+s&#10;iYP4RFPYrjBo0JuL0M/n2jrRtHAqFTNFgCFI1RgGNk7Z/jrxuL+k5n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d8yN1tYAAAALAQAADwAAAAAAAAABACAAAAAiAAAAZHJzL2Rvd25yZXYueG1sUEsB&#10;AhQAFAAAAAgAh07iQJzOqOZpAgAA7AQAAA4AAAAAAAAAAQAgAAAAJQEAAGRycy9lMm9Eb2MueG1s&#10;UEsFBgAAAAAGAAYAWQEAAAAGAAAAAA==&#10;" adj="7320,75343,14400">
                <v:fill on="t" focussize="0,0"/>
                <v:stroke color="#000000" joinstyle="miter"/>
                <v:imagedata o:title=""/>
                <o:lock v:ext="edit" aspectratio="f"/>
                <v:textbox>
                  <w:txbxContent>
                    <w:p w14:paraId="63AE7B86">
                      <w:pPr>
                        <w:rPr>
                          <w:sz w:val="21"/>
                          <w:szCs w:val="21"/>
                        </w:rPr>
                      </w:pPr>
                      <w:r>
                        <w:rPr>
                          <w:rFonts w:hint="eastAsia"/>
                          <w:sz w:val="21"/>
                          <w:szCs w:val="21"/>
                        </w:rPr>
                        <w:t>本项目</w:t>
                      </w:r>
                    </w:p>
                  </w:txbxContent>
                </v:textbox>
              </v:shape>
            </w:pict>
          </mc:Fallback>
        </mc:AlternateContent>
      </w:r>
      <w:r>
        <w:rPr>
          <w:rFonts w:hint="eastAsia" w:ascii="Times New Roman" w:hAnsi="Times New Roman"/>
          <w:b/>
          <w:bCs/>
          <w:color w:val="auto"/>
          <w:sz w:val="28"/>
          <w:szCs w:val="28"/>
          <w:highlight w:val="none"/>
          <w:shd w:val="clear" w:color="auto" w:fill="auto"/>
          <w:lang w:eastAsia="zh-CN" w:bidi="ar"/>
        </w:rPr>
        <w:drawing>
          <wp:inline distT="0" distB="0" distL="114300" distR="114300">
            <wp:extent cx="5669280" cy="8014970"/>
            <wp:effectExtent l="0" t="0" r="7620" b="5080"/>
            <wp:docPr id="174" name="图片 174" descr="提取自附件3岫岩满族自治县国土空间总体规划（2021-2035年）-公开版(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提取自附件3岫岩满族自治县国土空间总体规划（2021-2035年）-公开版(1)_00"/>
                    <pic:cNvPicPr>
                      <a:picLocks noChangeAspect="1"/>
                    </pic:cNvPicPr>
                  </pic:nvPicPr>
                  <pic:blipFill>
                    <a:blip r:embed="rId41"/>
                    <a:stretch>
                      <a:fillRect/>
                    </a:stretch>
                  </pic:blipFill>
                  <pic:spPr>
                    <a:xfrm>
                      <a:off x="0" y="0"/>
                      <a:ext cx="5669280" cy="8014970"/>
                    </a:xfrm>
                    <a:prstGeom prst="rect">
                      <a:avLst/>
                    </a:prstGeom>
                  </pic:spPr>
                </pic:pic>
              </a:graphicData>
            </a:graphic>
          </wp:inline>
        </w:drawing>
      </w:r>
    </w:p>
    <w:p w14:paraId="148290C9">
      <w:pPr>
        <w:jc w:val="center"/>
        <w:rPr>
          <w:rFonts w:hint="eastAsia" w:cs="Times New Roman"/>
          <w:b/>
          <w:bCs/>
          <w:color w:val="auto"/>
          <w:sz w:val="28"/>
          <w:szCs w:val="28"/>
          <w:highlight w:val="none"/>
          <w:shd w:val="clear" w:color="auto" w:fill="auto"/>
          <w:lang w:val="en-US" w:eastAsia="zh-CN" w:bidi="ar"/>
        </w:rPr>
        <w:sectPr>
          <w:pgSz w:w="11906" w:h="16838"/>
          <w:pgMar w:top="1440" w:right="1080" w:bottom="1440" w:left="1080" w:header="567" w:footer="567" w:gutter="0"/>
          <w:pgBorders>
            <w:top w:val="none" w:sz="0" w:space="0"/>
            <w:left w:val="none" w:sz="0" w:space="0"/>
            <w:bottom w:val="none" w:sz="0" w:space="0"/>
            <w:right w:val="none" w:sz="0" w:space="0"/>
          </w:pgBorders>
          <w:cols w:space="720" w:num="1"/>
          <w:docGrid w:type="lines" w:linePitch="381" w:charSpace="0"/>
        </w:sectPr>
      </w:pPr>
      <w:r>
        <w:rPr>
          <w:rFonts w:hint="eastAsia" w:ascii="Times New Roman" w:hAnsi="Times New Roman"/>
          <w:b/>
          <w:bCs/>
          <w:color w:val="auto"/>
          <w:sz w:val="28"/>
          <w:szCs w:val="28"/>
          <w:highlight w:val="none"/>
          <w:shd w:val="clear" w:color="auto" w:fill="auto"/>
          <w:lang w:eastAsia="zh-CN" w:bidi="ar"/>
        </w:rPr>
        <w:t>附图</w:t>
      </w:r>
      <w:r>
        <w:rPr>
          <w:rFonts w:hint="eastAsia"/>
          <w:b/>
          <w:bCs/>
          <w:color w:val="auto"/>
          <w:sz w:val="28"/>
          <w:szCs w:val="28"/>
          <w:highlight w:val="none"/>
          <w:shd w:val="clear" w:color="auto" w:fill="auto"/>
          <w:lang w:val="en-US" w:eastAsia="zh-CN" w:bidi="ar"/>
        </w:rPr>
        <w:t>8</w:t>
      </w:r>
      <w:r>
        <w:rPr>
          <w:rFonts w:hint="eastAsia" w:ascii="Times New Roman" w:hAnsi="Times New Roman"/>
          <w:b/>
          <w:bCs/>
          <w:color w:val="auto"/>
          <w:sz w:val="28"/>
          <w:szCs w:val="28"/>
          <w:highlight w:val="none"/>
          <w:shd w:val="clear" w:color="auto" w:fill="auto"/>
          <w:lang w:val="en-US" w:eastAsia="zh-CN" w:bidi="ar"/>
        </w:rPr>
        <w:t xml:space="preserve"> </w:t>
      </w:r>
      <w:r>
        <w:rPr>
          <w:rFonts w:hint="eastAsia" w:ascii="Times New Roman" w:hAnsi="Times New Roman" w:eastAsia="宋体" w:cs="Times New Roman"/>
          <w:b/>
          <w:bCs/>
          <w:color w:val="auto"/>
          <w:sz w:val="28"/>
          <w:szCs w:val="28"/>
          <w:highlight w:val="none"/>
          <w:shd w:val="clear" w:color="auto" w:fill="auto"/>
          <w:lang w:val="en-US" w:eastAsia="zh-CN" w:bidi="ar"/>
        </w:rPr>
        <w:t xml:space="preserve">  </w:t>
      </w:r>
      <w:r>
        <w:rPr>
          <w:rFonts w:hint="eastAsia" w:cs="Times New Roman"/>
          <w:b/>
          <w:bCs/>
          <w:color w:val="auto"/>
          <w:sz w:val="28"/>
          <w:szCs w:val="28"/>
          <w:highlight w:val="none"/>
          <w:shd w:val="clear" w:color="auto" w:fill="auto"/>
          <w:lang w:val="en-US" w:eastAsia="zh-CN" w:bidi="ar"/>
        </w:rPr>
        <w:t>县域国土空间规划分区图</w:t>
      </w:r>
      <w:r>
        <w:rPr>
          <w:color w:val="auto"/>
          <w:sz w:val="28"/>
          <w:highlight w:val="none"/>
        </w:rPr>
        <mc:AlternateContent>
          <mc:Choice Requires="wps">
            <w:drawing>
              <wp:anchor distT="0" distB="0" distL="114300" distR="114300" simplePos="0" relativeHeight="251695104" behindDoc="0" locked="0" layoutInCell="1" allowOverlap="1">
                <wp:simplePos x="0" y="0"/>
                <wp:positionH relativeFrom="column">
                  <wp:posOffset>2943860</wp:posOffset>
                </wp:positionH>
                <wp:positionV relativeFrom="paragraph">
                  <wp:posOffset>5982335</wp:posOffset>
                </wp:positionV>
                <wp:extent cx="3305175" cy="408305"/>
                <wp:effectExtent l="0" t="0" r="0" b="0"/>
                <wp:wrapNone/>
                <wp:docPr id="224" name="文本框 224"/>
                <wp:cNvGraphicFramePr/>
                <a:graphic xmlns:a="http://schemas.openxmlformats.org/drawingml/2006/main">
                  <a:graphicData uri="http://schemas.microsoft.com/office/word/2010/wordprocessingShape">
                    <wps:wsp>
                      <wps:cNvSpPr txBox="1"/>
                      <wps:spPr>
                        <a:xfrm>
                          <a:off x="0" y="0"/>
                          <a:ext cx="3305175" cy="4083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AE1055">
                            <w:r>
                              <w:rPr>
                                <w:rFonts w:hint="eastAsia" w:ascii="Times New Roman" w:hAnsi="Times New Roman" w:eastAsia="宋体" w:cs="Times New Roman"/>
                                <w:b/>
                                <w:bCs/>
                                <w:color w:val="auto"/>
                                <w:sz w:val="28"/>
                                <w:szCs w:val="28"/>
                                <w:highlight w:val="none"/>
                              </w:rPr>
                              <w:t>附</w:t>
                            </w:r>
                            <w:r>
                              <w:rPr>
                                <w:rFonts w:hint="eastAsia" w:cs="Times New Roman"/>
                                <w:b/>
                                <w:bCs/>
                                <w:color w:val="auto"/>
                                <w:sz w:val="28"/>
                                <w:szCs w:val="28"/>
                                <w:highlight w:val="none"/>
                                <w:lang w:eastAsia="zh-CN"/>
                              </w:rPr>
                              <w:t>图</w:t>
                            </w:r>
                            <w:r>
                              <w:rPr>
                                <w:rFonts w:hint="eastAsia" w:cs="Times New Roman"/>
                                <w:b/>
                                <w:bCs/>
                                <w:color w:val="auto"/>
                                <w:sz w:val="28"/>
                                <w:szCs w:val="28"/>
                                <w:highlight w:val="none"/>
                                <w:lang w:val="en-US" w:eastAsia="zh-CN"/>
                              </w:rPr>
                              <w:t>10   征地规划范围图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1.8pt;margin-top:471.05pt;height:32.15pt;width:260.25pt;z-index:251695104;mso-width-relative:page;mso-height-relative:page;" filled="f" stroked="f" coordsize="21600,21600" o:gfxdata="UEsDBAoAAAAAAIdO4kAAAAAAAAAAAAAAAAAEAAAAZHJzL1BLAwQUAAAACACHTuJAbJV96dsAAAAM&#10;AQAADwAAAGRycy9kb3ducmV2LnhtbE2PTU+DQBCG7yb+h82YeLMLiIQiS2NIGhOjh9ZevA3sFIjs&#10;LrLbD/31jqd6m8k8ed9nytXZjOJIsx+cVRAvIhBkW6cH2ynYva/vchA+oNU4OksKvsnDqrq+KrHQ&#10;7mQ3dNyGTnCI9QUq6EOYCil925NBv3ATWb7t3Www8Dp3Us944nAzyiSKMmlwsNzQ40R1T+3n9mAU&#10;vNTrN9w0icl/xvr5df80fe0+HpS6vYmjRxCBzuECw58+q0PFTo07WO3FqCDN7jNGFSzTJAbBxDJP&#10;eWgY5eIUZFXK/09Uv1BLAwQUAAAACACHTuJAyIQQpjwCAABqBAAADgAAAGRycy9lMm9Eb2MueG1s&#10;rVTNjtMwEL4j8Q6W7zTp3+5SNV2VrYqQKnalgji7jtNEsj3GdpuUB4A32BMX7jxXn4Oxk3arhcMe&#10;uLjzl2/8fTPu9LZRkuyFdRXojPZ7KSVCc8grvc3o50/LNzeUOM90ziRokdGDcPR29vrVtDYTMYAS&#10;ZC4sQRDtJrXJaOm9mSSJ46VQzPXACI3JAqxiHl27TXLLakRXMhmk6VVSg82NBS6cw+iiTdIO0b4E&#10;EIqi4mIBfKeE9i2qFZJ5pOTKyjg6i7ctCsH9fVE44YnMKDL18cQmaG/CmcymbLK1zJQV767AXnKF&#10;Z5wUqzQ2PUMtmGdkZ6u/oFTFLTgofI+DSloiURFk0U+fabMumRGRC0rtzFl09/9g+cf9gyVVntHB&#10;YESJZgpHfnz8cfz5+/jrOwlBlKg2boKVa4O1vnkHDS7OKe4wGJg3hVXhFzkRzKPAh7PAovGEY3A4&#10;TMf96zElHHOj9AbdAJM8fW2s8+8FKBKMjFocYNSV7VfOt6WnktBMw7KSMg5RalJn9Go4TuMH5wyC&#10;S409Aof2rsHyzabpiG0gPyAvC+1yOMOXFTZfMecfmMVtQCr4Xvw9HoUEbAKdRUkJ9tu/4qEeh4RZ&#10;Smrcroy6rztmBSXyg8bxve2PRmEdozMaXw/QsZeZzWVG79Qd4AL38WUaHs1Q7+XJLCyoL/is5qEr&#10;ppjm2Duj/mTe+Xbn8VlyMZ/HIlxAw/xKrw0P0K2c852HoopKB5labTr1cAXjrLrnEnb80o9VT38R&#10;s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slX3p2wAAAAwBAAAPAAAAAAAAAAEAIAAAACIAAABk&#10;cnMvZG93bnJldi54bWxQSwECFAAUAAAACACHTuJAyIQQpjwCAABqBAAADgAAAAAAAAABACAAAAAq&#10;AQAAZHJzL2Uyb0RvYy54bWxQSwUGAAAAAAYABgBZAQAA2AUAAAAA&#10;">
                <v:fill on="f" focussize="0,0"/>
                <v:stroke on="f" weight="0.5pt"/>
                <v:imagedata o:title=""/>
                <o:lock v:ext="edit" aspectratio="f"/>
                <v:textbox>
                  <w:txbxContent>
                    <w:p w14:paraId="79AE1055">
                      <w:r>
                        <w:rPr>
                          <w:rFonts w:hint="eastAsia" w:ascii="Times New Roman" w:hAnsi="Times New Roman" w:eastAsia="宋体" w:cs="Times New Roman"/>
                          <w:b/>
                          <w:bCs/>
                          <w:color w:val="auto"/>
                          <w:sz w:val="28"/>
                          <w:szCs w:val="28"/>
                          <w:highlight w:val="none"/>
                        </w:rPr>
                        <w:t>附</w:t>
                      </w:r>
                      <w:r>
                        <w:rPr>
                          <w:rFonts w:hint="eastAsia" w:cs="Times New Roman"/>
                          <w:b/>
                          <w:bCs/>
                          <w:color w:val="auto"/>
                          <w:sz w:val="28"/>
                          <w:szCs w:val="28"/>
                          <w:highlight w:val="none"/>
                          <w:lang w:eastAsia="zh-CN"/>
                        </w:rPr>
                        <w:t>图</w:t>
                      </w:r>
                      <w:r>
                        <w:rPr>
                          <w:rFonts w:hint="eastAsia" w:cs="Times New Roman"/>
                          <w:b/>
                          <w:bCs/>
                          <w:color w:val="auto"/>
                          <w:sz w:val="28"/>
                          <w:szCs w:val="28"/>
                          <w:highlight w:val="none"/>
                          <w:lang w:val="en-US" w:eastAsia="zh-CN"/>
                        </w:rPr>
                        <w:t>10   征地规划范围图</w:t>
                      </w:r>
                    </w:p>
                  </w:txbxContent>
                </v:textbox>
              </v:shape>
            </w:pict>
          </mc:Fallback>
        </mc:AlternateContent>
      </w:r>
    </w:p>
    <w:p w14:paraId="45D70320">
      <w:pPr>
        <w:jc w:val="left"/>
        <w:rPr>
          <w:rFonts w:hint="eastAsia" w:ascii="Times New Roman" w:hAnsi="Times New Roman" w:eastAsia="宋体" w:cs="Times New Roman"/>
          <w:b/>
          <w:bCs/>
          <w:color w:val="auto"/>
          <w:sz w:val="28"/>
          <w:szCs w:val="28"/>
          <w:highlight w:val="none"/>
          <w:shd w:val="clear" w:color="auto" w:fill="auto"/>
          <w:lang w:eastAsia="zh-CN" w:bidi="ar"/>
        </w:rPr>
      </w:pPr>
      <w:r>
        <w:rPr>
          <w:rFonts w:hint="eastAsia" w:ascii="Times New Roman" w:hAnsi="Times New Roman" w:eastAsia="宋体" w:cs="Times New Roman"/>
          <w:b/>
          <w:bCs/>
          <w:color w:val="auto"/>
          <w:sz w:val="28"/>
          <w:szCs w:val="28"/>
          <w:highlight w:val="none"/>
          <w:shd w:val="clear" w:color="auto" w:fill="auto"/>
          <w:lang w:eastAsia="zh-CN" w:bidi="ar"/>
        </w:rPr>
        <w:t>附件1   委托书</w:t>
      </w:r>
    </w:p>
    <w:p w14:paraId="4B2E9EE2">
      <w:pPr>
        <w:jc w:val="left"/>
        <w:rPr>
          <w:rFonts w:hint="eastAsia" w:eastAsia="宋体"/>
          <w:color w:val="auto"/>
          <w:sz w:val="32"/>
          <w:highlight w:val="none"/>
          <w:shd w:val="clear" w:color="auto" w:fill="auto"/>
          <w:lang w:eastAsia="zh-CN"/>
        </w:rPr>
      </w:pPr>
      <w:r>
        <w:rPr>
          <w:color w:val="auto"/>
          <w:sz w:val="32"/>
          <w:highlight w:val="none"/>
          <w:shd w:val="clear" w:color="auto" w:fill="auto"/>
        </w:rPr>
        <w:drawing>
          <wp:inline distT="0" distB="0" distL="114300" distR="114300">
            <wp:extent cx="6188710" cy="8049260"/>
            <wp:effectExtent l="0" t="0" r="0" b="0"/>
            <wp:docPr id="42" name="图片 42" descr="1338545735283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3385457352833000"/>
                    <pic:cNvPicPr>
                      <a:picLocks noChangeAspect="1"/>
                    </pic:cNvPicPr>
                  </pic:nvPicPr>
                  <pic:blipFill>
                    <a:blip r:embed="rId42"/>
                    <a:srcRect b="8025"/>
                    <a:stretch>
                      <a:fillRect/>
                    </a:stretch>
                  </pic:blipFill>
                  <pic:spPr>
                    <a:xfrm>
                      <a:off x="0" y="0"/>
                      <a:ext cx="6188710" cy="8049260"/>
                    </a:xfrm>
                    <a:prstGeom prst="rect">
                      <a:avLst/>
                    </a:prstGeom>
                  </pic:spPr>
                </pic:pic>
              </a:graphicData>
            </a:graphic>
          </wp:inline>
        </w:drawing>
      </w:r>
      <w:r>
        <w:rPr>
          <w:color w:val="auto"/>
          <w:sz w:val="32"/>
          <w:highlight w:val="none"/>
          <w:shd w:val="clear" w:color="auto" w:fill="auto"/>
        </w:rPr>
        <mc:AlternateContent>
          <mc:Choice Requires="wps">
            <w:drawing>
              <wp:anchor distT="0" distB="0" distL="114300" distR="114300" simplePos="0" relativeHeight="251700224" behindDoc="0" locked="0" layoutInCell="1" allowOverlap="1">
                <wp:simplePos x="0" y="0"/>
                <wp:positionH relativeFrom="column">
                  <wp:posOffset>2912110</wp:posOffset>
                </wp:positionH>
                <wp:positionV relativeFrom="paragraph">
                  <wp:posOffset>2412365</wp:posOffset>
                </wp:positionV>
                <wp:extent cx="498475" cy="1424940"/>
                <wp:effectExtent l="0" t="0" r="0" b="0"/>
                <wp:wrapNone/>
                <wp:docPr id="2" name="直线 3719"/>
                <wp:cNvGraphicFramePr/>
                <a:graphic xmlns:a="http://schemas.openxmlformats.org/drawingml/2006/main">
                  <a:graphicData uri="http://schemas.microsoft.com/office/word/2010/wordprocessingShape">
                    <wps:wsp>
                      <wps:cNvCnPr/>
                      <wps:spPr>
                        <a:xfrm flipH="1" flipV="1">
                          <a:off x="0" y="0"/>
                          <a:ext cx="498475" cy="1424940"/>
                        </a:xfrm>
                        <a:prstGeom prst="line">
                          <a:avLst/>
                        </a:prstGeom>
                        <a:ln>
                          <a:noFill/>
                        </a:ln>
                      </wps:spPr>
                      <wps:bodyPr upright="1"/>
                    </wps:wsp>
                  </a:graphicData>
                </a:graphic>
              </wp:anchor>
            </w:drawing>
          </mc:Choice>
          <mc:Fallback>
            <w:pict>
              <v:line id="直线 3719" o:spid="_x0000_s1026" o:spt="20" style="position:absolute;left:0pt;flip:x y;margin-left:229.3pt;margin-top:189.95pt;height:112.2pt;width:39.25pt;z-index:251700224;mso-width-relative:page;mso-height-relative:page;" filled="f" stroked="f" coordsize="21600,21600" o:gfxdata="UEsDBAoAAAAAAIdO4kAAAAAAAAAAAAAAAAAEAAAAZHJzL1BLAwQUAAAACACHTuJA+R+titkAAAAL&#10;AQAADwAAAGRycy9kb3ducmV2LnhtbE2Py07DMBBF90j8gzVI7KgT0jyJ0wVSYFlRwt6Np0nUeBxi&#10;t2n5esyqLEf36N4z5eaiR3bG2Q6GBISrABhSa9RAnYDms37KgFknScnREAq4ooVNdX9XykKZhT7w&#10;vHMd8yVkCymgd24qOLdtj1ralZmQfHYws5bOn3PH1SwXX65H/hwECddyIL/Qywlfe2yPu5MWkKpt&#10;9lN/X9/r/LgoGx+ar+1bI8TjQxi8AHN4cTcY/vS9OlTeaW9OpCwbBazjLPGogCjNc2CeiKM0BLYX&#10;kATrCHhV8v8/VL9QSwMEFAAAAAgAh07iQLvUzkCqAQAAQgMAAA4AAABkcnMvZTJvRG9jLnhtbK1S&#10;S44TMRDdI3EHy3vS6dAwk1Y6syAaWCCIBMze47bTlvxTlZNOzsI1WLHhOHMNyu4QRsNmFmxK9fNz&#10;vVe1ujk6yw4K0ATf8Xo250x5GXrjdx3/9vX21TVnmITvhQ1edfykkN+sX75YjbFVizAE2ytgBOKx&#10;HWPHh5RiW1UoB+UEzkJUnoo6gBOJQthVPYiR0J2tFvP522oM0EcIUiFSdjMV+RkRngMYtDZSbYLc&#10;O+XThArKikSUcDAR+bpMq7WS6bPWqBKzHSemqVj6hPz7bKv1SrQ7EHEw8jyCeM4ITzg5YTx9eoHa&#10;iCTYHsw/UM5ICBh0msngqolIUYRY1PMn2nwZRFSFC0mN8SI6/j9Y+emwBWb6ji8488LRwh++/3j4&#10;+Yu9vqqXWZ4xYktd7/wWzhHGLWSuRw2OaWviB7ojXry77OUaMWPHIvPpIrM6JiYp2Syvm6s3nEkq&#10;1c2iWTZlD9WEmF9HwPReBcey03FrfJZBtOLwERNNQa1/WnLa+mx9uDXWTtWcqfLk06zZuw/9iaju&#10;I5jdQKB1Jld6SNoCeT6DvLvHcen6e/rr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PkfrYrZAAAA&#10;CwEAAA8AAAAAAAAAAQAgAAAAIgAAAGRycy9kb3ducmV2LnhtbFBLAQIUABQAAAAIAIdO4kC71M5A&#10;qgEAAEIDAAAOAAAAAAAAAAEAIAAAACgBAABkcnMvZTJvRG9jLnhtbFBLBQYAAAAABgAGAFkBAABE&#10;BQAAAAA=&#10;">
                <v:fill on="f" focussize="0,0"/>
                <v:stroke on="f"/>
                <v:imagedata o:title=""/>
                <o:lock v:ext="edit" aspectratio="f"/>
              </v:line>
            </w:pict>
          </mc:Fallback>
        </mc:AlternateContent>
      </w:r>
    </w:p>
    <w:p w14:paraId="7C9FC222">
      <w:pPr>
        <w:rPr>
          <w:rFonts w:hint="eastAsia" w:eastAsia="宋体"/>
          <w:color w:val="auto"/>
          <w:sz w:val="32"/>
          <w:highlight w:val="none"/>
          <w:shd w:val="clear" w:color="auto" w:fill="auto"/>
          <w:lang w:eastAsia="zh-CN"/>
        </w:rPr>
      </w:pPr>
      <w:r>
        <w:rPr>
          <w:rFonts w:hint="eastAsia" w:eastAsia="宋体"/>
          <w:color w:val="auto"/>
          <w:sz w:val="32"/>
          <w:highlight w:val="none"/>
          <w:shd w:val="clear" w:color="auto" w:fill="auto"/>
          <w:lang w:eastAsia="zh-CN"/>
        </w:rPr>
        <w:br w:type="page"/>
      </w:r>
    </w:p>
    <w:p w14:paraId="4AA7D9C1">
      <w:pPr>
        <w:jc w:val="left"/>
        <w:rPr>
          <w:rFonts w:hint="eastAsia" w:ascii="Times New Roman" w:hAnsi="Times New Roman" w:eastAsia="宋体" w:cs="Times New Roman"/>
          <w:b/>
          <w:bCs/>
          <w:color w:val="auto"/>
          <w:sz w:val="28"/>
          <w:szCs w:val="28"/>
          <w:highlight w:val="none"/>
          <w:shd w:val="clear" w:color="auto" w:fill="auto"/>
          <w:lang w:eastAsia="zh-CN" w:bidi="ar"/>
        </w:rPr>
      </w:pPr>
      <w:r>
        <w:rPr>
          <w:rFonts w:hint="eastAsia" w:cs="Times New Roman"/>
          <w:b/>
          <w:bCs/>
          <w:color w:val="auto"/>
          <w:sz w:val="28"/>
          <w:szCs w:val="28"/>
          <w:highlight w:val="none"/>
          <w:shd w:val="clear" w:color="auto" w:fill="auto"/>
          <w:lang w:eastAsia="zh-CN" w:bidi="ar"/>
        </w:rPr>
        <w:t>附件</w:t>
      </w:r>
      <w:r>
        <w:rPr>
          <w:rFonts w:hint="eastAsia" w:cs="Times New Roman"/>
          <w:b/>
          <w:bCs/>
          <w:color w:val="auto"/>
          <w:sz w:val="28"/>
          <w:szCs w:val="28"/>
          <w:highlight w:val="none"/>
          <w:shd w:val="clear" w:color="auto" w:fill="auto"/>
          <w:lang w:val="en-US" w:eastAsia="zh-CN" w:bidi="ar"/>
        </w:rPr>
        <w:t xml:space="preserve">2   </w:t>
      </w:r>
      <w:r>
        <w:rPr>
          <w:rFonts w:hint="eastAsia" w:cs="Times New Roman"/>
          <w:b/>
          <w:bCs/>
          <w:color w:val="auto"/>
          <w:sz w:val="28"/>
          <w:szCs w:val="28"/>
          <w:highlight w:val="none"/>
          <w:shd w:val="clear" w:color="auto" w:fill="auto"/>
          <w:lang w:eastAsia="zh-CN" w:bidi="ar"/>
        </w:rPr>
        <w:t>备案证明</w:t>
      </w:r>
    </w:p>
    <w:p w14:paraId="17DF8D9A">
      <w:pPr>
        <w:rPr>
          <w:rFonts w:hint="eastAsia" w:ascii="Times New Roman" w:hAnsi="Times New Roman" w:eastAsia="宋体" w:cs="Times New Roman"/>
          <w:b/>
          <w:bCs/>
          <w:color w:val="auto"/>
          <w:sz w:val="28"/>
          <w:szCs w:val="28"/>
          <w:highlight w:val="none"/>
          <w:shd w:val="clear" w:color="auto" w:fill="auto"/>
          <w:lang w:eastAsia="zh-CN" w:bidi="ar"/>
        </w:rPr>
        <w:sectPr>
          <w:pgSz w:w="11906" w:h="16838"/>
          <w:pgMar w:top="1440" w:right="1080" w:bottom="1440" w:left="1080" w:header="567" w:footer="567" w:gutter="0"/>
          <w:pgBorders>
            <w:top w:val="none" w:sz="0" w:space="0"/>
            <w:left w:val="none" w:sz="0" w:space="0"/>
            <w:bottom w:val="none" w:sz="0" w:space="0"/>
            <w:right w:val="none" w:sz="0" w:space="0"/>
          </w:pgBorders>
          <w:cols w:space="720" w:num="1"/>
          <w:docGrid w:type="lines" w:linePitch="381" w:charSpace="0"/>
        </w:sectPr>
      </w:pPr>
      <w:r>
        <w:rPr>
          <w:rFonts w:hint="eastAsia" w:ascii="Times New Roman" w:hAnsi="Times New Roman" w:eastAsia="宋体" w:cs="Times New Roman"/>
          <w:b/>
          <w:bCs/>
          <w:color w:val="auto"/>
          <w:sz w:val="28"/>
          <w:szCs w:val="28"/>
          <w:highlight w:val="none"/>
          <w:shd w:val="clear" w:color="auto" w:fill="auto"/>
          <w:lang w:eastAsia="zh-CN" w:bidi="ar"/>
        </w:rPr>
        <w:drawing>
          <wp:inline distT="0" distB="0" distL="114300" distR="114300">
            <wp:extent cx="6189345" cy="8280400"/>
            <wp:effectExtent l="0" t="0" r="1905" b="6350"/>
            <wp:docPr id="40" name="图片 40" descr="2763e53f0f7cc341cd8146f011198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2763e53f0f7cc341cd8146f0111982c"/>
                    <pic:cNvPicPr>
                      <a:picLocks noChangeAspect="1"/>
                    </pic:cNvPicPr>
                  </pic:nvPicPr>
                  <pic:blipFill>
                    <a:blip r:embed="rId43"/>
                    <a:srcRect t="24706"/>
                    <a:stretch>
                      <a:fillRect/>
                    </a:stretch>
                  </pic:blipFill>
                  <pic:spPr>
                    <a:xfrm>
                      <a:off x="0" y="0"/>
                      <a:ext cx="6189345" cy="8280400"/>
                    </a:xfrm>
                    <a:prstGeom prst="rect">
                      <a:avLst/>
                    </a:prstGeom>
                  </pic:spPr>
                </pic:pic>
              </a:graphicData>
            </a:graphic>
          </wp:inline>
        </w:drawing>
      </w:r>
    </w:p>
    <w:p w14:paraId="41A96242">
      <w:pPr>
        <w:rPr>
          <w:rFonts w:hint="eastAsia" w:cs="Times New Roman"/>
          <w:b/>
          <w:bCs/>
          <w:color w:val="auto"/>
          <w:sz w:val="28"/>
          <w:szCs w:val="28"/>
          <w:highlight w:val="none"/>
          <w:shd w:val="clear" w:color="auto" w:fill="auto"/>
          <w:lang w:val="en-US" w:eastAsia="zh-CN" w:bidi="ar"/>
        </w:rPr>
      </w:pPr>
      <w:r>
        <w:rPr>
          <w:rFonts w:hint="eastAsia" w:cs="Times New Roman"/>
          <w:b/>
          <w:bCs/>
          <w:color w:val="auto"/>
          <w:sz w:val="28"/>
          <w:szCs w:val="28"/>
          <w:highlight w:val="none"/>
          <w:shd w:val="clear" w:color="auto" w:fill="auto"/>
          <w:lang w:eastAsia="zh-CN" w:bidi="ar"/>
        </w:rPr>
        <w:t>附件</w:t>
      </w:r>
      <w:r>
        <w:rPr>
          <w:rFonts w:hint="eastAsia" w:cs="Times New Roman"/>
          <w:b/>
          <w:bCs/>
          <w:color w:val="auto"/>
          <w:sz w:val="28"/>
          <w:szCs w:val="28"/>
          <w:highlight w:val="none"/>
          <w:shd w:val="clear" w:color="auto" w:fill="auto"/>
          <w:lang w:val="en-US" w:eastAsia="zh-CN" w:bidi="ar"/>
        </w:rPr>
        <w:t>3  营业执照、租赁协议、企业承诺及土地证</w:t>
      </w:r>
    </w:p>
    <w:p w14:paraId="0AE0E3B1">
      <w:pPr>
        <w:pStyle w:val="16"/>
        <w:ind w:left="0" w:leftChars="0" w:firstLine="0" w:firstLineChars="0"/>
        <w:rPr>
          <w:rFonts w:hint="eastAsia" w:cs="Times New Roman"/>
          <w:b/>
          <w:bCs/>
          <w:color w:val="auto"/>
          <w:sz w:val="28"/>
          <w:szCs w:val="28"/>
          <w:highlight w:val="none"/>
          <w:shd w:val="clear" w:color="auto" w:fill="auto"/>
          <w:lang w:val="en-US" w:eastAsia="zh-CN" w:bidi="ar"/>
        </w:rPr>
      </w:pPr>
      <w:r>
        <w:rPr>
          <w:rFonts w:hint="eastAsia" w:cs="Times New Roman"/>
          <w:b/>
          <w:bCs/>
          <w:color w:val="auto"/>
          <w:sz w:val="28"/>
          <w:szCs w:val="28"/>
          <w:highlight w:val="none"/>
          <w:shd w:val="clear" w:color="auto" w:fill="auto"/>
          <w:lang w:val="en-US" w:eastAsia="zh-CN" w:bidi="ar"/>
        </w:rPr>
        <w:t>营业执照</w:t>
      </w:r>
    </w:p>
    <w:p w14:paraId="0EF5CC3B">
      <w:pPr>
        <w:rPr>
          <w:rFonts w:hint="eastAsia"/>
          <w:color w:val="auto"/>
          <w:highlight w:val="none"/>
          <w:lang w:val="en-US" w:eastAsia="zh-CN"/>
        </w:rPr>
      </w:pPr>
      <w:r>
        <w:rPr>
          <w:rFonts w:hint="eastAsia"/>
          <w:color w:val="auto"/>
          <w:highlight w:val="none"/>
          <w:lang w:val="en-US" w:eastAsia="zh-CN"/>
        </w:rPr>
        <w:drawing>
          <wp:anchor distT="0" distB="0" distL="114300" distR="114300" simplePos="0" relativeHeight="251826176" behindDoc="0" locked="0" layoutInCell="1" allowOverlap="1">
            <wp:simplePos x="0" y="0"/>
            <wp:positionH relativeFrom="column">
              <wp:posOffset>0</wp:posOffset>
            </wp:positionH>
            <wp:positionV relativeFrom="page">
              <wp:posOffset>1300480</wp:posOffset>
            </wp:positionV>
            <wp:extent cx="8438515" cy="5534660"/>
            <wp:effectExtent l="0" t="0" r="635" b="8890"/>
            <wp:wrapNone/>
            <wp:docPr id="89" name="图片 89" descr="0083ecdf5f3f635df4a309e7569dc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0083ecdf5f3f635df4a309e7569dcd7"/>
                    <pic:cNvPicPr>
                      <a:picLocks noChangeAspect="1"/>
                    </pic:cNvPicPr>
                  </pic:nvPicPr>
                  <pic:blipFill>
                    <a:blip r:embed="rId44"/>
                    <a:stretch>
                      <a:fillRect/>
                    </a:stretch>
                  </pic:blipFill>
                  <pic:spPr>
                    <a:xfrm>
                      <a:off x="0" y="0"/>
                      <a:ext cx="8438515" cy="5534660"/>
                    </a:xfrm>
                    <a:prstGeom prst="rect">
                      <a:avLst/>
                    </a:prstGeom>
                  </pic:spPr>
                </pic:pic>
              </a:graphicData>
            </a:graphic>
          </wp:anchor>
        </w:drawing>
      </w:r>
    </w:p>
    <w:p w14:paraId="3EC464BA">
      <w:pPr>
        <w:rPr>
          <w:rFonts w:hint="eastAsia" w:cs="Times New Roman"/>
          <w:b/>
          <w:bCs/>
          <w:color w:val="auto"/>
          <w:sz w:val="28"/>
          <w:szCs w:val="28"/>
          <w:highlight w:val="none"/>
          <w:shd w:val="clear" w:color="auto" w:fill="auto"/>
          <w:lang w:val="en-US" w:eastAsia="zh-CN" w:bidi="ar"/>
        </w:rPr>
      </w:pPr>
    </w:p>
    <w:p w14:paraId="504801F7">
      <w:pPr>
        <w:pStyle w:val="16"/>
        <w:rPr>
          <w:rFonts w:hint="eastAsia"/>
          <w:color w:val="auto"/>
          <w:highlight w:val="none"/>
          <w:lang w:val="en-US" w:eastAsia="zh-CN"/>
        </w:rPr>
        <w:sectPr>
          <w:pgSz w:w="16838" w:h="11906" w:orient="landscape"/>
          <w:pgMar w:top="1080" w:right="1440" w:bottom="1080" w:left="1440" w:header="567" w:footer="567" w:gutter="0"/>
          <w:pgBorders>
            <w:top w:val="none" w:sz="0" w:space="0"/>
            <w:left w:val="none" w:sz="0" w:space="0"/>
            <w:bottom w:val="none" w:sz="0" w:space="0"/>
            <w:right w:val="none" w:sz="0" w:space="0"/>
          </w:pgBorders>
          <w:cols w:space="720" w:num="1"/>
          <w:docGrid w:type="lines" w:linePitch="381" w:charSpace="0"/>
        </w:sectPr>
      </w:pPr>
    </w:p>
    <w:p w14:paraId="2A5D0951">
      <w:pPr>
        <w:pStyle w:val="16"/>
        <w:ind w:left="0" w:leftChars="0" w:firstLine="0" w:firstLineChars="0"/>
        <w:rPr>
          <w:rFonts w:hint="eastAsia" w:cs="Times New Roman"/>
          <w:b/>
          <w:bCs/>
          <w:color w:val="auto"/>
          <w:sz w:val="28"/>
          <w:szCs w:val="28"/>
          <w:highlight w:val="none"/>
          <w:shd w:val="clear" w:color="auto" w:fill="auto"/>
          <w:lang w:eastAsia="zh-CN" w:bidi="ar"/>
        </w:rPr>
      </w:pPr>
      <w:r>
        <w:rPr>
          <w:rFonts w:hint="eastAsia" w:cs="Times New Roman"/>
          <w:b/>
          <w:bCs/>
          <w:color w:val="auto"/>
          <w:sz w:val="28"/>
          <w:szCs w:val="28"/>
          <w:highlight w:val="none"/>
          <w:shd w:val="clear" w:color="auto" w:fill="auto"/>
          <w:lang w:eastAsia="zh-CN" w:bidi="ar"/>
        </w:rPr>
        <w:t>（一车间租赁协议）</w:t>
      </w:r>
    </w:p>
    <w:p w14:paraId="4BF6C736">
      <w:pPr>
        <w:pStyle w:val="16"/>
        <w:rPr>
          <w:rFonts w:hint="eastAsia"/>
          <w:color w:val="auto"/>
          <w:highlight w:val="none"/>
          <w:lang w:eastAsia="zh-CN"/>
        </w:rPr>
      </w:pPr>
      <w:r>
        <w:rPr>
          <w:rFonts w:hint="eastAsia"/>
          <w:color w:val="auto"/>
          <w:highlight w:val="none"/>
          <w:lang w:eastAsia="zh-CN"/>
        </w:rPr>
        <w:drawing>
          <wp:inline distT="0" distB="0" distL="114300" distR="114300">
            <wp:extent cx="6186170" cy="8119110"/>
            <wp:effectExtent l="0" t="0" r="0" b="0"/>
            <wp:docPr id="72" name="图片 72" descr="金仑一车间合同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金仑一车间合同_00"/>
                    <pic:cNvPicPr>
                      <a:picLocks noChangeAspect="1"/>
                    </pic:cNvPicPr>
                  </pic:nvPicPr>
                  <pic:blipFill>
                    <a:blip r:embed="rId45"/>
                    <a:srcRect t="3448" b="3738"/>
                    <a:stretch>
                      <a:fillRect/>
                    </a:stretch>
                  </pic:blipFill>
                  <pic:spPr>
                    <a:xfrm>
                      <a:off x="0" y="0"/>
                      <a:ext cx="6186170" cy="8119110"/>
                    </a:xfrm>
                    <a:prstGeom prst="rect">
                      <a:avLst/>
                    </a:prstGeom>
                  </pic:spPr>
                </pic:pic>
              </a:graphicData>
            </a:graphic>
          </wp:inline>
        </w:drawing>
      </w:r>
      <w:r>
        <w:rPr>
          <w:rFonts w:hint="eastAsia"/>
          <w:color w:val="auto"/>
          <w:highlight w:val="none"/>
          <w:lang w:eastAsia="zh-CN"/>
        </w:rPr>
        <w:drawing>
          <wp:inline distT="0" distB="0" distL="114300" distR="114300">
            <wp:extent cx="6186170" cy="8747760"/>
            <wp:effectExtent l="0" t="0" r="5080" b="15240"/>
            <wp:docPr id="71" name="图片 71" descr="金仑一车间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金仑一车间合同_01"/>
                    <pic:cNvPicPr>
                      <a:picLocks noChangeAspect="1"/>
                    </pic:cNvPicPr>
                  </pic:nvPicPr>
                  <pic:blipFill>
                    <a:blip r:embed="rId46"/>
                    <a:stretch>
                      <a:fillRect/>
                    </a:stretch>
                  </pic:blipFill>
                  <pic:spPr>
                    <a:xfrm>
                      <a:off x="0" y="0"/>
                      <a:ext cx="6186170" cy="8747760"/>
                    </a:xfrm>
                    <a:prstGeom prst="rect">
                      <a:avLst/>
                    </a:prstGeom>
                  </pic:spPr>
                </pic:pic>
              </a:graphicData>
            </a:graphic>
          </wp:inline>
        </w:drawing>
      </w:r>
      <w:r>
        <w:rPr>
          <w:rFonts w:hint="eastAsia"/>
          <w:color w:val="auto"/>
          <w:highlight w:val="none"/>
          <w:lang w:eastAsia="zh-CN"/>
        </w:rPr>
        <w:drawing>
          <wp:inline distT="0" distB="0" distL="114300" distR="114300">
            <wp:extent cx="6186170" cy="8747760"/>
            <wp:effectExtent l="0" t="0" r="5080" b="15240"/>
            <wp:docPr id="69" name="图片 69" descr="金仑一车间合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金仑一车间合同_02"/>
                    <pic:cNvPicPr>
                      <a:picLocks noChangeAspect="1"/>
                    </pic:cNvPicPr>
                  </pic:nvPicPr>
                  <pic:blipFill>
                    <a:blip r:embed="rId47"/>
                    <a:stretch>
                      <a:fillRect/>
                    </a:stretch>
                  </pic:blipFill>
                  <pic:spPr>
                    <a:xfrm>
                      <a:off x="0" y="0"/>
                      <a:ext cx="6186170" cy="8747760"/>
                    </a:xfrm>
                    <a:prstGeom prst="rect">
                      <a:avLst/>
                    </a:prstGeom>
                  </pic:spPr>
                </pic:pic>
              </a:graphicData>
            </a:graphic>
          </wp:inline>
        </w:drawing>
      </w:r>
      <w:r>
        <w:rPr>
          <w:rFonts w:hint="eastAsia"/>
          <w:color w:val="auto"/>
          <w:highlight w:val="none"/>
          <w:lang w:eastAsia="zh-CN"/>
        </w:rPr>
        <w:drawing>
          <wp:inline distT="0" distB="0" distL="114300" distR="114300">
            <wp:extent cx="6186170" cy="8747760"/>
            <wp:effectExtent l="0" t="0" r="5080" b="15240"/>
            <wp:docPr id="65" name="图片 65" descr="金仑一车间合同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金仑一车间合同_03"/>
                    <pic:cNvPicPr>
                      <a:picLocks noChangeAspect="1"/>
                    </pic:cNvPicPr>
                  </pic:nvPicPr>
                  <pic:blipFill>
                    <a:blip r:embed="rId48"/>
                    <a:stretch>
                      <a:fillRect/>
                    </a:stretch>
                  </pic:blipFill>
                  <pic:spPr>
                    <a:xfrm>
                      <a:off x="0" y="0"/>
                      <a:ext cx="6186170" cy="8747760"/>
                    </a:xfrm>
                    <a:prstGeom prst="rect">
                      <a:avLst/>
                    </a:prstGeom>
                  </pic:spPr>
                </pic:pic>
              </a:graphicData>
            </a:graphic>
          </wp:inline>
        </w:drawing>
      </w:r>
      <w:r>
        <w:rPr>
          <w:rFonts w:hint="eastAsia"/>
          <w:color w:val="auto"/>
          <w:highlight w:val="none"/>
          <w:lang w:eastAsia="zh-CN"/>
        </w:rPr>
        <w:drawing>
          <wp:inline distT="0" distB="0" distL="114300" distR="114300">
            <wp:extent cx="6186170" cy="8747760"/>
            <wp:effectExtent l="0" t="0" r="5080" b="15240"/>
            <wp:docPr id="64" name="图片 64" descr="金仑一车间合同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金仑一车间合同_04"/>
                    <pic:cNvPicPr>
                      <a:picLocks noChangeAspect="1"/>
                    </pic:cNvPicPr>
                  </pic:nvPicPr>
                  <pic:blipFill>
                    <a:blip r:embed="rId49"/>
                    <a:stretch>
                      <a:fillRect/>
                    </a:stretch>
                  </pic:blipFill>
                  <pic:spPr>
                    <a:xfrm>
                      <a:off x="0" y="0"/>
                      <a:ext cx="6186170" cy="8747760"/>
                    </a:xfrm>
                    <a:prstGeom prst="rect">
                      <a:avLst/>
                    </a:prstGeom>
                  </pic:spPr>
                </pic:pic>
              </a:graphicData>
            </a:graphic>
          </wp:inline>
        </w:drawing>
      </w:r>
    </w:p>
    <w:p w14:paraId="016F91A5">
      <w:pPr>
        <w:pStyle w:val="16"/>
        <w:rPr>
          <w:rFonts w:hint="eastAsia" w:cs="Times New Roman"/>
          <w:b/>
          <w:bCs/>
          <w:color w:val="auto"/>
          <w:sz w:val="28"/>
          <w:szCs w:val="28"/>
          <w:highlight w:val="none"/>
          <w:shd w:val="clear" w:color="auto" w:fill="auto"/>
          <w:lang w:eastAsia="zh-CN" w:bidi="ar"/>
        </w:rPr>
      </w:pPr>
      <w:r>
        <w:rPr>
          <w:rFonts w:hint="eastAsia"/>
          <w:color w:val="auto"/>
          <w:highlight w:val="none"/>
          <w:lang w:val="en-US" w:eastAsia="zh-CN"/>
        </w:rPr>
        <w:t xml:space="preserve"> </w:t>
      </w:r>
      <w:r>
        <w:rPr>
          <w:rFonts w:hint="eastAsia" w:cs="Times New Roman"/>
          <w:b/>
          <w:bCs/>
          <w:color w:val="auto"/>
          <w:sz w:val="28"/>
          <w:szCs w:val="28"/>
          <w:highlight w:val="none"/>
          <w:shd w:val="clear" w:color="auto" w:fill="auto"/>
          <w:lang w:eastAsia="zh-CN" w:bidi="ar"/>
        </w:rPr>
        <w:t>（二车间租赁协议）</w:t>
      </w:r>
    </w:p>
    <w:p w14:paraId="2519D223">
      <w:pPr>
        <w:rPr>
          <w:rFonts w:hint="eastAsia"/>
          <w:color w:val="auto"/>
          <w:highlight w:val="none"/>
          <w:lang w:eastAsia="zh-CN"/>
        </w:rPr>
      </w:pPr>
      <w:r>
        <w:rPr>
          <w:rFonts w:hint="eastAsia"/>
          <w:color w:val="auto"/>
          <w:highlight w:val="none"/>
          <w:lang w:eastAsia="zh-CN"/>
        </w:rPr>
        <w:drawing>
          <wp:inline distT="0" distB="0" distL="114300" distR="114300">
            <wp:extent cx="6186170" cy="8143875"/>
            <wp:effectExtent l="0" t="0" r="0" b="0"/>
            <wp:docPr id="82" name="图片 82" descr="金仑二车间合同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金仑二车间合同_00"/>
                    <pic:cNvPicPr>
                      <a:picLocks noChangeAspect="1"/>
                    </pic:cNvPicPr>
                  </pic:nvPicPr>
                  <pic:blipFill>
                    <a:blip r:embed="rId50"/>
                    <a:srcRect t="1423" b="5481"/>
                    <a:stretch>
                      <a:fillRect/>
                    </a:stretch>
                  </pic:blipFill>
                  <pic:spPr>
                    <a:xfrm>
                      <a:off x="0" y="0"/>
                      <a:ext cx="6186170" cy="8143875"/>
                    </a:xfrm>
                    <a:prstGeom prst="rect">
                      <a:avLst/>
                    </a:prstGeom>
                  </pic:spPr>
                </pic:pic>
              </a:graphicData>
            </a:graphic>
          </wp:inline>
        </w:drawing>
      </w:r>
      <w:r>
        <w:rPr>
          <w:rFonts w:hint="eastAsia"/>
          <w:color w:val="auto"/>
          <w:highlight w:val="none"/>
          <w:lang w:eastAsia="zh-CN"/>
        </w:rPr>
        <w:drawing>
          <wp:inline distT="0" distB="0" distL="114300" distR="114300">
            <wp:extent cx="6186170" cy="8747760"/>
            <wp:effectExtent l="0" t="0" r="5080" b="15240"/>
            <wp:docPr id="81" name="图片 81" descr="金仑二车间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金仑二车间合同_01"/>
                    <pic:cNvPicPr>
                      <a:picLocks noChangeAspect="1"/>
                    </pic:cNvPicPr>
                  </pic:nvPicPr>
                  <pic:blipFill>
                    <a:blip r:embed="rId51"/>
                    <a:stretch>
                      <a:fillRect/>
                    </a:stretch>
                  </pic:blipFill>
                  <pic:spPr>
                    <a:xfrm>
                      <a:off x="0" y="0"/>
                      <a:ext cx="6186170" cy="8747760"/>
                    </a:xfrm>
                    <a:prstGeom prst="rect">
                      <a:avLst/>
                    </a:prstGeom>
                  </pic:spPr>
                </pic:pic>
              </a:graphicData>
            </a:graphic>
          </wp:inline>
        </w:drawing>
      </w:r>
      <w:r>
        <w:rPr>
          <w:rFonts w:hint="eastAsia"/>
          <w:color w:val="auto"/>
          <w:highlight w:val="none"/>
          <w:lang w:eastAsia="zh-CN"/>
        </w:rPr>
        <w:drawing>
          <wp:inline distT="0" distB="0" distL="114300" distR="114300">
            <wp:extent cx="6186170" cy="8747760"/>
            <wp:effectExtent l="0" t="0" r="5080" b="15240"/>
            <wp:docPr id="80" name="图片 80" descr="金仑二车间合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金仑二车间合同_02"/>
                    <pic:cNvPicPr>
                      <a:picLocks noChangeAspect="1"/>
                    </pic:cNvPicPr>
                  </pic:nvPicPr>
                  <pic:blipFill>
                    <a:blip r:embed="rId52"/>
                    <a:stretch>
                      <a:fillRect/>
                    </a:stretch>
                  </pic:blipFill>
                  <pic:spPr>
                    <a:xfrm>
                      <a:off x="0" y="0"/>
                      <a:ext cx="6186170" cy="8747760"/>
                    </a:xfrm>
                    <a:prstGeom prst="rect">
                      <a:avLst/>
                    </a:prstGeom>
                  </pic:spPr>
                </pic:pic>
              </a:graphicData>
            </a:graphic>
          </wp:inline>
        </w:drawing>
      </w:r>
      <w:r>
        <w:rPr>
          <w:rFonts w:hint="eastAsia"/>
          <w:color w:val="auto"/>
          <w:highlight w:val="none"/>
          <w:lang w:eastAsia="zh-CN"/>
        </w:rPr>
        <w:drawing>
          <wp:inline distT="0" distB="0" distL="114300" distR="114300">
            <wp:extent cx="6186170" cy="8747760"/>
            <wp:effectExtent l="0" t="0" r="5080" b="15240"/>
            <wp:docPr id="76" name="图片 76" descr="金仑二车间合同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金仑二车间合同_03"/>
                    <pic:cNvPicPr>
                      <a:picLocks noChangeAspect="1"/>
                    </pic:cNvPicPr>
                  </pic:nvPicPr>
                  <pic:blipFill>
                    <a:blip r:embed="rId53"/>
                    <a:stretch>
                      <a:fillRect/>
                    </a:stretch>
                  </pic:blipFill>
                  <pic:spPr>
                    <a:xfrm>
                      <a:off x="0" y="0"/>
                      <a:ext cx="6186170" cy="8747760"/>
                    </a:xfrm>
                    <a:prstGeom prst="rect">
                      <a:avLst/>
                    </a:prstGeom>
                  </pic:spPr>
                </pic:pic>
              </a:graphicData>
            </a:graphic>
          </wp:inline>
        </w:drawing>
      </w:r>
      <w:r>
        <w:rPr>
          <w:rFonts w:hint="eastAsia"/>
          <w:color w:val="auto"/>
          <w:highlight w:val="none"/>
          <w:lang w:eastAsia="zh-CN"/>
        </w:rPr>
        <w:drawing>
          <wp:inline distT="0" distB="0" distL="114300" distR="114300">
            <wp:extent cx="6186170" cy="8747760"/>
            <wp:effectExtent l="0" t="0" r="5080" b="15240"/>
            <wp:docPr id="75" name="图片 75" descr="金仑二车间合同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金仑二车间合同_04"/>
                    <pic:cNvPicPr>
                      <a:picLocks noChangeAspect="1"/>
                    </pic:cNvPicPr>
                  </pic:nvPicPr>
                  <pic:blipFill>
                    <a:blip r:embed="rId54"/>
                    <a:stretch>
                      <a:fillRect/>
                    </a:stretch>
                  </pic:blipFill>
                  <pic:spPr>
                    <a:xfrm>
                      <a:off x="0" y="0"/>
                      <a:ext cx="6186170" cy="8747760"/>
                    </a:xfrm>
                    <a:prstGeom prst="rect">
                      <a:avLst/>
                    </a:prstGeom>
                  </pic:spPr>
                </pic:pic>
              </a:graphicData>
            </a:graphic>
          </wp:inline>
        </w:drawing>
      </w:r>
      <w:r>
        <w:rPr>
          <w:rFonts w:hint="eastAsia"/>
          <w:color w:val="auto"/>
          <w:highlight w:val="none"/>
          <w:lang w:eastAsia="zh-CN"/>
        </w:rPr>
        <w:drawing>
          <wp:inline distT="0" distB="0" distL="114300" distR="114300">
            <wp:extent cx="6186170" cy="8747760"/>
            <wp:effectExtent l="0" t="0" r="5080" b="15240"/>
            <wp:docPr id="74" name="图片 74" descr="金仑二车间合同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金仑二车间合同_05"/>
                    <pic:cNvPicPr>
                      <a:picLocks noChangeAspect="1"/>
                    </pic:cNvPicPr>
                  </pic:nvPicPr>
                  <pic:blipFill>
                    <a:blip r:embed="rId55"/>
                    <a:stretch>
                      <a:fillRect/>
                    </a:stretch>
                  </pic:blipFill>
                  <pic:spPr>
                    <a:xfrm>
                      <a:off x="0" y="0"/>
                      <a:ext cx="6186170" cy="8747760"/>
                    </a:xfrm>
                    <a:prstGeom prst="rect">
                      <a:avLst/>
                    </a:prstGeom>
                  </pic:spPr>
                </pic:pic>
              </a:graphicData>
            </a:graphic>
          </wp:inline>
        </w:drawing>
      </w:r>
      <w:r>
        <w:rPr>
          <w:rFonts w:hint="eastAsia"/>
          <w:color w:val="auto"/>
          <w:highlight w:val="none"/>
          <w:lang w:eastAsia="zh-CN"/>
        </w:rPr>
        <w:drawing>
          <wp:inline distT="0" distB="0" distL="114300" distR="114300">
            <wp:extent cx="6186170" cy="8747760"/>
            <wp:effectExtent l="0" t="0" r="5080" b="15240"/>
            <wp:docPr id="73" name="图片 73" descr="金仑二车间合同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金仑二车间合同_06"/>
                    <pic:cNvPicPr>
                      <a:picLocks noChangeAspect="1"/>
                    </pic:cNvPicPr>
                  </pic:nvPicPr>
                  <pic:blipFill>
                    <a:blip r:embed="rId56"/>
                    <a:stretch>
                      <a:fillRect/>
                    </a:stretch>
                  </pic:blipFill>
                  <pic:spPr>
                    <a:xfrm>
                      <a:off x="0" y="0"/>
                      <a:ext cx="6186170" cy="8747760"/>
                    </a:xfrm>
                    <a:prstGeom prst="rect">
                      <a:avLst/>
                    </a:prstGeom>
                  </pic:spPr>
                </pic:pic>
              </a:graphicData>
            </a:graphic>
          </wp:inline>
        </w:drawing>
      </w:r>
    </w:p>
    <w:p w14:paraId="7CB758C0">
      <w:pPr>
        <w:rPr>
          <w:rFonts w:hint="eastAsia"/>
          <w:color w:val="auto"/>
          <w:highlight w:val="none"/>
          <w:lang w:eastAsia="zh-CN"/>
        </w:rPr>
      </w:pPr>
      <w:r>
        <w:rPr>
          <w:rFonts w:hint="eastAsia" w:cs="Times New Roman"/>
          <w:b/>
          <w:bCs/>
          <w:color w:val="auto"/>
          <w:sz w:val="28"/>
          <w:szCs w:val="28"/>
          <w:highlight w:val="none"/>
          <w:shd w:val="clear" w:color="auto" w:fill="auto"/>
          <w:lang w:eastAsia="zh-CN" w:bidi="ar"/>
        </w:rPr>
        <w:t>（承诺书）</w:t>
      </w:r>
    </w:p>
    <w:p w14:paraId="63DC3CA3">
      <w:pPr>
        <w:pStyle w:val="2"/>
        <w:ind w:left="0" w:leftChars="0" w:firstLine="0" w:firstLineChars="0"/>
        <w:rPr>
          <w:rFonts w:hint="eastAsia"/>
          <w:color w:val="auto"/>
          <w:lang w:eastAsia="zh-CN"/>
        </w:rPr>
      </w:pPr>
      <w:r>
        <w:rPr>
          <w:rFonts w:hint="eastAsia"/>
          <w:color w:val="auto"/>
          <w:lang w:eastAsia="zh-CN"/>
        </w:rPr>
        <w:drawing>
          <wp:inline distT="0" distB="0" distL="114300" distR="114300">
            <wp:extent cx="6185535" cy="7641590"/>
            <wp:effectExtent l="0" t="0" r="0" b="0"/>
            <wp:docPr id="98" name="图片 98" descr="承诺书 (2)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承诺书 (2)_00"/>
                    <pic:cNvPicPr>
                      <a:picLocks noChangeAspect="1"/>
                    </pic:cNvPicPr>
                  </pic:nvPicPr>
                  <pic:blipFill>
                    <a:blip r:embed="rId57"/>
                    <a:srcRect b="12537"/>
                    <a:stretch>
                      <a:fillRect/>
                    </a:stretch>
                  </pic:blipFill>
                  <pic:spPr>
                    <a:xfrm>
                      <a:off x="0" y="0"/>
                      <a:ext cx="6185535" cy="7641590"/>
                    </a:xfrm>
                    <a:prstGeom prst="rect">
                      <a:avLst/>
                    </a:prstGeom>
                  </pic:spPr>
                </pic:pic>
              </a:graphicData>
            </a:graphic>
          </wp:inline>
        </w:drawing>
      </w:r>
    </w:p>
    <w:p w14:paraId="5A0A4FA7">
      <w:pPr>
        <w:rPr>
          <w:rFonts w:hint="eastAsia"/>
          <w:color w:val="auto"/>
          <w:highlight w:val="none"/>
          <w:lang w:eastAsia="zh-CN"/>
        </w:rPr>
      </w:pPr>
      <w:r>
        <w:rPr>
          <w:rFonts w:hint="eastAsia"/>
          <w:color w:val="auto"/>
          <w:highlight w:val="none"/>
          <w:lang w:eastAsia="zh-CN"/>
        </w:rPr>
        <w:br w:type="page"/>
      </w:r>
    </w:p>
    <w:p w14:paraId="5141A2F5">
      <w:pPr>
        <w:pStyle w:val="16"/>
        <w:ind w:left="0" w:leftChars="0" w:firstLine="0" w:firstLineChars="0"/>
        <w:rPr>
          <w:rFonts w:hint="eastAsia"/>
          <w:color w:val="auto"/>
          <w:highlight w:val="none"/>
          <w:lang w:eastAsia="zh-CN"/>
        </w:rPr>
        <w:sectPr>
          <w:pgSz w:w="11906" w:h="16838"/>
          <w:pgMar w:top="1440" w:right="1080" w:bottom="1440" w:left="1080" w:header="567" w:footer="567" w:gutter="0"/>
          <w:pgBorders>
            <w:top w:val="none" w:sz="0" w:space="0"/>
            <w:left w:val="none" w:sz="0" w:space="0"/>
            <w:bottom w:val="none" w:sz="0" w:space="0"/>
            <w:right w:val="none" w:sz="0" w:space="0"/>
          </w:pgBorders>
          <w:cols w:space="720" w:num="1"/>
          <w:docGrid w:type="lines" w:linePitch="381" w:charSpace="0"/>
        </w:sectPr>
      </w:pPr>
    </w:p>
    <w:p w14:paraId="3F768F68">
      <w:pPr>
        <w:pStyle w:val="17"/>
        <w:rPr>
          <w:rFonts w:hint="eastAsia"/>
          <w:color w:val="auto"/>
          <w:highlight w:val="none"/>
          <w:lang w:eastAsia="zh-CN"/>
        </w:rPr>
        <w:sectPr>
          <w:pgSz w:w="11906" w:h="16838"/>
          <w:pgMar w:top="1440" w:right="1080" w:bottom="1440" w:left="1080" w:header="567" w:footer="567" w:gutter="0"/>
          <w:pgBorders>
            <w:top w:val="none" w:sz="0" w:space="0"/>
            <w:left w:val="none" w:sz="0" w:space="0"/>
            <w:bottom w:val="none" w:sz="0" w:space="0"/>
            <w:right w:val="none" w:sz="0" w:space="0"/>
          </w:pgBorders>
          <w:cols w:space="720" w:num="1"/>
          <w:docGrid w:type="lines" w:linePitch="381" w:charSpace="0"/>
        </w:sectPr>
      </w:pPr>
      <w:r>
        <w:rPr>
          <w:rFonts w:hint="eastAsia" w:cs="Times New Roman"/>
          <w:b/>
          <w:bCs/>
          <w:color w:val="auto"/>
          <w:sz w:val="28"/>
          <w:szCs w:val="28"/>
          <w:highlight w:val="none"/>
          <w:shd w:val="clear" w:color="auto" w:fill="auto"/>
          <w:lang w:eastAsia="zh-CN" w:bidi="ar"/>
        </w:rPr>
        <w:t>（土地证）</w:t>
      </w:r>
      <w:r>
        <w:rPr>
          <w:rFonts w:hint="eastAsia"/>
          <w:color w:val="auto"/>
          <w:highlight w:val="none"/>
          <w:lang w:eastAsia="zh-CN"/>
        </w:rPr>
        <w:drawing>
          <wp:inline distT="0" distB="0" distL="114300" distR="114300">
            <wp:extent cx="6181090" cy="8223885"/>
            <wp:effectExtent l="0" t="0" r="10160" b="5715"/>
            <wp:docPr id="33" name="图片 33" descr="f5e28c26433fc47ef622ce6e0ec57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f5e28c26433fc47ef622ce6e0ec575e"/>
                    <pic:cNvPicPr>
                      <a:picLocks noChangeAspect="1"/>
                    </pic:cNvPicPr>
                  </pic:nvPicPr>
                  <pic:blipFill>
                    <a:blip r:embed="rId58"/>
                    <a:stretch>
                      <a:fillRect/>
                    </a:stretch>
                  </pic:blipFill>
                  <pic:spPr>
                    <a:xfrm>
                      <a:off x="0" y="0"/>
                      <a:ext cx="6181090" cy="8223885"/>
                    </a:xfrm>
                    <a:prstGeom prst="rect">
                      <a:avLst/>
                    </a:prstGeom>
                  </pic:spPr>
                </pic:pic>
              </a:graphicData>
            </a:graphic>
          </wp:inline>
        </w:drawing>
      </w:r>
    </w:p>
    <w:p w14:paraId="33B85A53">
      <w:pPr>
        <w:pStyle w:val="16"/>
        <w:ind w:left="0" w:leftChars="0" w:firstLine="0" w:firstLineChars="0"/>
        <w:rPr>
          <w:rFonts w:hint="default"/>
          <w:color w:val="auto"/>
          <w:sz w:val="24"/>
          <w:highlight w:val="none"/>
          <w:shd w:val="clear" w:color="auto" w:fill="auto"/>
        </w:rPr>
      </w:pPr>
      <w:r>
        <w:rPr>
          <w:rFonts w:hint="eastAsia" w:ascii="Times New Roman" w:hAnsi="Times New Roman" w:eastAsia="宋体" w:cs="Times New Roman"/>
          <w:b/>
          <w:bCs/>
          <w:color w:val="auto"/>
          <w:sz w:val="28"/>
          <w:szCs w:val="28"/>
          <w:highlight w:val="none"/>
          <w:shd w:val="clear" w:color="auto" w:fill="auto"/>
          <w:lang w:eastAsia="zh-CN" w:bidi="ar"/>
        </w:rPr>
        <w:t>附件</w:t>
      </w:r>
      <w:r>
        <w:rPr>
          <w:rFonts w:hint="eastAsia" w:cs="Times New Roman"/>
          <w:b/>
          <w:bCs/>
          <w:color w:val="auto"/>
          <w:sz w:val="28"/>
          <w:szCs w:val="28"/>
          <w:highlight w:val="none"/>
          <w:shd w:val="clear" w:color="auto" w:fill="auto"/>
          <w:lang w:val="en-US" w:eastAsia="zh-CN" w:bidi="ar"/>
        </w:rPr>
        <w:t>4</w:t>
      </w:r>
      <w:r>
        <w:rPr>
          <w:rFonts w:hint="eastAsia" w:ascii="Times New Roman" w:hAnsi="Times New Roman" w:eastAsia="宋体" w:cs="Times New Roman"/>
          <w:b/>
          <w:bCs/>
          <w:color w:val="auto"/>
          <w:sz w:val="28"/>
          <w:szCs w:val="28"/>
          <w:highlight w:val="none"/>
          <w:shd w:val="clear" w:color="auto" w:fill="auto"/>
          <w:lang w:eastAsia="zh-CN" w:bidi="ar"/>
        </w:rPr>
        <w:t xml:space="preserve">   </w:t>
      </w:r>
      <w:r>
        <w:rPr>
          <w:rFonts w:hint="eastAsia" w:ascii="Times New Roman" w:hAnsi="Times New Roman" w:eastAsia="宋体" w:cs="Times New Roman"/>
          <w:b/>
          <w:bCs/>
          <w:color w:val="auto"/>
          <w:sz w:val="28"/>
          <w:szCs w:val="28"/>
          <w:highlight w:val="none"/>
          <w:shd w:val="clear" w:color="auto" w:fill="auto"/>
          <w:lang w:val="en-US" w:eastAsia="zh-CN" w:bidi="ar"/>
        </w:rPr>
        <w:t>辽宁省三线一单数据应用系统查询结果</w:t>
      </w:r>
    </w:p>
    <w:p w14:paraId="487B0B6A">
      <w:pPr>
        <w:rPr>
          <w:rFonts w:hint="eastAsia" w:eastAsia="宋体"/>
          <w:color w:val="auto"/>
          <w:sz w:val="24"/>
          <w:highlight w:val="none"/>
          <w:shd w:val="clear" w:color="auto" w:fill="auto"/>
          <w:lang w:eastAsia="zh-CN"/>
        </w:rPr>
      </w:pPr>
      <w:r>
        <w:rPr>
          <w:rFonts w:hint="eastAsia" w:eastAsia="宋体"/>
          <w:color w:val="auto"/>
          <w:sz w:val="24"/>
          <w:highlight w:val="none"/>
          <w:shd w:val="clear" w:color="auto" w:fill="auto"/>
          <w:lang w:eastAsia="zh-CN"/>
        </w:rPr>
        <w:drawing>
          <wp:inline distT="0" distB="0" distL="114300" distR="114300">
            <wp:extent cx="8529955" cy="4869815"/>
            <wp:effectExtent l="0" t="0" r="4445" b="6985"/>
            <wp:docPr id="13" name="图片 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
                    <pic:cNvPicPr>
                      <a:picLocks noChangeAspect="1"/>
                    </pic:cNvPicPr>
                  </pic:nvPicPr>
                  <pic:blipFill>
                    <a:blip r:embed="rId59"/>
                    <a:stretch>
                      <a:fillRect/>
                    </a:stretch>
                  </pic:blipFill>
                  <pic:spPr>
                    <a:xfrm>
                      <a:off x="0" y="0"/>
                      <a:ext cx="8529955" cy="4869815"/>
                    </a:xfrm>
                    <a:prstGeom prst="rect">
                      <a:avLst/>
                    </a:prstGeom>
                  </pic:spPr>
                </pic:pic>
              </a:graphicData>
            </a:graphic>
          </wp:inline>
        </w:drawing>
      </w:r>
    </w:p>
    <w:p w14:paraId="1BB55DF1">
      <w:pPr>
        <w:pStyle w:val="17"/>
        <w:rPr>
          <w:rFonts w:hint="eastAsia"/>
          <w:color w:val="auto"/>
          <w:highlight w:val="none"/>
          <w:lang w:eastAsia="zh-CN"/>
        </w:rPr>
        <w:sectPr>
          <w:footerReference r:id="rId4" w:type="default"/>
          <w:pgSz w:w="16838" w:h="11906" w:orient="landscape"/>
          <w:pgMar w:top="1531" w:right="1702" w:bottom="1531" w:left="1702" w:header="851" w:footer="851" w:gutter="0"/>
          <w:pgNumType w:fmt="decimal"/>
          <w:cols w:space="720" w:num="1"/>
          <w:docGrid w:type="lines" w:linePitch="312" w:charSpace="0"/>
        </w:sectPr>
      </w:pPr>
      <w:r>
        <w:rPr>
          <w:rFonts w:hint="eastAsia"/>
          <w:color w:val="auto"/>
          <w:highlight w:val="none"/>
          <w:lang w:eastAsia="zh-CN"/>
        </w:rPr>
        <w:drawing>
          <wp:inline distT="0" distB="0" distL="114300" distR="114300">
            <wp:extent cx="8519795" cy="5194935"/>
            <wp:effectExtent l="0" t="0" r="14605" b="5715"/>
            <wp:docPr id="12" name="图片 1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3"/>
                    <pic:cNvPicPr>
                      <a:picLocks noChangeAspect="1"/>
                    </pic:cNvPicPr>
                  </pic:nvPicPr>
                  <pic:blipFill>
                    <a:blip r:embed="rId60"/>
                    <a:stretch>
                      <a:fillRect/>
                    </a:stretch>
                  </pic:blipFill>
                  <pic:spPr>
                    <a:xfrm>
                      <a:off x="0" y="0"/>
                      <a:ext cx="8519795" cy="5194935"/>
                    </a:xfrm>
                    <a:prstGeom prst="rect">
                      <a:avLst/>
                    </a:prstGeom>
                  </pic:spPr>
                </pic:pic>
              </a:graphicData>
            </a:graphic>
          </wp:inline>
        </w:drawing>
      </w:r>
    </w:p>
    <w:p w14:paraId="1B623842">
      <w:pPr>
        <w:pStyle w:val="16"/>
        <w:pageBreakBefore/>
        <w:ind w:firstLine="0" w:firstLineChars="0"/>
        <w:rPr>
          <w:rFonts w:hint="eastAsia"/>
          <w:color w:val="auto"/>
          <w:szCs w:val="28"/>
          <w:highlight w:val="none"/>
        </w:rPr>
      </w:pPr>
      <w:r>
        <w:rPr>
          <w:rFonts w:hint="eastAsia" w:ascii="Times New Roman" w:hAnsi="Times New Roman" w:eastAsia="宋体" w:cs="Times New Roman"/>
          <w:b/>
          <w:bCs/>
          <w:color w:val="auto"/>
          <w:sz w:val="28"/>
          <w:szCs w:val="28"/>
          <w:highlight w:val="none"/>
        </w:rPr>
        <w:t>附件</w:t>
      </w:r>
      <w:r>
        <w:rPr>
          <w:rFonts w:hint="eastAsia" w:cs="Times New Roman"/>
          <w:b/>
          <w:bCs/>
          <w:color w:val="auto"/>
          <w:sz w:val="28"/>
          <w:szCs w:val="28"/>
          <w:highlight w:val="none"/>
          <w:lang w:val="en-US" w:eastAsia="zh-CN"/>
        </w:rPr>
        <w:t xml:space="preserve">5 </w:t>
      </w:r>
      <w:r>
        <w:rPr>
          <w:rFonts w:hint="eastAsia" w:ascii="Times New Roman" w:hAnsi="Times New Roman" w:eastAsia="宋体" w:cs="Times New Roman"/>
          <w:b/>
          <w:bCs/>
          <w:color w:val="auto"/>
          <w:sz w:val="28"/>
          <w:szCs w:val="28"/>
          <w:highlight w:val="none"/>
          <w:lang w:val="en-US" w:eastAsia="zh-CN"/>
        </w:rPr>
        <w:t xml:space="preserve"> 引用环境空气的检测报告</w:t>
      </w:r>
      <w:r>
        <w:rPr>
          <w:rFonts w:hint="eastAsia" w:cs="Times New Roman"/>
          <w:b/>
          <w:bCs/>
          <w:color w:val="auto"/>
          <w:sz w:val="28"/>
          <w:szCs w:val="28"/>
          <w:highlight w:val="none"/>
          <w:lang w:val="en-US" w:eastAsia="zh-CN"/>
        </w:rPr>
        <w:t xml:space="preserve"> </w:t>
      </w:r>
    </w:p>
    <w:p w14:paraId="52E8F4D6">
      <w:pPr>
        <w:pStyle w:val="16"/>
        <w:ind w:firstLine="0" w:firstLineChars="0"/>
        <w:rPr>
          <w:rFonts w:hint="eastAsia"/>
          <w:color w:val="auto"/>
          <w:highlight w:val="none"/>
          <w:lang w:val="en-US" w:eastAsia="zh-CN"/>
        </w:rPr>
      </w:pPr>
      <w:r>
        <w:rPr>
          <w:color w:val="auto"/>
          <w:highlight w:val="none"/>
        </w:rPr>
        <w:drawing>
          <wp:inline distT="0" distB="0" distL="114300" distR="114300">
            <wp:extent cx="5761990" cy="7769860"/>
            <wp:effectExtent l="0" t="0" r="10160" b="2540"/>
            <wp:docPr id="160"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298"/>
                    <pic:cNvPicPr>
                      <a:picLocks noChangeAspect="1"/>
                    </pic:cNvPicPr>
                  </pic:nvPicPr>
                  <pic:blipFill>
                    <a:blip r:embed="rId61"/>
                    <a:srcRect t="1953" b="3239"/>
                    <a:stretch>
                      <a:fillRect/>
                    </a:stretch>
                  </pic:blipFill>
                  <pic:spPr>
                    <a:xfrm>
                      <a:off x="0" y="0"/>
                      <a:ext cx="5761990" cy="7769860"/>
                    </a:xfrm>
                    <a:prstGeom prst="rect">
                      <a:avLst/>
                    </a:prstGeom>
                    <a:noFill/>
                    <a:ln>
                      <a:noFill/>
                    </a:ln>
                  </pic:spPr>
                </pic:pic>
              </a:graphicData>
            </a:graphic>
          </wp:inline>
        </w:drawing>
      </w:r>
      <w:r>
        <w:rPr>
          <w:color w:val="auto"/>
          <w:highlight w:val="none"/>
        </w:rPr>
        <w:drawing>
          <wp:inline distT="0" distB="0" distL="114300" distR="114300">
            <wp:extent cx="5724525" cy="8067040"/>
            <wp:effectExtent l="0" t="0" r="9525" b="10160"/>
            <wp:docPr id="161"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99"/>
                    <pic:cNvPicPr>
                      <a:picLocks noChangeAspect="1"/>
                    </pic:cNvPicPr>
                  </pic:nvPicPr>
                  <pic:blipFill>
                    <a:blip r:embed="rId62"/>
                    <a:stretch>
                      <a:fillRect/>
                    </a:stretch>
                  </pic:blipFill>
                  <pic:spPr>
                    <a:xfrm>
                      <a:off x="0" y="0"/>
                      <a:ext cx="5724525" cy="8067040"/>
                    </a:xfrm>
                    <a:prstGeom prst="rect">
                      <a:avLst/>
                    </a:prstGeom>
                    <a:noFill/>
                    <a:ln>
                      <a:noFill/>
                    </a:ln>
                  </pic:spPr>
                </pic:pic>
              </a:graphicData>
            </a:graphic>
          </wp:inline>
        </w:drawing>
      </w:r>
      <w:r>
        <w:rPr>
          <w:color w:val="auto"/>
          <w:highlight w:val="none"/>
        </w:rPr>
        <w:drawing>
          <wp:inline distT="0" distB="0" distL="114300" distR="114300">
            <wp:extent cx="5715000" cy="8130540"/>
            <wp:effectExtent l="0" t="0" r="0" b="3810"/>
            <wp:docPr id="162"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300"/>
                    <pic:cNvPicPr>
                      <a:picLocks noChangeAspect="1"/>
                    </pic:cNvPicPr>
                  </pic:nvPicPr>
                  <pic:blipFill>
                    <a:blip r:embed="rId63"/>
                    <a:stretch>
                      <a:fillRect/>
                    </a:stretch>
                  </pic:blipFill>
                  <pic:spPr>
                    <a:xfrm>
                      <a:off x="0" y="0"/>
                      <a:ext cx="5715000" cy="8130540"/>
                    </a:xfrm>
                    <a:prstGeom prst="rect">
                      <a:avLst/>
                    </a:prstGeom>
                    <a:noFill/>
                    <a:ln>
                      <a:noFill/>
                    </a:ln>
                  </pic:spPr>
                </pic:pic>
              </a:graphicData>
            </a:graphic>
          </wp:inline>
        </w:drawing>
      </w:r>
      <w:r>
        <w:rPr>
          <w:color w:val="auto"/>
          <w:highlight w:val="none"/>
        </w:rPr>
        <w:drawing>
          <wp:inline distT="0" distB="0" distL="114300" distR="114300">
            <wp:extent cx="5745480" cy="8077200"/>
            <wp:effectExtent l="0" t="0" r="7620" b="0"/>
            <wp:docPr id="163"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301"/>
                    <pic:cNvPicPr>
                      <a:picLocks noChangeAspect="1"/>
                    </pic:cNvPicPr>
                  </pic:nvPicPr>
                  <pic:blipFill>
                    <a:blip r:embed="rId64"/>
                    <a:stretch>
                      <a:fillRect/>
                    </a:stretch>
                  </pic:blipFill>
                  <pic:spPr>
                    <a:xfrm>
                      <a:off x="0" y="0"/>
                      <a:ext cx="5745480" cy="8077200"/>
                    </a:xfrm>
                    <a:prstGeom prst="rect">
                      <a:avLst/>
                    </a:prstGeom>
                    <a:noFill/>
                    <a:ln>
                      <a:noFill/>
                    </a:ln>
                  </pic:spPr>
                </pic:pic>
              </a:graphicData>
            </a:graphic>
          </wp:inline>
        </w:drawing>
      </w:r>
      <w:r>
        <w:rPr>
          <w:color w:val="auto"/>
          <w:highlight w:val="none"/>
        </w:rPr>
        <w:drawing>
          <wp:inline distT="0" distB="0" distL="114300" distR="114300">
            <wp:extent cx="5715000" cy="8058150"/>
            <wp:effectExtent l="0" t="0" r="0" b="0"/>
            <wp:docPr id="164"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302"/>
                    <pic:cNvPicPr>
                      <a:picLocks noChangeAspect="1"/>
                    </pic:cNvPicPr>
                  </pic:nvPicPr>
                  <pic:blipFill>
                    <a:blip r:embed="rId65"/>
                    <a:stretch>
                      <a:fillRect/>
                    </a:stretch>
                  </pic:blipFill>
                  <pic:spPr>
                    <a:xfrm>
                      <a:off x="0" y="0"/>
                      <a:ext cx="5715000" cy="8058150"/>
                    </a:xfrm>
                    <a:prstGeom prst="rect">
                      <a:avLst/>
                    </a:prstGeom>
                    <a:noFill/>
                    <a:ln>
                      <a:noFill/>
                    </a:ln>
                  </pic:spPr>
                </pic:pic>
              </a:graphicData>
            </a:graphic>
          </wp:inline>
        </w:drawing>
      </w:r>
      <w:r>
        <w:rPr>
          <w:color w:val="auto"/>
          <w:highlight w:val="none"/>
        </w:rPr>
        <w:drawing>
          <wp:inline distT="0" distB="0" distL="114300" distR="114300">
            <wp:extent cx="5733415" cy="8058150"/>
            <wp:effectExtent l="0" t="0" r="635" b="0"/>
            <wp:docPr id="165"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303"/>
                    <pic:cNvPicPr>
                      <a:picLocks noChangeAspect="1"/>
                    </pic:cNvPicPr>
                  </pic:nvPicPr>
                  <pic:blipFill>
                    <a:blip r:embed="rId66"/>
                    <a:stretch>
                      <a:fillRect/>
                    </a:stretch>
                  </pic:blipFill>
                  <pic:spPr>
                    <a:xfrm>
                      <a:off x="0" y="0"/>
                      <a:ext cx="5733415" cy="8058150"/>
                    </a:xfrm>
                    <a:prstGeom prst="rect">
                      <a:avLst/>
                    </a:prstGeom>
                    <a:noFill/>
                    <a:ln>
                      <a:noFill/>
                    </a:ln>
                  </pic:spPr>
                </pic:pic>
              </a:graphicData>
            </a:graphic>
          </wp:inline>
        </w:drawing>
      </w:r>
      <w:r>
        <w:rPr>
          <w:color w:val="auto"/>
          <w:highlight w:val="none"/>
        </w:rPr>
        <w:drawing>
          <wp:inline distT="0" distB="0" distL="114300" distR="114300">
            <wp:extent cx="5723890" cy="8115300"/>
            <wp:effectExtent l="0" t="0" r="10160" b="0"/>
            <wp:docPr id="166"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04"/>
                    <pic:cNvPicPr>
                      <a:picLocks noChangeAspect="1"/>
                    </pic:cNvPicPr>
                  </pic:nvPicPr>
                  <pic:blipFill>
                    <a:blip r:embed="rId67"/>
                    <a:stretch>
                      <a:fillRect/>
                    </a:stretch>
                  </pic:blipFill>
                  <pic:spPr>
                    <a:xfrm>
                      <a:off x="0" y="0"/>
                      <a:ext cx="5723890" cy="8115300"/>
                    </a:xfrm>
                    <a:prstGeom prst="rect">
                      <a:avLst/>
                    </a:prstGeom>
                    <a:noFill/>
                    <a:ln>
                      <a:noFill/>
                    </a:ln>
                  </pic:spPr>
                </pic:pic>
              </a:graphicData>
            </a:graphic>
          </wp:inline>
        </w:drawing>
      </w:r>
      <w:r>
        <w:rPr>
          <w:color w:val="auto"/>
          <w:highlight w:val="none"/>
        </w:rPr>
        <w:drawing>
          <wp:inline distT="0" distB="0" distL="114300" distR="114300">
            <wp:extent cx="5724525" cy="8323580"/>
            <wp:effectExtent l="0" t="0" r="9525" b="1270"/>
            <wp:docPr id="167"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305"/>
                    <pic:cNvPicPr>
                      <a:picLocks noChangeAspect="1"/>
                    </pic:cNvPicPr>
                  </pic:nvPicPr>
                  <pic:blipFill>
                    <a:blip r:embed="rId68"/>
                    <a:stretch>
                      <a:fillRect/>
                    </a:stretch>
                  </pic:blipFill>
                  <pic:spPr>
                    <a:xfrm>
                      <a:off x="0" y="0"/>
                      <a:ext cx="5724525" cy="8323580"/>
                    </a:xfrm>
                    <a:prstGeom prst="rect">
                      <a:avLst/>
                    </a:prstGeom>
                    <a:noFill/>
                    <a:ln>
                      <a:noFill/>
                    </a:ln>
                  </pic:spPr>
                </pic:pic>
              </a:graphicData>
            </a:graphic>
          </wp:inline>
        </w:drawing>
      </w:r>
    </w:p>
    <w:p w14:paraId="2FD2E708">
      <w:pPr>
        <w:rPr>
          <w:rFonts w:hint="eastAsia"/>
          <w:color w:val="auto"/>
          <w:highlight w:val="none"/>
          <w:lang w:val="en-US" w:eastAsia="zh-CN"/>
        </w:rPr>
        <w:sectPr>
          <w:pgSz w:w="11906" w:h="16838"/>
          <w:pgMar w:top="1702" w:right="1531" w:bottom="1702" w:left="1531" w:header="851" w:footer="851" w:gutter="0"/>
          <w:pgNumType w:fmt="decimal"/>
          <w:cols w:space="720" w:num="1"/>
          <w:docGrid w:type="lines" w:linePitch="312" w:charSpace="0"/>
        </w:sectPr>
      </w:pPr>
    </w:p>
    <w:p w14:paraId="4436C5BE">
      <w:pPr>
        <w:pStyle w:val="16"/>
        <w:ind w:left="0" w:leftChars="0" w:firstLine="0" w:firstLineChars="0"/>
        <w:rPr>
          <w:rFonts w:hint="eastAsia"/>
          <w:b/>
          <w:bCs/>
          <w:color w:val="auto"/>
          <w:highlight w:val="none"/>
          <w:lang w:val="en-US" w:eastAsia="zh-CN"/>
        </w:rPr>
      </w:pPr>
      <w:r>
        <w:rPr>
          <w:rFonts w:hint="eastAsia"/>
          <w:b/>
          <w:bCs/>
          <w:color w:val="auto"/>
          <w:highlight w:val="none"/>
          <w:lang w:val="en-US" w:eastAsia="zh-CN"/>
        </w:rPr>
        <w:t>附件6  取水证</w:t>
      </w:r>
    </w:p>
    <w:p w14:paraId="40341F4E">
      <w:pPr>
        <w:rPr>
          <w:rFonts w:hint="default"/>
          <w:color w:val="auto"/>
          <w:highlight w:val="none"/>
          <w:lang w:val="en-US" w:eastAsia="zh-CN"/>
        </w:rPr>
      </w:pPr>
      <w:r>
        <w:rPr>
          <w:rFonts w:hint="default"/>
          <w:color w:val="auto"/>
          <w:highlight w:val="none"/>
          <w:lang w:val="en-US" w:eastAsia="zh-CN"/>
        </w:rPr>
        <w:drawing>
          <wp:anchor distT="0" distB="0" distL="114300" distR="114300" simplePos="0" relativeHeight="251723776" behindDoc="0" locked="0" layoutInCell="1" allowOverlap="1">
            <wp:simplePos x="0" y="0"/>
            <wp:positionH relativeFrom="column">
              <wp:posOffset>171450</wp:posOffset>
            </wp:positionH>
            <wp:positionV relativeFrom="paragraph">
              <wp:posOffset>41910</wp:posOffset>
            </wp:positionV>
            <wp:extent cx="7945755" cy="5615305"/>
            <wp:effectExtent l="0" t="0" r="17145" b="4445"/>
            <wp:wrapNone/>
            <wp:docPr id="91" name="图片 91" descr="D210323G2025-0004辽宁佳合鹏程粉体科技有限公司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D210323G2025-0004辽宁佳合鹏程粉体科技有限公司_00"/>
                    <pic:cNvPicPr>
                      <a:picLocks noChangeAspect="1"/>
                    </pic:cNvPicPr>
                  </pic:nvPicPr>
                  <pic:blipFill>
                    <a:blip r:embed="rId69"/>
                    <a:stretch>
                      <a:fillRect/>
                    </a:stretch>
                  </pic:blipFill>
                  <pic:spPr>
                    <a:xfrm>
                      <a:off x="0" y="0"/>
                      <a:ext cx="7945755" cy="5615305"/>
                    </a:xfrm>
                    <a:prstGeom prst="rect">
                      <a:avLst/>
                    </a:prstGeom>
                  </pic:spPr>
                </pic:pic>
              </a:graphicData>
            </a:graphic>
          </wp:anchor>
        </w:drawing>
      </w:r>
    </w:p>
    <w:sectPr>
      <w:pgSz w:w="16838" w:h="11906" w:orient="landscape"/>
      <w:pgMar w:top="850" w:right="1702" w:bottom="1531" w:left="1702" w:header="851" w:footer="851" w:gutter="0"/>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modern"/>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embedRegular r:id="rId1" w:fontKey="{73383CE5-70D0-4531-A5D7-8E12FB46B788}"/>
  </w:font>
  <w:font w:name="黑体">
    <w:panose1 w:val="02010609060101010101"/>
    <w:charset w:val="86"/>
    <w:family w:val="auto"/>
    <w:pitch w:val="default"/>
    <w:sig w:usb0="800002BF" w:usb1="38CF7CFA" w:usb2="00000016" w:usb3="00000000" w:csb0="00040001" w:csb1="00000000"/>
    <w:embedRegular r:id="rId2" w:fontKey="{089BE4E9-2BF9-43A6-A753-4956C78A72E1}"/>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embedRegular r:id="rId3" w:fontKey="{1D66BF07-536D-409A-B752-944F9CC2510C}"/>
  </w:font>
  <w:font w:name="华文行楷">
    <w:altName w:val="微软雅黑"/>
    <w:panose1 w:val="02010800040101010101"/>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80F3C52" w:usb2="00000016" w:usb3="00000000" w:csb0="0004001F" w:csb1="00000000"/>
  </w:font>
  <w:font w:name="Impact">
    <w:panose1 w:val="020B0806030902050204"/>
    <w:charset w:val="00"/>
    <w:family w:val="swiss"/>
    <w:pitch w:val="default"/>
    <w:sig w:usb0="00000287" w:usb1="00000000" w:usb2="00000000" w:usb3="00000000" w:csb0="2000009F" w:csb1="DFD70000"/>
  </w:font>
  <w:font w:name="方正黑体_GBK">
    <w:altName w:val="Times New Roman"/>
    <w:panose1 w:val="00000000000000000000"/>
    <w:charset w:val="00"/>
    <w:family w:val="auto"/>
    <w:pitch w:val="default"/>
    <w:sig w:usb0="00000000" w:usb1="00000000" w:usb2="00000000" w:usb3="00000000" w:csb0="00040001" w:csb1="00000000"/>
  </w:font>
  <w:font w:name="仿宋_GB2312">
    <w:panose1 w:val="02010609030101010101"/>
    <w:charset w:val="86"/>
    <w:family w:val="auto"/>
    <w:pitch w:val="default"/>
    <w:sig w:usb0="00000001" w:usb1="080E0000" w:usb2="00000000" w:usb3="00000000" w:csb0="00040000" w:csb1="00000000"/>
    <w:embedRegular r:id="rId4" w:fontKey="{75676D49-3B24-4F19-BD3B-5026F0190668}"/>
  </w:font>
  <w:font w:name="Arial Unicode MS">
    <w:altName w:val="宋体"/>
    <w:panose1 w:val="020B0604020202020204"/>
    <w:charset w:val="86"/>
    <w:family w:val="swiss"/>
    <w:pitch w:val="default"/>
    <w:sig w:usb0="00000000" w:usb1="00000000" w:usb2="0000003F" w:usb3="00000000" w:csb0="603F01FF" w:csb1="FFFF0000"/>
  </w:font>
  <w:font w:name="Tahoma">
    <w:panose1 w:val="020B0604030504040204"/>
    <w:charset w:val="00"/>
    <w:family w:val="auto"/>
    <w:pitch w:val="default"/>
    <w:sig w:usb0="E1002EFF" w:usb1="C000605B" w:usb2="00000029" w:usb3="00000000" w:csb0="200101FF" w:csb1="20280000"/>
  </w:font>
  <w:font w:name="方正小标宋_GBK">
    <w:panose1 w:val="03000509000000000000"/>
    <w:charset w:val="86"/>
    <w:family w:val="auto"/>
    <w:pitch w:val="default"/>
    <w:sig w:usb0="00000001" w:usb1="080E0000" w:usb2="00000000" w:usb3="00000000" w:csb0="00040000" w:csb1="00000000"/>
    <w:embedRegular r:id="rId5" w:fontKey="{C447D343-264B-4797-9BE8-93A08F04FFA7}"/>
  </w:font>
  <w:font w:name="楷体_GB2312">
    <w:panose1 w:val="02010609030101010101"/>
    <w:charset w:val="86"/>
    <w:family w:val="auto"/>
    <w:pitch w:val="default"/>
    <w:sig w:usb0="00000001" w:usb1="080E0000" w:usb2="00000000" w:usb3="00000000" w:csb0="00040000" w:csb1="00000000"/>
    <w:embedRegular r:id="rId6" w:fontKey="{DA399158-4B70-481D-922B-84787D26E3E7}"/>
  </w:font>
  <w:font w:name="华文仿宋">
    <w:panose1 w:val="02010600040101010101"/>
    <w:charset w:val="86"/>
    <w:family w:val="auto"/>
    <w:pitch w:val="default"/>
    <w:sig w:usb0="00000287" w:usb1="080F0000" w:usb2="00000000" w:usb3="00000000" w:csb0="0004009F" w:csb1="DFD70000"/>
    <w:embedRegular r:id="rId7" w:fontKey="{61EBB527-D89C-4F4F-8567-BECA85168053}"/>
  </w:font>
  <w:font w:name="仿宋">
    <w:panose1 w:val="02010609060101010101"/>
    <w:charset w:val="86"/>
    <w:family w:val="auto"/>
    <w:pitch w:val="default"/>
    <w:sig w:usb0="800002BF" w:usb1="38CF7CFA" w:usb2="00000016" w:usb3="00000000" w:csb0="00040001" w:csb1="00000000"/>
    <w:embedRegular r:id="rId8" w:fontKey="{FA0C44F6-A053-4845-A1CD-818C30DAA2A9}"/>
  </w:font>
  <w:font w:name="Wingdings 2">
    <w:panose1 w:val="05020102010507070707"/>
    <w:charset w:val="02"/>
    <w:family w:val="auto"/>
    <w:pitch w:val="default"/>
    <w:sig w:usb0="00000000" w:usb1="00000000" w:usb2="00000000" w:usb3="00000000" w:csb0="80000000" w:csb1="00000000"/>
    <w:embedRegular r:id="rId9" w:fontKey="{109FCC33-7378-48D6-BCE5-040804F7DEF9}"/>
  </w:font>
  <w:font w:name="Segoe UI">
    <w:panose1 w:val="020B0502040204020203"/>
    <w:charset w:val="00"/>
    <w:family w:val="auto"/>
    <w:pitch w:val="default"/>
    <w:sig w:usb0="E10022FF" w:usb1="C000E47F" w:usb2="00000029" w:usb3="00000000" w:csb0="200001DF" w:csb1="20000000"/>
    <w:embedRegular r:id="rId10" w:fontKey="{FA249C6F-CDB2-405F-AD56-64875B845CD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BE0939">
    <w:pPr>
      <w:pStyle w:val="17"/>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31" name="文本框 10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07CC23E">
                          <w:pPr>
                            <w:pStyle w:val="1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w:t>
                          </w:r>
                          <w:r>
                            <w:rPr>
                              <w:rFonts w:hint="eastAsia"/>
                              <w:lang w:eastAsia="zh-CN"/>
                            </w:rPr>
                            <w:fldChar w:fldCharType="end"/>
                          </w:r>
                        </w:p>
                      </w:txbxContent>
                    </wps:txbx>
                    <wps:bodyPr vert="horz" wrap="none" lIns="0" tIns="0" rIns="0" bIns="0" anchor="t" anchorCtr="0" upright="0">
                      <a:spAutoFit/>
                    </wps:bodyPr>
                  </wps:wsp>
                </a:graphicData>
              </a:graphic>
            </wp:anchor>
          </w:drawing>
        </mc:Choice>
        <mc:Fallback>
          <w:pict>
            <v:shape id="文本框 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aibKreIBAADCAwAADgAAAGRycy9lMm9Eb2MueG1srVPNjtMwEL4j8Q6W&#10;7zRpkVZV1XS1UC1CQoC07AO4jtNY8p880yblAeANOHHhznP1ORg7SReWyx72koxnxt/M9814fd1b&#10;w44qgvau4vNZyZly0tfa7St+/+X21ZIzQOFqYbxTFT8p4Nebly/WXViphW+9qVVkBOJg1YWKt4hh&#10;VRQgW2UFzHxQjoKNj1YgHeO+qKPoCN2aYlGWV0XnYx2ilwqAvNshyEfE+BRA3zRaqq2XB6scDqhR&#10;GYFECVodgG9yt02jJH5qGlDITMWJKeYvFSF7l77FZi1W+yhCq+XYgnhKC484WaEdFb1AbQUKdoj6&#10;PyirZfTgG5xJb4uBSFaEWMzLR9rctSKozIWkhnARHZ4PVn48fo5M1xV/PefMCUsTP//4fv75+/zr&#10;G5uXi6skURdgRZl3gXKxf+N7WpzJD+RMzPsm2vQnToziJPDpIrDqkcl0ablYLksKSYpNB8IvHq6H&#10;CPhOecuSUfFIE8zCiuMHwCF1SknVnL/VxuQpGvePgzCTp0i9Dz0mC/tdPxLa+fpEfOgpUJ3Wx6+c&#10;dbQIFXe095yZ9450TjszGXEydpMhnKSLFUfOBvMtDrt1CFHv27xtqSkINwekTjOB1MZQe+yORpsl&#10;GNcw7c7f55z18PQ2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aibKreIBAADCAwAADgAA&#10;AAAAAAABACAAAAAeAQAAZHJzL2Uyb0RvYy54bWxQSwUGAAAAAAYABgBZAQAAcgUAAAAA&#10;">
              <v:fill on="f" focussize="0,0"/>
              <v:stroke on="f"/>
              <v:imagedata o:title=""/>
              <o:lock v:ext="edit" aspectratio="f"/>
              <v:textbox inset="0mm,0mm,0mm,0mm" style="mso-fit-shape-to-text:t;">
                <w:txbxContent>
                  <w:p w14:paraId="407CC23E">
                    <w:pPr>
                      <w:pStyle w:val="1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w:t>
                    </w:r>
                    <w:r>
                      <w:rPr>
                        <w:rFonts w:hint="eastAsia"/>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2258A6">
    <w:pPr>
      <w:pStyle w:val="17"/>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8" name="文本框 10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CDCC2A5">
                          <w:pPr>
                            <w:pStyle w:val="1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w:t>
                          </w:r>
                          <w:r>
                            <w:rPr>
                              <w:rFonts w:hint="eastAsia"/>
                              <w:lang w:eastAsia="zh-CN"/>
                            </w:rPr>
                            <w:fldChar w:fldCharType="end"/>
                          </w:r>
                        </w:p>
                      </w:txbxContent>
                    </wps:txbx>
                    <wps:bodyPr vert="horz" wrap="none" lIns="0" tIns="0" rIns="0" bIns="0" anchor="t" anchorCtr="0" upright="0">
                      <a:spAutoFit/>
                    </wps:bodyPr>
                  </wps:wsp>
                </a:graphicData>
              </a:graphic>
            </wp:anchor>
          </w:drawing>
        </mc:Choice>
        <mc:Fallback>
          <w:pict>
            <v:shape id="文本框 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ZXq+EBAADDAwAADgAAAGRycy9lMm9Eb2MueG1srVPNjtMwEL4j8Q6W&#10;7zRpD0tVNV0tVIuQECAt+wCu4zSW/KcZt0l5AHgDTly481x9DsZO0oXlsoe9JOOZ8TfzfTNeX/fW&#10;sKMC1N5VfD4rOVNO+lq7fcXvv9y+WnKGUbhaGO9UxU8K+fXm5Yt1F1Zq4VtvagWMQByuulDxNsaw&#10;KgqUrbICZz4oR8HGgxWRjrAvahAdoVtTLMryqug81AG8VIjk3Q5BPiLCUwB902iptl4erHJxQAVl&#10;RCRK2OqAfJO7bRol46emQRWZqTgxjflLRcjepW+xWYvVHkRotRxbEE9p4REnK7SjoheorYiCHUD/&#10;B2W1BI++iTPpbTEQyYoQi3n5SJu7VgSVuZDUGC6i4/PByo/Hz8B0TZvwmgbvhKWRn398P//8ff71&#10;jc3LxVXSqAu4otS7QMmxf+N7yp/8SM5EvW/Apj+RYhQnhU8XhVUfmUyXlovlsqSQpNh0IPzi4XoA&#10;jO+UtywZFQcaYVZWHD9gHFKnlFTN+VttTB6jcf84CDN5itT70GOyYr/rR0I7X5+ID70FqtN6+MpZ&#10;R5tQcUeLz5l570jotDSTAZOxmwzhJF2seORsMN/GYbkOAfS+zeuWmsJwc4jUaSaQ2hhqj93RbLME&#10;4x6m5fn7nLMe3t7m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Bv5ler4QEAAMMDAAAOAAAA&#10;AAAAAAEAIAAAAB4BAABkcnMvZTJvRG9jLnhtbFBLBQYAAAAABgAGAFkBAABxBQAAAAA=&#10;">
              <v:fill on="f" focussize="0,0"/>
              <v:stroke on="f"/>
              <v:imagedata o:title=""/>
              <o:lock v:ext="edit" aspectratio="f"/>
              <v:textbox inset="0mm,0mm,0mm,0mm" style="mso-fit-shape-to-text:t;">
                <w:txbxContent>
                  <w:p w14:paraId="5CDCC2A5">
                    <w:pPr>
                      <w:pStyle w:val="1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w:t>
                    </w:r>
                    <w:r>
                      <w:rPr>
                        <w:rFonts w:hint="eastAsia"/>
                        <w:lang w:eastAsia="zh-C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0A64B3"/>
    <w:multiLevelType w:val="singleLevel"/>
    <w:tmpl w:val="890A64B3"/>
    <w:lvl w:ilvl="0" w:tentative="0">
      <w:start w:val="5"/>
      <w:numFmt w:val="decimal"/>
      <w:suff w:val="nothing"/>
      <w:lvlText w:val="%1．"/>
      <w:lvlJc w:val="left"/>
    </w:lvl>
  </w:abstractNum>
  <w:abstractNum w:abstractNumId="1">
    <w:nsid w:val="98DBC633"/>
    <w:multiLevelType w:val="multilevel"/>
    <w:tmpl w:val="98DBC633"/>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9FB9108F"/>
    <w:multiLevelType w:val="multilevel"/>
    <w:tmpl w:val="9FB9108F"/>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BCD3427B"/>
    <w:multiLevelType w:val="singleLevel"/>
    <w:tmpl w:val="BCD3427B"/>
    <w:lvl w:ilvl="0" w:tentative="0">
      <w:start w:val="11"/>
      <w:numFmt w:val="decimal"/>
      <w:suff w:val="nothing"/>
      <w:lvlText w:val="%1．"/>
      <w:lvlJc w:val="left"/>
    </w:lvl>
  </w:abstractNum>
  <w:abstractNum w:abstractNumId="4">
    <w:nsid w:val="C2BF1403"/>
    <w:multiLevelType w:val="multilevel"/>
    <w:tmpl w:val="C2BF1403"/>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D76DCFEE"/>
    <w:multiLevelType w:val="singleLevel"/>
    <w:tmpl w:val="D76DCFEE"/>
    <w:lvl w:ilvl="0" w:tentative="0">
      <w:start w:val="11"/>
      <w:numFmt w:val="chineseCounting"/>
      <w:suff w:val="nothing"/>
      <w:lvlText w:val="（%1）"/>
      <w:lvlJc w:val="left"/>
      <w:rPr>
        <w:rFonts w:hint="eastAsia"/>
      </w:rPr>
    </w:lvl>
  </w:abstractNum>
  <w:abstractNum w:abstractNumId="6">
    <w:nsid w:val="DA497D3A"/>
    <w:multiLevelType w:val="singleLevel"/>
    <w:tmpl w:val="DA497D3A"/>
    <w:lvl w:ilvl="0" w:tentative="0">
      <w:start w:val="3"/>
      <w:numFmt w:val="decimal"/>
      <w:suff w:val="nothing"/>
      <w:lvlText w:val="%1、"/>
      <w:lvlJc w:val="left"/>
    </w:lvl>
  </w:abstractNum>
  <w:abstractNum w:abstractNumId="7">
    <w:nsid w:val="E27E5890"/>
    <w:multiLevelType w:val="multilevel"/>
    <w:tmpl w:val="E27E5890"/>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04623857"/>
    <w:multiLevelType w:val="singleLevel"/>
    <w:tmpl w:val="04623857"/>
    <w:lvl w:ilvl="0" w:tentative="0">
      <w:start w:val="1"/>
      <w:numFmt w:val="chineseCounting"/>
      <w:suff w:val="nothing"/>
      <w:lvlText w:val="（%1）"/>
      <w:lvlJc w:val="left"/>
      <w:pPr>
        <w:ind w:left="-60"/>
      </w:pPr>
      <w:rPr>
        <w:rFonts w:hint="eastAsia"/>
      </w:rPr>
    </w:lvl>
  </w:abstractNum>
  <w:abstractNum w:abstractNumId="9">
    <w:nsid w:val="0882865F"/>
    <w:multiLevelType w:val="singleLevel"/>
    <w:tmpl w:val="0882865F"/>
    <w:lvl w:ilvl="0" w:tentative="0">
      <w:start w:val="1"/>
      <w:numFmt w:val="decimal"/>
      <w:suff w:val="nothing"/>
      <w:lvlText w:val="%1、"/>
      <w:lvlJc w:val="left"/>
    </w:lvl>
  </w:abstractNum>
  <w:abstractNum w:abstractNumId="10">
    <w:nsid w:val="13A42E40"/>
    <w:multiLevelType w:val="singleLevel"/>
    <w:tmpl w:val="13A42E40"/>
    <w:lvl w:ilvl="0" w:tentative="0">
      <w:start w:val="3"/>
      <w:numFmt w:val="chineseCounting"/>
      <w:suff w:val="nothing"/>
      <w:lvlText w:val="%1、"/>
      <w:lvlJc w:val="left"/>
      <w:rPr>
        <w:rFonts w:hint="eastAsia"/>
      </w:rPr>
    </w:lvl>
  </w:abstractNum>
  <w:abstractNum w:abstractNumId="11">
    <w:nsid w:val="235E75DC"/>
    <w:multiLevelType w:val="multilevel"/>
    <w:tmpl w:val="235E75DC"/>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35A8A079"/>
    <w:multiLevelType w:val="singleLevel"/>
    <w:tmpl w:val="35A8A079"/>
    <w:lvl w:ilvl="0" w:tentative="0">
      <w:start w:val="6"/>
      <w:numFmt w:val="decimal"/>
      <w:suff w:val="space"/>
      <w:lvlText w:val="%1、"/>
      <w:lvlJc w:val="left"/>
    </w:lvl>
  </w:abstractNum>
  <w:abstractNum w:abstractNumId="13">
    <w:nsid w:val="41862CA9"/>
    <w:multiLevelType w:val="multilevel"/>
    <w:tmpl w:val="41862CA9"/>
    <w:lvl w:ilvl="0" w:tentative="0">
      <w:start w:val="1"/>
      <w:numFmt w:val="decimal"/>
      <w:suff w:val="space"/>
      <w:lvlText w:val="%1"/>
      <w:lvlJc w:val="left"/>
      <w:pPr>
        <w:ind w:left="0" w:firstLine="0"/>
      </w:pPr>
      <w:rPr>
        <w:rFonts w:hint="eastAsia"/>
        <w:sz w:val="30"/>
        <w:szCs w:val="30"/>
      </w:rPr>
    </w:lvl>
    <w:lvl w:ilvl="1" w:tentative="0">
      <w:start w:val="1"/>
      <w:numFmt w:val="decimal"/>
      <w:pStyle w:val="54"/>
      <w:suff w:val="space"/>
      <w:lvlText w:val="%1.%2"/>
      <w:lvlJc w:val="left"/>
      <w:pPr>
        <w:ind w:left="1701" w:firstLine="0"/>
      </w:pPr>
      <w:rPr>
        <w:rFonts w:hint="default" w:ascii="Arial" w:hAnsi="Arial"/>
      </w:rPr>
    </w:lvl>
    <w:lvl w:ilvl="2" w:tentative="0">
      <w:start w:val="1"/>
      <w:numFmt w:val="decimal"/>
      <w:suff w:val="space"/>
      <w:lvlText w:val="%1.%2.%3"/>
      <w:lvlJc w:val="left"/>
      <w:pPr>
        <w:ind w:left="994" w:hanging="426"/>
      </w:pPr>
      <w:rPr>
        <w:rFonts w:hint="default" w:ascii="Arial" w:hAnsi="Arial"/>
      </w:rPr>
    </w:lvl>
    <w:lvl w:ilvl="3" w:tentative="0">
      <w:start w:val="1"/>
      <w:numFmt w:val="decimal"/>
      <w:suff w:val="nothing"/>
      <w:lvlText w:val="%1.%2.%3.%4"/>
      <w:lvlJc w:val="left"/>
      <w:pPr>
        <w:ind w:left="851" w:hanging="851"/>
      </w:pPr>
      <w:rPr>
        <w:rFonts w:hint="eastAsia" w:ascii="Arial" w:hAnsi="Arial"/>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4">
    <w:nsid w:val="670BDFFC"/>
    <w:multiLevelType w:val="singleLevel"/>
    <w:tmpl w:val="670BDFFC"/>
    <w:lvl w:ilvl="0" w:tentative="0">
      <w:start w:val="1"/>
      <w:numFmt w:val="bullet"/>
      <w:pStyle w:val="11"/>
      <w:lvlText w:val=""/>
      <w:lvlJc w:val="left"/>
      <w:pPr>
        <w:tabs>
          <w:tab w:val="left" w:pos="2040"/>
        </w:tabs>
        <w:ind w:left="2040" w:hanging="360"/>
      </w:pPr>
      <w:rPr>
        <w:rFonts w:hint="default" w:ascii="Wingdings" w:hAnsi="Wingdings"/>
      </w:rPr>
    </w:lvl>
  </w:abstractNum>
  <w:abstractNum w:abstractNumId="15">
    <w:nsid w:val="7F9532F7"/>
    <w:multiLevelType w:val="multilevel"/>
    <w:tmpl w:val="7F9532F7"/>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4"/>
  </w:num>
  <w:num w:numId="2">
    <w:abstractNumId w:val="13"/>
  </w:num>
  <w:num w:numId="3">
    <w:abstractNumId w:val="12"/>
  </w:num>
  <w:num w:numId="4">
    <w:abstractNumId w:val="10"/>
  </w:num>
  <w:num w:numId="5">
    <w:abstractNumId w:val="0"/>
  </w:num>
  <w:num w:numId="6">
    <w:abstractNumId w:val="3"/>
  </w:num>
  <w:num w:numId="7">
    <w:abstractNumId w:val="5"/>
  </w:num>
  <w:num w:numId="8">
    <w:abstractNumId w:val="11"/>
  </w:num>
  <w:num w:numId="9">
    <w:abstractNumId w:val="15"/>
  </w:num>
  <w:num w:numId="10">
    <w:abstractNumId w:val="4"/>
  </w:num>
  <w:num w:numId="11">
    <w:abstractNumId w:val="2"/>
  </w:num>
  <w:num w:numId="12">
    <w:abstractNumId w:val="7"/>
  </w:num>
  <w:num w:numId="13">
    <w:abstractNumId w:val="1"/>
  </w:num>
  <w:num w:numId="14">
    <w:abstractNumId w:val="6"/>
  </w:num>
  <w:num w:numId="15">
    <w:abstractNumId w:val="8"/>
  </w:num>
  <w:num w:numId="1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saveSubsetFonts/>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Y2ODIwMWI2ZTU0YjAzOWIzNDA5ZDQ5MDA2ZmRjMmUifQ=="/>
  </w:docVars>
  <w:rsids>
    <w:rsidRoot w:val="00172A27"/>
    <w:rsid w:val="001A4716"/>
    <w:rsid w:val="004A3470"/>
    <w:rsid w:val="00542102"/>
    <w:rsid w:val="005B0C7A"/>
    <w:rsid w:val="007133EF"/>
    <w:rsid w:val="009F2E6D"/>
    <w:rsid w:val="00BA3803"/>
    <w:rsid w:val="00C42394"/>
    <w:rsid w:val="00D026AA"/>
    <w:rsid w:val="00D80AB0"/>
    <w:rsid w:val="00E91685"/>
    <w:rsid w:val="011A052D"/>
    <w:rsid w:val="012B671E"/>
    <w:rsid w:val="013C690E"/>
    <w:rsid w:val="014632E9"/>
    <w:rsid w:val="01573114"/>
    <w:rsid w:val="015B3238"/>
    <w:rsid w:val="01995B0E"/>
    <w:rsid w:val="01B51844"/>
    <w:rsid w:val="01CA5CC8"/>
    <w:rsid w:val="01E62509"/>
    <w:rsid w:val="023870D5"/>
    <w:rsid w:val="025263E9"/>
    <w:rsid w:val="025E5E59"/>
    <w:rsid w:val="02641C78"/>
    <w:rsid w:val="02685C0C"/>
    <w:rsid w:val="02883C87"/>
    <w:rsid w:val="02A604E3"/>
    <w:rsid w:val="02A83E8E"/>
    <w:rsid w:val="02D432A2"/>
    <w:rsid w:val="02DA4630"/>
    <w:rsid w:val="02DC16FD"/>
    <w:rsid w:val="02E250F4"/>
    <w:rsid w:val="032E100B"/>
    <w:rsid w:val="03433F84"/>
    <w:rsid w:val="03435C78"/>
    <w:rsid w:val="03611A85"/>
    <w:rsid w:val="036D2DAF"/>
    <w:rsid w:val="037029C5"/>
    <w:rsid w:val="038F0F77"/>
    <w:rsid w:val="03993BA4"/>
    <w:rsid w:val="03A07CB3"/>
    <w:rsid w:val="03DA48E8"/>
    <w:rsid w:val="03EE541E"/>
    <w:rsid w:val="03FB62D2"/>
    <w:rsid w:val="040562D5"/>
    <w:rsid w:val="04130F02"/>
    <w:rsid w:val="041A15D0"/>
    <w:rsid w:val="042A195C"/>
    <w:rsid w:val="04697920"/>
    <w:rsid w:val="04826D2E"/>
    <w:rsid w:val="0486237A"/>
    <w:rsid w:val="0496091A"/>
    <w:rsid w:val="04BC67FE"/>
    <w:rsid w:val="04D27A5A"/>
    <w:rsid w:val="05005273"/>
    <w:rsid w:val="0509347E"/>
    <w:rsid w:val="050C0A15"/>
    <w:rsid w:val="051B1BD6"/>
    <w:rsid w:val="052930F1"/>
    <w:rsid w:val="052A53FB"/>
    <w:rsid w:val="052E47BF"/>
    <w:rsid w:val="053C13DA"/>
    <w:rsid w:val="054B5371"/>
    <w:rsid w:val="055661F0"/>
    <w:rsid w:val="055E6D56"/>
    <w:rsid w:val="057D18B0"/>
    <w:rsid w:val="05B831C8"/>
    <w:rsid w:val="05E81F1B"/>
    <w:rsid w:val="05F6462A"/>
    <w:rsid w:val="05FA7288"/>
    <w:rsid w:val="060821E2"/>
    <w:rsid w:val="06976AC0"/>
    <w:rsid w:val="069845E6"/>
    <w:rsid w:val="06BA630B"/>
    <w:rsid w:val="0714436F"/>
    <w:rsid w:val="07304BA1"/>
    <w:rsid w:val="07420DCD"/>
    <w:rsid w:val="07607F38"/>
    <w:rsid w:val="07820D05"/>
    <w:rsid w:val="07A46A6A"/>
    <w:rsid w:val="07A74196"/>
    <w:rsid w:val="07E04497"/>
    <w:rsid w:val="07F52654"/>
    <w:rsid w:val="08057A5A"/>
    <w:rsid w:val="080F0162"/>
    <w:rsid w:val="08105A2F"/>
    <w:rsid w:val="0891520E"/>
    <w:rsid w:val="089A2898"/>
    <w:rsid w:val="08A059D4"/>
    <w:rsid w:val="08CB3664"/>
    <w:rsid w:val="08E220E6"/>
    <w:rsid w:val="08E3474A"/>
    <w:rsid w:val="09271C52"/>
    <w:rsid w:val="09772BD9"/>
    <w:rsid w:val="09A432A2"/>
    <w:rsid w:val="0A00497C"/>
    <w:rsid w:val="0A043DF1"/>
    <w:rsid w:val="0A1065AF"/>
    <w:rsid w:val="0A2B09AE"/>
    <w:rsid w:val="0A3B7763"/>
    <w:rsid w:val="0A6E3AD3"/>
    <w:rsid w:val="0A7F4769"/>
    <w:rsid w:val="0A80786B"/>
    <w:rsid w:val="0A8A693C"/>
    <w:rsid w:val="0AAB0D8C"/>
    <w:rsid w:val="0AD6133C"/>
    <w:rsid w:val="0AE33B55"/>
    <w:rsid w:val="0AF94786"/>
    <w:rsid w:val="0B0C10FF"/>
    <w:rsid w:val="0B45703F"/>
    <w:rsid w:val="0BA82E24"/>
    <w:rsid w:val="0C306AE2"/>
    <w:rsid w:val="0C375FAC"/>
    <w:rsid w:val="0C3E18BB"/>
    <w:rsid w:val="0C542DBC"/>
    <w:rsid w:val="0C721436"/>
    <w:rsid w:val="0C7A61D4"/>
    <w:rsid w:val="0C7C505D"/>
    <w:rsid w:val="0C8A2C23"/>
    <w:rsid w:val="0C9A5829"/>
    <w:rsid w:val="0CAA6E21"/>
    <w:rsid w:val="0CB329CB"/>
    <w:rsid w:val="0CC87491"/>
    <w:rsid w:val="0CD30B83"/>
    <w:rsid w:val="0CDF4D1D"/>
    <w:rsid w:val="0D1B7DEC"/>
    <w:rsid w:val="0D5D5C42"/>
    <w:rsid w:val="0D7471E9"/>
    <w:rsid w:val="0D780CCE"/>
    <w:rsid w:val="0D8F61D4"/>
    <w:rsid w:val="0D933D59"/>
    <w:rsid w:val="0D9C6829"/>
    <w:rsid w:val="0DA14154"/>
    <w:rsid w:val="0DA675E9"/>
    <w:rsid w:val="0DDF6F9F"/>
    <w:rsid w:val="0E652975"/>
    <w:rsid w:val="0E7027A9"/>
    <w:rsid w:val="0F1557C7"/>
    <w:rsid w:val="0F1F7150"/>
    <w:rsid w:val="0F20161D"/>
    <w:rsid w:val="0F2F23E5"/>
    <w:rsid w:val="0F6721CB"/>
    <w:rsid w:val="0F67724C"/>
    <w:rsid w:val="0F7C2CF7"/>
    <w:rsid w:val="0F895414"/>
    <w:rsid w:val="0FF74B76"/>
    <w:rsid w:val="102D0694"/>
    <w:rsid w:val="10481906"/>
    <w:rsid w:val="10A266E7"/>
    <w:rsid w:val="10AF0EAA"/>
    <w:rsid w:val="10B4026F"/>
    <w:rsid w:val="10D606A6"/>
    <w:rsid w:val="10ED10AD"/>
    <w:rsid w:val="11130968"/>
    <w:rsid w:val="11283FD6"/>
    <w:rsid w:val="114710E3"/>
    <w:rsid w:val="11481FC8"/>
    <w:rsid w:val="115E01DA"/>
    <w:rsid w:val="119105B0"/>
    <w:rsid w:val="119F32E8"/>
    <w:rsid w:val="11B76880"/>
    <w:rsid w:val="11B84D73"/>
    <w:rsid w:val="11B85B3D"/>
    <w:rsid w:val="11F33019"/>
    <w:rsid w:val="121865DB"/>
    <w:rsid w:val="124318AA"/>
    <w:rsid w:val="126F20C7"/>
    <w:rsid w:val="128D6FC9"/>
    <w:rsid w:val="12BE7183"/>
    <w:rsid w:val="12C84769"/>
    <w:rsid w:val="1303728B"/>
    <w:rsid w:val="132A4818"/>
    <w:rsid w:val="133E02C4"/>
    <w:rsid w:val="13420EB1"/>
    <w:rsid w:val="1357017A"/>
    <w:rsid w:val="135A01BE"/>
    <w:rsid w:val="137D703E"/>
    <w:rsid w:val="13810D0A"/>
    <w:rsid w:val="13941C69"/>
    <w:rsid w:val="141D25CF"/>
    <w:rsid w:val="143C2A55"/>
    <w:rsid w:val="14593607"/>
    <w:rsid w:val="145A2EDB"/>
    <w:rsid w:val="14603804"/>
    <w:rsid w:val="147A532B"/>
    <w:rsid w:val="14916DF2"/>
    <w:rsid w:val="149F4D92"/>
    <w:rsid w:val="14C35937"/>
    <w:rsid w:val="14C738BA"/>
    <w:rsid w:val="14C7536B"/>
    <w:rsid w:val="15163C58"/>
    <w:rsid w:val="156E30E2"/>
    <w:rsid w:val="15826B2B"/>
    <w:rsid w:val="159B37AB"/>
    <w:rsid w:val="159E329B"/>
    <w:rsid w:val="15AD04C1"/>
    <w:rsid w:val="15B21535"/>
    <w:rsid w:val="15B413FA"/>
    <w:rsid w:val="15B667AB"/>
    <w:rsid w:val="15CD6BCF"/>
    <w:rsid w:val="161B5353"/>
    <w:rsid w:val="163D191F"/>
    <w:rsid w:val="16642F63"/>
    <w:rsid w:val="167E04BE"/>
    <w:rsid w:val="17263548"/>
    <w:rsid w:val="172D5033"/>
    <w:rsid w:val="175331BD"/>
    <w:rsid w:val="176E3033"/>
    <w:rsid w:val="17872239"/>
    <w:rsid w:val="179B47DD"/>
    <w:rsid w:val="17AC4DEC"/>
    <w:rsid w:val="17B93EAC"/>
    <w:rsid w:val="17D86F39"/>
    <w:rsid w:val="17F02B25"/>
    <w:rsid w:val="18273A1C"/>
    <w:rsid w:val="18CD4D57"/>
    <w:rsid w:val="18D70F9E"/>
    <w:rsid w:val="18ED431E"/>
    <w:rsid w:val="19434886"/>
    <w:rsid w:val="19595E57"/>
    <w:rsid w:val="196005BD"/>
    <w:rsid w:val="196A1E12"/>
    <w:rsid w:val="1981715C"/>
    <w:rsid w:val="19871D58"/>
    <w:rsid w:val="199A6CAC"/>
    <w:rsid w:val="199B31B0"/>
    <w:rsid w:val="19BF7459"/>
    <w:rsid w:val="19C6556F"/>
    <w:rsid w:val="19CC72C9"/>
    <w:rsid w:val="19CE05F3"/>
    <w:rsid w:val="19D84D2D"/>
    <w:rsid w:val="1A05082C"/>
    <w:rsid w:val="1A1A4C9A"/>
    <w:rsid w:val="1A5234B2"/>
    <w:rsid w:val="1A6525DA"/>
    <w:rsid w:val="1A8707A2"/>
    <w:rsid w:val="1A9F15FD"/>
    <w:rsid w:val="1AA10E99"/>
    <w:rsid w:val="1AB4759B"/>
    <w:rsid w:val="1AC13CB4"/>
    <w:rsid w:val="1AD11A1D"/>
    <w:rsid w:val="1AE70774"/>
    <w:rsid w:val="1B102545"/>
    <w:rsid w:val="1B8C2745"/>
    <w:rsid w:val="1B9C202B"/>
    <w:rsid w:val="1BAE1A8E"/>
    <w:rsid w:val="1BB43819"/>
    <w:rsid w:val="1BBB2659"/>
    <w:rsid w:val="1BC0473A"/>
    <w:rsid w:val="1BCD71DA"/>
    <w:rsid w:val="1BE14945"/>
    <w:rsid w:val="1C2D2088"/>
    <w:rsid w:val="1C385A08"/>
    <w:rsid w:val="1C454471"/>
    <w:rsid w:val="1C525FD6"/>
    <w:rsid w:val="1C640D9B"/>
    <w:rsid w:val="1C855961"/>
    <w:rsid w:val="1C915908"/>
    <w:rsid w:val="1CA55AF7"/>
    <w:rsid w:val="1CAE0268"/>
    <w:rsid w:val="1CB3036B"/>
    <w:rsid w:val="1CCE4EEA"/>
    <w:rsid w:val="1CE0163A"/>
    <w:rsid w:val="1CEB2649"/>
    <w:rsid w:val="1D0C684C"/>
    <w:rsid w:val="1D0E1181"/>
    <w:rsid w:val="1D1A58FD"/>
    <w:rsid w:val="1D1D719C"/>
    <w:rsid w:val="1D3544E5"/>
    <w:rsid w:val="1D4C15BE"/>
    <w:rsid w:val="1D645EA9"/>
    <w:rsid w:val="1D6D0123"/>
    <w:rsid w:val="1D835251"/>
    <w:rsid w:val="1D9E208B"/>
    <w:rsid w:val="1DAB6EC4"/>
    <w:rsid w:val="1DCD36BD"/>
    <w:rsid w:val="1DEB1048"/>
    <w:rsid w:val="1E067C30"/>
    <w:rsid w:val="1E6C3F37"/>
    <w:rsid w:val="1E6D7CAF"/>
    <w:rsid w:val="1E784B82"/>
    <w:rsid w:val="1E865B1A"/>
    <w:rsid w:val="1EC73863"/>
    <w:rsid w:val="1EE37EAB"/>
    <w:rsid w:val="1EE836C4"/>
    <w:rsid w:val="1EE84B40"/>
    <w:rsid w:val="1F026BFB"/>
    <w:rsid w:val="1F6410B2"/>
    <w:rsid w:val="1F82181A"/>
    <w:rsid w:val="1F8F4381"/>
    <w:rsid w:val="1FAC4B9B"/>
    <w:rsid w:val="20454CF0"/>
    <w:rsid w:val="20455517"/>
    <w:rsid w:val="20A35C0A"/>
    <w:rsid w:val="20AB2DC5"/>
    <w:rsid w:val="20C968E1"/>
    <w:rsid w:val="20F85F56"/>
    <w:rsid w:val="21045E62"/>
    <w:rsid w:val="210863E0"/>
    <w:rsid w:val="21091735"/>
    <w:rsid w:val="210B5C89"/>
    <w:rsid w:val="21162880"/>
    <w:rsid w:val="21584C46"/>
    <w:rsid w:val="215D225D"/>
    <w:rsid w:val="217B209D"/>
    <w:rsid w:val="217C26E3"/>
    <w:rsid w:val="21847570"/>
    <w:rsid w:val="21957C48"/>
    <w:rsid w:val="21A63C04"/>
    <w:rsid w:val="21BD2414"/>
    <w:rsid w:val="21DC5877"/>
    <w:rsid w:val="21EC3D7F"/>
    <w:rsid w:val="21F95E49"/>
    <w:rsid w:val="22145833"/>
    <w:rsid w:val="22327D5C"/>
    <w:rsid w:val="22432EF2"/>
    <w:rsid w:val="22455BB9"/>
    <w:rsid w:val="22A9029D"/>
    <w:rsid w:val="22C73E32"/>
    <w:rsid w:val="22FB681B"/>
    <w:rsid w:val="234B4A63"/>
    <w:rsid w:val="23CA2D0C"/>
    <w:rsid w:val="23CE59E8"/>
    <w:rsid w:val="23DC1007"/>
    <w:rsid w:val="241035B6"/>
    <w:rsid w:val="24184263"/>
    <w:rsid w:val="24335784"/>
    <w:rsid w:val="24417C14"/>
    <w:rsid w:val="24577437"/>
    <w:rsid w:val="24890F83"/>
    <w:rsid w:val="24C11AAB"/>
    <w:rsid w:val="24E54A43"/>
    <w:rsid w:val="24FE5B05"/>
    <w:rsid w:val="25062F68"/>
    <w:rsid w:val="250C62BA"/>
    <w:rsid w:val="259D531E"/>
    <w:rsid w:val="259F4AE8"/>
    <w:rsid w:val="25AB32DE"/>
    <w:rsid w:val="26136578"/>
    <w:rsid w:val="265F25D3"/>
    <w:rsid w:val="26686B74"/>
    <w:rsid w:val="26717F64"/>
    <w:rsid w:val="26E054C2"/>
    <w:rsid w:val="2714160F"/>
    <w:rsid w:val="271909D4"/>
    <w:rsid w:val="271C0D5F"/>
    <w:rsid w:val="273635F5"/>
    <w:rsid w:val="2773134E"/>
    <w:rsid w:val="27A81158"/>
    <w:rsid w:val="27FF5034"/>
    <w:rsid w:val="28315F9D"/>
    <w:rsid w:val="28482D3E"/>
    <w:rsid w:val="285123A2"/>
    <w:rsid w:val="28650753"/>
    <w:rsid w:val="28E15521"/>
    <w:rsid w:val="29323FCF"/>
    <w:rsid w:val="2961005D"/>
    <w:rsid w:val="297240C4"/>
    <w:rsid w:val="2998506C"/>
    <w:rsid w:val="29A7290A"/>
    <w:rsid w:val="29B80978"/>
    <w:rsid w:val="29E47F3B"/>
    <w:rsid w:val="29EE439A"/>
    <w:rsid w:val="29F55728"/>
    <w:rsid w:val="2A067935"/>
    <w:rsid w:val="2A095371"/>
    <w:rsid w:val="2A1536D4"/>
    <w:rsid w:val="2A3F5483"/>
    <w:rsid w:val="2A6A6763"/>
    <w:rsid w:val="2A6B6D43"/>
    <w:rsid w:val="2A711533"/>
    <w:rsid w:val="2A870159"/>
    <w:rsid w:val="2A973C48"/>
    <w:rsid w:val="2AA70110"/>
    <w:rsid w:val="2AC6196F"/>
    <w:rsid w:val="2AE01F34"/>
    <w:rsid w:val="2AE61515"/>
    <w:rsid w:val="2AF23A16"/>
    <w:rsid w:val="2B4D1D97"/>
    <w:rsid w:val="2B4F5085"/>
    <w:rsid w:val="2B7E34FB"/>
    <w:rsid w:val="2B9176D3"/>
    <w:rsid w:val="2BAB763D"/>
    <w:rsid w:val="2BAF027B"/>
    <w:rsid w:val="2BC74EA2"/>
    <w:rsid w:val="2BDA2786"/>
    <w:rsid w:val="2BE05F64"/>
    <w:rsid w:val="2BEE68D3"/>
    <w:rsid w:val="2BF151A2"/>
    <w:rsid w:val="2C077995"/>
    <w:rsid w:val="2C2045B2"/>
    <w:rsid w:val="2C6A58FF"/>
    <w:rsid w:val="2C78619D"/>
    <w:rsid w:val="2C7F3EE9"/>
    <w:rsid w:val="2C884632"/>
    <w:rsid w:val="2C9D50CE"/>
    <w:rsid w:val="2CC06122"/>
    <w:rsid w:val="2D076536"/>
    <w:rsid w:val="2D1374C1"/>
    <w:rsid w:val="2D1C7470"/>
    <w:rsid w:val="2D4744ED"/>
    <w:rsid w:val="2D483DC1"/>
    <w:rsid w:val="2D692838"/>
    <w:rsid w:val="2D887326"/>
    <w:rsid w:val="2DBB27E5"/>
    <w:rsid w:val="2DD4637D"/>
    <w:rsid w:val="2DDB2E87"/>
    <w:rsid w:val="2DE81100"/>
    <w:rsid w:val="2E1C3EEB"/>
    <w:rsid w:val="2E1D524D"/>
    <w:rsid w:val="2E68702F"/>
    <w:rsid w:val="2E6F28C9"/>
    <w:rsid w:val="2ECE7784"/>
    <w:rsid w:val="2EE904B2"/>
    <w:rsid w:val="2EEE3876"/>
    <w:rsid w:val="2EF064BE"/>
    <w:rsid w:val="2EFF3DDC"/>
    <w:rsid w:val="2F1A353B"/>
    <w:rsid w:val="2F300FB0"/>
    <w:rsid w:val="2F35147A"/>
    <w:rsid w:val="2FBB2F70"/>
    <w:rsid w:val="2FCA5885"/>
    <w:rsid w:val="2FDB336D"/>
    <w:rsid w:val="2FEE067A"/>
    <w:rsid w:val="2FEF6776"/>
    <w:rsid w:val="30072B2D"/>
    <w:rsid w:val="302E32F0"/>
    <w:rsid w:val="302F1722"/>
    <w:rsid w:val="304A2101"/>
    <w:rsid w:val="30566E70"/>
    <w:rsid w:val="306C6018"/>
    <w:rsid w:val="30872E52"/>
    <w:rsid w:val="30940034"/>
    <w:rsid w:val="30A040C7"/>
    <w:rsid w:val="30C22EE3"/>
    <w:rsid w:val="30D86681"/>
    <w:rsid w:val="310317FE"/>
    <w:rsid w:val="310E70CF"/>
    <w:rsid w:val="310F3573"/>
    <w:rsid w:val="31197838"/>
    <w:rsid w:val="311A1F18"/>
    <w:rsid w:val="31470EF5"/>
    <w:rsid w:val="31815AF3"/>
    <w:rsid w:val="31A357B8"/>
    <w:rsid w:val="31A6555A"/>
    <w:rsid w:val="31D324C5"/>
    <w:rsid w:val="31D53D2F"/>
    <w:rsid w:val="31DD71CE"/>
    <w:rsid w:val="31E71DFA"/>
    <w:rsid w:val="3214278C"/>
    <w:rsid w:val="3244724D"/>
    <w:rsid w:val="32456B21"/>
    <w:rsid w:val="3247275C"/>
    <w:rsid w:val="327F2033"/>
    <w:rsid w:val="331570CA"/>
    <w:rsid w:val="331E20D3"/>
    <w:rsid w:val="3350577D"/>
    <w:rsid w:val="335A484E"/>
    <w:rsid w:val="33723946"/>
    <w:rsid w:val="33753436"/>
    <w:rsid w:val="34266DEB"/>
    <w:rsid w:val="34780B0C"/>
    <w:rsid w:val="348222AE"/>
    <w:rsid w:val="34983480"/>
    <w:rsid w:val="34BA1A48"/>
    <w:rsid w:val="34EA1474"/>
    <w:rsid w:val="351759D1"/>
    <w:rsid w:val="351C1387"/>
    <w:rsid w:val="35363A23"/>
    <w:rsid w:val="358838C8"/>
    <w:rsid w:val="359C2EFC"/>
    <w:rsid w:val="35A26038"/>
    <w:rsid w:val="36075618"/>
    <w:rsid w:val="36255587"/>
    <w:rsid w:val="366260C1"/>
    <w:rsid w:val="367D7813"/>
    <w:rsid w:val="369B31B3"/>
    <w:rsid w:val="36FD34E8"/>
    <w:rsid w:val="37077ED7"/>
    <w:rsid w:val="37640229"/>
    <w:rsid w:val="379B2DF9"/>
    <w:rsid w:val="37C47CD1"/>
    <w:rsid w:val="38216E61"/>
    <w:rsid w:val="38241AB4"/>
    <w:rsid w:val="382B67B9"/>
    <w:rsid w:val="38997BC6"/>
    <w:rsid w:val="38A07C06"/>
    <w:rsid w:val="38D96CF3"/>
    <w:rsid w:val="38FE6943"/>
    <w:rsid w:val="3922196A"/>
    <w:rsid w:val="39577C58"/>
    <w:rsid w:val="397D0CD7"/>
    <w:rsid w:val="397F500E"/>
    <w:rsid w:val="39804A7D"/>
    <w:rsid w:val="39820561"/>
    <w:rsid w:val="39875C71"/>
    <w:rsid w:val="398D772B"/>
    <w:rsid w:val="39C14A1D"/>
    <w:rsid w:val="39D92970"/>
    <w:rsid w:val="3A5E69D2"/>
    <w:rsid w:val="3A655FB2"/>
    <w:rsid w:val="3A742699"/>
    <w:rsid w:val="3AA60379"/>
    <w:rsid w:val="3ABC4F5C"/>
    <w:rsid w:val="3ACF78CF"/>
    <w:rsid w:val="3AD44EE6"/>
    <w:rsid w:val="3AD9074E"/>
    <w:rsid w:val="3B106D23"/>
    <w:rsid w:val="3B19494B"/>
    <w:rsid w:val="3B1E14D7"/>
    <w:rsid w:val="3B285EA7"/>
    <w:rsid w:val="3B35021F"/>
    <w:rsid w:val="3B427622"/>
    <w:rsid w:val="3B53405D"/>
    <w:rsid w:val="3BB7477C"/>
    <w:rsid w:val="3BB80CA3"/>
    <w:rsid w:val="3BC51B2E"/>
    <w:rsid w:val="3BF75330"/>
    <w:rsid w:val="3C025A83"/>
    <w:rsid w:val="3C0E5283"/>
    <w:rsid w:val="3C2725B1"/>
    <w:rsid w:val="3C601127"/>
    <w:rsid w:val="3C797AF3"/>
    <w:rsid w:val="3CA710BA"/>
    <w:rsid w:val="3CA86EC5"/>
    <w:rsid w:val="3CB11923"/>
    <w:rsid w:val="3CE118CC"/>
    <w:rsid w:val="3CF15267"/>
    <w:rsid w:val="3D0878C2"/>
    <w:rsid w:val="3D1C36E6"/>
    <w:rsid w:val="3D272D68"/>
    <w:rsid w:val="3D711112"/>
    <w:rsid w:val="3D716350"/>
    <w:rsid w:val="3D770297"/>
    <w:rsid w:val="3DDA6940"/>
    <w:rsid w:val="3DEC7770"/>
    <w:rsid w:val="3DFF3D52"/>
    <w:rsid w:val="3E8804C1"/>
    <w:rsid w:val="3E952BDE"/>
    <w:rsid w:val="3E995EF5"/>
    <w:rsid w:val="3EB53E17"/>
    <w:rsid w:val="3EC02396"/>
    <w:rsid w:val="3EDA244F"/>
    <w:rsid w:val="3F3F12D6"/>
    <w:rsid w:val="3F961A41"/>
    <w:rsid w:val="3FB45AB9"/>
    <w:rsid w:val="3FC50FDD"/>
    <w:rsid w:val="3FCC5D68"/>
    <w:rsid w:val="3FD00DA4"/>
    <w:rsid w:val="407A02DD"/>
    <w:rsid w:val="407B052A"/>
    <w:rsid w:val="40830988"/>
    <w:rsid w:val="40A5440C"/>
    <w:rsid w:val="40B501C0"/>
    <w:rsid w:val="40CA3A3D"/>
    <w:rsid w:val="40FA279F"/>
    <w:rsid w:val="41047D05"/>
    <w:rsid w:val="410F4587"/>
    <w:rsid w:val="4111530F"/>
    <w:rsid w:val="411C3143"/>
    <w:rsid w:val="41263FC1"/>
    <w:rsid w:val="416C54F3"/>
    <w:rsid w:val="417F6850"/>
    <w:rsid w:val="41D81760"/>
    <w:rsid w:val="420C29E9"/>
    <w:rsid w:val="420C765B"/>
    <w:rsid w:val="421A504A"/>
    <w:rsid w:val="42295B17"/>
    <w:rsid w:val="42545AC9"/>
    <w:rsid w:val="425F6603"/>
    <w:rsid w:val="426A3716"/>
    <w:rsid w:val="427F7E2D"/>
    <w:rsid w:val="42B4023B"/>
    <w:rsid w:val="42BF2A9C"/>
    <w:rsid w:val="42EA0BA7"/>
    <w:rsid w:val="434D7F2B"/>
    <w:rsid w:val="434F5A51"/>
    <w:rsid w:val="437D62C0"/>
    <w:rsid w:val="43CB5293"/>
    <w:rsid w:val="43DA644B"/>
    <w:rsid w:val="43E31059"/>
    <w:rsid w:val="43EA3654"/>
    <w:rsid w:val="44004F9E"/>
    <w:rsid w:val="44024872"/>
    <w:rsid w:val="4427629C"/>
    <w:rsid w:val="4436451B"/>
    <w:rsid w:val="443D173B"/>
    <w:rsid w:val="444255B6"/>
    <w:rsid w:val="44556B6B"/>
    <w:rsid w:val="446C2633"/>
    <w:rsid w:val="44896D41"/>
    <w:rsid w:val="449A0F4E"/>
    <w:rsid w:val="44CC71A4"/>
    <w:rsid w:val="44D37FBC"/>
    <w:rsid w:val="44DF1057"/>
    <w:rsid w:val="44F00DB3"/>
    <w:rsid w:val="44F95E84"/>
    <w:rsid w:val="450F36EA"/>
    <w:rsid w:val="453F5652"/>
    <w:rsid w:val="456878F4"/>
    <w:rsid w:val="4585575A"/>
    <w:rsid w:val="45A57BAB"/>
    <w:rsid w:val="45B918A8"/>
    <w:rsid w:val="45BE0C6C"/>
    <w:rsid w:val="45C85BE6"/>
    <w:rsid w:val="45FB5A1D"/>
    <w:rsid w:val="46071E16"/>
    <w:rsid w:val="4618037D"/>
    <w:rsid w:val="462211FB"/>
    <w:rsid w:val="4624001E"/>
    <w:rsid w:val="46401749"/>
    <w:rsid w:val="466049FF"/>
    <w:rsid w:val="46657BA6"/>
    <w:rsid w:val="46A20A89"/>
    <w:rsid w:val="46D63D94"/>
    <w:rsid w:val="46E42955"/>
    <w:rsid w:val="46E75FA1"/>
    <w:rsid w:val="47594F09"/>
    <w:rsid w:val="476A10AC"/>
    <w:rsid w:val="4774623D"/>
    <w:rsid w:val="478460EC"/>
    <w:rsid w:val="4792415F"/>
    <w:rsid w:val="47BC11DC"/>
    <w:rsid w:val="47CA1B4A"/>
    <w:rsid w:val="47E5299B"/>
    <w:rsid w:val="47EE7652"/>
    <w:rsid w:val="481852F4"/>
    <w:rsid w:val="48713109"/>
    <w:rsid w:val="487877F8"/>
    <w:rsid w:val="48A235B0"/>
    <w:rsid w:val="48BA29A6"/>
    <w:rsid w:val="48BA55EA"/>
    <w:rsid w:val="48BD520B"/>
    <w:rsid w:val="48E171A2"/>
    <w:rsid w:val="48E6649E"/>
    <w:rsid w:val="49062E9B"/>
    <w:rsid w:val="49180694"/>
    <w:rsid w:val="49523BA5"/>
    <w:rsid w:val="4969673B"/>
    <w:rsid w:val="49726260"/>
    <w:rsid w:val="499A72FA"/>
    <w:rsid w:val="49A5461D"/>
    <w:rsid w:val="49A563CB"/>
    <w:rsid w:val="49E113CD"/>
    <w:rsid w:val="4A205A52"/>
    <w:rsid w:val="4A223C82"/>
    <w:rsid w:val="4A2A3964"/>
    <w:rsid w:val="4A317C5F"/>
    <w:rsid w:val="4A33088F"/>
    <w:rsid w:val="4A4C6847"/>
    <w:rsid w:val="4A604B4B"/>
    <w:rsid w:val="4A670289"/>
    <w:rsid w:val="4A802994"/>
    <w:rsid w:val="4A857FAB"/>
    <w:rsid w:val="4A881E72"/>
    <w:rsid w:val="4A9B52F9"/>
    <w:rsid w:val="4AFE51FB"/>
    <w:rsid w:val="4B126A91"/>
    <w:rsid w:val="4B1D6435"/>
    <w:rsid w:val="4B3D0885"/>
    <w:rsid w:val="4B8B339F"/>
    <w:rsid w:val="4BB95C58"/>
    <w:rsid w:val="4BC36FDC"/>
    <w:rsid w:val="4BEA5708"/>
    <w:rsid w:val="4C02209C"/>
    <w:rsid w:val="4C0B1510"/>
    <w:rsid w:val="4C50175E"/>
    <w:rsid w:val="4C756154"/>
    <w:rsid w:val="4C8D34B8"/>
    <w:rsid w:val="4C99542A"/>
    <w:rsid w:val="4CAF7561"/>
    <w:rsid w:val="4CD04CA9"/>
    <w:rsid w:val="4CDA2830"/>
    <w:rsid w:val="4D06284D"/>
    <w:rsid w:val="4D4664B4"/>
    <w:rsid w:val="4D5325E2"/>
    <w:rsid w:val="4D5F0E9C"/>
    <w:rsid w:val="4D5F2D35"/>
    <w:rsid w:val="4D6C0FAE"/>
    <w:rsid w:val="4D6C1B11"/>
    <w:rsid w:val="4D714816"/>
    <w:rsid w:val="4DBD027F"/>
    <w:rsid w:val="4DBE3EFF"/>
    <w:rsid w:val="4DE6381E"/>
    <w:rsid w:val="4DE66FB2"/>
    <w:rsid w:val="4DEB281B"/>
    <w:rsid w:val="4E0B0692"/>
    <w:rsid w:val="4E361CE8"/>
    <w:rsid w:val="4E9C4F36"/>
    <w:rsid w:val="4EC05A55"/>
    <w:rsid w:val="4EC217CD"/>
    <w:rsid w:val="4EEA4880"/>
    <w:rsid w:val="4F1E452A"/>
    <w:rsid w:val="4F22401A"/>
    <w:rsid w:val="4F3B1580"/>
    <w:rsid w:val="4F7F2F0C"/>
    <w:rsid w:val="4F9F566B"/>
    <w:rsid w:val="4FD23C92"/>
    <w:rsid w:val="4FF05EC6"/>
    <w:rsid w:val="4FF30104"/>
    <w:rsid w:val="500D4C23"/>
    <w:rsid w:val="503A35E5"/>
    <w:rsid w:val="50471524"/>
    <w:rsid w:val="50616DC4"/>
    <w:rsid w:val="508A797E"/>
    <w:rsid w:val="50BA1193"/>
    <w:rsid w:val="50C35411"/>
    <w:rsid w:val="50CB3423"/>
    <w:rsid w:val="50E1254C"/>
    <w:rsid w:val="50E827C9"/>
    <w:rsid w:val="50FD6DC0"/>
    <w:rsid w:val="51031C29"/>
    <w:rsid w:val="51087240"/>
    <w:rsid w:val="510C6D30"/>
    <w:rsid w:val="51200A2D"/>
    <w:rsid w:val="512C1180"/>
    <w:rsid w:val="51570432"/>
    <w:rsid w:val="51A43BBB"/>
    <w:rsid w:val="51C71BE5"/>
    <w:rsid w:val="51E5017C"/>
    <w:rsid w:val="51EE0B2B"/>
    <w:rsid w:val="52040801"/>
    <w:rsid w:val="52435CBD"/>
    <w:rsid w:val="52727066"/>
    <w:rsid w:val="527C1C93"/>
    <w:rsid w:val="529414CA"/>
    <w:rsid w:val="52CF6C40"/>
    <w:rsid w:val="531517A3"/>
    <w:rsid w:val="5325057D"/>
    <w:rsid w:val="532D11DF"/>
    <w:rsid w:val="533951B6"/>
    <w:rsid w:val="533C552A"/>
    <w:rsid w:val="533F1454"/>
    <w:rsid w:val="53486559"/>
    <w:rsid w:val="534A1D91"/>
    <w:rsid w:val="5363611E"/>
    <w:rsid w:val="537A104C"/>
    <w:rsid w:val="53804BC8"/>
    <w:rsid w:val="538C05FC"/>
    <w:rsid w:val="53A4210C"/>
    <w:rsid w:val="53CC6C4A"/>
    <w:rsid w:val="53D85215"/>
    <w:rsid w:val="53E278CE"/>
    <w:rsid w:val="540B1521"/>
    <w:rsid w:val="540D3AE6"/>
    <w:rsid w:val="544B3B3C"/>
    <w:rsid w:val="54624EB9"/>
    <w:rsid w:val="547C41CC"/>
    <w:rsid w:val="548117E3"/>
    <w:rsid w:val="54A3540A"/>
    <w:rsid w:val="54A84B06"/>
    <w:rsid w:val="54B77BCE"/>
    <w:rsid w:val="54C918DE"/>
    <w:rsid w:val="5510157C"/>
    <w:rsid w:val="551A4AE9"/>
    <w:rsid w:val="5526345B"/>
    <w:rsid w:val="554243A9"/>
    <w:rsid w:val="55457A32"/>
    <w:rsid w:val="55470842"/>
    <w:rsid w:val="55541BAD"/>
    <w:rsid w:val="5563468B"/>
    <w:rsid w:val="55646FA8"/>
    <w:rsid w:val="557A36D1"/>
    <w:rsid w:val="55945546"/>
    <w:rsid w:val="55A03EEB"/>
    <w:rsid w:val="55BD684B"/>
    <w:rsid w:val="55D122F6"/>
    <w:rsid w:val="55D911AB"/>
    <w:rsid w:val="56122BD9"/>
    <w:rsid w:val="56236E36"/>
    <w:rsid w:val="5695133B"/>
    <w:rsid w:val="569C2904"/>
    <w:rsid w:val="56C57448"/>
    <w:rsid w:val="56F54CC2"/>
    <w:rsid w:val="571949D9"/>
    <w:rsid w:val="572B3E49"/>
    <w:rsid w:val="572F3DBA"/>
    <w:rsid w:val="57691D07"/>
    <w:rsid w:val="576B7A2B"/>
    <w:rsid w:val="5798756F"/>
    <w:rsid w:val="57BA6F8D"/>
    <w:rsid w:val="57E502DB"/>
    <w:rsid w:val="580F7106"/>
    <w:rsid w:val="583A23D4"/>
    <w:rsid w:val="58501BF8"/>
    <w:rsid w:val="587F3E30"/>
    <w:rsid w:val="58AB6881"/>
    <w:rsid w:val="58AD03DA"/>
    <w:rsid w:val="58DC348C"/>
    <w:rsid w:val="59457283"/>
    <w:rsid w:val="59464DA9"/>
    <w:rsid w:val="59505C28"/>
    <w:rsid w:val="595A2602"/>
    <w:rsid w:val="595B4CF8"/>
    <w:rsid w:val="596873DD"/>
    <w:rsid w:val="599B193E"/>
    <w:rsid w:val="59BE7035"/>
    <w:rsid w:val="59C10AB4"/>
    <w:rsid w:val="5A23760D"/>
    <w:rsid w:val="5A6527E9"/>
    <w:rsid w:val="5A974C33"/>
    <w:rsid w:val="5AE147B1"/>
    <w:rsid w:val="5B110D15"/>
    <w:rsid w:val="5B1923C5"/>
    <w:rsid w:val="5B4C2186"/>
    <w:rsid w:val="5B4E4D99"/>
    <w:rsid w:val="5B5714EF"/>
    <w:rsid w:val="5B6B4F9B"/>
    <w:rsid w:val="5B751CE3"/>
    <w:rsid w:val="5B81031A"/>
    <w:rsid w:val="5B99183B"/>
    <w:rsid w:val="5BA74225"/>
    <w:rsid w:val="5C0D7E00"/>
    <w:rsid w:val="5C1E4431"/>
    <w:rsid w:val="5C240699"/>
    <w:rsid w:val="5C270EC2"/>
    <w:rsid w:val="5C2D3FFE"/>
    <w:rsid w:val="5C566D9D"/>
    <w:rsid w:val="5C6C4B26"/>
    <w:rsid w:val="5C9123AF"/>
    <w:rsid w:val="5C9D21CD"/>
    <w:rsid w:val="5C9D3F79"/>
    <w:rsid w:val="5CAB38A1"/>
    <w:rsid w:val="5CDA4186"/>
    <w:rsid w:val="5CDF179C"/>
    <w:rsid w:val="5D752326"/>
    <w:rsid w:val="5D940176"/>
    <w:rsid w:val="5DA572C0"/>
    <w:rsid w:val="5DB047DA"/>
    <w:rsid w:val="5DBB6365"/>
    <w:rsid w:val="5DC13151"/>
    <w:rsid w:val="5DF710B8"/>
    <w:rsid w:val="5E0A0A9B"/>
    <w:rsid w:val="5E1D07CE"/>
    <w:rsid w:val="5E2C6542"/>
    <w:rsid w:val="5E346DD4"/>
    <w:rsid w:val="5E361890"/>
    <w:rsid w:val="5E4E0EA7"/>
    <w:rsid w:val="5E4F64AE"/>
    <w:rsid w:val="5E804DD8"/>
    <w:rsid w:val="5E873E9A"/>
    <w:rsid w:val="5E8A5738"/>
    <w:rsid w:val="5EA93E10"/>
    <w:rsid w:val="5EAB5E7A"/>
    <w:rsid w:val="5EF37781"/>
    <w:rsid w:val="5F2E2567"/>
    <w:rsid w:val="5F6E6E08"/>
    <w:rsid w:val="5F737389"/>
    <w:rsid w:val="5F972C2F"/>
    <w:rsid w:val="5F9F5213"/>
    <w:rsid w:val="5FAC0F2B"/>
    <w:rsid w:val="5FBE482A"/>
    <w:rsid w:val="5FD56E87"/>
    <w:rsid w:val="5FDC1FC3"/>
    <w:rsid w:val="5FEE06E0"/>
    <w:rsid w:val="5FF0482C"/>
    <w:rsid w:val="601B4DC9"/>
    <w:rsid w:val="6024779A"/>
    <w:rsid w:val="603266FB"/>
    <w:rsid w:val="60673F83"/>
    <w:rsid w:val="60795372"/>
    <w:rsid w:val="609D2E14"/>
    <w:rsid w:val="60B847DE"/>
    <w:rsid w:val="60D227E9"/>
    <w:rsid w:val="60F07249"/>
    <w:rsid w:val="60F11A9E"/>
    <w:rsid w:val="60F8107F"/>
    <w:rsid w:val="60FA0AF4"/>
    <w:rsid w:val="613F776B"/>
    <w:rsid w:val="61426602"/>
    <w:rsid w:val="61616AAE"/>
    <w:rsid w:val="61AC7743"/>
    <w:rsid w:val="61AD359E"/>
    <w:rsid w:val="61B56F70"/>
    <w:rsid w:val="61B808C4"/>
    <w:rsid w:val="61C86CA3"/>
    <w:rsid w:val="61D87BE8"/>
    <w:rsid w:val="61F71336"/>
    <w:rsid w:val="620D73CB"/>
    <w:rsid w:val="6211064A"/>
    <w:rsid w:val="621218F1"/>
    <w:rsid w:val="6221239C"/>
    <w:rsid w:val="622347BD"/>
    <w:rsid w:val="623B7475"/>
    <w:rsid w:val="625255ED"/>
    <w:rsid w:val="62A0377C"/>
    <w:rsid w:val="62DD052C"/>
    <w:rsid w:val="62DD57F7"/>
    <w:rsid w:val="62E23D94"/>
    <w:rsid w:val="62F77B7D"/>
    <w:rsid w:val="6341642D"/>
    <w:rsid w:val="638F3D80"/>
    <w:rsid w:val="63D01E3F"/>
    <w:rsid w:val="63F33336"/>
    <w:rsid w:val="63F91396"/>
    <w:rsid w:val="6439152D"/>
    <w:rsid w:val="643B7DC1"/>
    <w:rsid w:val="649138AD"/>
    <w:rsid w:val="64E71704"/>
    <w:rsid w:val="64F9611B"/>
    <w:rsid w:val="65006CC3"/>
    <w:rsid w:val="65064F6D"/>
    <w:rsid w:val="658A65B5"/>
    <w:rsid w:val="65A93DAE"/>
    <w:rsid w:val="65F362B8"/>
    <w:rsid w:val="661C136B"/>
    <w:rsid w:val="665478F9"/>
    <w:rsid w:val="667E2026"/>
    <w:rsid w:val="668208AB"/>
    <w:rsid w:val="66A921EF"/>
    <w:rsid w:val="66CF5DB4"/>
    <w:rsid w:val="66FA220A"/>
    <w:rsid w:val="67104872"/>
    <w:rsid w:val="674212A6"/>
    <w:rsid w:val="674566A0"/>
    <w:rsid w:val="677E783A"/>
    <w:rsid w:val="6780215A"/>
    <w:rsid w:val="679F2254"/>
    <w:rsid w:val="67B54A2A"/>
    <w:rsid w:val="67CA260B"/>
    <w:rsid w:val="67CE0D8B"/>
    <w:rsid w:val="6808604B"/>
    <w:rsid w:val="680D18B3"/>
    <w:rsid w:val="68251467"/>
    <w:rsid w:val="68285D84"/>
    <w:rsid w:val="68352BB8"/>
    <w:rsid w:val="684E77D6"/>
    <w:rsid w:val="68FC0850"/>
    <w:rsid w:val="69140A20"/>
    <w:rsid w:val="691618B3"/>
    <w:rsid w:val="69382960"/>
    <w:rsid w:val="695F613F"/>
    <w:rsid w:val="69643776"/>
    <w:rsid w:val="69933DBF"/>
    <w:rsid w:val="69D81A4D"/>
    <w:rsid w:val="69E403F2"/>
    <w:rsid w:val="69EB79D2"/>
    <w:rsid w:val="6A364455"/>
    <w:rsid w:val="6A8235F6"/>
    <w:rsid w:val="6AA47B81"/>
    <w:rsid w:val="6AA95BC4"/>
    <w:rsid w:val="6ACB635E"/>
    <w:rsid w:val="6ACD70D8"/>
    <w:rsid w:val="6AD20B92"/>
    <w:rsid w:val="6AD537F2"/>
    <w:rsid w:val="6B05557B"/>
    <w:rsid w:val="6B144F1D"/>
    <w:rsid w:val="6B1747F7"/>
    <w:rsid w:val="6B1765A5"/>
    <w:rsid w:val="6B204E70"/>
    <w:rsid w:val="6B262AFB"/>
    <w:rsid w:val="6B7F11A9"/>
    <w:rsid w:val="6B8D61B4"/>
    <w:rsid w:val="6BA239EE"/>
    <w:rsid w:val="6BA3779C"/>
    <w:rsid w:val="6BAC4F3F"/>
    <w:rsid w:val="6BB56C19"/>
    <w:rsid w:val="6C0A7EB8"/>
    <w:rsid w:val="6C0E79A8"/>
    <w:rsid w:val="6C0F23F0"/>
    <w:rsid w:val="6C1D2AC5"/>
    <w:rsid w:val="6C3939C8"/>
    <w:rsid w:val="6C575C63"/>
    <w:rsid w:val="6C6E0447"/>
    <w:rsid w:val="6C756BFF"/>
    <w:rsid w:val="6C757A27"/>
    <w:rsid w:val="6CD42B8B"/>
    <w:rsid w:val="6CE807B2"/>
    <w:rsid w:val="6D0668D1"/>
    <w:rsid w:val="6D1C037E"/>
    <w:rsid w:val="6D5926A1"/>
    <w:rsid w:val="6D5A453F"/>
    <w:rsid w:val="6D6D766B"/>
    <w:rsid w:val="6DA157BA"/>
    <w:rsid w:val="6DA17F91"/>
    <w:rsid w:val="6DD4077E"/>
    <w:rsid w:val="6DE22472"/>
    <w:rsid w:val="6DE9260B"/>
    <w:rsid w:val="6E151C0F"/>
    <w:rsid w:val="6E2627C3"/>
    <w:rsid w:val="6E30431F"/>
    <w:rsid w:val="6E5A41AD"/>
    <w:rsid w:val="6E6B2E90"/>
    <w:rsid w:val="6E7E0654"/>
    <w:rsid w:val="6E812AB6"/>
    <w:rsid w:val="6E8403F6"/>
    <w:rsid w:val="6E9075D1"/>
    <w:rsid w:val="6EB037FC"/>
    <w:rsid w:val="6ED50C51"/>
    <w:rsid w:val="6EFA06B8"/>
    <w:rsid w:val="6F3F4BD5"/>
    <w:rsid w:val="6FEC6252"/>
    <w:rsid w:val="6FF60E7F"/>
    <w:rsid w:val="6FF70753"/>
    <w:rsid w:val="6FFE5F86"/>
    <w:rsid w:val="7003534A"/>
    <w:rsid w:val="7017769E"/>
    <w:rsid w:val="701F3B2C"/>
    <w:rsid w:val="705643AB"/>
    <w:rsid w:val="70651B61"/>
    <w:rsid w:val="708741CD"/>
    <w:rsid w:val="708B35C8"/>
    <w:rsid w:val="709D23DA"/>
    <w:rsid w:val="70BA1BA0"/>
    <w:rsid w:val="71107D1F"/>
    <w:rsid w:val="71237119"/>
    <w:rsid w:val="715C147B"/>
    <w:rsid w:val="71902EA4"/>
    <w:rsid w:val="71A0414B"/>
    <w:rsid w:val="71BF2A2B"/>
    <w:rsid w:val="71C1726B"/>
    <w:rsid w:val="71ED62B2"/>
    <w:rsid w:val="71F547DF"/>
    <w:rsid w:val="72086B98"/>
    <w:rsid w:val="7233613E"/>
    <w:rsid w:val="7238752D"/>
    <w:rsid w:val="725E4ABA"/>
    <w:rsid w:val="729660C5"/>
    <w:rsid w:val="72AE77EF"/>
    <w:rsid w:val="72AF27F3"/>
    <w:rsid w:val="72E07289"/>
    <w:rsid w:val="731008D9"/>
    <w:rsid w:val="73190B95"/>
    <w:rsid w:val="73243F10"/>
    <w:rsid w:val="732C6966"/>
    <w:rsid w:val="735F6D3B"/>
    <w:rsid w:val="73620248"/>
    <w:rsid w:val="73817D4A"/>
    <w:rsid w:val="738F7819"/>
    <w:rsid w:val="73927111"/>
    <w:rsid w:val="7399049F"/>
    <w:rsid w:val="73AD7AA7"/>
    <w:rsid w:val="73CB617F"/>
    <w:rsid w:val="73D72D76"/>
    <w:rsid w:val="73FF09CD"/>
    <w:rsid w:val="744E211D"/>
    <w:rsid w:val="74791717"/>
    <w:rsid w:val="747D56CB"/>
    <w:rsid w:val="74862DDB"/>
    <w:rsid w:val="74925B02"/>
    <w:rsid w:val="749705E3"/>
    <w:rsid w:val="74A73AA4"/>
    <w:rsid w:val="74B546CC"/>
    <w:rsid w:val="74B84955"/>
    <w:rsid w:val="74E777A5"/>
    <w:rsid w:val="74EE65C9"/>
    <w:rsid w:val="751C7751"/>
    <w:rsid w:val="755F3D90"/>
    <w:rsid w:val="75846F2D"/>
    <w:rsid w:val="758A3E75"/>
    <w:rsid w:val="758A6B8C"/>
    <w:rsid w:val="75986535"/>
    <w:rsid w:val="75FC2F67"/>
    <w:rsid w:val="76165DD7"/>
    <w:rsid w:val="76555083"/>
    <w:rsid w:val="76740D50"/>
    <w:rsid w:val="76762811"/>
    <w:rsid w:val="7693567A"/>
    <w:rsid w:val="76D750D8"/>
    <w:rsid w:val="76D9782E"/>
    <w:rsid w:val="76E743A6"/>
    <w:rsid w:val="77071312"/>
    <w:rsid w:val="7725204A"/>
    <w:rsid w:val="774C75D7"/>
    <w:rsid w:val="77617526"/>
    <w:rsid w:val="778E7BEF"/>
    <w:rsid w:val="77977061"/>
    <w:rsid w:val="77C37CB1"/>
    <w:rsid w:val="77EB5041"/>
    <w:rsid w:val="78022884"/>
    <w:rsid w:val="78175E36"/>
    <w:rsid w:val="782A48AC"/>
    <w:rsid w:val="78580F26"/>
    <w:rsid w:val="787F7C35"/>
    <w:rsid w:val="78986F77"/>
    <w:rsid w:val="78A668CC"/>
    <w:rsid w:val="78D6184E"/>
    <w:rsid w:val="78EA52F9"/>
    <w:rsid w:val="78F4619E"/>
    <w:rsid w:val="79181E66"/>
    <w:rsid w:val="79263A88"/>
    <w:rsid w:val="79292463"/>
    <w:rsid w:val="793919E0"/>
    <w:rsid w:val="79631260"/>
    <w:rsid w:val="79AA3737"/>
    <w:rsid w:val="79AB6836"/>
    <w:rsid w:val="79B43EA9"/>
    <w:rsid w:val="79C47BB2"/>
    <w:rsid w:val="79FD0C14"/>
    <w:rsid w:val="7A230AC3"/>
    <w:rsid w:val="7A486491"/>
    <w:rsid w:val="7A535C1A"/>
    <w:rsid w:val="7A923E9A"/>
    <w:rsid w:val="7A9B4AFD"/>
    <w:rsid w:val="7AB753BB"/>
    <w:rsid w:val="7AE05E68"/>
    <w:rsid w:val="7B12173B"/>
    <w:rsid w:val="7B130B37"/>
    <w:rsid w:val="7B3C43A4"/>
    <w:rsid w:val="7B407452"/>
    <w:rsid w:val="7B4B5E55"/>
    <w:rsid w:val="7B642D7B"/>
    <w:rsid w:val="7B86394C"/>
    <w:rsid w:val="7BA2673D"/>
    <w:rsid w:val="7BC24A70"/>
    <w:rsid w:val="7BEE5100"/>
    <w:rsid w:val="7BEF6DA1"/>
    <w:rsid w:val="7BFC781D"/>
    <w:rsid w:val="7C232FFC"/>
    <w:rsid w:val="7C2C5430"/>
    <w:rsid w:val="7C442F72"/>
    <w:rsid w:val="7C66113B"/>
    <w:rsid w:val="7CA06875"/>
    <w:rsid w:val="7CBA6FE1"/>
    <w:rsid w:val="7CD40F40"/>
    <w:rsid w:val="7D14738E"/>
    <w:rsid w:val="7D292894"/>
    <w:rsid w:val="7D40373A"/>
    <w:rsid w:val="7D4F077A"/>
    <w:rsid w:val="7D517516"/>
    <w:rsid w:val="7D6C741B"/>
    <w:rsid w:val="7D853842"/>
    <w:rsid w:val="7D8F646F"/>
    <w:rsid w:val="7D9046C1"/>
    <w:rsid w:val="7D9B1B0D"/>
    <w:rsid w:val="7D9E6C84"/>
    <w:rsid w:val="7DA05F3F"/>
    <w:rsid w:val="7DB639FC"/>
    <w:rsid w:val="7DC108C5"/>
    <w:rsid w:val="7DCA09F7"/>
    <w:rsid w:val="7DE31491"/>
    <w:rsid w:val="7DE92023"/>
    <w:rsid w:val="7DEA0443"/>
    <w:rsid w:val="7E040C0B"/>
    <w:rsid w:val="7E123328"/>
    <w:rsid w:val="7E1D29BB"/>
    <w:rsid w:val="7E215319"/>
    <w:rsid w:val="7E570908"/>
    <w:rsid w:val="7E6815D7"/>
    <w:rsid w:val="7E7478AC"/>
    <w:rsid w:val="7E8D29AE"/>
    <w:rsid w:val="7E9957F7"/>
    <w:rsid w:val="7E9A5A22"/>
    <w:rsid w:val="7E9A5B7C"/>
    <w:rsid w:val="7EAA0B98"/>
    <w:rsid w:val="7F1C462C"/>
    <w:rsid w:val="7F286B7B"/>
    <w:rsid w:val="7F2C29A8"/>
    <w:rsid w:val="7F4068A7"/>
    <w:rsid w:val="7F623E3B"/>
    <w:rsid w:val="7F792F33"/>
    <w:rsid w:val="7F7F65CF"/>
    <w:rsid w:val="7F914C97"/>
    <w:rsid w:val="7FA20A01"/>
    <w:rsid w:val="7FA55D54"/>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semiHidden="0" w:name="heading 2"/>
    <w:lsdException w:qFormat="1" w:uiPriority="0" w:name="heading 3"/>
    <w:lsdException w:qFormat="1" w:unhideWhenUsed="0" w:uiPriority="1"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qFormat="1"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99"/>
    <w:pPr>
      <w:keepNext/>
      <w:overflowPunct w:val="0"/>
      <w:snapToGrid w:val="0"/>
      <w:spacing w:before="120" w:after="160" w:line="259" w:lineRule="auto"/>
      <w:ind w:left="432" w:hanging="432"/>
      <w:outlineLvl w:val="0"/>
    </w:pPr>
    <w:rPr>
      <w:b/>
      <w:bCs/>
      <w:color w:val="000000"/>
      <w:kern w:val="44"/>
      <w:sz w:val="24"/>
      <w:szCs w:val="30"/>
    </w:rPr>
  </w:style>
  <w:style w:type="paragraph" w:styleId="4">
    <w:name w:val="heading 2"/>
    <w:basedOn w:val="1"/>
    <w:next w:val="1"/>
    <w:unhideWhenUsed/>
    <w:qFormat/>
    <w:uiPriority w:val="0"/>
    <w:pPr>
      <w:keepNext/>
      <w:keepLines/>
      <w:spacing w:before="260" w:after="260" w:line="413" w:lineRule="auto"/>
      <w:outlineLvl w:val="1"/>
    </w:pPr>
    <w:rPr>
      <w:rFonts w:ascii="Arial" w:hAnsi="Arial" w:eastAsia="黑体"/>
      <w:b/>
      <w:sz w:val="32"/>
    </w:rPr>
  </w:style>
  <w:style w:type="paragraph" w:styleId="5">
    <w:name w:val="heading 4"/>
    <w:basedOn w:val="1"/>
    <w:next w:val="1"/>
    <w:qFormat/>
    <w:uiPriority w:val="1"/>
    <w:pPr>
      <w:keepNext/>
      <w:keepLines/>
      <w:widowControl/>
      <w:outlineLvl w:val="3"/>
    </w:pPr>
    <w:rPr>
      <w:rFonts w:ascii="Times New Roman" w:hAnsi="Times New Roman" w:eastAsia="宋体"/>
      <w:b/>
      <w:bCs/>
      <w:color w:val="000000"/>
      <w:szCs w:val="28"/>
    </w:rPr>
  </w:style>
  <w:style w:type="character" w:default="1" w:styleId="27">
    <w:name w:val="Default Paragraph Font"/>
    <w:semiHidden/>
    <w:qFormat/>
    <w:uiPriority w:val="0"/>
  </w:style>
  <w:style w:type="table" w:default="1" w:styleId="25">
    <w:name w:val="Normal Table"/>
    <w:semiHidden/>
    <w:qFormat/>
    <w:uiPriority w:val="0"/>
    <w:pPr>
      <w:keepNext w:val="0"/>
      <w:keepLines w:val="0"/>
      <w:widowControl/>
      <w:suppressLineNumbers w:val="0"/>
      <w:spacing w:before="0" w:beforeAutospacing="0" w:after="0" w:afterAutospacing="0"/>
      <w:ind w:left="0" w:right="0"/>
    </w:pPr>
    <w:rPr>
      <w:rFonts w:ascii="Calibri" w:hAnsi="Calibri" w:eastAsia="宋体" w:cs="Times New Roman"/>
      <w:kern w:val="2"/>
      <w:sz w:val="21"/>
      <w:szCs w:val="22"/>
    </w:rPr>
    <w:tblPr>
      <w:tblCellMar>
        <w:top w:w="0" w:type="dxa"/>
        <w:left w:w="108" w:type="dxa"/>
        <w:bottom w:w="0" w:type="dxa"/>
        <w:right w:w="108" w:type="dxa"/>
      </w:tblCellMar>
    </w:tblPr>
  </w:style>
  <w:style w:type="paragraph" w:customStyle="1" w:styleId="2">
    <w:name w:val="_Style 4"/>
    <w:basedOn w:val="1"/>
    <w:qFormat/>
    <w:uiPriority w:val="0"/>
    <w:pPr>
      <w:tabs>
        <w:tab w:val="left" w:pos="4665"/>
        <w:tab w:val="left" w:pos="8970"/>
      </w:tabs>
      <w:ind w:firstLine="400"/>
    </w:pPr>
    <w:rPr>
      <w:rFonts w:ascii="宋体" w:hAnsi="宋体"/>
      <w:sz w:val="30"/>
      <w:szCs w:val="30"/>
    </w:rPr>
  </w:style>
  <w:style w:type="paragraph" w:styleId="6">
    <w:name w:val="Normal Indent"/>
    <w:basedOn w:val="1"/>
    <w:next w:val="1"/>
    <w:qFormat/>
    <w:uiPriority w:val="0"/>
    <w:pPr>
      <w:ind w:firstLine="420" w:firstLineChars="200"/>
    </w:pPr>
    <w:rPr>
      <w:b/>
      <w:szCs w:val="20"/>
    </w:rPr>
  </w:style>
  <w:style w:type="paragraph" w:styleId="7">
    <w:name w:val="caption"/>
    <w:basedOn w:val="1"/>
    <w:next w:val="1"/>
    <w:qFormat/>
    <w:uiPriority w:val="0"/>
    <w:pPr>
      <w:spacing w:before="120"/>
      <w:jc w:val="center"/>
    </w:pPr>
    <w:rPr>
      <w:rFonts w:ascii="Times New Roman"/>
      <w:b/>
      <w:sz w:val="21"/>
      <w:szCs w:val="24"/>
    </w:rPr>
  </w:style>
  <w:style w:type="paragraph" w:styleId="8">
    <w:name w:val="Document Map"/>
    <w:basedOn w:val="1"/>
    <w:next w:val="1"/>
    <w:qFormat/>
    <w:uiPriority w:val="0"/>
    <w:pPr>
      <w:shd w:val="clear" w:color="auto" w:fill="000080"/>
    </w:pPr>
    <w:rPr>
      <w:kern w:val="0"/>
      <w:sz w:val="2"/>
      <w:szCs w:val="20"/>
    </w:rPr>
  </w:style>
  <w:style w:type="paragraph" w:styleId="9">
    <w:name w:val="annotation text"/>
    <w:basedOn w:val="1"/>
    <w:qFormat/>
    <w:uiPriority w:val="0"/>
    <w:pPr>
      <w:jc w:val="left"/>
    </w:pPr>
    <w:rPr>
      <w:sz w:val="21"/>
    </w:rPr>
  </w:style>
  <w:style w:type="paragraph" w:styleId="10">
    <w:name w:val="Body Text"/>
    <w:basedOn w:val="1"/>
    <w:next w:val="11"/>
    <w:qFormat/>
    <w:uiPriority w:val="0"/>
    <w:rPr>
      <w:b/>
      <w:bCs/>
    </w:rPr>
  </w:style>
  <w:style w:type="paragraph" w:styleId="11">
    <w:name w:val="List Bullet 5"/>
    <w:basedOn w:val="1"/>
    <w:qFormat/>
    <w:uiPriority w:val="0"/>
    <w:pPr>
      <w:numPr>
        <w:ilvl w:val="0"/>
        <w:numId w:val="1"/>
      </w:numPr>
    </w:pPr>
  </w:style>
  <w:style w:type="paragraph" w:styleId="12">
    <w:name w:val="Body Text Indent"/>
    <w:basedOn w:val="1"/>
    <w:next w:val="13"/>
    <w:qFormat/>
    <w:uiPriority w:val="0"/>
    <w:pPr>
      <w:ind w:firstLine="538" w:firstLineChars="196"/>
    </w:pPr>
  </w:style>
  <w:style w:type="paragraph" w:styleId="13">
    <w:name w:val="header"/>
    <w:basedOn w:val="1"/>
    <w:link w:val="32"/>
    <w:qFormat/>
    <w:uiPriority w:val="0"/>
    <w:pPr>
      <w:pBdr>
        <w:bottom w:val="single" w:color="auto" w:sz="6" w:space="1"/>
      </w:pBdr>
      <w:tabs>
        <w:tab w:val="center" w:pos="4153"/>
        <w:tab w:val="right" w:pos="8306"/>
      </w:tabs>
      <w:snapToGrid w:val="0"/>
      <w:jc w:val="center"/>
    </w:pPr>
    <w:rPr>
      <w:sz w:val="18"/>
      <w:szCs w:val="18"/>
    </w:rPr>
  </w:style>
  <w:style w:type="paragraph" w:styleId="14">
    <w:name w:val="List 2"/>
    <w:basedOn w:val="1"/>
    <w:qFormat/>
    <w:uiPriority w:val="0"/>
    <w:pPr>
      <w:jc w:val="center"/>
    </w:pPr>
    <w:rPr>
      <w:bCs/>
      <w:kern w:val="10"/>
      <w:sz w:val="24"/>
    </w:rPr>
  </w:style>
  <w:style w:type="paragraph" w:styleId="15">
    <w:name w:val="Plain Text"/>
    <w:basedOn w:val="1"/>
    <w:qFormat/>
    <w:uiPriority w:val="0"/>
    <w:rPr>
      <w:rFonts w:ascii="宋体" w:hAnsi="Courier New" w:cs="宋体"/>
      <w:sz w:val="21"/>
      <w:szCs w:val="21"/>
    </w:rPr>
  </w:style>
  <w:style w:type="paragraph" w:styleId="16">
    <w:name w:val="Body Text Indent 2"/>
    <w:basedOn w:val="1"/>
    <w:next w:val="1"/>
    <w:qFormat/>
    <w:uiPriority w:val="0"/>
    <w:pPr>
      <w:spacing w:line="360" w:lineRule="auto"/>
      <w:ind w:firstLine="471" w:firstLineChars="200"/>
    </w:pPr>
    <w:rPr>
      <w:sz w:val="24"/>
    </w:rPr>
  </w:style>
  <w:style w:type="paragraph" w:styleId="17">
    <w:name w:val="footer"/>
    <w:basedOn w:val="1"/>
    <w:next w:val="18"/>
    <w:link w:val="33"/>
    <w:qFormat/>
    <w:uiPriority w:val="0"/>
    <w:pPr>
      <w:tabs>
        <w:tab w:val="center" w:pos="4153"/>
        <w:tab w:val="right" w:pos="8306"/>
      </w:tabs>
      <w:snapToGrid w:val="0"/>
      <w:jc w:val="left"/>
    </w:pPr>
    <w:rPr>
      <w:sz w:val="18"/>
    </w:rPr>
  </w:style>
  <w:style w:type="paragraph" w:styleId="18">
    <w:name w:val="List"/>
    <w:basedOn w:val="1"/>
    <w:next w:val="1"/>
    <w:qFormat/>
    <w:uiPriority w:val="0"/>
    <w:pPr>
      <w:ind w:left="200" w:hanging="200" w:hangingChars="200"/>
    </w:pPr>
  </w:style>
  <w:style w:type="paragraph" w:styleId="19">
    <w:name w:val="index heading"/>
    <w:basedOn w:val="1"/>
    <w:next w:val="20"/>
    <w:qFormat/>
    <w:uiPriority w:val="0"/>
    <w:rPr>
      <w:rFonts w:ascii="Arial" w:hAnsi="Arial" w:eastAsia="宋体" w:cs="Arial"/>
      <w:b/>
      <w:bCs/>
    </w:rPr>
  </w:style>
  <w:style w:type="paragraph" w:styleId="20">
    <w:name w:val="index 1"/>
    <w:basedOn w:val="1"/>
    <w:next w:val="1"/>
    <w:semiHidden/>
    <w:qFormat/>
    <w:uiPriority w:val="0"/>
    <w:pPr>
      <w:jc w:val="center"/>
    </w:pPr>
    <w:rPr>
      <w:rFonts w:ascii="Times New Roman" w:hAnsi="Times New Roman" w:eastAsia="宋体" w:cs="Times New Roman"/>
      <w:kern w:val="0"/>
      <w:sz w:val="24"/>
      <w:szCs w:val="20"/>
    </w:rPr>
  </w:style>
  <w:style w:type="paragraph" w:styleId="21">
    <w:name w:val="Body Text Indent 3"/>
    <w:basedOn w:val="1"/>
    <w:qFormat/>
    <w:uiPriority w:val="0"/>
    <w:pPr>
      <w:spacing w:line="360" w:lineRule="auto"/>
      <w:ind w:firstLine="560" w:firstLineChars="200"/>
    </w:pPr>
  </w:style>
  <w:style w:type="paragraph" w:styleId="22">
    <w:name w:val="Normal (Web)"/>
    <w:basedOn w:val="1"/>
    <w:link w:val="34"/>
    <w:qFormat/>
    <w:uiPriority w:val="0"/>
    <w:pPr>
      <w:keepNext w:val="0"/>
      <w:keepLines w:val="0"/>
      <w:widowControl/>
      <w:suppressLineNumbers w:val="0"/>
      <w:spacing w:before="100" w:beforeAutospacing="1" w:after="100" w:afterAutospacing="1"/>
      <w:ind w:left="0" w:right="0"/>
      <w:jc w:val="left"/>
    </w:pPr>
    <w:rPr>
      <w:rFonts w:hint="eastAsia" w:ascii="宋体" w:hAnsi="宋体" w:eastAsia="宋体" w:cs="Times New Roman"/>
      <w:kern w:val="0"/>
      <w:sz w:val="24"/>
      <w:szCs w:val="20"/>
      <w:lang w:val="en-US" w:eastAsia="zh-CN" w:bidi="ar"/>
    </w:rPr>
  </w:style>
  <w:style w:type="paragraph" w:styleId="23">
    <w:name w:val="Body Text First Indent"/>
    <w:basedOn w:val="10"/>
    <w:next w:val="1"/>
    <w:qFormat/>
    <w:uiPriority w:val="0"/>
    <w:pPr>
      <w:ind w:firstLine="420" w:firstLineChars="100"/>
    </w:pPr>
  </w:style>
  <w:style w:type="paragraph" w:styleId="24">
    <w:name w:val="Body Text First Indent 2"/>
    <w:basedOn w:val="12"/>
    <w:next w:val="8"/>
    <w:qFormat/>
    <w:uiPriority w:val="0"/>
    <w:pPr>
      <w:spacing w:after="120"/>
      <w:ind w:left="420" w:leftChars="200" w:firstLine="420" w:firstLineChars="200"/>
    </w:pPr>
  </w:style>
  <w:style w:type="table" w:styleId="26">
    <w:name w:val="Table Grid"/>
    <w:basedOn w:val="2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page number"/>
    <w:basedOn w:val="27"/>
    <w:qFormat/>
    <w:uiPriority w:val="0"/>
  </w:style>
  <w:style w:type="character" w:styleId="29">
    <w:name w:val="Hyperlink"/>
    <w:basedOn w:val="27"/>
    <w:qFormat/>
    <w:uiPriority w:val="0"/>
    <w:rPr>
      <w:color w:val="0000FF"/>
      <w:u w:val="single"/>
    </w:rPr>
  </w:style>
  <w:style w:type="character" w:styleId="30">
    <w:name w:val="annotation reference"/>
    <w:qFormat/>
    <w:uiPriority w:val="0"/>
    <w:rPr>
      <w:sz w:val="21"/>
    </w:rPr>
  </w:style>
  <w:style w:type="paragraph" w:customStyle="1" w:styleId="31">
    <w:name w:val="样式5"/>
    <w:basedOn w:val="6"/>
    <w:qFormat/>
    <w:uiPriority w:val="0"/>
    <w:pPr>
      <w:spacing w:line="380" w:lineRule="exact"/>
      <w:ind w:firstLine="566" w:firstLineChars="202"/>
    </w:pPr>
    <w:rPr>
      <w:rFonts w:eastAsia="华文行楷"/>
      <w:sz w:val="28"/>
    </w:rPr>
  </w:style>
  <w:style w:type="character" w:customStyle="1" w:styleId="32">
    <w:name w:val="页眉 Char"/>
    <w:basedOn w:val="27"/>
    <w:link w:val="13"/>
    <w:qFormat/>
    <w:uiPriority w:val="0"/>
    <w:rPr>
      <w:kern w:val="2"/>
      <w:sz w:val="18"/>
      <w:szCs w:val="18"/>
    </w:rPr>
  </w:style>
  <w:style w:type="character" w:customStyle="1" w:styleId="33">
    <w:name w:val="页脚 Char1"/>
    <w:basedOn w:val="27"/>
    <w:link w:val="17"/>
    <w:qFormat/>
    <w:uiPriority w:val="0"/>
    <w:rPr>
      <w:kern w:val="2"/>
      <w:sz w:val="18"/>
      <w:szCs w:val="18"/>
    </w:rPr>
  </w:style>
  <w:style w:type="character" w:customStyle="1" w:styleId="34">
    <w:name w:val="普通(网站) Char"/>
    <w:basedOn w:val="27"/>
    <w:link w:val="22"/>
    <w:qFormat/>
    <w:uiPriority w:val="0"/>
    <w:rPr>
      <w:rFonts w:hint="eastAsia" w:ascii="宋体" w:hAnsi="宋体" w:eastAsia="宋体" w:cs="宋体"/>
      <w:sz w:val="24"/>
    </w:rPr>
  </w:style>
  <w:style w:type="paragraph" w:customStyle="1" w:styleId="35">
    <w:name w:val="样式 标题 1一级标题 + 段前: 0.5 行 段后: 0.5 行"/>
    <w:basedOn w:val="3"/>
    <w:qFormat/>
    <w:uiPriority w:val="99"/>
    <w:pPr>
      <w:spacing w:line="320" w:lineRule="exact"/>
      <w:outlineLvl w:val="9"/>
    </w:pPr>
    <w:rPr>
      <w:spacing w:val="-6"/>
      <w:sz w:val="21"/>
      <w:szCs w:val="21"/>
    </w:rPr>
  </w:style>
  <w:style w:type="character" w:customStyle="1" w:styleId="36">
    <w:name w:val="question-title2"/>
    <w:basedOn w:val="27"/>
    <w:qFormat/>
    <w:uiPriority w:val="0"/>
  </w:style>
  <w:style w:type="character" w:customStyle="1" w:styleId="37">
    <w:name w:val="表格 Char"/>
    <w:basedOn w:val="27"/>
    <w:link w:val="38"/>
    <w:qFormat/>
    <w:uiPriority w:val="0"/>
    <w:rPr>
      <w:rFonts w:hint="eastAsia" w:ascii="宋体" w:hAnsi="宋体" w:eastAsia="宋体" w:cs="宋体"/>
      <w:sz w:val="21"/>
    </w:rPr>
  </w:style>
  <w:style w:type="paragraph" w:customStyle="1" w:styleId="38">
    <w:name w:val="表格"/>
    <w:basedOn w:val="1"/>
    <w:next w:val="1"/>
    <w:link w:val="37"/>
    <w:qFormat/>
    <w:uiPriority w:val="0"/>
    <w:pPr>
      <w:keepNext w:val="0"/>
      <w:keepLines w:val="0"/>
      <w:widowControl w:val="0"/>
      <w:suppressLineNumbers w:val="0"/>
      <w:adjustRightInd w:val="0"/>
      <w:snapToGrid w:val="0"/>
      <w:spacing w:before="0" w:beforeLines="10" w:beforeAutospacing="0" w:after="0" w:afterAutospacing="0" w:line="256" w:lineRule="auto"/>
      <w:ind w:left="0" w:right="0"/>
      <w:jc w:val="center"/>
    </w:pPr>
    <w:rPr>
      <w:rFonts w:hint="eastAsia" w:ascii="宋体" w:hAnsi="Times New Roman" w:eastAsia="宋体" w:cs="Times New Roman"/>
      <w:kern w:val="0"/>
      <w:sz w:val="21"/>
      <w:szCs w:val="20"/>
      <w:lang w:val="en-US" w:eastAsia="zh-CN" w:bidi="ar"/>
    </w:rPr>
  </w:style>
  <w:style w:type="character" w:customStyle="1" w:styleId="39">
    <w:name w:val="页脚 Char"/>
    <w:basedOn w:val="27"/>
    <w:qFormat/>
    <w:uiPriority w:val="0"/>
    <w:rPr>
      <w:sz w:val="18"/>
    </w:rPr>
  </w:style>
  <w:style w:type="paragraph" w:customStyle="1" w:styleId="40">
    <w:name w:val="正文111111111"/>
    <w:basedOn w:val="1"/>
    <w:qFormat/>
    <w:uiPriority w:val="0"/>
    <w:pPr>
      <w:spacing w:line="360" w:lineRule="auto"/>
      <w:ind w:firstLine="480" w:firstLineChars="200"/>
    </w:pPr>
    <w:rPr>
      <w:sz w:val="24"/>
      <w:szCs w:val="20"/>
    </w:rPr>
  </w:style>
  <w:style w:type="paragraph" w:customStyle="1" w:styleId="41">
    <w:name w:val="表格2"/>
    <w:basedOn w:val="1"/>
    <w:next w:val="1"/>
    <w:qFormat/>
    <w:uiPriority w:val="0"/>
    <w:pPr>
      <w:topLinePunct/>
      <w:autoSpaceDE w:val="0"/>
      <w:autoSpaceDN w:val="0"/>
      <w:adjustRightInd w:val="0"/>
      <w:jc w:val="center"/>
      <w:textAlignment w:val="baseline"/>
    </w:pPr>
    <w:rPr>
      <w:rFonts w:ascii="宋体" w:hAnsi="Impact"/>
      <w:kern w:val="24"/>
      <w:position w:val="-28"/>
      <w:sz w:val="21"/>
      <w:szCs w:val="20"/>
    </w:rPr>
  </w:style>
  <w:style w:type="paragraph" w:customStyle="1" w:styleId="42">
    <w:name w:val="样式 合发肉禽正文 + 首行缩进:  2 字符"/>
    <w:basedOn w:val="1"/>
    <w:qFormat/>
    <w:uiPriority w:val="0"/>
    <w:pPr>
      <w:widowControl/>
      <w:shd w:val="clear" w:color="auto" w:fill="FFFFFF"/>
      <w:spacing w:before="60" w:after="60" w:line="360" w:lineRule="auto"/>
      <w:ind w:firstLine="200" w:firstLineChars="200"/>
    </w:pPr>
    <w:rPr>
      <w:rFonts w:ascii="宋体" w:hAnsi="宋体" w:cs="宋体"/>
      <w:kern w:val="0"/>
      <w:sz w:val="24"/>
      <w:szCs w:val="20"/>
    </w:rPr>
  </w:style>
  <w:style w:type="paragraph" w:customStyle="1" w:styleId="43">
    <w:name w:val="报告正文"/>
    <w:basedOn w:val="1"/>
    <w:next w:val="1"/>
    <w:qFormat/>
    <w:uiPriority w:val="0"/>
    <w:pPr>
      <w:adjustRightInd w:val="0"/>
      <w:snapToGrid w:val="0"/>
      <w:spacing w:line="480" w:lineRule="exact"/>
      <w:ind w:firstLine="200" w:firstLineChars="200"/>
    </w:pPr>
    <w:rPr>
      <w:sz w:val="24"/>
    </w:rPr>
  </w:style>
  <w:style w:type="paragraph" w:customStyle="1" w:styleId="44">
    <w:name w:val="矿渣粉正文"/>
    <w:basedOn w:val="12"/>
    <w:qFormat/>
    <w:uiPriority w:val="0"/>
    <w:pPr>
      <w:spacing w:line="360" w:lineRule="auto"/>
      <w:ind w:firstLine="200" w:firstLineChars="200"/>
    </w:pPr>
    <w:rPr>
      <w:color w:val="000000"/>
      <w:sz w:val="24"/>
    </w:rPr>
  </w:style>
  <w:style w:type="paragraph" w:customStyle="1" w:styleId="45">
    <w:name w:val="新格式表"/>
    <w:basedOn w:val="1"/>
    <w:qFormat/>
    <w:uiPriority w:val="0"/>
    <w:pPr>
      <w:adjustRightInd w:val="0"/>
      <w:snapToGrid w:val="0"/>
      <w:spacing w:line="240" w:lineRule="atLeast"/>
      <w:jc w:val="center"/>
    </w:pPr>
    <w:rPr>
      <w:bCs/>
      <w:color w:val="000000"/>
      <w:sz w:val="21"/>
      <w:szCs w:val="21"/>
    </w:rPr>
  </w:style>
  <w:style w:type="paragraph" w:customStyle="1" w:styleId="46">
    <w:name w:val="正文_5"/>
    <w:qFormat/>
    <w:uiPriority w:val="0"/>
    <w:pPr>
      <w:widowControl w:val="0"/>
      <w:jc w:val="both"/>
    </w:pPr>
    <w:rPr>
      <w:rFonts w:ascii="Calibri" w:hAnsi="Calibri" w:eastAsia="宋体" w:cs="Times New Roman"/>
      <w:kern w:val="2"/>
      <w:sz w:val="21"/>
      <w:lang w:val="en-US" w:eastAsia="zh-CN" w:bidi="ar-SA"/>
    </w:rPr>
  </w:style>
  <w:style w:type="paragraph" w:customStyle="1" w:styleId="47">
    <w:name w:val="表体"/>
    <w:basedOn w:val="1"/>
    <w:qFormat/>
    <w:uiPriority w:val="0"/>
    <w:pPr>
      <w:overflowPunct w:val="0"/>
      <w:adjustRightInd w:val="0"/>
      <w:jc w:val="center"/>
      <w:textAlignment w:val="baseline"/>
    </w:pPr>
    <w:rPr>
      <w:rFonts w:ascii="宋体"/>
      <w:kern w:val="24"/>
      <w:sz w:val="21"/>
      <w:szCs w:val="20"/>
    </w:rPr>
  </w:style>
  <w:style w:type="paragraph" w:styleId="48">
    <w:name w:val="List Paragraph"/>
    <w:basedOn w:val="1"/>
    <w:qFormat/>
    <w:uiPriority w:val="0"/>
    <w:pPr>
      <w:ind w:firstLine="420" w:firstLineChars="200"/>
    </w:pPr>
    <w:rPr>
      <w:rFonts w:ascii="Calibri" w:hAnsi="Calibri"/>
      <w:szCs w:val="22"/>
    </w:rPr>
  </w:style>
  <w:style w:type="paragraph" w:customStyle="1" w:styleId="49">
    <w:name w:val="表头"/>
    <w:basedOn w:val="1"/>
    <w:qFormat/>
    <w:uiPriority w:val="0"/>
    <w:pPr>
      <w:overflowPunct w:val="0"/>
      <w:adjustRightInd w:val="0"/>
      <w:spacing w:before="60" w:after="60" w:line="240" w:lineRule="atLeast"/>
      <w:ind w:left="-113" w:right="-113"/>
      <w:jc w:val="center"/>
      <w:textAlignment w:val="center"/>
    </w:pPr>
    <w:rPr>
      <w:rFonts w:ascii="宋体"/>
      <w:b/>
      <w:color w:val="808000"/>
      <w:kern w:val="24"/>
      <w:sz w:val="24"/>
    </w:rPr>
  </w:style>
  <w:style w:type="paragraph" w:customStyle="1" w:styleId="50">
    <w:name w:val="表格文字"/>
    <w:basedOn w:val="1"/>
    <w:qFormat/>
    <w:uiPriority w:val="0"/>
    <w:pPr>
      <w:spacing w:before="60" w:after="60" w:line="240" w:lineRule="atLeast"/>
      <w:jc w:val="center"/>
    </w:pPr>
    <w:rPr>
      <w:sz w:val="24"/>
    </w:rPr>
  </w:style>
  <w:style w:type="paragraph" w:customStyle="1" w:styleId="51">
    <w:name w:val="表格文字（四）"/>
    <w:basedOn w:val="1"/>
    <w:qFormat/>
    <w:uiPriority w:val="0"/>
    <w:pPr>
      <w:spacing w:before="30" w:after="30" w:line="240" w:lineRule="atLeast"/>
      <w:jc w:val="center"/>
    </w:pPr>
  </w:style>
  <w:style w:type="paragraph" w:customStyle="1" w:styleId="52">
    <w:name w:val="正文_6"/>
    <w:qFormat/>
    <w:uiPriority w:val="0"/>
    <w:pPr>
      <w:widowControl w:val="0"/>
      <w:jc w:val="both"/>
    </w:pPr>
    <w:rPr>
      <w:rFonts w:ascii="Calibri" w:hAnsi="Calibri" w:eastAsia="宋体" w:cs="Times New Roman"/>
      <w:kern w:val="2"/>
      <w:sz w:val="21"/>
      <w:lang w:val="en-US" w:eastAsia="zh-CN" w:bidi="ar-SA"/>
    </w:rPr>
  </w:style>
  <w:style w:type="paragraph" w:customStyle="1" w:styleId="53">
    <w:name w:val="Default"/>
    <w:basedOn w:val="54"/>
    <w:unhideWhenUsed/>
    <w:qFormat/>
    <w:uiPriority w:val="99"/>
    <w:pPr>
      <w:widowControl w:val="0"/>
      <w:autoSpaceDE w:val="0"/>
      <w:autoSpaceDN w:val="0"/>
      <w:adjustRightInd w:val="0"/>
    </w:pPr>
    <w:rPr>
      <w:rFonts w:hint="eastAsia" w:ascii="宋体" w:hAnsi="宋体"/>
      <w:color w:val="000000"/>
      <w:sz w:val="24"/>
      <w:lang w:val="en-US" w:eastAsia="zh-CN" w:bidi="ar-SA"/>
    </w:rPr>
  </w:style>
  <w:style w:type="paragraph" w:customStyle="1" w:styleId="54">
    <w:name w:val="标题2"/>
    <w:basedOn w:val="4"/>
    <w:next w:val="1"/>
    <w:qFormat/>
    <w:uiPriority w:val="0"/>
    <w:pPr>
      <w:numPr>
        <w:ilvl w:val="1"/>
        <w:numId w:val="2"/>
      </w:numPr>
      <w:spacing w:line="440" w:lineRule="exact"/>
    </w:pPr>
    <w:rPr>
      <w:kern w:val="0"/>
    </w:rPr>
  </w:style>
  <w:style w:type="paragraph" w:customStyle="1" w:styleId="55">
    <w:name w:val="样式1"/>
    <w:basedOn w:val="19"/>
    <w:next w:val="1"/>
    <w:qFormat/>
    <w:uiPriority w:val="0"/>
    <w:pPr>
      <w:keepLines/>
      <w:overflowPunct/>
      <w:spacing w:before="0" w:beforeLines="50" w:after="0" w:afterLines="50" w:line="240" w:lineRule="exact"/>
      <w:ind w:left="0" w:firstLine="0"/>
      <w:jc w:val="center"/>
    </w:pPr>
    <w:rPr>
      <w:rFonts w:eastAsia="方正黑体_GBK"/>
      <w:b w:val="0"/>
      <w:color w:val="auto"/>
      <w:sz w:val="36"/>
      <w:szCs w:val="36"/>
    </w:rPr>
  </w:style>
  <w:style w:type="paragraph" w:customStyle="1" w:styleId="56">
    <w:name w:val="表格表头"/>
    <w:basedOn w:val="1"/>
    <w:qFormat/>
    <w:uiPriority w:val="0"/>
    <w:pPr>
      <w:spacing w:before="50" w:beforeLines="50"/>
      <w:ind w:firstLine="0" w:firstLineChars="0"/>
      <w:jc w:val="center"/>
    </w:pPr>
    <w:rPr>
      <w:b/>
      <w:sz w:val="21"/>
      <w:szCs w:val="22"/>
    </w:rPr>
  </w:style>
  <w:style w:type="paragraph" w:customStyle="1" w:styleId="57">
    <w:name w:val="0正文"/>
    <w:basedOn w:val="12"/>
    <w:qFormat/>
    <w:uiPriority w:val="0"/>
    <w:pPr>
      <w:widowControl w:val="0"/>
      <w:spacing w:line="360" w:lineRule="auto"/>
      <w:ind w:firstLine="720" w:firstLineChars="200"/>
    </w:pPr>
    <w:rPr>
      <w:rFonts w:ascii="Times New Roman" w:hAnsi="Times New Roman" w:eastAsia="宋体" w:cs="Times New Roman"/>
      <w:sz w:val="24"/>
      <w:szCs w:val="22"/>
      <w:lang w:val="en-US" w:eastAsia="zh-CN" w:bidi="ar-SA"/>
    </w:rPr>
  </w:style>
  <w:style w:type="paragraph" w:customStyle="1" w:styleId="58">
    <w:name w:val="表格内容"/>
    <w:next w:val="1"/>
    <w:qFormat/>
    <w:uiPriority w:val="0"/>
    <w:pPr>
      <w:jc w:val="center"/>
    </w:pPr>
    <w:rPr>
      <w:rFonts w:ascii="Times New Roman" w:hAnsi="Times New Roman" w:eastAsia="宋体" w:cs="Times New Roman"/>
      <w:kern w:val="2"/>
      <w:sz w:val="21"/>
      <w:szCs w:val="22"/>
      <w:lang w:val="en-US" w:eastAsia="zh-CN" w:bidi="ar-SA"/>
    </w:rPr>
  </w:style>
  <w:style w:type="paragraph" w:customStyle="1" w:styleId="59">
    <w:name w:val="表体宋旭峰"/>
    <w:basedOn w:val="1"/>
    <w:qFormat/>
    <w:uiPriority w:val="0"/>
    <w:pPr>
      <w:overflowPunct w:val="0"/>
      <w:adjustRightInd w:val="0"/>
      <w:spacing w:line="280" w:lineRule="exact"/>
      <w:jc w:val="center"/>
      <w:textAlignment w:val="baseline"/>
    </w:pPr>
    <w:rPr>
      <w:rFonts w:eastAsia="仿宋_GB2312"/>
      <w:color w:val="FF0000"/>
      <w:kern w:val="24"/>
      <w:sz w:val="21"/>
      <w:szCs w:val="21"/>
    </w:rPr>
  </w:style>
  <w:style w:type="paragraph" w:customStyle="1" w:styleId="60">
    <w:name w:val="公式"/>
    <w:basedOn w:val="1"/>
    <w:next w:val="1"/>
    <w:qFormat/>
    <w:uiPriority w:val="0"/>
    <w:pPr>
      <w:jc w:val="center"/>
    </w:pPr>
    <w:rPr>
      <w:sz w:val="21"/>
    </w:rPr>
  </w:style>
  <w:style w:type="table" w:customStyle="1" w:styleId="61">
    <w:name w:val="标准表格"/>
    <w:basedOn w:val="25"/>
    <w:qFormat/>
    <w:uiPriority w:val="99"/>
    <w:pPr>
      <w:spacing w:before="74"/>
      <w:jc w:val="center"/>
    </w:pPr>
    <w:rPr>
      <w:rFonts w:ascii="Times New Roman" w:hAnsi="Times New Roman" w:eastAsia="宋体" w:cs="Times New Roman"/>
      <w:kern w:val="0"/>
      <w:sz w:val="18"/>
      <w:szCs w:val="20"/>
    </w:rPr>
    <w:tblPr>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rPr>
      <w:jc w:val="center"/>
    </w:trPr>
    <w:tcPr>
      <w:shd w:val="clear" w:color="auto" w:fill="CCE8CF"/>
      <w:vAlign w:val="center"/>
    </w:tcPr>
    <w:tblStylePr w:type="firstRow">
      <w:pPr>
        <w:wordWrap/>
        <w:spacing w:beforeLines="0" w:beforeAutospacing="0" w:afterLines="0" w:afterAutospacing="0" w:line="240" w:lineRule="auto"/>
        <w:ind w:left="0" w:leftChars="0" w:right="0" w:rightChars="0" w:firstLine="0" w:firstLineChars="0"/>
        <w:jc w:val="center"/>
      </w:pPr>
      <w:rPr>
        <w:rFonts w:eastAsia="Symbol"/>
        <w:sz w:val="18"/>
      </w:rPr>
      <w:tblPr/>
      <w:trPr>
        <w:tblHeader/>
      </w:trPr>
    </w:tblStylePr>
    <w:tblStylePr w:type="firstCol">
      <w:pPr>
        <w:jc w:val="center"/>
      </w:pPr>
    </w:tblStylePr>
  </w:style>
  <w:style w:type="paragraph" w:customStyle="1" w:styleId="62">
    <w:name w:val="xl27"/>
    <w:basedOn w:val="1"/>
    <w:qFormat/>
    <w:uiPriority w:val="0"/>
    <w:pPr>
      <w:widowControl/>
      <w:pBdr>
        <w:bottom w:val="single" w:color="auto" w:sz="4" w:space="0"/>
        <w:right w:val="single" w:color="auto" w:sz="4" w:space="0"/>
      </w:pBdr>
      <w:spacing w:before="100" w:beforeAutospacing="1" w:after="100" w:afterAutospacing="1"/>
      <w:jc w:val="center"/>
    </w:pPr>
    <w:rPr>
      <w:rFonts w:eastAsia="Arial Unicode MS"/>
      <w:kern w:val="0"/>
      <w:sz w:val="21"/>
      <w:szCs w:val="21"/>
    </w:rPr>
  </w:style>
  <w:style w:type="paragraph" w:customStyle="1" w:styleId="63">
    <w:name w:val="样式 仿宋_GB2312 小三"/>
    <w:basedOn w:val="1"/>
    <w:qFormat/>
    <w:uiPriority w:val="0"/>
    <w:pPr>
      <w:ind w:firstLine="600" w:firstLineChars="200"/>
    </w:pPr>
    <w:rPr>
      <w:rFonts w:ascii="仿宋_GB2312" w:hAnsi="仿宋_GB2312" w:eastAsia="仿宋_GB2312" w:cs="宋体"/>
      <w:sz w:val="24"/>
      <w:szCs w:val="20"/>
    </w:rPr>
  </w:style>
  <w:style w:type="paragraph" w:customStyle="1" w:styleId="64">
    <w:name w:val="其他"/>
    <w:basedOn w:val="1"/>
    <w:qFormat/>
    <w:uiPriority w:val="0"/>
    <w:pPr>
      <w:widowControl w:val="0"/>
      <w:shd w:val="clear" w:color="auto" w:fill="auto"/>
      <w:jc w:val="center"/>
    </w:pPr>
    <w:rPr>
      <w:rFonts w:ascii="宋体" w:hAnsi="宋体" w:eastAsia="宋体" w:cs="宋体"/>
      <w:sz w:val="20"/>
      <w:szCs w:val="20"/>
      <w:u w:val="none"/>
      <w:shd w:val="clear" w:color="auto" w:fill="auto"/>
    </w:rPr>
  </w:style>
  <w:style w:type="paragraph" w:customStyle="1" w:styleId="65">
    <w:name w:val="表头111"/>
    <w:basedOn w:val="1"/>
    <w:semiHidden/>
    <w:qFormat/>
    <w:uiPriority w:val="0"/>
    <w:pPr>
      <w:spacing w:before="40" w:after="40"/>
      <w:jc w:val="center"/>
    </w:pPr>
    <w:rPr>
      <w:b/>
      <w:sz w:val="24"/>
      <w:szCs w:val="21"/>
    </w:rPr>
  </w:style>
  <w:style w:type="paragraph" w:customStyle="1" w:styleId="66">
    <w:name w:val="toc 65"/>
    <w:next w:val="1"/>
    <w:qFormat/>
    <w:uiPriority w:val="0"/>
    <w:pPr>
      <w:wordWrap w:val="0"/>
      <w:ind w:left="2125"/>
      <w:jc w:val="both"/>
    </w:pPr>
    <w:rPr>
      <w:rFonts w:ascii="Calibri" w:hAnsi="Calibri" w:eastAsia="宋体" w:cs="Times New Roman"/>
      <w:sz w:val="21"/>
      <w:lang w:val="en-US" w:eastAsia="zh-CN" w:bidi="ar-SA"/>
    </w:rPr>
  </w:style>
  <w:style w:type="paragraph" w:customStyle="1" w:styleId="67">
    <w:name w:val="正文表格"/>
    <w:basedOn w:val="1"/>
    <w:qFormat/>
    <w:uiPriority w:val="0"/>
    <w:pPr>
      <w:keepNext/>
      <w:keepLines/>
      <w:widowControl/>
      <w:overflowPunct w:val="0"/>
      <w:adjustRightInd w:val="0"/>
      <w:spacing w:before="80" w:line="360" w:lineRule="auto"/>
      <w:jc w:val="center"/>
      <w:textAlignment w:val="bottom"/>
    </w:pPr>
    <w:rPr>
      <w:rFonts w:ascii="宋体" w:hAnsi="宋体" w:cs="宋体"/>
      <w:kern w:val="0"/>
      <w:sz w:val="24"/>
      <w:szCs w:val="20"/>
    </w:rPr>
  </w:style>
  <w:style w:type="paragraph" w:styleId="68">
    <w:name w:val="No Spacing"/>
    <w:qFormat/>
    <w:uiPriority w:val="0"/>
    <w:pPr>
      <w:adjustRightInd w:val="0"/>
      <w:snapToGrid w:val="0"/>
      <w:spacing w:line="360" w:lineRule="auto"/>
      <w:ind w:firstLine="200" w:firstLineChars="200"/>
    </w:pPr>
    <w:rPr>
      <w:rFonts w:ascii="Tahoma" w:hAnsi="Tahoma" w:eastAsia="宋体" w:cs="Times New Roman"/>
      <w:sz w:val="24"/>
      <w:szCs w:val="22"/>
      <w:lang w:val="en-US" w:eastAsia="zh-CN" w:bidi="ar-SA"/>
    </w:rPr>
  </w:style>
  <w:style w:type="paragraph" w:customStyle="1" w:styleId="69">
    <w:name w:val="表格内部"/>
    <w:basedOn w:val="1"/>
    <w:qFormat/>
    <w:uiPriority w:val="0"/>
    <w:pPr>
      <w:adjustRightInd w:val="0"/>
      <w:snapToGrid w:val="0"/>
      <w:spacing w:before="10" w:beforeLines="10" w:after="10" w:afterLines="10"/>
      <w:jc w:val="center"/>
    </w:pPr>
    <w:rPr>
      <w:bCs/>
      <w:szCs w:val="18"/>
    </w:rPr>
  </w:style>
  <w:style w:type="character" w:customStyle="1" w:styleId="70">
    <w:name w:val="font21"/>
    <w:basedOn w:val="27"/>
    <w:qFormat/>
    <w:uiPriority w:val="0"/>
    <w:rPr>
      <w:rFonts w:hint="default" w:ascii="Times New Roman" w:hAnsi="Times New Roman" w:cs="Times New Roman"/>
      <w:color w:val="000000"/>
      <w:sz w:val="21"/>
      <w:szCs w:val="21"/>
      <w:u w:val="none"/>
    </w:rPr>
  </w:style>
  <w:style w:type="character" w:customStyle="1" w:styleId="71">
    <w:name w:val="font11"/>
    <w:basedOn w:val="27"/>
    <w:qFormat/>
    <w:uiPriority w:val="0"/>
    <w:rPr>
      <w:rFonts w:hint="eastAsia" w:ascii="宋体" w:hAnsi="宋体" w:eastAsia="宋体" w:cs="宋体"/>
      <w:color w:val="000000"/>
      <w:sz w:val="21"/>
      <w:szCs w:val="21"/>
      <w:u w:val="none"/>
    </w:rPr>
  </w:style>
  <w:style w:type="character" w:customStyle="1" w:styleId="72">
    <w:name w:val="font31"/>
    <w:basedOn w:val="27"/>
    <w:qFormat/>
    <w:uiPriority w:val="0"/>
    <w:rPr>
      <w:rFonts w:hint="default" w:ascii="Times New Roman" w:hAnsi="Times New Roman" w:cs="Times New Roman"/>
      <w:color w:val="000000"/>
      <w:sz w:val="21"/>
      <w:szCs w:val="21"/>
      <w:u w:val="none"/>
      <w:vertAlign w:val="superscript"/>
    </w:rPr>
  </w:style>
  <w:style w:type="character" w:customStyle="1" w:styleId="73">
    <w:name w:val="font71"/>
    <w:basedOn w:val="27"/>
    <w:qFormat/>
    <w:uiPriority w:val="0"/>
    <w:rPr>
      <w:rFonts w:hint="default" w:ascii="Times New Roman" w:hAnsi="Times New Roman" w:cs="Times New Roman"/>
      <w:color w:val="000000"/>
      <w:sz w:val="22"/>
      <w:szCs w:val="22"/>
      <w:u w:val="none"/>
      <w:vertAlign w:val="superscript"/>
    </w:rPr>
  </w:style>
  <w:style w:type="character" w:customStyle="1" w:styleId="74">
    <w:name w:val="font41"/>
    <w:basedOn w:val="27"/>
    <w:qFormat/>
    <w:uiPriority w:val="0"/>
    <w:rPr>
      <w:rFonts w:hint="default" w:ascii="Times New Roman" w:hAnsi="Times New Roman" w:cs="Times New Roman"/>
      <w:color w:val="000000"/>
      <w:sz w:val="18"/>
      <w:szCs w:val="18"/>
      <w:u w:val="none"/>
      <w:vertAlign w:val="superscript"/>
    </w:rPr>
  </w:style>
  <w:style w:type="character" w:customStyle="1" w:styleId="75">
    <w:name w:val="font51"/>
    <w:basedOn w:val="27"/>
    <w:qFormat/>
    <w:uiPriority w:val="0"/>
    <w:rPr>
      <w:rFonts w:hint="default" w:ascii="Times New Roman" w:hAnsi="Times New Roman" w:cs="Times New Roman"/>
      <w:color w:val="000000"/>
      <w:sz w:val="21"/>
      <w:szCs w:val="21"/>
      <w:u w:val="none"/>
    </w:rPr>
  </w:style>
  <w:style w:type="character" w:customStyle="1" w:styleId="76">
    <w:name w:val="font61"/>
    <w:basedOn w:val="27"/>
    <w:qFormat/>
    <w:uiPriority w:val="0"/>
    <w:rPr>
      <w:rFonts w:hint="default" w:ascii="Times New Roman" w:hAnsi="Times New Roman" w:cs="Times New Roman"/>
      <w:color w:val="000000"/>
      <w:sz w:val="18"/>
      <w:szCs w:val="18"/>
      <w:u w:val="none"/>
      <w:vertAlign w:val="superscript"/>
    </w:rPr>
  </w:style>
  <w:style w:type="table" w:customStyle="1" w:styleId="77">
    <w:name w:val="Table Normal"/>
    <w:unhideWhenUsed/>
    <w:qFormat/>
    <w:uiPriority w:val="0"/>
    <w:tblPr>
      <w:tblCellMar>
        <w:top w:w="0" w:type="dxa"/>
        <w:left w:w="0" w:type="dxa"/>
        <w:bottom w:w="0" w:type="dxa"/>
        <w:right w:w="0" w:type="dxa"/>
      </w:tblCellMar>
    </w:tblPr>
  </w:style>
  <w:style w:type="paragraph" w:customStyle="1" w:styleId="78">
    <w:name w:val="Table Text"/>
    <w:basedOn w:val="1"/>
    <w:semiHidden/>
    <w:qFormat/>
    <w:uiPriority w:val="0"/>
    <w:rPr>
      <w:rFonts w:ascii="宋体" w:hAnsi="宋体" w:eastAsia="宋体" w:cs="宋体"/>
      <w:sz w:val="21"/>
      <w:szCs w:val="21"/>
      <w:lang w:val="en-US" w:eastAsia="en-US" w:bidi="ar-SA"/>
    </w:rPr>
  </w:style>
  <w:style w:type="paragraph" w:customStyle="1" w:styleId="79">
    <w:name w:val="报告书表内容"/>
    <w:basedOn w:val="1"/>
    <w:autoRedefine/>
    <w:qFormat/>
    <w:uiPriority w:val="0"/>
    <w:pPr>
      <w:spacing w:line="240" w:lineRule="auto"/>
      <w:ind w:firstLine="0" w:firstLineChars="0"/>
      <w:jc w:val="center"/>
    </w:pPr>
    <w:rPr>
      <w:rFonts w:eastAsia="Times New Roman"/>
      <w:sz w:val="21"/>
      <w:szCs w:val="21"/>
    </w:rPr>
  </w:style>
  <w:style w:type="table" w:customStyle="1" w:styleId="80">
    <w:name w:val="网格型7"/>
    <w:basedOn w:val="25"/>
    <w:autoRedefine/>
    <w:qFormat/>
    <w:uiPriority w:val="59"/>
    <w:pPr>
      <w:widowControl w:val="0"/>
      <w:jc w:val="both"/>
    </w:pPr>
    <w:rPr>
      <w:rFonts w:ascii="Times New Roman" w:hAnsi="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81">
    <w:name w:val="font81"/>
    <w:basedOn w:val="27"/>
    <w:qFormat/>
    <w:uiPriority w:val="0"/>
    <w:rPr>
      <w:rFonts w:ascii="Calibri" w:hAnsi="Calibri" w:cs="Calibri"/>
      <w:color w:val="FF0000"/>
      <w:sz w:val="22"/>
      <w:szCs w:val="22"/>
      <w:u w:val="none"/>
    </w:rPr>
  </w:style>
  <w:style w:type="character" w:customStyle="1" w:styleId="82">
    <w:name w:val="font91"/>
    <w:basedOn w:val="27"/>
    <w:qFormat/>
    <w:uiPriority w:val="0"/>
    <w:rPr>
      <w:rFonts w:hint="eastAsia" w:ascii="宋体" w:hAnsi="宋体" w:eastAsia="宋体" w:cs="宋体"/>
      <w:color w:val="FF0000"/>
      <w:sz w:val="22"/>
      <w:szCs w:val="22"/>
      <w:u w:val="none"/>
      <w:vertAlign w:val="superscript"/>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2" Type="http://schemas.openxmlformats.org/officeDocument/2006/relationships/fontTable" Target="fontTable.xml"/><Relationship Id="rId71" Type="http://schemas.openxmlformats.org/officeDocument/2006/relationships/numbering" Target="numbering.xml"/><Relationship Id="rId70" Type="http://schemas.openxmlformats.org/officeDocument/2006/relationships/customXml" Target="../customXml/item1.xml"/><Relationship Id="rId7" Type="http://schemas.openxmlformats.org/officeDocument/2006/relationships/image" Target="media/image2.png"/><Relationship Id="rId69" Type="http://schemas.openxmlformats.org/officeDocument/2006/relationships/image" Target="media/image57.jpeg"/><Relationship Id="rId68" Type="http://schemas.openxmlformats.org/officeDocument/2006/relationships/image" Target="media/image56.png"/><Relationship Id="rId67" Type="http://schemas.openxmlformats.org/officeDocument/2006/relationships/image" Target="media/image55.png"/><Relationship Id="rId66" Type="http://schemas.openxmlformats.org/officeDocument/2006/relationships/image" Target="media/image54.png"/><Relationship Id="rId65" Type="http://schemas.openxmlformats.org/officeDocument/2006/relationships/image" Target="media/image53.png"/><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jpeg"/><Relationship Id="rId6" Type="http://schemas.openxmlformats.org/officeDocument/2006/relationships/image" Target="media/image1.jpeg"/><Relationship Id="rId59" Type="http://schemas.openxmlformats.org/officeDocument/2006/relationships/image" Target="media/image47.jpeg"/><Relationship Id="rId58" Type="http://schemas.openxmlformats.org/officeDocument/2006/relationships/image" Target="media/image46.jpeg"/><Relationship Id="rId57" Type="http://schemas.openxmlformats.org/officeDocument/2006/relationships/image" Target="media/image45.jpeg"/><Relationship Id="rId56" Type="http://schemas.openxmlformats.org/officeDocument/2006/relationships/image" Target="media/image44.jpeg"/><Relationship Id="rId55" Type="http://schemas.openxmlformats.org/officeDocument/2006/relationships/image" Target="media/image43.jpeg"/><Relationship Id="rId54" Type="http://schemas.openxmlformats.org/officeDocument/2006/relationships/image" Target="media/image42.jpeg"/><Relationship Id="rId53" Type="http://schemas.openxmlformats.org/officeDocument/2006/relationships/image" Target="media/image41.jpeg"/><Relationship Id="rId52" Type="http://schemas.openxmlformats.org/officeDocument/2006/relationships/image" Target="media/image40.jpeg"/><Relationship Id="rId51" Type="http://schemas.openxmlformats.org/officeDocument/2006/relationships/image" Target="media/image39.jpeg"/><Relationship Id="rId50" Type="http://schemas.openxmlformats.org/officeDocument/2006/relationships/image" Target="media/image38.jpeg"/><Relationship Id="rId5" Type="http://schemas.openxmlformats.org/officeDocument/2006/relationships/theme" Target="theme/theme1.xml"/><Relationship Id="rId49" Type="http://schemas.openxmlformats.org/officeDocument/2006/relationships/image" Target="media/image37.jpeg"/><Relationship Id="rId48" Type="http://schemas.openxmlformats.org/officeDocument/2006/relationships/image" Target="media/image36.jpeg"/><Relationship Id="rId47" Type="http://schemas.openxmlformats.org/officeDocument/2006/relationships/image" Target="media/image35.jpeg"/><Relationship Id="rId46" Type="http://schemas.openxmlformats.org/officeDocument/2006/relationships/image" Target="media/image34.jpeg"/><Relationship Id="rId45" Type="http://schemas.openxmlformats.org/officeDocument/2006/relationships/image" Target="media/image33.jpeg"/><Relationship Id="rId44" Type="http://schemas.openxmlformats.org/officeDocument/2006/relationships/image" Target="media/image32.jpeg"/><Relationship Id="rId43" Type="http://schemas.openxmlformats.org/officeDocument/2006/relationships/image" Target="media/image31.jpeg"/><Relationship Id="rId42" Type="http://schemas.openxmlformats.org/officeDocument/2006/relationships/image" Target="media/image30.jpeg"/><Relationship Id="rId41" Type="http://schemas.openxmlformats.org/officeDocument/2006/relationships/image" Target="media/image29.jpeg"/><Relationship Id="rId40" Type="http://schemas.openxmlformats.org/officeDocument/2006/relationships/image" Target="media/image28.png"/><Relationship Id="rId4" Type="http://schemas.openxmlformats.org/officeDocument/2006/relationships/footer" Target="footer2.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jpe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jpeg"/><Relationship Id="rId3" Type="http://schemas.openxmlformats.org/officeDocument/2006/relationships/footer" Target="foot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wmf"/><Relationship Id="rId25" Type="http://schemas.openxmlformats.org/officeDocument/2006/relationships/oleObject" Target="embeddings/oleObject7.bin"/><Relationship Id="rId24" Type="http://schemas.openxmlformats.org/officeDocument/2006/relationships/image" Target="media/image13.png"/><Relationship Id="rId23" Type="http://schemas.openxmlformats.org/officeDocument/2006/relationships/image" Target="media/image12.wmf"/><Relationship Id="rId22" Type="http://schemas.openxmlformats.org/officeDocument/2006/relationships/oleObject" Target="embeddings/oleObject6.bin"/><Relationship Id="rId21" Type="http://schemas.openxmlformats.org/officeDocument/2006/relationships/image" Target="media/image11.wmf"/><Relationship Id="rId20" Type="http://schemas.openxmlformats.org/officeDocument/2006/relationships/oleObject" Target="embeddings/oleObject5.bin"/><Relationship Id="rId2" Type="http://schemas.openxmlformats.org/officeDocument/2006/relationships/settings" Target="settings.xml"/><Relationship Id="rId19" Type="http://schemas.openxmlformats.org/officeDocument/2006/relationships/image" Target="media/image10.wmf"/><Relationship Id="rId18" Type="http://schemas.openxmlformats.org/officeDocument/2006/relationships/oleObject" Target="embeddings/oleObject4.bin"/><Relationship Id="rId17" Type="http://schemas.openxmlformats.org/officeDocument/2006/relationships/image" Target="media/image9.wmf"/><Relationship Id="rId16" Type="http://schemas.openxmlformats.org/officeDocument/2006/relationships/oleObject" Target="embeddings/oleObject3.bin"/><Relationship Id="rId15" Type="http://schemas.openxmlformats.org/officeDocument/2006/relationships/image" Target="media/image8.wmf"/><Relationship Id="rId14" Type="http://schemas.openxmlformats.org/officeDocument/2006/relationships/oleObject" Target="embeddings/oleObject2.bin"/><Relationship Id="rId13" Type="http://schemas.openxmlformats.org/officeDocument/2006/relationships/image" Target="media/image7.wmf"/><Relationship Id="rId12" Type="http://schemas.openxmlformats.org/officeDocument/2006/relationships/oleObject" Target="embeddings/oleObject1.bin"/><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srgbClr val="4F80BD"/>
        </a:solidFill>
        <a:ln w="9525" cap="sq" cmpd="sng">
          <a:solidFill>
            <a:schemeClr val="tx1"/>
          </a:solidFill>
          <a:prstDash val="solid"/>
          <a:miter/>
          <a:headEnd type="none" w="med" len="med"/>
          <a:tailEnd type="none" w="med" len="med"/>
        </a:ln>
      </a:spPr>
      <a:bodyPr rot="0" vertOverflow="overflow" horzOverflow="overflow" vert="horz" wrap="square" lIns="91440" tIns="45720" rIns="91440" bIns="45720" numCol="1" spcCol="0" rtlCol="0" fromWordArt="0" anchor="t" anchorCtr="0" forceAA="0" upright="0" compatLnSpc="1">
        <a:noAutofit/>
      </a:bodyPr>
      <a:lstStyle/>
    </a:tx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zY5NDU2NzA0ODkyIiwKCSJHcm91cElkIiA6ICIzMzQ5MzgzNDUiLAoJIkltYWdlIiA6ICJpVkJPUncwS0dnb0FBQUFOU1VoRVVnQUFBOGNBQUFKM0NBWUFBQUM1c2lPYkFBQUFBWE5TUjBJQXJzNGM2UUFBSUFCSlJFRlVlSnpzM1hsNFZPWFpCdkQ3ZWM5SkptRUhDYWlOZ29LQ0FTWnp6cmloZFcxcmxWcjNqMDlhbHlwdXJkcXEyR3BGVUxHMnJnaXV1TFFpN3RZVnRkWUZLRkw1TEpvNWt3QlJOR0RVcUd4S3dwWnQ1anpmSDVsSms4bE1GcmF3M0wvcjRzck11NTMzSkNFeno3d2JR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TFJUc0RxN0EwUkVSTFRyY2h4bnp6MzMzSE5zejU0OVAxdTllblgxNXJZM1lzU0kzdm41K2EvMDc5Ly9QOHVYTC8rK1BYWEM0WEJXMzc1OWU2NWN1YkptYzY5UFJFUTdMcnV6TzBCRVJFUzdMdC8zOTdVczYrN3M3T3gzQVh3SEFJTUhEKzdSdlh2MzQ5cXFHNHZGWmkxY3VIQk4wN1I0UEI3SXlzcjZxWWowVEMwZkRvZXpmTi9mMC9mOXZVVGtBQkVKQXdqN3ZqL0N0dTNIQVB4NkM5MFdFUkh0Z0JnY0V4RVIwWGFsUzVjdWU0dkkzd0ZVcTZxZm1pOGlCa0N1YmRzSEFmaW9yZlljeDVrQTRCTGY5M2NYRVdOWnpTZk9xZXBLQVBWcDZnMEFNQkhBOFFENmlraUZxajY1YnQyNlA1ZVZsZFdtbG5kZE42aXFrd0FjSVNJNUFCYjZ2bjlyTkJwOXBWMDNUa1JFbllyQk1SRVJFVzJ2anZVODc0UFV4R0F3T055MjdZWEo1ME9HRE9uZXBVdVhRd0JBVlhzbnZoN3NPRTR2QUJDUkdsV3RCUEN4cW40RDRDd0FUNnJxdEpxYW1pV2ZmUExKZCttdUFXQ3VpUFJSMWZjQXpBSndtSWhNN042OSswRUFmZ1pBaytWZDF6MFV3QndBQXVCMVZhMFhrWk9NTVMrSFFxSHpvdEhvOUMzMlhTRWlvcTJDd1RFUkVSRnRjNkZRNkNmR21QNnF1ajhBV0paMW91dTZJUUJmeEdLeE5XMVVieVluSjJjd2dGY0F3QmdqaWE5M0prZWRSYVFnRW9uY2tTenZ1dTR2QUVROHo1dWZxVTNidHFjRDZBUGdmTS96SGdPQXdZTUhCM3IwNlBHTWlKenFPTTdabnVmTlNCUzNWUFZ4RWJGVjlhaG9ORG9mQUJ6SE9WQkU1b3ZJNUNGRGhyeTRaTW1TZFIyNUx5SWkycllZSEJNUkVkRTJKeUxqQVJ3bElzbm5md0VBVlgwUndJMkpZa2VHUXFIZDA5VGR1K256NHVKaUQwQTNBQ2dvS05nOUp5Zm5XMVU5MHZPOE5xZGNwMU5ZV0xnL2dEQ0EvMFFpa2NlUzZXVmxaYlhoY1BoU1ZUMUpSQzRBTUFNQUhNYzVUa1QyVjlYSGs0RXhBSGllOTVIak9NK0l5RG01dWJrL0IvRDBwdlNIaUlpMkRRYkhSRVJFdTZCaHc0WVZCZ0lCdTY2dWJpV0FPbFd0VjlXNnVycTYrckt5c25vQUxkYjZia20xdGJYSGJkeTQwZlRwMCtjd0FMTmlzVmg0N2RxMXBidnR0bHM4SG84UFNSUzdVVVF5clRsdXByQ3c4R0JqVEkvVWFkV3FXaFdOUmo5TTA0V3NZRENZYjFuVzdpS3l1Nm9HUE05N01aRTNNTkhHcDZtVmlvcUt2blZkdDF4VkQwYkRxUjl4Tkt4Smhvak1USE9kTndHY0l5SkhnTUV4RWRGMmpjRXhFUkhSTGlnN08vdTNBTVprWldYRlJXUWxnRldxdWpJUUNLeHlIR2NsZ0ZXKzc2OENzQ0tSdDJydDJyV3J5OHZMdDhoeFI2V2xwWFVBMExObno3ckVCbGwxNWVYbE5lWGw1Umc2ZE9pM3RtMWZXVk5UODJ4cGFlbnkxTHFPNCtRQnVOZ1k4M1V5emJLc08xWFZUWjFXYll4WkVBcUZaaGhqUnFscVB4SHBqNGFnOW5iYnRtOEhBRlgxUldReGdCY1R6NnNBUUVUMlM5TjFBZEJUUkFMQllIQ1BrcEtTQ2dEREFNRDMvWVdwaFZYMWs4VG9lTHEyaUlob084TGdtSWlJYUJmaysvNUVZOHc5OFhoOEQ4dXk5bFBWUVFBR2ljaElFUm1vcXJabFdUV3FXcDNZMEtxbWQrL2UxYjE3OS80YXdGSlZYUXFnelBmOXNvMGJONWFuMjcxNVUrWG01b1o4M3kvUHpzNCtOQlFLdGNoWFZRQllGSS9IWFFCdkFFQWtFamtTU0QrdDJuWGRpMVIxSFlBeUFDdFY5UzRSZVZCVkg2bXRyVjFSV2xxNkNnMGp3QUNBckt5c2lPLzdLMFhrME1UYTRpY1NXZUs2N3A4QTlFMlU2NVpJM3hNQTFxOWZ2eUsxcjRrUEhpQWl2VGYvTzBORVJGc1RnMk1pSXFKZFVIRng4ZGNBdmdaUURPQ2ZLZGxXUVVIQkR3S0J3SDZxT2tSVjl4ZVIvVVZrWDFVdEJIQ2dpR1FEeUxJc0s2dEhqeDdHY1p3S0FFc0FmT3I3ZnZTNzc3NTdwcUtpb3JxOS9USEc5SFJkOTFUZjk5ZUx5TDBBOWtHYTQ1V2F5QktSYWdDOVFxSFFRQkVaREtUZnJUb1dpNzFTVWxMeWNMS2k2N3AzQWlqelBLODRYY05GUlVYMWhZV0ZseHRqbmhHUkdZN2ovRlpFUGdjUVJFTmdYQUlnR0kvSGs2UG9YUUFnT3p1N3hhaDZYVjFkVFNBUWdLb0cydnU5SUNLaXpzSGdtSWlJaUZMRlMwdEx2d1R3SlJxT01Fb3krKysvZjU5dTNicmxxV28vVmUwSG9KK3E1aGxqOGxTMVA0QkNFUm5hcFV1WG1RQXlCc2ZoY0xpTHFoNnFxcU1CUUVUbU5YeHAySmhMUks2SlJDSlRFc1d0VUNnMG9yNisvc3ZGaXhkL0R3Q2hVT2hxRWJrZUFJd3hvMVYxWXVKeElQRzFjYmRxWTh4WlNPeG0zVjdGeGNYUHU2NjdXbFVuaU1qQkFJYW82dnNBVGhPUnZ3S0FaVmxyRW4yTkFVQnVicTROb0s1cE82cWFuWGk0c1NQWEp5S2liWS9CTVJFUkViV1gvK21ubjY0R3NCckF4OG5FRVNOR2pCQ1I0YlcxdFhNQUlCQUk1Ry9jdUhGRGF3MnBhZ21BUVVpY0ZTd2lrK3JyNjJjc1hMaHdtZXU2cHpVdE8zejQ4TDdHR0M4cksrc3NBRStsdGhXSlJHNEhjRHNBT0k3amlVZ29kYmZxY0RpY1ZWOWYzOSsyN2Y2SjZ4L3V1bTVYVmUwdkl2MFRnZjFHei9OR05XbDNOb0RacWRkelhYYy9WZjBtRW9sVUpkcGFJeUtvcjYvdmc1UWcyTGJ0dm9uN2F6SGxtb2lJdGk4TWpvbUlpS2dqcEtDZ29DdUFQdG5aMmNlSnlJVUFRZ0NLYzNOejN5a3FLbG9Ob01VbVdxbFU5VUVSV1NZaUd3SDhNeGFMdmJCdzRjSmw2Y3JhdHQwajhiRFZnTHV3c1BDSElqSW84WFRVaUJFanZyY3NxNGVJekZMVlByYjkzN2M5SW5LTXFnNFVrZVdxdWh6QWtzUTY2bFlWRmhZNkFIWVRrZWViSkg4SzRFQmp6QUVBS3BxV3R5eHJhT0orRjdmVk5oRVJkUzRHeDBSRVJOUXV3V0N3bjJWWjV3RVlLU0lISjZZdC94dkFZd0RlS3lvcStyNjliWG1lZHhmUUVOQW1kcXZPeUJpekx3Q0lTRVZyNVN6THVrbFZIeGFSY1FCT3RXMzdJdC8zVHdOd0NZQVY4WGg4aFRGbWhURm1OWUEvZVo0M3BiWDJNdlRsNnNURDVDWmRVTlYvaWNndmpERS9BL0JPU3BVVEVsL2Y3T2kxaUlobzIycHhUaUFSRVJGUk9xcmFCOEE0QVB1cTZwMEFqcXVxcXJyWTg3eHBudWVWWWl1ZGpheXFad0NBaU5SbEtsTllXRGdhUU5qMy9ZY1RaWDhONENQTHNsNHh4aXp5UE8rOWtwS1NKZEZvdERKRC9XR080OHdOQm9OREVzOS9nSVlqbnhvNWpqTk9SSDZocXU5RklwSFhtMlQ5WFZVckFWd1lEQWFITnlsL0lJQ3pWRFhxZWQ1N20zYjNSRVMwclhEa21JaUlpSm95b1ZDb2g0anNDZUFNQUdGVi9WMDBHaTMvN3J2dnZ1elRwODlSaXhZdCtoUk5qajdhMGxUMTd3QVdBWURydWo5VjFmTUIxS3ZxaDY3cjNyTjI3ZHFiUmNRRDhERFFjSHlUTWVaZVZaMWNYMSsvMXJJc3FHcHMxYXBWWS9yMTYvZjNlRHkrVzF2WEZKRUJJbktrTWFZSEFCaGp6bk5kOXlJQUh3QllyNnFIaXNnQkFKYlUxdGIrYjlPNjBXaTAwbkdjM3dLWVlWbldCNDdqekJRUkErQWtWYTFUMWZPUVdGdE5SRVRiTHdiSFJFUkVoR0hEaHZYSnlzbzZGTUJoSXZKREFDTUFmS21xLzZpcnEvTUI0SnR2dnRuNHpUZmZmTnhxUXgxa2pMRUFRRVFhZzBmUDh5YUV3K0V1cnV1T1Y5V0pJdktacWg0TFlDeUFhN3QzNzM2dWlFeUlSQ0ovQklCQUlQQWJBTjhZWS80Q29ERVFycWlvcUs2b3FEZ3h6V1Y5VlcwMktweGNxN3grL2ZvbEFLQ3Evd0Z3c29qOEZFQVdnTThCM0JpTHhlNHNMUzF0c2ZiWjg3d25YTmV0RkpIeEFFNVIxV29BYnhwanhoY1ZGWDJ5R2Q4aUlpTGFScVN6TzBCRVJFU2RhL2p3NFlPeXNySmVBNUFuSXIxVjlWVlYvVnRkWGQzQ3VycTZGV1ZsWmJWYitwcU80NXl1cXIxRjVDUVIrWGxpcExxTDcvdUhKVGJMT2xWRWVnRjR2YTZ1N29KRml4YXRBSUJnTUpodldkWlVFVGtOd01KNFBQNDdBQ3N0eTdJaWtVaEpRVUhCN2prNU9kK3E2a0ZOZDZ0T3VmWXlFVm12cWxOVk5RNGd5eGh6TFlBTmtVZ2t1S1h2bFlpSWRnd2NPU1lpSXRxRmhNUGhyQTBiTnZUSXpjM2R4L084S0lEWW9rV0xsanFPc3c3QUszVjFkUTh1V3JUb3E2M2REeEg1YVdLbjY1aXEvaTBTaVh3YkNvVk9NY2JNQUxCV1JONVUxUWRTMStxV2xKUlVBRGpkY1p3eEluS3ZNV1ozei9QbWRQRHlmd0J3cjRnOEtpTFFCbVVpY3VrV3VqMGlJdG9CY2VTWWlJaG81MmRHakJneDBMS3NrY2FZd3dDTUJEQTRIbytQTEM0dVhnd0FBd2NPekNrdkw2L1p4djJ5MExBV3QzRWpMOGR4Q2ozUFc0UjJyR2t1S0Nqb1ZscGF1bjRyOW8rSWlIWWhESTZKaUloMlV1RndPQ3Nlang4dElyOUV3MXJpL2dBMnFPb01WWDEyNWNxVm4zN3p6VGNiTzd1ZlJFUkUyd05PcXlZaUl0cUpEQjQ4T0pCY0kxeGZYei9Dc3F6bkFjUUFsUGkrZitQNjlldGYzQnByaUltSWlIWjBIRGttSWlMYThXVTVqbE9ncWo4VUVTY2VqMTlYVWxLeUVvQVZDb1hPaThmalhqd2VYMWhhV3ByeG5HQWlJcUpkSFlOaklpS2lIVlIrZm43dWJydnRkcVl4Wm95STdBK2dqNnA2OWZYMTV5OWF0R2hwWi9lUGlJaG9SOExnbUlpSWFBZmpPRTZlcXY3QkdQTTdBUFVBS2xYMVhWVzlPeHFOUmp1N2YwUzA2M0ZkOTBvQWgwUWlrVE5UOHh6SHVVbEUra1lpa1VzVHo2Y0IrTWJ6dkVuYnVwKzdxbUF3MkU5VjZ4Y3VYTGltcy91eVBlT2FZeUlpb3UzY3dJRURjM3IzN2owOEhvOS9XVkpTc2pJZWo0dHQyMTFVOVc4QS9nWGdQYy96dnVuc2ZoTFJMbTBRZ0FNejVCVUN5Ry95L0ZBQVplMXMxM1ljNTFZQWU5VFcxcDYzS2N0RFhOY04rcjYvYjBmcmljam5udWNWcHlSYjJQd0J4dGhtMXUrUUVTTkc3R3ZiZGxSVmk4TGg4SEZGUlVYMTdhbm5PTTVUQVA3dGVkNkR5VFRYZFM4Q2NIWWtFamtpOFR3SVlNOTA5VGRzMlBEK2tpVkwxbTJCVzlobUdCd1RFUkZ0cDRZUEg3NlhiZHRqakRGbnFtb2Z5N0t1QmZCc1NVbkpxbUhEaGsyb3FxcXFycWlvcU83c2ZoSVJiVVV4RWFsUTFhc0NnWUFBK01VbXRIR1JNZVpTVlczM1pvUWlFbERWaHdCYzBqVGRkZDN2QVBUY2hENDBOVElTaVh5d21XMjAyOEtGQzVjNWp2T1VpRndTajhkL0FlRHg5dFFUa1VOVTlkdW1hYXJhVDBRT2FKTDBCd0MvVEZjL056ZlhBYkJEeldaaWNFeEVSTFFkQ1FhRC9XemIvaUdBOHdIOFNGVnJBQ3hYMWZ0ODM1K2RLS2FMRnkvK3Z2TjZTVVMwN1VRaWtTbU80eGdSdVNzVUNzMkpScU9QZExRTlZmM2E4N3o4dGtzMmNCeW52SlhzNTN6ZmY3YWpmUkNSdXdFOEc0dkZsblMwYmxzY3h4a0o0SjFXcm0xVVZVWGtmc2R4N3M5UVptb2tFaGtmQ29YMkU1R3dxbllUa1NHTzQ1elpwTXdJQU5tTzQ1d3BJc2xSOWVkOTM3KzRTWmtEUlNSalg3Wm5ESTZKaUlnNldkUGpsMnpidmcvQVQxVTFJaUszeGVQeGVWbFpXZTlGbzlGMlRZTWpJdHFXUXFIUTd3RGtxZW9oQVBxRVFxRS9pY2puQUtwRVpIaWkyRkFBNjFPcUZyaXVlMk9UNTJXUlNPVEpUTmZ4UEcreTR6aEhHV1B1SEQ1OCtNeEZpeGF0NkdCWDdYQTRQTFM5aFgzZnoyb2wrNU5vTlBxSzY3cW5BdWlhcmtBc0ZudS9wS1RrODZacGp1TThxNnBMdHNhNlg5LzNMY3V5dWdKNFJGV1hwZWFyYW12VmJSRzVXVlVEQUdDTU9VWlZKd1BvQXVDbkFJNXAwazZXaUdRRGVGUlZKNG9JQU5SSG85SEtaQm5YZFZOLzFqc01Cc2RFUkVTZFlQRGd3VDI2ZGV0Mm9vaU1CZkFvZ0djQUlCYUxQV1NNbVJLTHhaWXVXclRvTzJ6anRXbEVSQjFoakRsYVZmY1JrUitvYWxjUk9SSEFSd0JzVlQwREFFUWtCeW5UYTBWa2YxVzl1c256ZHdCa0RJNFRaYVlDT0NrcksrdFBBQzdzU0Q5RnBMK3FmdHlCOG0wRmxGRFZlMFhrQitueWJOcytHOERuanVNczhIMy8rdUxpNHJjNzB0OU41ZnYrMDlGbzlGOGRxVE53NE1DY1BuMzYzSng4SG9sRUhnYndzT3U2WmFyNml1ZDVqVDhueDNHdUIzQ0Y1M2w5QWNCMTNWWi9aanNhQnNkRVJFVGJ5T0RCZzN2azVPVDhJQ3NyNnhkb21EYTlHNEFxVlUyT3JxQ2twR1JXcDNXUWlLaURJcEhJcVFEZ3V1NTlJbko4SkJJSk5jbitGUUE0anZPS2lEU2IwcHdJdXM3b3lMVlU5V2dSZ1lpY1YxaFllRWR4Y2ZHbkhhaitiVTFOamR2ZXdvRkE0TU4yRnIzZTkvMm5mTi92QTJDRE1hYldHRk9TekJTUi9ZMHhQVHJRejAyMUVzQlR4cGlPanFoanQ5MTJpNnZxYzZycXBlYUpTSittSSs2cTJqZE5FNE5Db2RBRlRjcnNteGhSM3VFd09DWWlJdG9HUXFIUTFTTHlVeEU1R01CR1ZaM2orLzVjeTdMZTh6enZrODd1SHhIUjlrNUVUZ2J3aWFybUcyT3VReUw0Ymc5VjlVdExTMWUzdDd6ak9QRjJ0dnRkTkJvdGR4em5BMVc5UGhxTlB1cTZydC9lNjJ3cHhwZ1RWZlVUQUtjN2p0T2h1cjd2QThBaUVkbkhjWnc4ei9OV05jaytUMVhQUzZueVhjcnpBMFRraXVRVEVjbnRVQWUySXd5T2lZaUl0b0lSSTBic0c0dkZxai8rK09OdkFVQkVEZ1dRNS92K0gxWDEzUTBiTml3dkt5dGJCNkQxZVh0RVJEc1ExM1VIQXpnaUVvazh0aVhiRFFhRExvQWdnQ3NCN0NVaXZ3MEdnemVscnV2TlJFUis0THB1aC9adWFHdGE5WGJtdHdEU2plb0NBRVRFQXBBRG9FWlZNd2IrSXZJaWdNYmdXRlh2VTlVSlRZcGNiWXhwdG9PM3FyN3BlZDZZNUhQWGRROEY4SDhkdjRYT3grQ1lpSWhvQ3dpSHcxa0Flc2JqOGVIR21OK3A2azhzeS9vTGdGc0FvSzZ1N2lMdU1FMUVPeXRWTlNLeU54cEdkbWM3ampNS3dBbEF4alhIcHppT3M3N0o4eE1pa2NpOFRPMWJsdlZyQVBXcStsUThIZzlZbG5XWmJkdC9CSEJSTzd1NEdzRFpIYmlmZGgxM3RMM3dQRzlnYS9tdTY1NEk0RFVBcDNxZTk4OE9ORjNiZExNdHgzRnFtbWFxcW9XZDZFTmVCc2RFUkVTYlljaVFJWHQyNmRMbE1OLzNqeEtSbzR3eCt3SDRTRlVmVU5XNXlYSU1qSWxvWnhRS2hRNFNrVDhBT0ExQXJhcE9XTE5temYyOWV2VTZ6Uml6T0ZIc3pOUjZxdnFwaUR5ZmZPNzcvbGVacmhFTUJ2TUJuQVBnamVTVVg4ZHhaZ0E0THh3T1R5NHFLbXAxYVVva0Vya013R1VkdkxYKzZSSVR3V0RhalJKRlpKdFBwMDdIY1p4SEFYenJlZDZFTmd1M1FVUis2emhPMDVIaUxBRHJtdVJicWxxOXVkZlpYakE0SmlJaTJuUjJibTd1YlFCK3Bxb2JWUFh2QU1iVzF0WldkT25TWlhWUlVSR1BYeUtpblpxSS9GTkViRlV0QTJCNW5uZFhJdXZwWkJuSGNVS3BHM0lCS0kxRUlqZWlIU3pMK2pNQU94YUxOZTZvWEY5ZlB5azdPL3NzMy9mdlJtS0VPcDNDd3NMOWpUR1JkdDlRQ3QvMzNaU052N29BMkppbWFCYUE3U0pJRkpIUnF2cnlGbXJ1RlFBUE4ybjdsd0Irbm55ZTJLRjhxT000ZHpaSjI0TWJjaEVSRWUyOEpCZ01kdkY5djA5V1Z0YUo4WGg4U1VsSnlXdzBqQjY4NFB2K1MxVlZWVytXbDVmWHROVVFFZEZPWm54dGJlM3pnVUJnRW9EanQzVGpoWVdGeDRqSTJhcjYxNUtTa3NZZ2Q5R2lSVjg1am5PM2lQd3hGQXI5SWhxTlBwMnV2bTNiSytMeGVOcFJZeEVaSVNKWHFlcGtWVjJZcVg3eWNYNStmcTZJR0ZWTkRZNXRFZWtCb05ObkNEbU9Nd0JBZHhGSnU5dTJxcjdodW02TGFkQ3Erb25uZWNQVHBIL3BlZDY3VGRvL3RHbmdLeUk5VkhVdkFHYzBTUXRzNW0xMEdnYkhSRVJFclhBY3B4REFVUUNPdEN6ckNCRXh4cGpiQU13R2dHZzArbXFuZHBDSXFCTjVuamNOQUZ6M3Y2Y2toY1BodmVQeGVKOG14WHFtcWRvekZBbzFQZllKMFdpMEdFM1dyNGJENGI2Kzd6OEJZRzE5ZmYzNDFBYmk4Zmd0dG0zL1VrVHVEd2FELzVkdWM2NmlvcUlxQU5QVDlkMTEzZU1CWENVaTc3Um5IVzVlWHQ0K0FDQWlLMVBhS1VERHlQYXF0QlhiWm9YRDRkN1YxZFUxcGFXbDY5c3VucG1JL0J3QU1nWDdJaklOUUl2em5sVjFUZkp4TUJnOHhMS3N2UUIwQmJDLzR6aE5qOXdhQmlEYmNad3pSQ1NxcXJzRG1PaDUzcjNKQXR5UWk0aUlhT2NpSTBhTStKRnQyNzhWa1VJQS9WUjFpYXJlVVY5Zi83WnQyMTkyZGdlSmlMWlh2dTlQTXNhY201SmMxUFNKaVB4WVJKcWRxenR3NE1EYzVBeWMvUHo4WEZWOUNjQ2U4WGo4ekVXTEZyVTR2N2VrcEdTRDR6aGpBYnh0Mi9hcjRYRDRpRVF3REtBaHlEUEdISkNwbjZvNlFrU2dxajhKaFVLN3QzSkxYMGVqMFhkRVpDZ0F4T1B4SllsNytGeFZxM3pmSDIyTWdXM2JUNGZENFdOVWRabnYrK3RhYWErWndzTENINm5xVzluWjJiOEhjR2ViRlZvM092RjFMSUM1YWZKZmkwUWlyWDRRa05qODdJekVidDNISnY0MVNxUlBWOVdKSWpKUVZiL1l6RDV2TnhnY0V4SHRJZ1llRUNvVFlGQm45Mk5Ib0txb1Y0SDRpcGl2cUlzRE1WOExHd0psK3c3RWdYME9DTFhkMEM1Q0ZYRW9yaXRmRXIyOXMvdENSSjNQR0hOclBCNXZISzBWa1Q4bGRxeHVwS3J2cWVvTlRkUEt5OHZyQUNBWURIYTFMT3NGQUVjQW1GaGNYUHc4TXZBODcxM0hjVzREY0sycS9uUFlzR0UvUzI2QWFGbldhQUFYWjZxYk9ONElJdkliQUswZGIvUU9nSGRVOWNjQWFqZHMyRkFHQUpGSTVJaGdNRGpFc3F5SFZmVlpBRWVxNnI4QUhCT05Sci9KMUY0cVk4emhpZjV1MWpyaFVDaDBOSUFqVkhVQmdMTkNvZEJiMFdqMHFZNjI0M25lcndEOGF1REFnVG05ZS9lK1cwVHVpa1FpWlk3am5LbXEzYUxSNktPSjYvMUVST3phMnRvRm05UHY3UW1EWXlLaVhZUUFnMzV5N05INHlZK082ZXl1N0JDcXF4djJWY25OemUza25tei8vakQrQmtzRmUzUjJQNGlvODZpcW5WeUxtdGc5dW5FSGFjZHhWZ05JM1pCclZUUWEvVmRxTzhPSEQ5L0x0dTJYQVlRQlBPbDUzczJwWlZKNW5qZmVkZDJoQUU3SnpzNyt5SEdjWDNtZTk1N25lZU1Bak10VUx6R3QrazIwNDNpandZTUhCMFRrRkFEdmxwV1YxU2J1cXhEQUd3QysyTGh4NDBWZHUzYnRyNnB6QU14eEhPY1l6L08raWNWaVB5Z3BLYWtCWUFCa0dXUFM3WFI5T0lDRlJVVkZTOXU2MTB3S0NncXlqVEZUQVh4bmpEbk85LzE3alRIVFhkY2QvUDMzMzkrMktlM2w1T1M4b0tvLzluMy9OUUJsQUxvYVkrNTFIT2RFQUJjQ3VGaFZvNldscGN1YjF2VjkzeGhqSUNJNzNCRlBESTZKaUhZaEJRY013Um1ubnRUWjNhQ2R6Qi9HMzlCMklTTGFLVG1PYzJ0aUJQWjBBSnMxdmRaeG5BTUJ2QU9nRjRBN0lwSEl0ZTJzNnE5ZHUvYk1IajE2UENzaXA2anF2MXpYUFN3U2lYeXdPZjFwcW52Mzd1Y0QyQVBBc3dBczEzVXZCL0JuQUdYeGVQeUVKVXVXckFPd3puWGRZMVIxcm9pOEZBcUZ6alRHL05SeG5Db0FvY1JtWHQrbU5HMEJPRVJWSjI5RzkweE9UczZUQUlLKzcxOFJqVWFyd3VId1dGWDlIc0NOZmZyMEdZZUc0QmFxZW83ak9DTkZ4RmZWNU5GVFdRQ3lFMS9mamNWaUg5aTIvUktBUTBUa1pNL3ozZ0lBei9QKzZqaE9NUnFtZmg4dklxZjd2bjhoMFBCQmdZZ2NrVGpXNldSdG1IdmQ3dEh6N1FXRFl5SWlJaUlpMmlTSjBkUWhxbG9oSWpkdFRsdkdtR0xmOTR0ODMzOGlHbzArM3BHNmlkSGMwMTNYblFEQTNwS0JjY0tycW5xUzUzblBoTVBoYnFwNk1ZQ1gxcTVkKzV1eXNySzF5VUtSU0tRc0dBd2VhOXUyaWNmanhoZ3pMVEdpWHErcS96VEd2TmUwMFdBd1dDZ2kzWHpmMytRcDFhN3I3Z3ZnRkZWOU1ScU4zZ01BaWFNRXJ3aUZRdE5GWkN5QVE5QVFySjRrSXRtSmtmNFc1eTJwNmd1MmJWK0Zoa0Q3eDlGb2RIN1RmTS96UGdKd3RPTTRiNnRxNmZyMTY1OUlaUFVGTUNYeFFVa1ZnQW1SU0dSVE55Z2pJaUxhdXZZNUlLUlQ3bnRRaWJhMGZRNEk2Y0FEUW5kMzl1ODRFZTBVdHVjRGNodjdWbEJRMEsyOWxjTGhjQllhUm9pM0dzZHh4b1RENFM0ZHJDWm82SmVkK0pxOFB6TjgrUEM5V3FzWUNvVjZGUllXRHN2UTVnNkxJOGRFUkVSRVJMUzkySjdYcVRiMnJTTkhMaVZHY2JjcXovT2UyWVJxaXZRYmtmbUxGaTM2cXJXSzBXaTBFa0JsaGpaM1dLYXpPMEJFUkVSRVJFVFUyVGh5VEVRN0pGWGRyajZaVExkdWg0aG9hK0xmUVNLaUxZc2p4MFJFUkVSRVJMVExZM0JNUkVUVXhPclZxekYvL254VVZxWmJTdFZTZmYxV1gwcldhT25TcFpnNWN5WnFhbXEyMlRXSmlMWVUxM1hIdTY1N1lsdmxCZzhlSEhCZDkvaGh3NGIxYVpvZUNvWDJTMDBqMnBJNHJacUlpTGFhV0N5R3Q5OSt1ME4xQmd3WWdHSEQwbTJBdWVWdDJMQUJLMWFzd0w3Nzd0dVl0bURCQWt5WU1BRVBQUEFBRGpua2tGYnJ4K054WEhIRkZlamR1emV1dSs0NmRPblNjcVBRZUR5TzZ1cHFWRmRYWThPR0RmaisrKyt4WnMyYVpsL0hqQm1EQVFNR3RObmY5OTkvSDFPblRzVmhoeDJHbkp5Y2p0OHdFZEVXTm1MRWlONjJiVCtucXVPajBlaUhyWlZWMWN0RjVGa0FyN2RXcmt1WExua0Ezc3pLeWpvR3dMK1M2Y2FZYVlGQW9CZUE4SmJvK3lheXcrRndyODJvWDdVdE51aEs1YnJ1bGFwNnRURm1aRkZSMFpmYit2bzdDZ2JIUkVTMDFWUlhWMlBDaEFtd0xBdkd0RDFacWI2K0hxTkhqMjRSSEgveXlTZVlOV3ZXSnZlalY2OWUrT1V2ZjlraS9kVlhYOFZkZDkyRisrNjdEeU5IanV4d3U4WVloRUloVEpzMkRZc1hMOFp0dDkyRy9mYmJEMmVjY1FhKy8vNTdWRmRYdHpteTNLVkxGN2l1MjY3Z21JaW9MY0Znc0tzeHBqQWFqUzRBRU52YTE3TnRPMWRFK2dPWTQ3cnU2WkZJNUMzSGNRNVUxZUdwWlVVa1YxVUxRcUhRcjlJMEZZMUdvOUZNMTBrY0czU3NxdjU2QzNhL3cxelhQVkJWLzI4em12ZzVFaDhPaEVLaGMwWGsvazF0U0ZVdmprYWpUN1d6K0traVV0UGV3RGdVQ3AwaUlrOXVhdDhBVFBROGIvSm0xTzhVREk2SmlHaXJ1K2lpaTNEQkJSZTBXZTd3d3c5UG0vN3BwNS9pYjMvNzJ5WmZQejgvdjBWd3JLcDQ4Y1VYc2NjZWU3UTVRcHlKaU9EQ0N5L0U0TUdEY2YzMTErT2lpeTdDNjYrL2poTlBQQkZWVlZYSXpjMUZibTR1Y25KeU1IUG1US3hZc1FLMzNYWWJ1bmZ2amg0OWVxQlhyMTRJQkFLYmZGK3BxcXVya1p1YnU4WGFJNklkajJWWmZVWGtmY2R4bHZxKy82Z3hacWFxZmhPTlJ0Y2gvYkU5bThYenZHOEdEeDU4UlBmdTNXZXE2c3hRS0hRV2dMMUY1THcweGJ1SWlBdGd6OVRBUzFzb0FBQWdBRWxFUVZRTVZYMEFRTWJnMkJoekdRQ0l5R1RIY2U1c28xc1BlWjQzcmdPMzBXR3FlaGVBajFLU1I0ckliMVgxV2dCZnBPUU5GcEdiVTlyNFdFU21aYmhFUUVRdVU5V1BBTXhOVjBCRWxpUWZPNDZ6cDZxT1NsZk9HR01CT0V4VlB3aUZRcTI5R0pkRm85Ri9KZHEyUmFTcnF0NExZR1ZLdVg0aWNqbUFKMVYxU1VxZUVaR2JWRFc3bGV0c3R4Z2NFOUZPSlI2UFkvVG8wU2d2TDhmTk45K01VYU9hdjA1TW1EQUIvL2pIUDlMV25USmxDbzQ0NG9obWFaV1ZsWGp3d1FjeGQrNWNWRlpXWW84OTlzREpKNStNczg4K0c1WmxiYlg3eUdUNDhPSDlLeXNyMTFaVVZGUnY4NHQzb3BOT09na25uWFJTMnJ3VksxWmcxS2hSR0RObURLNisrdXAydHpscjFpeVVsNWZqWnovN0dZcUxpeHZUdi9paTRmM00wcVZMa1oyZC9yVzlmLy8rMkhQUC83NjNPK2FZWS9Ed3d3L2pxNisrUXJkdTNYRGVlUzNmRTM3NDRZZFlzMllOWE5kdGR4OHorYzkvL29PZi9leG56ZEllZmZSUnZQWFdXM2pnZ1FlUWw1ZTMyZGVnSFlmdiszampqVGZ3Mm11dm9ieThIT3ZYcjhjZWUreUJZNDQ1QnVlY2N3NTY5T2lSdHQ3R2pSc3hmZnAwekpvMUM5OTg4dzJ5czdPeDc3Nzc0dFpiYjBYLy92MGJ5OFZpTVR6MTFGT1lPWE1tdnY3NmEvVHMyUk5ISG5ra0xydnNNdlRzMlhOYjNTWjFrSWdNc2l6ckw2bzZYa1NLWE5mOTBQZjlLSUQzbzlGbytaYThWbGxaMmRyOC9Qd1Q4dkx5L2lZaTZ6M1B1NnVnb09BcDI3YWJ4UnFXWlVVQXpJekg0emVtOUZXTGk0dS9EZ2FEaDFpV2RZdUlCQURBR0hPWDR6aHJST1JPVlQxZlZlOVYxVWdiOTMzTGxyeTNURlQxMzlGbzlKV21hWTdqQU1CdlZmV3QxRkZ3MTNVUEJkQXNPQzR1TGw0QVlFRzY5a09oVUM4UnVRekFYTS96MnZQaVZtQ01lUVJBdGFyNktYa0JBQmFBa0loTXlWQS9WMFNlUVpOcDdBQVFqOGNmTGlrcFdkUTBMUmdNRHJkdCszSUF6M21lbHpwRjNuWmQ5NloyOUhlN3hPQ1lpSFlxTTJmT1JIbDU1dGY4eXNwS2lBaU9PZWFZRm5sOSsvWnRVZmJjYzg5RlJVVUZ3dUV3Um80Y2lmbno1K1BlZSsvRjU1OS9qcHR1MnZaLysyM2JQamN2TCsrZ2Z2MzZ6WTNGWXErVWxKUlViUE5PYklKUFB2a0VNMmZPYkxOY1BMN0ZCelV5WG1mYXRJWVA2OTk0NHcyODhjWWJMY3JjZGRkZEdldWZkZFpadVBMS0s1dWxEUnMyYkxQWFN2LzczLy9HNHNXTFc2U0xDQzY2NktMRzV5Kzg4RUt6NFBpbGwxN0NndzgraUgzMzNiZGQwOWRwNTdKaHd3YmNlT09OR0RKa0NBNDU1QkRFWWpGRUloRTg5dGhqbURObkRwNTg4c2tXTXdxV0wxK09peSsrR0JVVkZkaHZ2LzF3L1BISG83cTZHZ3NYTGtSbFpXVmpjS3lxdVBiYWF6Rm56aHpzczg4K09PR0VFL0RKSjUvZ3BaZGVRalFheGVPUFA1NTJyVDF0SDFRVkl0SU53RkdxZXFReFpwMnFyblFjcDBSRXBxOWR1L2J0c3JLeTJpMXhyWXFLaXVxS2lvb3h5ZWVCUU9BakVmbEJtcUpqYmRzZW01SVdCMkRidGgxVDFVcFZ6UlVScU9wNkFKVUE3Z1B3aFlpOElTTGhTQ1R5RndCcGp6SnpIR2M4Z0MxeVR6dWlXQ3gyY05OZ2R2RGd3WUVlUFhwOHBxcjUxZFhWQXo3NTVKUHYwdFZ6SENmanFQMnVoTUV4RWUwME5tN2NpR25UcHNFWUE5OVAvZEMwUVZWVkZYcjE2b1U3N3JpanpmYW1UcDJLaW9vSy9PNTN2OE01NTV6VFdQK2NjODdCNjYrL2psTlBQUldoVUdpTDNrTmJqREY3QURnRHdCbVdaVTExSEdjQmdBYzl6NXV4VFR2U1FmUG16Y1AvL1YvYlM3UzIxYzdQVHo3NUpENy8vSE9NSFR1MnhWcmpEejc0QUk4KytpakdqUnVIQXc0NElHMzlaT0R3eUNPUG9LS2lBbGRlZVNWNjlXclluMlhwMHFWWXMyWk5penByMXF4QlhWMGRQdm9vZFJaZWcxQW9oQVVMRnVERkYxOXNsaDZMeGFDcXpZTGprcElTTEZ5NEVDTkdqTURMTDcrTVAvLzV6OWh2di8zdzRJTVBvbmZ2M3UzL1J0Qk9JUkFJNExISEhrTXdHR3hNcTYydHhYbm5uWWNsUzVaZzl1elp6VDVNaWNWaXVPS0tLL0QxMTE5ajRzU0pPUG5ra3h2elZMWFpoMVQvK01jL01HZk9IQng1NUpHNDQ0NDdZTnMyZk4vSE5kZGNnOW16WitPWlo1N0IyTEdwY1E1dFQ1b2NoeTJxMmdOQUR4RVpET0MwN3QyN3IzQWM1L2w0UEQ2OXJxN3VpNXFhbWczbDVlVWQyZzdmZGQySFZIV2xNV1pTeWtaVFRrMU5UYk1wVm9GQW9FUkVYcW1wcVpuWU5OMFlvd0FRaVVTS0FKd1JEQWJ6YmR2K1NsVnZVTlYrbG1XZExpSS9CM0NMcXZZSWhVS2xxZjJvcnE2ZXRXVEprblVpa28xdEVCd2JZL3FGUXFHQktjbkphVHQ3aGtLaDFDTVA5dGphZlVxblI0OGV2d2F3bDRnZ0p5Zm41d0NtZDBZL2RoUU1qb2xvcDNILy9mZWpxcW9LcDV4eUNsNTY2YVcwWlNvcks5c1ZQS3hmdng3LytNYy9zT2VlZStMc3M4OXVUTy9ac3lmR2poMkxtMjY2Q2ErLy92bzJENDZCWm05MERJQkRBUnpxT000VUVYblg5LzIzZmQ5ZnVISGp4by9MeXNyV2J2UE9wY2pLeXNLWU1XUHd3eC8rRUljZWVtaWI1YWRPbllyaHcxdnM0YkpGZmY3NTUzam9vWWN3ZE9oUVhIenh4UzJteDMvNzdiY0FnRUdEQmlXbnlHVlVWVldGMTE5L0hlKy8vejV1dU9FR0hISEVFWmcyYlJwbXo1NmRzYzdGRjErY05uM1dyRm00NnFxcmNOVlZWelZMdit5eXk3QnUzYnBtYWQyN2Q4Y2pqenlDY0RpTWUrNjVCNkZRQ0pNblQrNjBLYTZxaWl4TDhoM0hPU3FabE13VEVRV0FlRHplSXExcDJhWnB5Y2V4V0N4ajNxYlV5VlMzdnI0K1k5bmttL1owZVhWMWRXMWVKMWsvbVZaYlc5dHF1ZFJyVjFkWE44dHZXaTRwT3p1N1dXQU1OQVRNUng5OU5KWXNXWUtxcXFwbWVTKy8vREkrKyt3empCMDd0bGxnbkxnMm1zNkVmZTY1NXdBQTQ4YU5hMHczeHVCM3Yvc2RacytlamRkZWU2MHhPQjR5WkVoM0FMQXNxN0dQdG0wM1BzN0t5bElBV0xGaWhhYm1KUjluWjJjM3B1WG01alkrTGlvcWFucmZXMzJUcVoyRmlEUStidkxhMGZnNHNaSFc1Ylp0WDJqYjlzZTV1YmtMZS9mdS9SNkFqenpQSzBZYnd1RndscXBtaThqMXZ1K2ZHQXdHejdadHUwWlZYd0hRWWs4RkVla040TFJBSUhCWWFsdU80eXp6UEsvRitobFZmY1AzL1V0RnBKdUloQUZzTU1hODBKQ2xqVUZ3MTY1ZER3THdzYW9Hc0cxR2poL0tORlBIR05OeU90Slc1dnYrZDhhWVdjYVk5Y20wd1lNSDkxRFZQNHJJZndCMEZaRlRrQ0U0anNmai81dVZsYlZMTGRsS2g4RXhFZTBVRmk5ZWpPZWVldzdublhjZXVuZnZuckZjWldWbHh0SEFwajc4OEVQRVlqRWNjY1FSemQ1Y0FNQmhoelc4cG51ZXQzbWQza1RKL2pSOW93T2d0NnIrajRpY1l0djJWOTI3ZDE4U0NvVVdBSGpic3F3UE8rUFlpSnFhR3N5ZE94Y2pSb3hBVlZVVjNucnJyVGJyREIwNkZMRllySEZVZEV0YnYzNDl4bzBiQjFYRnhJa1ROM3ZkK05WWFg0MkREam9JRXlaTXdCVlhYSUY3N3JrSFYxNTVaZHJOeDZaTW1ZSmx5NWJobm52dVNkdFd1dC9ieXNwS0xGaXdBSmRmZm5tejlMUFBQaHNQUFBBQTNuLy9mUngzM0hHNDZhYWJNcTZQM2hhTUFGMno1UVFSK1NFeVRIVzBMQXVhOGt2YlJMUDBaTEVtUDUrMDlWS0NiQUJvR3RobHVsYUx2SlJsa1JuN21PeFg4bXV5WHJwK3BMYVhyTlBrNTlTaVRzcTNSMzNmVDdkaFcydlhhdWJMTHhzMnBTMG9LR2lXL3ZMTEx5TTdPN3R4Umt3bVZWVlZXTHg0TVFZUEhvejgvUHhtZWZuNStSZ3dZQUMrK09JTHJGNjlHbjM3OWtXWExsMGFwNGVrKzU0azdrLzc5ZXZYMm1VYjZ6WDlmamlPMCtJRGxjMGxJclg0Nzg4bjJhYWkrUWMyeWF4bStTS2l5UmxLeVhKTnl5VHJOUGsrTk9Zbk1wdW1OMjJqUlZwSzM1cTE2L3QrYW4wRjBEWEQvVFkrVHYxZEZwRWNBQTZBRUlEVFJXUjFLQlQ2Rk1EVGRYVjFMNVNXbHE1djBTQ0F4R3ZMZWE3cmZpUWlVeTNMZW03anhvMUg1dVRrcE4wd0svT2ZBTUFZVTVVdXZhU2taRU5CUWNGTE9UazVpMVIxbXVkNXYzWWM1d1VBbFo3bnBkdGNLa3RFdHZwaDhMN3ZYd2VnMlpRb0VUbFdSQ2I0dm44aGdMS1VLZ1hHbU1hZHFVT2gwRzhBWkZ5VGtQaVpBTUNCb1ZDb3RUWEhxNlBSNlBUaTRtSVB3SStiWm5UdjN2MUJBSG54ZVB6bmxtWDlSRVRHaDhQaHZrVkZSYXViRkxNZHgvbWpNZVpwSHZIRTRKaUlPbEZCUVVFMzI3YUhHMk0yNjhEV3VybzZUSm8wQ2YzNzk4ZllzV1B4L1BQUHB5MFhpOFd3WWNNR1ZGUlVZTktrU1FnRUFzalB6OGRSUngzVjRvM2YwcVZMQVFDREJ3OXUwVTdmdm4zUnJWczNWRlJVd1BmOTVIRStSMi9PUGJTWHF1WW4zK0NrQnUySi9DeFYzUmZBdnNhWUV3RGNvS3FmT0k3ellHVjErcW5tVzB0VlZSV3V1KzQ2aUVqYXZtYmkrejVPT09HRXJSSWN4Mkl4VkZkWDQ3cnJyc09RSVVPMlNKdEhIWFVVWnN5WWdSa3pabURreUpFWjEveDI2OVlOdG0xMzZMcHZ2dmttNHZFNGZ2empadTkzY09LSkorSzExMTVEVlZVVkprNmMyS21CY1NOVlc0SEcvOHNwUDNOSms1Wk9lMzlSMnYwTHBhcnRLZHQyeC83Yjl5M2R4LzgyM01iM3B6MzNVbE5UZzIrLy9SWXpaODdFbTIrK2lkTk9PNjNaREplcXFpb3NXYklFQngxMEVMcDI3WXI1OCtlanVMZ1lJZ0xIY1pydDNMNXMyVElBNmY4T0FzREFnUVB4eFJkZjRLdXZ2a0xmdm4waElrUFF6dnR1NTg4RitPL3ZUdnYvaUd5QzFwclBsTmZhK3Y1TmFXOVR5bStwUFFZU2E1T1QzK2NjQU4xRXBDZUEzSGc4M21hSEk1SEkvWTdqTEJPUnJ4TnJXcWNuam5QcTFwN3IrNzVmRm8xR0s1bzhGd0F3eHB6cnV1NGY2K3JxTGdEdzdLcFZxMzdmanVZQ1RVZVV0N1I0UEc0bmppZU1SQ0tSWnB0WE9ZNnplK0xoUjJrMjVHb1dzQnRqSmdIWXJhM3JpY2hSSW5KVXBueFZYWXcwbzhHaFVPaFhJdklMVloxY1hGeThvTEN3OEd2THNtN3dmZjlhQUZjbituU0FxczRRa1FOOTM4OEQ4TnZVZG16Ylh1QTRUck0zRUNLUy9NWDd1K000MjJhemtHMkV3VEVSZFpwQUlIQ3BpTnlpcWkwWGFIYkExS2xUVVZaV2hpbFRwaUFuSjNPY1hWblpzUHhuK2ZMbGVQWFZWeHZUNzc3N2JseHd3UVc0NUpKTEd0TldyVm9GQU5odHQvU3ZXNzE3OThaWFgzMkY2dXBxZE8zYUZTTHk5ODI1aC9ZU2tiUWpBbWsralZkVmpRRllCMkNCNy92THRzaFF5eWI0L2U5L2ovLzkzLzl0bHJaNDhXSVVGeGZqakRQT2FCSFlwZTdDdkNYMTZ0VUxUenp4QkxwMTY1WnhnN0NGQ3hjQ2FGaDd2R0xGaXJSbGZ2N3puemQ3d3pwdzRFQk1uRGd4YmRsTlZWdGJpK25UcCtQSUk0L0VIbnMwWDZwbVdSYXV1dW9xWEhubGxaZzhlVExHangrL1JhL2RVYjRDRytyeFdoZmJmd0JvQ0h4czIwNE5nQm9mSjlOVDh4TWp4VzJXYTVyZmtUckp0RXgxV212SHNxeDA1VnR0eHhqVHJtdWtwaWZydFZGSEFEeWNUQzh2TDhmcHA1L2UyRmlmUG4zd2w3LzhCY2NkZHh5YSt1eXp6d0FBZSsyMUY2Njk5bHE4Kys2N3pmS1BPdW9vM0g3NzdiQnR1L0h2WUo4K2ZaQk9NajA1N1Q5eGZFMkwrMG9FY0JtL0YrbStEMDNycUtxRmRnYmQ3U0NKOXFDcWJmWXRYVDlUNjdSMkh4bnF0UFU3SUdrK2pHbjEvMExLNHg0aU1nWXBNbzNhSmphK3FsUFZMMVQxY3dDTGZkOS9ycVNrNUQ5cEsyVGdlZDZiS1VtUGlzZ0lBSzNPWEJLUmdESG1TZ0JUUXFIUVFjYVlQd0k0TnBGOVBJRFhzck96cDZ2cW9MeTh2QlB6OHZJZ0lubXE2anVPMCt5VFE5LzNUMDNzZEwwMVI0NnpFdGZhckFBOEZvc05pTVZpR1grdnM3S3llbHFXVmFHcTk5VFcxbWI4STc5Mjdkb1d3V2tvRkRwTVJPNEQ4T1c2ZGV1dUE0RGk0dUt2SGNkNVdrUXVEWVZDRHdFNFYxVi9EMkE5Z1BNOXozc3NYZnVxK2loU2puSlMxZVJSVGk4QWFIR1VFd0R1VmsxRTFGR0pLVU5XUEI0L3U4M0NMYjBKQVBQbno4ZXp6ejZMVTA0NXBjVXhUS2w2OWVxRldiTm1vVnUzYnZCOUg4dVhMOGRiYjcyRjZkT240NUZISHNHZWUrN1plRnhRVFUzRDYycW1FYm5rVk1ma0JsS2JlQThkWnR2MnhRQk9BZEsvMFJHUkdsV2REK0FkQUYrb2FoV0ErY1hGeFpYN0hMRHQxMGRuOHY3NzcrT2hoeDdDS2FlY3NzMUhQZnYyN1lzVksxYTB1ZHY0akJtWjl6Z2JOV3BVczZtNDhYZ2NxdHFZdG16Wk1uejQ0WWZONmxSVVZHRGp4bzJOYXppVEJnMGFoQU1QUExERk5WNTQ0UVdzWHIwYTU1OS9mdG8rSEhua2tUanBwSlB3MGtzdklSUUtiZFVQRmRvaUlxajNVVkZjWER5bjB6cXhhMm9NanJ0Mzc0N1JvMGVqdXJvYXk1Y3ZSelFheFlRSkU3QnMyVEpjZE5GRmpTT015UThKNTg2ZGkvNzkrMlBHakJuWVo1OTk4T21ubitKUGYvb1Q1czZkaTcvKzlhKzQrT0tMRy84T1pqcUxPL2wvdDY2dURnRGdlVjdtTGQ2M0w2a0JTV3VCOTJibmhjUGh4c1RxNnVxTWRlcnE2akxtdFJaRXBlYjE3dDE3UUZaVzFoaWc5WUE0a2I5S1ZWLzFmZjlwMy9lL3NHMTczYXBWcTlaWFZGUjBPTGdzTEN3Y0RXQlZ5dCtCSnp6UCsxVXIxV3pYZFpzR3ovc0JPRkpWWHhHUmMzM2ZIeE9OUnY4VkNvVithWXhwM0RCRVZjY0NxQmFScDVzMlpveFpBY0JXMWEwV0hCdGprbXRnQm9SYWJqd3lJRkZtU0dxV3F1N1g5RVBWa3BLU0RhMWRKeFFLSlY5azZqTk5hODlRN3lCanpKdG9tRjYvcU9sdTVNYVlpYW82Mmhpek9QRWgwU1BWMWRYak0rMWdEZkFvSnlLaWJhNmtwT1NmbTFMdjY2Ky94dlhYWDQrQkF3ZGkzTGh4YlphM2JidHhSMkVBMkh2dnZYSGhoUmRpcjczMnd2ang0L0gwMDA4M0JzZkp0WTZaamhaS0JzWEprZXBOdlllT2NsMzNwMDNmN0RSNW9mMVdWZStwckt4OGNObXlaV25YYlcxUDJ2cndZV3ZMeTh2THVBWjY5dXpadU8yMjIzRHJyYmRtM0pBclpZMHFQTS9ERFRmY2dBa1RKdURRUXc5RmNYRXhici85OXJRekdacXVPYTZwcWNGcHA1M1dJaml1cUtqQWd3OCtpSkVqUjdZNnZmenFxNjlHVVZFUkprMmFoTHk4UEJ4ODhNRVp5OUxPYmJmZGRzTTExMXpUK1B5Nzc3N0ROZGRjZzBjZWVRUzlldlhDbVdlZUNlQy9nV3h0YlMybVRwM2FPUG9iQ29WdzIyMjNZZlRvMFhqcHBaZHc4Y1VYTi82ZXQvZnY0QTRrTldMY3FoTnJpb3FLdG1iekxlVGw1VFhiVktsSklLd2lVZzFncmUvN2kwVGtvWFhyMXIyMnBZNXlzaXhya3FwV28ySHRjdkxhdjNCZDk1VDJ0ckYrL2ZyWEFiellwVXVYUE51MnoyM1N6aHhWUGREenZKa0E0RGpPMFFBcUk1SElmWW5uSndBb2pjZmpWYlp0WXl1dk9jNERBR05NYTdzK1A5c1p4K29sTmtWOEdVQWRnSkxVL0tLaW9pOGR4N2xKUkc0VmtUc2prVWg3cHFudlVoZ2NFOUVPcWJxNkd1UEdqVU50YlMxdXYvMzJ6VHBuOHljLytRa21UWnFFWmN1V05hNjc2dEdqQndCZzdkcjBHejVYVmxZaU56ZTNzOTRVMW92SXQ2cjZxZS83RVZYOTU0NDJZcmQ4K1hMMDZ0V3JSWkM1clJoaldweHJuZFN0VzhNU3VSNDllbVFzazJyZXZIbFl2bng1aXhHMlYxOTl0ZFUyamovKytCWnB2dTlqNHNTSmplZkx0cVpyMTY2NDU1NTdjUDc1NStQS0s2L0VIWGZjMGJoaEhPM2FkdHR0Tjl4d3d3MDQ1WlJUOE1JTEx6UUd4OG56amdzTEMxdE1seDQwYUJCMjMzMTNMRisrSEd2WHJtM2NKQzUxdCt1azVDaDBwdVVuMVBtYW5CVmNKQ0lMVkRVU2o4Zi9VMUpTOHZtV3ZFNUJRY0h1QUlZQW1KeVNOZHYzL1Z0YjZaOGxJbzF6KzVPbkxLVHV2cTZxQnllQzBWNUk3MEZWdlRFcksrdjF4QWZJNlhaZHRzTGhjTy9xNnVxYWpvekVwckUzQVBpK2Z6aUFqVTB6Uk9TbkluSXJnRE45MzErU2tqZENSTGJhc1l1TzQ0d1RrVnRWOWJ0NFBQNGpZOHhOSXBLZldzN3p2RHNjeC9rUmdLc0tDd3MvTEM0dVRyOVJ5eTZLd1RFUjdaRG16WnZYdUhadTlPalJhY3RNbURBQkV5Wk13Smd4WTNEMTFaazNlclFzQzRGQUFMSFlmMDhIMlh2dnZRRTBIUHVUcXJLeUVsVlZWVnY5eUtGMDR2RjRrVEhtdDc3dkwxeTdkdTJpSFdHVU9GVnRiUzBXTEZnQTMvZng5dHR2NDloamorMjBJSGxMZWUrOTk5Q3ZYNzh0Y3JUWDVNbVRVVnhjakhIanhyWFlLQzZkZ1FNSFlzcVVLYmpra2t0dzVaVlg0cHBycnNGcHA1MjIyZjJnSGQ5ZWUrMkY3T3pzeHVQSkFEVCtUbVVhRFU1KzBLaXFHREJnQUlEMGZ3ZUJoblhPeGhnTUhKaDYxQ3R0RDFTMUhNQVQ4WGo4SDdGWXJMeTB0UFE3dExIK2QxTUZBb0dqRTlkc2RvNmRxc2FOTVJsSGNYM2Z0enE0UVZueXhVSVMvNXE5ZVBpKzN6WHhnVUNMNExpd3NQQkhxdnBXZG5iMjd3R2szVTI3blE1RXd3N1I4MU16SE1jWm11akhralFiY20yMVQ5TWR4emxmUk80RVVHS01PYzN6dktXdEhFV294cGovOFgxL3JqSG1tVkFvdEhjMEd0MmM3OGRPWmNkK04wSkV1Nnk5OXRvclkxQzhaTWtTRkJjWDQ1QkREc0dBQVFQYVBLdjJzODgrdzlxMWE3SGZmdnMxVGo5TFRuT2ROMjhlTHIzMDBtYmwzMy8vZlFEQTRZY2Z2cm0zMFdIRnhjWFBBUEN4bGFjQmJnbUJRQUFqUjQ1c3NablVQZmZjZ3pWcjFtRGd3SUg0NHgvL2lMNTkrK0tNTTg3QWFhZWRodDEyMncyalJvM0NYbnZ0MVVtOTdyaGx5NWJoeXkrL3hGbG5uZFhoWFdoVFBmMzAwM2ptbVdkdzlORkhONDcwdFVjd0dNVDk5OStQcTY2NkNyZmNjZ3ZLeTh0Ym5KZE11NTV2di8wV2RYVjF6WUxYZmZiWkJ6MTc5c1RISDMrTW1wcWFack5mMXE5Zmo0cUtDdlRwMHdjOWUvWkVqeDQ5a0plWGg5TFNVcXhaczZiWkdmSGZmdnN0bGkxYmhuQTQzRGdhVGR1SDJ0cmE3d0tCd05HZTU4M0hWZ3FHMHpnZVFLeTZ1dnE5MUhSVi9WR21TaDM4bTlrelpYMHlYTmR0M0pRaE1mT3JTK0x4eHRUS3hwakRBY0N5ckpjN2N0R21DZ29LdW9uSXNRQm1iV29iVzRNeDVrWGY5NTFWcTFiOW9hS2lJdTFaeGVGd3VHODhIci9DR0RPd3FLam9yR0F3ZUp4bFdhOFpZNUlqeVpkNG52ZkZOdTc2ZG9mQk1SSHRrQTQ0NElDTTV4WFBtREVEeGNYRk9QSEVFekZxMUtqRzlMS3lNbVJuWnplT0NnUEFpaFVyY09PTk53SUFUajMxMU1iMHZmZmVHNjdySWhLSjROVlhYOFhKSjU4TW9HRjY0Y01QUDR4QUlOQ3MvRGEwd3h5WjBLdFhMOXgzMzMyTno3LzQ0Z3ZjZmZmZG1EZHZIbzQ2NmloTW5qd1ppeGN2eHBOUFBvbUhIMzRZano3NktFYU5Hb1Z6emprSCsreXpUMk85cjc3NkNtVmxxY2RGL2xkeXltZEZSUVhtek1rOHV6dzdPeHVISG5vb05tNXM4WjZwbWVSNjZPcnE2c1pkZU5QSnlzcENUazVPNDg3bjZhWklkNFNxWXY3OCtUamdnQU53eXkyM3BEMmlaZVhLaGcxRDB3VWpqdU5nK3ZUcG1EaHhZck5kaTJubk4zUG1UQngwMEVITlBvaGF2MzQ5YnJubEZnRE5kNEMzYlJzbm4zd3lac3lZZ1duVHB1R0tLNjRBMERDZGYrclVxYWlycThPSko1NElvQ0Z3T2ZYVVUvSHd3dzlqeXBRcHVQSEdHeUVpOEgwZmQ5OTlOd0JnekpnV215SlRKMHRNR1o2N0RTOXBST1JuQUQ1YXNtUko2aC9OVmpma0tpZ295TTdKeWFsTm50ZWNpV1ZaLzQ3SDQ4ZTBWcWF1cnU2VFFDQndlT0pJcXZJMFJRNEhzTENvcUdocGErMjBKanM3KzB3QU9hcWF1Z2xWbTFRMU8vSC9wMTBmYnNmajhUNkoxNEZZVzJXTGlvcXFBRnlla3B3RkFNRmdjQi9Mc3E1VTFiRWlZcW5xN1FCUVVsS3lNajgvLytoKy9mcmRMeUxuQWZqWWRkMi9pY2d0UlVWRmpkTk5lSlFURWRGT2F1blNwUmcvZmp5Q3dTQUdEQmlBVmF0V3dmTTgxTlRVNExqampzUC8vTS8vTkN0LzdiWFg0cnp6enNPa1NaUHd6anZ2SUM4dkQvUG56OGZxMWF0eC9mWFhJeTh2cjVQdVpNZWdxdmpxcTYvd3dRY2ZZTzdjdWZqZ2d3OWdqTUZaWjUyRnl5OXZlQTBmTm13WS92S1h2K0RTU3kvRmswOCtpVmRmZlJVelo4N0VFVWNjZ1YvOTZsY0loVUtZTTJjT3BrNmQydWIxNXMyYmgzbno1bVhNNzltekorNjc3ejZjZlhiN05oWnZhNU8zMGFOSFk5eTRjWGpqalRlUW41K2Y5c09hNUljcW1TUURjYUFoRUxucnJydXdjZVBHeHRFOHovUHcvUFBQbzF1M2JsaS9majFtejU2TmdRTUhvbXZYdENkNlljQ0FBWGo4OGNmYnVqWGF5U3hZc0FCLyt0T2ZFQXFGc1BmZWU2T3lzaEtlNTZHeXNoSWpSNDVzOFRzL2R1eFl6SjgvSDA4ODhRUWlrUWdHRFJxRTB0SlNsSldWWWNpUUliam9vb3NheTU1enpqbVlNMmNPWG4vOWRaU1ZsV0hvMEtGWXZIZ3hQdnZzTTR3YU5RckhITk5xdkVLN2dNTEN3c01BOUVXVDNkTmJJWTdqVEVIRG11QTZFUm1hU1A4R2FBamtSR1NnTWVZSUFEREdyQU9Bb3FLaTFRQ2FuU25zdXU0ZHFocFQxYlhHbUhXQlFPQllFZm0xcXM3M1BHOVZ5blV0QUllb2F1cWE2SFlyS0Nqb1pveVpwS3FWR3pkdWZLb2RWV3pIY2U1UzFYWEdtSHBWUFJFQVJLUWlYZUhFaHBzWGlzZzZWWTJKeUNHSjhoMWVINTRZNFQ0SVFHL2J0ajlUMWJVQXB0VFcxdDViV2xxNlBGbXVvcUtpdXFLaTR2eFFLUFNpTWVZdVZmMXBiVzF0czNNSlZYVzZpS3hNdlVaUzZ1aS9xaG9BRXpyYTUrMEZnMk1pMm1VTUdUSUVJMGVPUkdscEtSWXVYSWpjM0Z3TUhUb1VKNTk4Y290emE0R0d6V21tVDUrT2UrKzlGNUZJQkxGWURFT0hEc1dFQ1JQd3d4LytzSlB1WXNkd3l5MjM0SzIzM3NLR0RRMG5WZlRwMHdlalI0L0dMMy81eTdUcmFQUHo4M0h0dGRmaWdnc3V3T09QUDQ0WFgzd1I4K2JOdytUSmszSFNTU2R0a1UybWJOdEc3OTY5Y2ZQTk4yOTJXMEJESUxwNjlXcUVRcUVXbThja2pSMDdObU1nQ3dBUFBQQkFzK2VCUUtEWnBsNWR1M2JGMjIrL0RhQmhwSHEvL2ZiRGRkZGR0d1Y2VHp1VE04ODhFN0ZZRElzV0xVSkpTUW15c3JJd2FOQWcvT1kzdjhHcHA1N2FZaFpDdDI3ZDhPaWpqMkxhdEdtWU5Xc1dsaXhaZ3J5OFBKeDc3cm00NElJTG1zMU15TTNOeFNPUFBJTDc3NzhmczJmUHh0S2xTNUdmbjQ5eDQ4WjFhT28vN2J3c3k4b0c4RUU4SG4rM3pjSU5TNEwyRjVIazlLQTZWWDNRc3F4WEFNQzI3WU1CUEp2SVd4U0pSSXBiYVNzc0lrZUtTTVBCNVEwN1ZNOVYxVXRTQ3dhRHdVSVI2ZWI3L2laUHFRYlFUUnQyKzdvNXpRZzVFbjJvQTFBVmIxalVId053a2pFbXVhNmhGc0FqbnVlbHZTZFZyUmFSMHhQdEFNQTZWWDFwNDhhTlQ2Y3IzNXBBSURBVXdCNW9PTW5pcnY5bjc4N2pvNnJ1Tm9BL3YzTm5zckN2YnFDaVJvRklNblB1dUVDcnVOWFcwa1d4dGxWcjNXcTE0cTdWSXU1TGJZdSt0cmdoZ25XdFZkdVh0bTdWV3FFS3RiVTBjeWNUQ0FRalJVVjVJYWdJRWtKbTV2N2VQektUVHBKSlNFSXd3RHpmZjVJNTU1NXp6NTBFUG5ubTNuUE9saTFiWm5XMENGa3NGbnNSd0N2anhvMGJ1bVRKa28rejYxS3AxQU90dDNMYWlvRHJ1anR0T0NZaTZqV3U2OTdrdW02MzVzN3FEcWFuMzV2dFliK3hZZjNWZlRNL2wvZmpYLy82bDA2Yk5rMmZlT0lKcmF5czFGUXExYVgyZFhWMSt1dGYvMXA5Mzk5T0k2U2V0Ti9Zc0k0YUcvNWxiLytPNTV2ZS9ybTMxdHZ2QiszOElwRkluMUFvZEhBb0ZEb0lUWGQ3TzhPTUhEbXlHQjN2Tzkwand1SHdnUUM2dWtlVFUxSlNVdGpKZG9LbTY5N21HNWl1NjU1UldscmFiMXY3eVRlOGMweEVSRDN1MEVNUHhhR0hIdHJ0OXNPR0RjTTU1NXpUZ3lNaUlxSWRYVVZGUlQyQUpWMXM1cmUzQ0ZWUGk4VmliM2VqV2FxMnRyYXo4M0lWUGJTMlNEUWFmYkluK3NrM24vL3UxRVJFUkVSRVJFUTdHSVpqSWlJaUlpSWl5bnNNeDBSRVJFUkVSSlQzT09lWWlIWkswbnBwYVNLaVBDOENqaXNBQUNBQVNVUkJWTVAvQjRsNlhpUVMyVE43bjk4TWErM3d1cnE2eno2ditjM1VPeGlPaVlpSWlJZ283MWxyUTc3di84dGFlNUxuZVgvT3JoT1J1NGNQSDM3TXFsV3JScUZwbTZaMmxaV1ZEWFljWjkvc010LzNrL0Y0ZkhGcGFXbS9RQ0F3cUtQMndXQXdsU3VnMC9iSGNFeEVSRVJFUkhuUDg3eEsxM1ZmVXRWSHJMVmxudWZWQVUxaEY4QXBBTzdIVm9JeEFBU0R3YThCZUNLN3pCanpFWUJoQlFVRlB6TEczTmxSZTFYOUNNQ3c3bDRIZFIvRE1SRVJFUkVSRVFCVnZRakFQYWxVcWpCVEZnd0d6d0pRQk9BRWErMzREcHJQOXp6dmhzeUwrdnI2WVVWRlJTa1J1VmhFTHM4Njd0TlVLdlYxQUJDUms0MHg1MlplTzQ1ektvQlRlL0thcVBNWWpvbUk4c2lNKzJkaHh2MnplbnNZUkVSRU93eHI3ZitLeUluWlpZRkE0Q1RYZGFHcWw2anFqMFhrTFJINVowZjkrTDcvVHZiclpjdVdmUW9nR1E2SEcxb3RFWkNzckt4Y0NBQ3U2NGF6WDRmRDRmSEdjTTNrM3NKd1RFU1VKM3pGWFNJbzZlMXgwSzVIVkZOUWZhVzN4MEZFMUIyKzcvL1NHUE03QUU4Qm1BWGc5YXpxYndEWU01bE1IaGVQeDJzQXdIWGRwd0c4RTQxR3IvdjhSMHZiRThNeEVWR2VlSGRaN09yZUhnTVJFZEdPSm4zWDFyaXUrMXZmOXhmR1lyR25BV0QwNk5IOSsvYnRPMHRWbjY2dnIyOWVJRXRWOXdDd2Ztdjl1cTc3VGQvM2ZXUE13ZHR2OU5TVGVNK2VpSWlJaUlqeTJxaFJvd29BUUVTMlpNcHFhbW8ySmhJSkMyREZnQUVEVnJUVE5GQldWbFlXQ29XT2FWMmhxbytMeUpPcWV2cjJHVFgxTk40NUppSWlJaUtpdkRabzBLQ2k5TGMzVzJzdlRuOWY0WG5lVmE3cnJnR0FTQ1FTOUgyL1ZFU0dxdXB4MXRxM1JLUWNRSkdxdmdSZ2ZuYWZudWNOUXRPYzR4K0x5TlRQN1dLbzJ4aU9pWWlJaUlnb3J5V1R5Y0tDZ2dLSXlISUE3d0g0aHFwdXN0YWVCbUN5cWc1VzFjOUVwQ0RkNUYwUmVWTlY3eE9SS1NLeXFRdW5HMnF0L1F3QVZEVW9JZ1daMXdDQ0FEYjIySVZSbHpBY0V4RVJFUkZSWGdzR2cwVUFrRXFsN3E2c3JGeG9yUjBOb0VGRUpnUFlGOEJtVlQxSFZXTWlNZ2ZBMG1nMGVnVUFXR3ZQRTVIUDJ1KzlKVlhkQk9ESFdhK3pxNzhFNE9odHZ5THFEb1pqSWlJaUlpTEthNzd2RDNFY0I1bVFLeUtGcXZweE5CcjludXU2RjR2SXpaN24vUTRBckxVdDBxeUk5RlBWTm5kN3crSHdkMFRFRjVGd3ErTWJvdEhvZzduR0VRcUZGaGhqeW5ydXlxZ3JHSTZKaUlpSWlDaXZpY2d3QUhBY1p5TUFxR29oZ00xYmF4ZUpSSUtxdWcrQUR6Tmx2dThYRzJNZ0luZW5pL29BYU96TU9Db3JLNWNBV05MRjRWTVA0V3JWUkVSRVJFU1UxMFJrSHdESnpaczN2NTkrWFF5Z3ZvUGpSN3F1KzIvZjk2dFZkU2lBbHpOMXhwaStBRFo2bnJlSDUzbDcrTDUvYTFmR0VnNkhCN211ZS9Lb1VhT0t0bjQwOVNTR1l5SWlJaUlpeW1zaVlnSFVWbGRYWis3dzlrRUg0UmpBQndBV2lzaUx2dStmSUNMN2g4UGhzOU4xSXdEVWRYY3Nxbm9RZ1A4ZE5HalF0N3JiQjNVUEg2c21JaUlpSXFLOHBxcEhBUEN5aW9vQnRMc0N0YXFxNTNtWFoxNjdydnNyWTh3SkFCNEZVS0txeTdvN0ZtUE0vZ0RnKy83Uzd2WkIzY053VEVSRVJFUkVlU3NTaVl4UjFaQ3EzcFl1TXFvNkJNQ25BT0Q3L2haalRCOEFEb0NVNTNtNVZwTXVWOVVsQUFUQUVRQWV5RlFZWXlUcit4U2E3a29iQUg2dThZakk0YXE2SlJnTVZ2WEE1VkVYTUJ3VEVSRVJFVkhlVXRYckFYd3FJb0Z3T1B4REVZbUlTRCtrN3lTTHlHSUF4ZGJhWjFYMU5SSHhzOXFhOUNQWnh3QTR6M1hkSXdBTVM2VlNmd3FIdzhlTHlGQlYvUTZBVDlKTjNrMzNOVXRFWG04MURnRXdWbFduQUhpdW9xSWlzZDB2bmxwZ09DWWlJaUlpb253VkFERGU5LzJiUkdTME1lWmFBSi81dnYvTFdDeTJBQUE4ei91SHRmWTJBRDh5eHB5YzNWaEVvS3AxQU83eVBPOFIxM1h2VWRWL3grUHhxTFgyOXlMeUxWWDlETURsNmVPZjkzMy9Ud0RPQkhCZTY3NEFiRkRWRjR3eEYyNzNLeWNpb2gySDY3bzN1YTZyV3orU2lJaUlhUHNvS3l2YkgwMlBURyt6MHRMU2drZ2tja0JXa2JSN01PMXdlT2VZaUlpSWlJanlWbFZWMVlxZTZpdTkydlU3V1VXOENiQVQ0VlpPUkVSRVJFUkVsUGNZam9tSWlJaUlpQ2p2TVJ3VEVSRVJFUkZSM21NNEppSWlJaUlpb3J6SGNFeEVSRVJFUkVSNWorR1lpSWlJaUlpSThoN0RNUkVSRVJFUkVlVTlobU1pSWlJaUlpTEtld3pIUkVSRVJFUkVsUGNZam9tSWlJaUlpQ2p2TVJ3VEVSRVJFUkZSM21NNEppSWlJaUlpb3J6SGNFeEVSRVJFUkVSNWorR1lpSWlJaUlpSThoN0RNUkVSRVJFUkVlVTlobU1pSWlJaUlpTEtld3pIUkVSRVJFUkVsUGNZam9tSWlJaUlpQ2p2TVJ3VEVSRVJFUkZSM21NNEppSWlJaUlpb3J6SGNFeEVSRVJFUkVSNWorR1lpSWlJaUlpSThoN0RNUkVSRVJFUkVlVTlobU1pSWlJaUlpTEtlNEhlSGdBUkVSSFI1NkcwdExTZ3NMQXcwdGpZV0xOa3laS1B1OUxXV3J1WGlIeW52cjcraVdYTGxuMjByV01wS3lzYkhBd0dmK3Y3L2lXeFdPenR6clNKUkNMQnhzYkdmbFZWVlo5czYvbUppS2d0aG1NaUlpTGE0VmhyandOd2crZDVSMmVYbDVhVzlpc3NMSHdad09XZTUvMjd2ZmFSU0dTZlZDcjFuV1F5K2N6aXhZdmZCNENDZ29KU0VYbXpvS0RnS2dCM0EwQjVlZm5vUUNEd085LzNMNDNGWW45cnJ6L2Y5L2QzSE9lWEJRVUZmd1h3RVFDVWxKUU02TisvLzVlM2RpM0paUEsxMW9FMmxVb1ZCb1BCcjRqSXdCeGpEL3ErdjVmdiszdUx5RmdSaVFDSStMNWZGZ2dFSGdGdzRkYk9TVVJFWGNkd1RFUkVSTDNLZGQwVEFKUzBMbGJWSTEzWHZiaFZlVEdBTDZycVdhN3JqbTlWVnh1TlJsOEdnRlFxZGI0eDVqb1JlUVhBK3dCZ2pCa05BTDd2ZTVrR2p1TnNWTldOSWpMUGRkMTcxcTVkZSsycVZhczJkMmJjZmZyMDJVZEVmZ2RnczZyNnJldEZ4QUFvRGdRQ2h3Sm9OOGhuV0d0dkFQQWozL2YzRUJIak9FNkxlbFZkQ3lEUnVwM3J1dThCMkR0WG53ME5EZjJycTZzL2ErK2M0WEI0bElqVWlFaEJNcG5jT3g2UHIycDFTTUIxM1NzQm5LT3ErNG5JeDZyNlhHTmo0N1N1M24wbkl0clJNUndURVJGUnIxTFZid0tZbEYwbUluMUZ4S2pxajF1Vlo5WkwrYmFxTnJUcTZpVUFMd053Uk9Sc0FBdXJxcXFxc3M0VEZoR0lTSE00OWp6dncwZ2tjclR2KzNjQnVHejQ4T0c3cjFxMTZyUXVYc0t4bnVmOXMzVmhlWG41dUVBZzBIeiswYU5IOSsvVHA4L2g2YkVNVG44OXpGbzdLSDF0RGFxNkhzQlNWZjBRd0JrQW5sVFZCeHNhR21vNmVKeDdtS3F1QWJDd2RVVjlmWDJ5bzRFYlkyNEhVTkJPdGJpdSt5eUF5YXBhRGVBM3F1cUt5QVVGQlFWSGxKYVdqdThvZUJNUjdXd1lqb21JaUtoWGVaNDNwWFdadGZaVUVYblM4N3hSMmVYaGNIaVFNZVlUQUdkNG52ZlhYUDI1cmpzSndBaFZ2YnBWMVNHcStwOVlMTFkrdTdDaW9pSUI0REpyN1FMZjkvL1I2bnpIRzJOMlY5V0RBTUJ4bksrN3Joc0c4RzR5bWV6UzNOK2lvcUlTQUg4RUFHT01wTC9lbGJuckxDS2wwV2owenF6ck9CMUExUE84Tjl2cmMrVElrY1VBaWtYaytXZzArdDJ1ak1kMTNZaXFuaTRpS1FCTzYzcHI3UmxvQ3NiUGVaNzNMUUJKQU1aYSs2eUlmS3VvcU9neUFEL3R5am1KaUhaa0RNZEVSRVMwUTBndm1IVnkrdVZ1cWpyYldudHE5akVpRWxEVldRQU90TllPTThiOHRhS2lZbDJycnR6MHNYT3N0Yk96eXZzQVVHdHR1M2M3alRHdzFtYk9kWXFxVGdWd2xJaGt5bjRHQUtyNnZ3QnVUamViR0E2SDkyamRsNGpzay8yNnNyTFNBOUF2ZmExN0ZCVVZyVmJWaVIzTm5kNmFRWU1HRFV0L1c5ZkZwZzZBaDBTa0JzQjdBSExObmI1WVZUV1pURjZCcG1BTUFINHltYndtR0F4K1MxWFBBc014RWUxQ0dJNkppSWp5ME1FSEh4d3FMQ3dNTkRZMnJnWFFxS29KVlcxc2JHeE0xTmJXSmdDMG1VTzd2WWxJUHdDL2FsVThPZnVGcWdLQUVaRUxBQ0NaVEI2SlZvOFQrNzcvS29CTjJXWEdtSU1CbksycVQ2aHFGVG9obVV3dVQ2VlNYNjZ2cnpkRGhnejVBb0RYa3Nsa1pNT0dEZFZEaHc1TnBWS3AwZWxEYnhhUjl1WWN0eEFLaFE0enhneG8vVmkxcW40YWk4VVc1UmhHc0x5OGZLVGpPSHVJeUI2cVd1aDUzdjltS2gzSEdaYnVaMjFucmluRFduczVtdVoxSHk4aWw3ZXVQL2pnZzRjQU9GUkVGbGRWVmEzSXJxdXFxbHJodW02TmlJd3VMUzNkbzdxNit2KzZjbTRpb2gwVnd6RVJFVkVlS2lnb3VCVEFhY0ZnTUNVaWF3SFVxZXJhd3NMQ09tdnRXZ0IxdnUvWEFWaVRycXZic0dIRHVwVXJWN2FlNTl0ajBnczh0YmtEbXhFS2hhd3g1bnNBVGxIVjUwVGtzVUFnOEphMXRsUkVCa1NqMFg4Q1FDd1dleE5BaTBlUlhkZTlUMVYxeTVZdFArbE9tQnM0Y0dCamVvR3N4cFVyVnphc1hMa1NZOGFNV1IwSUJLNW9hR2g0T2xlZjF0cmhBQzR3eG55UUtYTWM1eTVWZFZzL1ZtMk0rVmM0SEg3Y0dETkpWWGNUa2QzUmRIZDNlaUFRbUE0QXF1cUx5QklBemVIWUdETVVBRVRrcTliYXZkT0xpeTFXMWJtdEh4L1BDSWZEQndLNEJjRHZQTS83cSt1NmJjSnhJQkFvRlJGcDc0TUVWVjBtSXFPRHdXQUpBSVpqSXRvbE1Cd1RFUkhsSWQvM2J6VEczSk5LcGZaMEhPZEFWVDBBd0FFaU1rRkVScWxxd0hHY0JsWGRuRjRvcW1IdzRNR2JCdzhlL0FHQWQxVDFIUUMxdnUvWDF0ZlhyNnl0cmQzUzNiR0V3K0VwSWpJOVYxMHltU3l2cXFwYVlhMzlzNGg4SVIzKzVrZWowZThEZ091NjN3VXdCNEFINENnQW1xTWJSMVZQQVZCWlhGeWNqRVFpdzNJYzA2eWlvdUpqZE9MT2VYRnhjZGozL1pVRkJRWGp3K0Z3bS9yMFhlN0ZxVlRLQmZBaUFFU2owWWxBN3NlcVhkYzlYMVUzQXFnRnNGWlYvMGRFWnFycTdDMWJ0cXlwcnE2dUE1QnFkWnJNdFl3WGtmRlpqMy9mYmEwOTAvTzg1N0lQVG04VDlSU0FSREtadkxLRHk5c3JmUTFyY2xXbVAxQ0I0emlETytpRGlHaW53bkJNUkVTVWh5b3JLejhBOEFHQVNqU3Q4SnpOS1MwdEhWRllXSGlncW81VzFZTkU1Q0FSMlY5VlF3QU9FWkVDQUVISGNZSURCZ3d3MXRwVkFHb0FMQWRRV1ZkWDkxUm50MFJLSnBQUEI0UEI1Wm5YcXJxN01lWitBTytLU0NhYzdhMnFzMU9wMUZPTzQvekRXdnMyZ0gwQm5LV3EvN054NDhZYmtUc1l3MXA3VFBwTzdPNnF1dFc1dWVYbDVibTJOQUlBR0dNR3VxNDcyZmY5ejBUa1hnRDdJY2YyU2xtQ0lySVp3S0QwdGtrbDZXdHNzMXAxTXBuOFl6d2VmeWpUMEhYZHV3RFVlcDVYMlY3bnFWVHErZnI2K29HMXRiWDFvMGVQTGk0c0xEd3dFQWhjRE9BY0FMK0xSQ0toaW9xS1pabmpmZCsvVlVRTzhYMy9qUGF1RVFCRXBFLzZhODRuQlZTMVFVU2dxb1VkWERzUjBVNkY0WmlJaUloYVMxVlhWNytIcG9XYVhzc3FOd2NkZE5DUWZ2MzZEVmZWM1ZSMU53QzcrYjYvbTRqc0tTSkRBSVFBSERKbzBLQVhPaHVPRnk5ZS9EN1NleEdIdytGRFJlUWhWVjBKNFBoNFBONWk3bkE4SG8rNnJ2c2pWWjBESUtHcXg4VmlzZGM3Nmo4OXA3WmVWWmNBU1BxK2YwMnU0NHd4OXdMWTkrT1BQMjdlTWlrU2lmUlIxZkdxK3AxMFh3dWF2alF0ekNVaVA0bEdvNWw1MGs0NEhDNUxKQkx2WmZZQURvZkRQeGFSNjlQOWYwZFZiMHgvWDVqKzJyeGF0VEhtREtSWHMrNnM3UGVucHFabUk0QW9nSE5kMTAySXlQbXEraU1BbDZmSGNpS0Fud0I0TWhhTC9hYWpmbzB4eWZUMXRmZTNZZ0VBcUdwOVY4WkxSTFFqWXpnbUlpS2l6dktYTDErK0RzQTZBRXNCWU55NGNZY0VBb0Z6QVRRMk5EUmNJaUlhREFhSE5qUTA1Snp2MnA2U2twSUIvZnIxdTg0WWN3V0FGeHNhR3I2ZnJuS3N0YnVuVjM3K0RBQ2kwZWdqNFhENE0yUE1ZNnI2U0NnVW1ob0lCUDZRM3BLcEJXdHRDTURYVlBVK1ZYM0RHUE1iWTh6N251ZTltMzFjZVhuNTRTSVNWdFdic2tPOXFzWUJISUQwWFdrUnVUV1JTRHllWHBUcTVPdyt4bzBiTjh3WTR3V0R3VE1BdEFtZjBXaDBPb0RwNlhGNTZmTzFXSzA2RW9rRUU0bkU3b0ZBWVBmMCtiL291bTVmVmQxZFJIWlgxZDBCMUh1ZU42bDEvOWw4MzMvTUdITStnTEwwK1VwRjVBbFZYWlpNSm4vVVVkdDArMCtNTVZEVkllMGNNZ3dBakRFNUg3c21JdG9aTVJ3VEVSRlJwNDBhTmFxb1Q1OCtnd29MQzQ4QWNDV2F0azJxQjdDd3NMQndjM29ScUM0dDBHU3R2VDU5ZDdmQTkvMkxZckhZN0hUNUl0ZDFEMGtmbGtnbWszL090SW5GWXI4ckt5dXJDQWFERHppTzg0enYrNTlZYTMvbGVkNnRyYnEvSGtBeW1VeitzcXFxYXFYcnV0Y0NlQURBMTVFT3ZPWGw1WDBkeDNrRXdEdDFkWFYzWmpkVzFaa2lza0pFNmdHOG5Fd21mOTk2OWVhTVFDQXdJUDN0cGx6MUdhRlE2QWdST1NEOWNsSlpXZG5IanVNTUVKSFhWSFZJSVBEZlA4OUU1QmhWSFNVaS82ZXEvd2VnSmozZnUwT3BWR3BqT3R4bUhqVy9CRUIvRVJrYkNBUStjMTAzMS9qZmQxMFh2dTlQQnJBa1hUeTJuVk9NQVpCS0pwUEwycWtuSXRycE1Cd1RFUkZScDVTWGw0OTJIR2NhZ0lsb0Nsb0xmTisvQWNDYmpZMk5sZFhWMWUzdUg3d1Y5YXI2YkNLUnVHWHg0c1hOZHlKVmRZcUlqUFI5WHdIRTR2SDR5dXhHNlpCNlF2cFI3QXQ4MzErUVhlKzY3Z2xvV3RuNm5reWc5WDMvQWhGWjZMcnVMNkxSNkRXUlNDU29xcytvNnY0QWptNzlLTGpuZWY4RE5BWGE5R3JWN1RMRzdBOEFJdEx1WEY0QWNCem5GbFY5U0VTdUFqQTVFQWljNy92K3lRQitCR0JOS3BWYVk0eFpZNHhaQitCMnovTmFiMisxVllGQTRPajB0MHZTWS9vYjJpN21CUUJRMWErSnlDZ0Fqd0xZWkl4WkVZMUdhNjIxSDRqSW9kYmE0WjduTmMvVnR0YnVDNkJVVlY5di9kZzdFZEhPak9HWWlJaUkyaFVPaHcvTjJuODNDR0NrcXY0cWxVcTk0dnYrMmlWTGxueUNkaGJDNml6UDgrNEdBR3Z0WHRiYUZnRmJWWkZaZ2RsYW02djU4NTdublFhZ3hSN0JrVWhrb08vN2MwUmtuYXJlbENtUHhXS0x3dUh3UlFBZXN0WU9VZFc5QVJ3bkl0L0xiQVhWWGFwNmlvaEFSQnJiT3lZVUNuMEhRTVQzL1FzZHg3bEtSQzVVMWFtTzQvd1J3SEhSYUhScDV0aGNkM2REb2REQnhwZ0hVcW5VK2ZGNHZDWVVDaDBqSWw3MnRrM1cyZ2tpY2x0NjY2ZUhBU0FhalQ0RDRKbGNZM0pkZHhTQVVjbGs4b2JzUmJwRVpBNkFtd0RjaWFZRnZoU0FBWENYaUlqdit6TzY5QVlSRWUzZ0dJNkppSWdvUTBhUEh0MnZiOSsrSTMzZi82NklYQ0FpcTB0TFMwK3FycTUrTHg2UEx3WnczSFk2dDJsc2JHd29MQ3c4dGIwRFZIV3dxanJwTzZvdDJxTGwxa3NtSFl4SCtMNC91ZlYrdjdGWWJJN3J1b2NCK0dHNjZNNTBlT3dTVmYwZGdNVUE0THJ1VjFUMVhEUXRFcmJJZGQxN05telljSnVJZUFBZUFwcTJiekxHM0t1cWR5Y1NpUTJPNDBCVmszVjFkYWZ0dHR0dXYwdWxVa08zZGs0UjJWZEVKaHBqQmdDQU1lYTdJdktDdGZadkFPcEU1QUJWL1dMNmFlckxvdEZvdkt2WGxaRk1KdThNQkFLVFJlUXMxM1hMVkRVcUlvY0JLRWZUb2w1ZFdqeU1pR2hIeDNCTVJFUkVnWEE0ZkppSUhBbmdhRldkSUNKMUFGNzFmZjgxeDNFMmJ1OEJoRUtoVTR3eHM1TEpaRms4SGw5bHJmMnFpUHhDUk1aWFZGVFVBNEMxTmlZaUs2UFI2RWtBVUZaV05qZ1lETDd0dXU2VDBXajA4a3hmMXRyN1JPUVVBRE5hQmJpQTY3cmZWTlZMQUJ3Tm9BSk5kOE92ZGwxM2dxcmU0WG5lbjVHRE1jWUJBQkZwdmt2dWVkNE5rVWlrait1NjE2bnFqU0x5dHFvZUMrQUhBS2IyNzkvL0xCRzVJUnFOWGdzQWhZV0ZVd0I4YUl6NUdZRG1JTHhxMWFyTnExYXQrbnFPMC9xcTJ1Slo3c3hjNWM4Kys2d20vZm9GQU9IMHo2NlBxbjRNNERrUitaOW9OTHFnVFk5ZEVJL0hONFhENGFPTU1UOEZjREtBZzFYMUhSRzVJaHFOM3JNdGZSTVI3WWlrdHdkQVJQbkxkZDJiQU53Y2pVYjVmeEZSTHdxRlFvY1pZLzRBb0IrQXZ3TjRQSkZJTFBKOWY4MDJ6Q1B1Q25GZDk5K3F1c0h6dkdNQVlOeTRjWHNIZzhGYUVia2xHbzNlQVFEVzJtK0p5Ty9UZDRQL0NBQ3U2MDREOEZNQUYwU2owWWVzdGQ4VWtUK3A2dk9lNTUwY2lVUUtVcW5VTWNhWUU5RVU4SVlDcVBGOS8yZXhXT3lKZEw5bkE3aE5SUFpTMVE5RTVGWGY5LzhLNEVVUk9VNVZCNHZJTjBYa0d5S3lGNEErdnU5L0liMVkxbVFSR1FUZ2hjYkd4dk15YzZiTHk4dEhPbzR6UTBST0JsQ1ZTcVV1QTdEV2NSd25HbzNHUzB0TDl5Z3FLbHF0cW9kbXIxYWR6VnE3UWtRK1U5VVpxcG9DRURUR1RBV3dLUnFObG0rM253WVJVWjdpSDZSRTFHc1lqb2srZDRFeFk4WU1MQ29xS2dQd3ZWZ3NkaUdBSkFCWWE2OUtKQkxQcHZjYy9seFphMzhnSW5OODN6OG1Gb3Y5TGF0OHRvaDhlOE9HRGZ2VTF0WnVTSmU5S1NJTjBXajAyUFJoWXExOUNjQXh5V1R5MEtxcXFpWFcycHMyYnR4NGgrTTRCWDM3OWwwQ1lHODBMVWIxWndBUFJhUFJGOUh5TVd4RUlwRSt2dS8vQU1DUFJLUlVWYXVOTVY5UTFUdlI5UGgxVWxVZjl6enZCK0Z3K0tUMGh3a2JBUHhaVlIvd1BPK05kcTd0TkJHNVYxVXY4VHp2dDVueVRvYmpVMFRrWGdCN0FNaXNQRjBySWovWTFydkNSRVJFUkxRRGNWMzNKdGQxdDJraEh5TGF1akZqeGd5MTFuNHJIQTdmYmEzMXJMWDFydXRHUzB0TDkrbnRzUUdBNjdxUjlCM2dGaUtSeUQ2aFVPaXc3TEp4NDhidFhWSlNVdGpxdUdIVzJxc0F0RmxPT2h3T2Z6RWNEayt4MWc3djdIaXN0UlBMeXNyMnp5cHkwRFN2T2Z1WVVLN3o1VkphV3RxdnMrY21JcUxldzdzMVJOUnJlT2VZYVBzS2hVSWpqREdYaU1nM1ZYVVBBSU1BdktDcXYyNXNiSXhXVjFkL2lQU2RZeUlpb256SEJibUlpSWgySFlHU2twSSt0YlcxR3dGb2VuN3MyYXE2RWNDcyt2cjZlMnRxYWo3czVURVNFUkh0a0JpT2lZaUlkbTRTQ29YMlV0WHh4cGdqUkdUc3VISGp6bHE4ZVBHYVdDem1oVUtoc3padjNseXhmUG55MXRzZkVSRVJVUmFHWXlJaW9wMlRLUzh2UDh4eG5MTUJIQWxnVHdEMXF2cFVJcEdvVHgrVHJLeXNmS1gzaGtoRVJMVHpZRGdtSWlMYXlZd2JOKzZBWURENGF4R1pnS1lWazVlcTZ0MTFkWFZQclZxMWFuTnZqNCtJaUdobnhIQk1SRVMwZzNOZGR5eUFzWTJOallzV0wxNzhmakFZM0tDcTgxVDFCUkdadjJYTGxuaDFkWFZqYjQrVGlJaG9aOFp3VEVSRXRJTUtoVUluRzJPK3A2b1dRTjlnTURnRndQdWU1NjBiT1hMa2RONGxKaUlpNmprTXgwUkVSRHVROHZMeWNTSnl0akhtSEJIcG82cWZxT3BySXZLQTUzbHZwUTlUQm1NaUlxS2V4WEJNUkVUVXkwcExTd3N5ajBVN2pqTUR3RDRBL3VENy9rSUFmNHZGWWl0N2RZQkVSRVI1Z09HWWlJaW9GNFRENFVFQVRoS1JjMzNmdncvQXN3Q1FTQ1F1RnBFdEJRVUYvMWRSVVZIZmNTOUVSRVRVVXhpT2lZaUlQaWY3NzcvL3dPTGk0aEVGQlFWbkFqaGJSSW9BZk9vNFRrSG1tTVdMRnkvdHZSRVNFUkhsTDRaaklpS2l6NEhydXRlbzZsY0FsQU9vQVREYjkvMDMxcTlmdjJEbHlwVU52VHc4SWlLaXZNZHdURVJFdEIyNHJsdVNUQ1kzeE9QeHRRQ2dxaUZWWFNFaXR6WTBOQ3hmdW5ScEhZQmtMdytUaUlpSTBoaU9pWWlJZWtBa0VnbjZ2ajhvbFVxVk9ZNXpHWUF2R1dOdUFuQVhBSGllOTczZUhTRVJFUkYxaE9HWWlJaG9HNFJDb1JFQXZwaEtwU2FLeU5HQlFPQUFWVjJrcXZlS3lOOTdlM3hFUkVUVU9RekhSRVJFM1JjMHh0d0o0S3NBTmdMNFhTS1JlQ3FWU24xUVhGejhVVVZGUmFLWHgwZEVSRVNkeEhCTVJFUzBkVkplWHQ3SDkvMGhqdU9jYUl5SmU1NzNCb0NFNy91LzkzMy9tWTBiTjc3Q2hiV0lpSWgyWGd6SFJFUkVIYkRXaGxUMWFCR1o2RGpPRVNKaVVxblVIUURlQUlES3lzcTV2VHhFSWlJaTZnRU14MFJFUkcxSldWblpjWUZBNEZJUkNZbklicXBhbzZwM0poS0p2eFFXRnI3YjJ3TWtJaUtpbnNWd1RFU1VKMGFORGRjS2NFQnZqMk5ub0twSXFFQjhSZEpYTkthQXBLOGhFUWtCZ1RzMzFhZXczOWh3Ync5emg2R0tGQlRUVnRiRXB2ZjJXSWlJaUxxTDRaaUlLRThJY01EeHh4Nk40NDg3cHJlSHNsT29yNitIaUtDNHVMaTNoN0xEdSthNm14d1Y3Tm5iNHlBaUl0b1dETWRFUkhta2RPeG9uREw1bTcwOUROckZYSFBkVGIwOUJDSWlvbTFtZW5zQVJFUkVSRVJFUkwyTjRaaUlpSWlJaUlqeUhzTXhFUkVSRVJFUjVUMkdZeUlpSWlJaUlzcDdYSkNMaUhaSXFxcTlQWVpzSWlLOVBRWWlJaUlpMm41NDU1aUlpSWlJaUlqeUhzTXhFUkVSRVJFUjViMWROaHlYbHBZV1dHdjMydForSXBGSU1CUUtXYlR6WG8wZVBicC82N0p4NDhidDN0N3g3YkhXSHVlNjd1VHVqWktJaUxabS9mcjFlTzY1NS9EQkJ4OTBxZDJLRlN1d2Z2MzY3VFNxSnI3dlk4dVdMZGpCWmhNUUVSSGxsVjEyem5GaFllRmpJcklmZ0FrQXR2clhSbmw1K1c2TzQ0eEpwVklmeCtQeHhabHkzL2QvNERqT1ROZDFENGxHb3hYWmJWelhuUTdncTZOSGovNUNUVTNOeG5TeEZCUVUvTWxhMitCNTNyRUEvTTZNVjBTdUFGQUM0QStkdkVRaW9wM2VraVZMOEs5Ly9RdG5uMzAyUkFSTGx5N0ZKNTk4MHVWK0RqbmtFQlFVRkhSNHpJY2Zmb2hiYnJrRmQ5eHhCMGFNR05IcHZrOC8vWFJjZXVtbE9QMzAwMXVVcjF5NUVxKy8vanBlZi8xMTNIampqUmcxYWxTWHg1M3g4c3N2NDRZYmJzQ2pqejZLc3JLeWJ2ZERSRVJFM2JkTGhlUFMwdEorbWU5OTMzL0ljWnhYUTZIUTBZbEVZaEVBRkJjWCt4VVZGZlhXMmtjQkRBWXdRRVFHcXVxK0lqSUVBQnpIK1N1QTR3R2dwS1NrRU1CMXFocnpmYjg0RkFvZEFRQ0pSQ0pXWFYzOVdTS1JlQ0lZREY3Y3AwK2ZSd0Y4Q3dCYzF6MGJ3T0dxK2tOME1oZ1RFZVdyZWZQbTRkRkhIOFdTSlV0dzIyMjM0Zjc3NzhjLy92R1BMdmZ6MGtzdllmZmRkOThPSTJ6cjJtdXZ4YUpGaTVwRC9KZ3hZL0RPTys5c1V6Z21JaUtpM3JmTGhPTndPRHpJR05QbWRvUGpPUE1jeHdFQXFHb05nREVpY2dhQU9JQnFBREVSV2UzNy9nZkdtUGRTcWRSL01tMzc5ZXQzcFlpTUJMQ240emgvVTFVUkVlTTR6aUVBS3FxcXFxckM0ZkNQUldTNnRiYlU5LzFQVmZWdUFFL0VZckU1WGIwR1ZjMjVHdTdJa1NPTFY2MWF0UVVNMjVTbkprMmFoRFZyMXVTc1c3QmdBZnIwNmROdTJ3OC8vQkNUSjA5R01wbk1HYUNTeVNSKzg1dmZORDl1TzNEZ1FFeWNPQkVYWDN3eEJnNGMyS1BYUVcxZGNza2xHREJnQU82NTV4NmNkOTU1bURadEdpNi8vUExtK3ZuejUrUEJCeC9FRTA4OGdZS0NBcHgvL3ZrNC92amo4ZTF2Zjd0RlAwT0hEdTMwT2R0N2RMbSt2cjdEMzZXTU45NTRBd2NkZEJBdXUrd3lqQjgvSHNPSEQ4ZkpKNStNYTY2NXBzMnhGMTU0SWM0Nzc3dzI1VXVYTHNWOTk5MkhXMjY1QmNPR0RXdFR2Mzc5ZXR4ODg4MjQ0b29yc08rKyszYmlxb2lJaUdoYjdUTGhPQmFMYlNndkx5OXpIT2NycWxyaCsvNjZUSjNqT0JaQVAxWDlhMWFUdTZQUjZKUHQ5UmNPaDc5b2pMbFZWVy96UE85R0FMRFd2Z2hnbjRhR2hpcHJiYW1JSEpzT3RQZUp5TEhHbUZNQTlCR1J4YTdyWGd3QXF2cU01M2wxbmJ5TUVtdnR2cDdudlpzcGlFUWlRZC8zNSs2MjIyNGJST1NNaW9xS1JPZmZGYUpkdy9yMTZ6Rmt5QkNFdytFMmRaa1B2OXJ6d0FNUElKbE01cXhUVlV5ZE9oWHo1OC9IUGR1MHd3QUFJQUJKUkVGVWZ2dnRoNjkrOWF0WXRtd1o1czZkaTFnc2hzY2VlNnhUWWVuek5IYnMySDFGNUtQcTZ1clBlbnNzUGVXc3M4N0N3SUVETVgvK2ZCeDAwRUVJQm9QTmRaV1ZsUUNBQXc4OEVNRmdFSTdqWU1pUUlTZ3BLZW4yK2Q1NjZ5MmNjTUlKTGNvV0xWcUVxVk9uNHM0Nzc0VHJ1bGk3ZGkwOHp3UFE5SHV5Yk5reXZQTEtLODIvZ3hNblRzUTN2dkdORm4xWWF6Rng0c1RtMXpObnpzeDUvdVhMbDJQS2xDbFFWYXhidHk1bk9GNjllalhpOFRqT091c3NUSjgrSFljZGRsaTNyNWVJaUlnNlo1Y0p4d0Q4ZUR5K3pIWGRwMFJrVWl3V094NkFYMUpTVXRpL2YvOW5BUVFkeDNtc014Mk5IajI2djRnOHE2cFJ6L051QlFEWGRjOVIxZU44M3g5ZlhWM2RhSzB0QlhCeDF0YW5BMFJrVDFXdEJYQnU4NkI4Zno2QXVuQTRQTVVZczF2cmM2bnFDcy96SGdjQUVURUF6Z2R3WGJwYVZQVVJFVGtCd0RNVkZSVmNxWVh5VGtOREE3WnMyWUtKRXlmaTV6Ly9lWmZhTGwyNkZILys4NTloaklIdnQzM3c0cVdYWHNMOCtmTXhjZUpFM0hubm5RZ0VBdkI5SHovNXlVOHdiOTQ4L1BhM3Y4VVBmdkNEbnJxVUhsRmNYSHlPcW43WmRkMi9KQktKeDZ1cXFsYjA5cGg2d2trbm5ZU1RUanFwVFhraTBmUjVZSFpnYnMrS0ZTdnc2cXV2NXF3NzhjUVRtNy8veTEvK2dxdXV1Z3I5K2pYTnhGbTZkQ211dlBKS2lFanpoeTAxTlRXNDlkWmJBVFE5WGZES0s2L2d0ZGRldysyMzM5N3UrY2VNR1lNenp6eXorZlhERHovYzVwaGx5NWJob29zdWdxcGk1c3laR0RObVRNNit4bzRkaTBjZWVRUVhYM3d4THI3NFlseDc3YldZUEpsck5oSVJFVzFQdTFJNEJvQmtLcFU2elhHY1JhN3JIaDJOUnVmMTc5Ly9GaEhaQzhDRWlvcUsrczUwVWxOVHM5RmEreWFBYjFwcjF3T0FxaFlEZ0lnc3ROYkNHRk5hVVZIUi9GZU42N3BuQUhoaXk1WXRSMVpYVi85ZjZ6NUY1R3hWTFcxVlhBeGdIb0RIczhvdUtDOHZ2eU1lanplNHJqc2J3UGNBUEJtTlJzOEdrT3I4VzBHMGE4aXNFang0OE9BdXRVdWxVcmo5OXRzeGF0UW83TEhISHZqblAvL1o1cGhubm5rR0FIRFZWVmNoRUdqNjc5QVlnOHN1dXd6ejVzM0Q4ODgvdjhPRll3QURBVXhRMVFtQlFPQ0djRGhjS1NKUHBsS3BaK3ZyNnpmVTF0WnVSQ2NXSWR3UmZQenh4N2p5eWlzeFpjcVU1anVqUzVZc3dmbm5uOTk4VE9hdS94ZS8rRVVBVFIrVy9Qclh2OGJqai8vM3Y4MnJycm9LSjU5OE10NTk5OTBXNVVEVEt0Q05qWTA0L1BERG14ZnNhbWhvd085Ly8zdWNmZmJaV0xKa0NTNjU1QklZWTNELy9mZGozTGh4QUlBamp6d1NmLy83M3dFQTQ4ZVB6N2tnVjFjdFdMQUExMTU3TFlMQklHYk9uSW14WThkMmVQeSsrKzZMUng5OUZGT21UTUh0dDkrT3VycTZGdThORVJFUjlheGRKaHk3cm5zZGdDTUJRRldYaThnMXJ1dGVBK0JMcXJwS1JIN3B1aTVVOVdlZDZTK1ZTbDBSQ0FSTzhYMy9IQUF3eHZ3R3dNbSs3eGNiWTM2VFNxVzZ0RldUNTNrdG5va3JMUzB0S0NvcVdxdXEyU3RnYjFEVndZN2pYT0c2cmd0Z3NxcmU1M25lWmVCOFk4cFQzUTNIVHozMUZKWXRXNFlISG5nQVR6MzFWSnY2VHovOUZFdVdMRUZKU1FsR2poelpvbTdreUpIWWQ5OTk4ZTY3NzdiNzJPc093b2lJQldBRGdjRE4vZnYzZnlzY0R2OGR3TDhhR2hyZVdyWnMyVWU5UGNDT3BGSXBKSk5KVEpreUJlZWRkeDdPUC85OCtMNlBob1lHbkhubW1SZ3hZZ1JlZSswMUxGbXlCSmRlZWlrQTRKNTc3b0cxRmtjZWVTUlNxUlNtVDUvZWZIZjVtR09PYVE2MEdZODg4Z2dlZlBCQmxKU1U0TDMzM2dNQTlPL2ZIMDg4OFFUMjMzOS9USnMyRFgzNzlzWE1tVE14ZXZUbzdYYXRMNzMwRW02NjZTYnN0dHR1dU8rKys3RGZmdnQxcXQzUW9VTXhhOVlzVEpreUJiTm16Y0xnd1lQYnpMY21JaUtpbnJITGhHUGY5NWVJU0NycnRZaUlBK0J2d0g4WFlCR1J0ZW5YYzZ5MUQrYnFTMFR1U0NhVGo2ZjdpUVBJUEpicCtiN2Z6NWltWER4bXpKaWhmZnYybGZSeC9VUUVoWVdGUXlLUlNCSUFHaHNiVTFWVlZUbjNKQ2tzTER3QndFQVIrVjFXOFdvUldRVGdObFgxQWZ6WTg3ei82ZmFiUXJRTCtQVFRUd0VBYjc3NUp0YXNXWU0rZmZxZ3BLUUV4eDU3TFByM2I3UE5PQURndmZmZXc0TVBQb2d2ZmVsTE9Qend3M09HNHhVcm1wNUdibS91NnFoUm8vRHV1Ky9pL2ZmZjMrSENjV1k2Ui9iQ1VxcmFIOENYakRISEFQaWt1TGo0QTJ2dFAxUjFibU5qNCt2VjFkV052VFBhOWcwZlBoeHo1c3pCOWRkZmo5bXpaMlBqeG8zTmM0R1BQZlpZbEpXVm9iS3lFaU5Hak1BcHA1d0NBSmcxYXhaS1MwdHh5aW1uWU11V0xaZytmWHFINTNqMTFWY3hZY0tFNWtlb2dhYXRtV2JQbm8wcnJyZ0NKU1VsbURGakJ2YllZNDlPalRtVjZ0NERQT1BHalVNb0ZNSWRkOXlCM1hack04T21RNE1HRGNLc1diTncvLzMzdDVublRFUkVSRDFubHduSHNWanNqOW12dytIdzBTSXlQNWxNN2gyUHgxZGwxN211Q3hHWm82b0wwMFUvQi9BMmdJY0JJSmxNTnU5em5INGtHd0NncWlORnBIbDFudUxpNGc5VXRUQjlYT2I0SlprL1dJUEI0RHRvMnJ1NGpmUmoxdi94UEsraVZmbk5xbnFxaU15TFJxTTlHb3pMeXNvZURnUUM1MmJOays1UjdhMEEyeE45ZG1YTTdZMmpvejYyTnZaY2JUdDd2ZHY2Zm5mblBjZyt0cXMvbCt6ak8zdk9WdWRvYzhMMjNqL2Y5MVZFWUsxOU8xYzc0TDkzanF1cXFsQlZWZFZjZnZmZGQrUFdXMi9GVVVjZDFlTDRaREtKYWRPbUlSQUk0TW9ycjJ4M3pIVjFUZXZrRFJreUpHZDlwbnpqeHFZdHpGM1hqV3ZiTjdQRDF5TFM3cHVmbzYrdDlhZnBkdnRrL1grVHExOEh3REFBdzBRa0pDSS9LaW9xV21hdG5ibCs4NDczQUVwUlVSR21UNStPT1hQbTRPU1RUOGJxMWF0YjFLOWN1YkpMZXhKbmUvdnR0MUZUVTlQbWNlaDk5OTBYWC92YTEvRDg4OC9qdXV1dTYxUXdmdU9OTi9DblAvMnB4VXJhWGJIUFB2dGd6cHoyTnpHWU1HRUM1c3laZy8zMzN6OW5mZi8rL1RGMTZ0UnVuWnVJaUlnNlo1Y0p4d0JNT0J3ZTBQekNtSDRBNERqT2dIQTRQQWdBTm0vZW5LcXBxZG1rcWtaRUZuaWU5d3dBV0d1bkFuakg4N3luTSszTHk4dEhwdHUva2lsekhHZEJxM05PQnVBQWdLb2VMU0pYQWZnK2dQVUFrRXFsTnVVYXFMVTJwS29ucFk5dm9hS2k0aDFyN1F3UnVjcGFlMnIybUxhVnFsYXE2a1lSMmZyS05tM2JTdnByenZvY2Y2UjNPeEhtT2tmMk5sZGRDWDdkRGFhdDJtMjFrMjBNd0IwMmJxL3YxdVd0N2lKMmFRRHRiU08ydFg1eTFiY1gzRm9mYTR3eDJyUS9HZ0Q4SlVmM0J3Sk5xd0svL3ZycktDb3F3cFl0Vy9EZWUrL2gyV2VmeFhQUFBZZHJycmtHenp6elRJdjlaV2ZPbkltbFM1Zml0dHR1NjNEZjI0YUdCZ0JBWVdGaHp2ck0vTlRHeHVZYnJ2OXM3MmZSeWZldm81L3oxbjRIbXV0VnRRK0FOaGZXK3YwVmtaU3FyZ1d3VkZWZjluMy9yVzM0WjdsZEdXT2E1OUptaCtOUFB2a0VTNWN1eFZlLyt0VnU5VHRyMWl3TUdUSUV4eDkvZkp1NkN5KzhFUFBuejhjZGQ5eUJ4eDkvdlBubm5iRm16UnE4OHNvcm1EZHZIaEtKQktxcXFqQng0a1Rzczg4KzNSckwxdnpqSC8vQURUZmNnRGx6NXNCYXUxM09RVVJFUkIzYlpjS3g2N3I3bytudWJ3c2lzaVR6ZDJYZnZuMXJ5c3JLSm9pSXBGS3BuSTg3dDZhcTRYUS9NUkVwU1Q4K0hRTUF6L1ArbkhYK1FRRFEwTkR3MTF3TGNyVnlxNGg4bEV3bUg4cFYrY2tubjF3L2VQRGdyNHJJZzZGUXFLcXlzbkpKWjhhNk5Zc1hMNzYzcEtSa1ZqS1o3UFpmeUN0WHJ1eE1XMm4xdFRQSGQ3d2ZENEJCZ3dhMUYwRGFsUHUrMzVrNTRkSmVxT25nZU5QZU9iT1B5MVdZcTAxeGNYR0g3NVdxNWh4amNYRnh6aE5uSGQvaGRYVTAvaHgxMGpwQXRqNm05VGxiQjQxYzV4ZzZkR2cxZ0xjQVRQajQ0NC9iZkZBRVlBclE4bG9EZ1FER2poMkxtMjY2Q1lGQUFIUG56c1h2Zi85Ny9QakhQd1lBL08xdmY4T2pqejZLU1pNbVlkS2tTUjJPSWJNQVYzdVB5V2Jtc1JZVkZRRUExcTVkZTFtbXp2ZjlEdC9mUGZmY3M4Tno1emhYcDM4UEE0SEFMd0FjRExUNzRVVzlxcjZncWsrcDZ0SlVLdlhwNHNXTDF3Rkk3VGUyN1ZaWU93SlZ4VU1QUGRRbUJELzU1Sk5RVlh6aEMxOW9MalBHWU4yNmRhMjdhR1BwMHFXWVAzOCtMcjMwMHB3ZmdPeSsrKzY0K3VxcmNkTk5OK0huUC84NWJyenh4aGIxQ3hZc3dMMzMzb3Z4NDhmREdJT0xMcnBvbXhma0lpSWlvaDNiTGhPT1JlUmRBTTFMZi9xK2Y1aUlQS2FxUnh0ajFnQkFJcEhZQW1Cdyt2aE9oZU5VK2kvblFDQ0FWQ3FWOG4wL2xmbWp1anRjMS8wdWdHK3E2dFI0UEo3enp2TEtsU3NiQmd3WThIM0hjZDUwSE9mUG9WQm9RbVZsNVFmZFB1bC9hVzF0N1pZZTZLZFhaQjZ2M1pWczNyeTVXKzEyaGZkaTZOQ2hFSkVHb09sM3ZxdnR2LzcxcjJQdTNMbW9yYTBGMERTSCtJWWJic0NvVWFNd2JkcTByYmJQekZmT3pHbHVMZk1lRHgwNkZBQ3dhdFdxVHYrd1B2end3ODRlMm1XdTZ5YXlRckVDYUJTUmphcTZBc0NqOWZYMVQ5YlUxR3pjYmdQWURsYXNXSUdISG5vSVJVVkZhRnFMc0dsLzQ2ZWVlZ29USjA1czhXUkFTVWtKNXM2ZGk1ZGVlcW5kL2hLSkJHNjU1UllNR2pTb2VhNXlMbC8vK3RlYkg1ZmVjODg5OGNNZi9yQzU3cWlqanNMUlJ4K05ZY09HWWZ6NDhUMXdsY0NxVmF2dzhzc3Y1Nnhidm53NUFPREZGMTlFUlVWRnptTW1UNTdjL1B0SVJFUkVQVytYQ2NjVkZSV0prcEtTL3d3WU1PRHZBRzVSMWZkRUJLcjZxYXJlQWVDNmVEeituM0E0ZkpLcXF1TTR5enZUcitNNHpjKzNpY2doanVNVUE0QXhabTlyYmZOOFlsVTlXRVJRVUZCd3BMVzJPWGdiWS81VFVWSHhEZ0JFSXBFOWZkOS9RRVNxakRGM2QzVGVlRHdlRFlWQ1p4cGpublljNS9YeTh2TGo0L0g0ZjdyMnJoRHR1dnIwNmRQaTlkTlBQNDM2K25xc1hMa1NSeHh4Uk00Mm1idkpkOTExRnc0NDRBQUF3SC8ray91ZjFjcVZLMkdNYVJITWRoUWkwcUNxeXdBc1ZOVktBSXM4ejZ2czdYRjFsK2Q1QUlCRERqbWtlVC9xaFFzWHduRWNYSGJaWlMyTy9jVXZmb0dGQ3hkaTgrYk5TS1ZTK05uUDJtNUE4T0NERCtMdHQ5L0d6MzcyTS9UdDI3ZkRjOTl5eXkxWXZYbzFIbnp3UWFocTgrUGR3NGNQNzlUWU4yM2ExR2FlZEVick8vc2ZmUEFCSG5ua2taekhacDVnZU9tbGw5cWRTbkhVVVVjeEhCTVJFVzFIdTB3NEJvQUJBd2I4VUZXdGlOUWlQU2ZQY1p5TnZ1K1BGcEduUzBwS0RoT1I4UUNxS3lvcWN0OHVha1ZFWnFtcXI2cWJBRHdxSXBuSGRiOGxJcGUxUHQ0WTgyejI2MVFxOVZNQTE0OGNPYkxZOS8zL0ZaR0JxdnFWYURTYTJOcTVLeXNybjNWZGR5OEF2d3dFQW44UGg4T254R0t4TnpzemJxSmRYZWJ1V2lia0huTElJWENjM0UvbkwxaXdBS3RYcjhZM3Z2RU5GQmNYWStUSWtkaDc3NzB4ZlBod1ZGZFg0NU5QUG1teFZkVHExYXV4WXNVS1JDS1JkaDloN3kzSlpIS2VNZVpQeVdUeW5ZYUdoclU3ODlNZ0daN25vVisvZmhnelpneXFxNnNCTk0wSnp2WGhSTDkrL1pwWHRONnlaVXViY0R4djNqdzg5dGhqT09xb28vRGxMMzk1cStjdUxpN0dQZmZjZzNQT09RZXpaczFDWFYwZHJyNzY2ZzZuQnZpK2o3cTZPc3lZTVFOejU4N0ZpU2VlMkZ6KzBVY2ZvWC8vL2xpK2ZEazJiZHJVSXB3ZmZ2amhiYmFheW5qcHBaZHd3dzAzNFA3NzcrZWNZeUlpb2w2eXk0VGprcEtTQVFDdUEvQmtOQnBkR2c2SGR3ZWFINlUrMTNHY04vdjM3MzhSZ0ZOVmRlN1cra3Ntayt1Tk1WYzNORFE4a3IxWGFIcC80bjJTeWVScVk4ek5tWEpqekhjQXpFcWxVcU16MjBVQndQcjE2eHNBbU9IRGh6OHBJaE1BWE9sNTNyODdlMTNSYVBSWDF0b1VnRjhaWTE1M1hmYzcwV2owRDUxdFQ3U3pXN1JvRWNhTUdkTmkyNlo0UEk2Wk0yZENSSERTU1NjQkFMNzg1UyszRzRZKy9QQkRyRjY5R2hkZWVHR0xSYm9tVDU2TWh4NTZDTC82MWE5dzg4MDNRMFRnK3o1KytjdGZBZ0JPTysyMDdYaGwzUk9QeDUvdjdUSDB0SXFLQ2xoclczeTRZWXhCV1ZsWmwvcXBxcXJDOWRkZmp4RWpSclNaUTl5UndZTUhZL2JzMmJqMDBrc3hkKzVjTEYrK0hBOC8vREJ5VGFGNSsrMjMwZGpZaUdlZWVRYjkrL2ZIcWFlZWl0Tk9PdzBMRnk2RXFtTFNwRWxJSnBNQW11YmVUNWd3b1V2WFFFUkVSTDFubHduSEF3WU0rQUdBZ2FsVTZqb0FTTzl4REFDSXgrTnZoVUtoTHhsajlnQ3dENENaVyt1dnVycjZNd0IzUlNLUm9MVjJlQ3FWR3VJNHpoQlZIZUw3L3JCQUlMQWhPNlM2cmxzUEFJbEVZa04xZFhXTENhSHB4NmtqQUI2SVJxTy96SFUrVlIwaElwL2xxdk04NzE1cjdidXFlcWt4NXBWY3h4RHRxdjd5bDcvZzhzc3ZSeVFTd2VEQmc3RnExU3JFWWpFQXdOVlhYNDBERHp5dzIzMmZlZWFabUQ5L1BsNTQ0UVhVMXRaaXpKZ3hXTEprQ2Q1KysyMU1talFKeHh4elRFOWRCclhqN2JmZlJsMWRYWThzZHJWbzBTSVVGQlJneG93WkdEUm9VSnY2Tld2V0FHajdTRDdROUJqMXd3OC9qS2xUcCtMRUUwL01HWXlCcGxYT2k0cUtjTVlaWitENzMvOStpLzJUSGNmQnRHblRzR25USmhRWEYrUFFRdy9GeUpFanQvbTZpSWlJNlBPeHk0VGo5QjNXVnh6SE9kSjFYUWZBZDlQN2lINENBS2xVcXRvWTgxc0F2NDNGWW0xV3RjNW1yZDBYd0pzQUJxcHFYeEZCSUJCQWV0dVpUd0hVcWVyekFEcDFCN2Vpb21LMXRmWUwwV2gwVGRZNUxnUXdBY0FtQUFlS1NGaFZIMnl2RDgvem5nUHdYR2ZPUjdRcm1UaHhJcFl2WHc3UDg5RFEwSUFCQXdiZ3FLT093dmUvLy8xdGZ2eTB1TGdZczJmUHh2MzMzNDk1OCtiaG5YZmV3Y2lSSTNIVlZWZmgxRk5QN2FFcm9JNHNYTmkwM1h3a0VtbFJmdDU1NTNWNWk3Unp6ejBYa3laTmF0NjNlT1BHamJqbGxsc3djT0JBcUNwZWYvMTFCQUtCZGo5UTZkT25EKzY1NXg0QXdMcDE2L0RHRzI5ZzNicDFTQ1FTellHNnJLd01MNzc0WXM3d0RhRDVFZXZXVGozMVZMei8vdnZ0amowejUvaWlpeTdxOExyMzMzOS9QUEhFRSszV0V4RVJVZmZ0TXVFWWdIcWVWMjJ0blFIZ1M2cjZHWUNmWmxhRURnUUNBMFRrUDRsRTR1S3RkV1NNK1RBOVY3ak85LzExcWxybiszN2Q0c1dMUHdLUTdNN2dQTTlydlh4dEVNQVo2ZjFMTjZycW53QjAvamxBb2p4eDVKRkg0c2dqajl5bVBtYk1tTkZ1WGYvKy9URjE2bFJNblRwMW04NUIzVk5mWDQvOTl0c1BZOGFNYVZGKyt1bW5ZOFNJRVIyMlRhVlNtRDU5ZW91eVREQUdtbjYyMFdnVW4zNzZLVVFFZSsyMUY2Njg4c29XeDNUa3B6LzlLUUJneElnUkxSWjVheThZZCtURUUwL0VoZzBidXR5dXRleTU4VVJFUk5TenVyM2ZMUkhSdG5CZFZ3SE1CM0JNTkJwdDgzK1J0ck9KYjIrUnJ0N0czQUh0Tnphc2wxMTBBUzY3NkVlOVBaU2R3cnAxNjFCUVVJQUJBd2IwOWxCMmVQdVhXaWp3cTVWTFkxZjA5bGlJaUlpNmExZTZjMHhFUk5SamhnMGIxdHRESUNJaW9zK1IyZm9oUkVSRVJFUkVSTHMyaG1NaUlpSWlJaUxLZTN5c21vaDJTTHZDSEY4aUlpSWkybm53empFUkVSRVJFUkhsUFlaaklpSWlJaUlpeW5zTXgwUkVSRVJFUkpUM09PZVlpQ2lQekxoL0ZtYmNQNnUzaDBGRVJFUzB3MkU0SmlMS0U3N2lMaEdVOVBZNGFOY2pxaW1vdnRMYjR5QWlJdG9XRE1kRVJIbmkzV1d4cTN0N0RFUkVSRVE3S3M0NUppSWlJaUlpb3J6SGNFeEVSRVJFUkVSNWorR1lpSWlJaUlpSThoN0RNUkVSRVJFUkVlVTlobU1pSWlJaUlpTEtld3pIUkVSRVJFUkVsUGNZam9tSWlJaUlpQ2p2TVJ3VEVSRVJFUkZSM21NNEppSWlJaUlpb3J6SGNFeEVSRVJFUkVSNWorR1lpSWlJaUlpSThoN0RNUkVSRVJFUkVlVTlobU1pSWlJaUlpTEtld3pIUkVSRVJFUkVsUGNZam9tSWlJaUlpQ2p2TVJ3VEVSRVJFUkZSM21NNEppSWlJaUlpb3J6SGNFeEVSRVJFUkVSNWorR1lpSWlJaUlpSThoN0RNUkVSRVJFUkVlVTlobU1pSWlJaUlpTEtld3pIUkVSRVJFUkVsUGNZam9tSWlJaUlpQ2p2TVJ3VEVSRVJFUkZSM21NNEppSWlJaUlpb3J6SGNFeEVSRVJFUkVSNWorR1lpSWlJaUlpSThoN0RNUkVSRVJFUkVlVTlobU1pSWlJaUlpTEtld3pIUkVSRVJFUkVsUGNZam9tSWlJaUlpQ2p2TVJ3VEVSRVJFUkZSM21NNEppSWlJaUlpb3J6SGNFeEVSRVJFUkVSNWorR1lpSWlJaUlpSThoN0RNUkVSRVJFUkVlVTlobU1pSWlJaUlpTEtld3pIUkVSRVJFUkVsUGNZam9tSWlJaUlxSm0xOXBCeDQ4YnQzYzIybDFwclF6MDRsdG5XMm05MW9ZbFlhNGYzMVBrcHZ3UjZld0JFUkVSRVJOUjFCeDk4OEpDQ2dvTG5rc25raFZWVlZWWFpkYTdyUHVMNy9wdXhXR3gyQjEySTY3clRWUFVWei9QK25WWCthakFZWEFEZ213QXdjdVRJNHVIRGgvOVZWWDhUaThWbUF0QjJPeFM1RzhEbEFDcXp4dklOVlMzczZGcDgzNDlYVmxZdXo5SGZrYjd2MStRNlZXbHA2ZTZGaFlVakFSd29JaTZBQ0FBWHdHb0FZenM2SDFFdURNZEVSRVJFUkR1NHNyS3lzbUF3ZUZSMm1lLzcvVVhraTQ3am5PTzY3b3JzT2xVOTNoaXpwK3U2aGEzS04zdWU5ekFBV0d1UEEzQTdnQTBBL2cwQTQ4YU4yMTFFQnFtcWwybFRWRlRraThoaUVibmZXbnRTS3BVNk54NlByK3JDOEI4QjBCOUFJbGVsaVBRVmthc0IzTFcxamx6WFBVRlZId0F3UWtRS1d0ZXI2bWNBUGtIVEU3SitWcFhqdXU2bEFNNEZVS0txRzBUazFVUWljV05WVmRXSzF2MjBjKzV5VmIwVndKRWlVZ1NneXZmOW44ZGlzVCsyUGpZVUNoM2hPTTVVVlowQW9KK0l2QTlnN3FaTm0yNnJxYW5abU5YbmVnQUR0M0xxUzZMUjZIM3A3eVVjRHA5bGpMbEFWY2VKU0FCQXRhck85anh2RmpyNDRJSzJqdUdZaUlpSWlHZ0hGd2dFcktyK09MdE1SQndBTU1hY3BxcGJXdFh0Qm1DOHFvNXBWZjR4Z0lmVDM1K25xcHVNTVk5bjZnc0tDc0lBb0tyUlRGbHRiZTBXQUJlRXcrRTNqVEV6SGNkWldGSlNNanBkM2xrM2VaNzM4MXdWcnV1dXkzNGREb2VQVG9jK0FPaGpqRG5RV3Z1bDlPdUFpUGdBM2dMd29hb2VJU0pyVlBVbmlVU2ladkhpeGF1UUl5QmFhNThBY0JxQUZhcjZHeEVacWFxbkJ3S0JyNFZDb2NOejNiVnVOY2J4QU9ZREVBQXZxR3BDUkw1cGpQbERPQncrSnhhTFBabzEvbStMeU5PcXVoN0FQQkZKcGNkNWRkKytmYjlTWGw3K2hYZzh2Z2tBVlBWUEFQcm1PcWVJZkJIQUhxb2F6N3FPZTBUa1lnRHZpTWdmVlhVQWdPTkVaS2ExOWxEUDgzN1EwWFZReHhpT2lZaUlpSWgyY0o3blBRN2c4ZXl5MHRMU1BZcUtpbGFuVXFsdlYxWldMc3l1czliR1ZQV0ZXQ3gyZmE3K3hvd1pNMVJWVHhLUnh5b3FLajdOcWpvRUFCekg4VnEzaWNWaWoxbHJZNzd2RDhrT3hxN3JsZ01vQndCVkZRQ0h1cTU3aHFvMmVKNzMrNjVlcTRnOERhQmZ1cjgrQU00RzhEMEE4SDMvZ2xnc1ZwSjFuWDlWMWM4OHovdHJlLzFaYXc4UmtkTUFMTml3WWNQeG1iRmJhMDhWa2Q4NmpuTWpnRE02R0pLanFvK0pTRUJWajRyRlltOW05ZnVtaU53OSt2L1p1L1BvcHFxMURlRFBQa2xIV2dSa0hxUm9zVkJMbTV3S09DR0tDamhQMTVFTGlIREZnU3NJZW04QkJWUVVBVkZRbEVFQlJWRkJWRkFVUjBERXk2RE5TUXUwekJZcVpTcVVvUzBka3ZOK2Y3VEoxN1RwZ0JZajlQbXR4U0xaZTU5OTNvU1UxVGQ3aW9uNXhETWlySlNLQnpBNUp5ZG5YRVpHUmdGUU1qVzlhZE9tU3dEMHRGZ3Nnd0c4QWdDR1lmVDNkOFBFeE1RV0lySlRSTDR6REdOMW1hcG9BSDBkRHNmN25vSzR1TGcyUVVGQjY1UlNEK3E2L3FiRDRVaXU0clZRRlpnY0V4RVJFUkdkUVVxbkZqY0FFQ3dpc3l3V3kwVjJ1NzExdVdiZkE4aXoyKzMzQWtnMURDT3RiR1ZZV0ZpY1VpcEVSUHJiN2ZZK1phcENBTUEwelRTNzNlNzMvcHFtd1ZPbmxKcUdrdW5TWTB1ZkEwQS9BUDJVVW9jQmVKTGpXSnZOZGxzbEw4bG5lclJoR00zTHZOWXRwbW0rN1hRNnE1MXlYWVg0MHI5bmwwM3FEY1A0eUc2M1R5bE5aaXRsdDl0N0txVXVGSkYzUFlseDZmVy8ydTMyRDVWUy9jTEN3bTRHOEVGcDFXdUdZUndxMjhmdnYvOStzbW5UcHVNQjlBUndPVXFUNDhxWXB2bU1VaXJNTk0zeVgyNzBjemdjUG4xdjJyUXAwMjYzendUd25JaGNCb0RKOFIvRTVKaUlpSWlJcUlZdXV1aWloSkNRRUd0UlVkRkJBRVVpVWl3aVJVVkZSY1U3ZHV3b2h1ODYxOU5DUkpJQWRDanozRy9TcVdsYVk1U01lajREd0NjNUxpNHUzbVcxV3A4cVc2YVVDa05KZ3ZXemlGUllSMXVKWHd6RCtEa3FLdW9sQUdqVXFGRXVnQ2VQSERreTAycTFscDNlZkk5UzZvNUsrdkNaVm15ejJkb3JwZHFXUHZXWlZtMFl4Z3BVZkkrMStQajRwbGFydGJuYjdXNnVhVm96dDl2OXFXZnFNb0NkcFgrZlYvYWl4TVRFYzBTa2tZaXNxK1kxOWdZQXBkVG5mdXFXbytTTGdHNG9UWTdMSjhabGVFYm9xNXlPSGg4ZjM2NTB5dnZTbEpTVURXWHJxdXRiS1hVcVU5MnBIQ2JIUkVSRVJFUTFGQndjL0RpQSs0S0NndHhLcVlNQURvbkl3WkNRa0VOMnUvMGdnRU9tYVI0Q2NLQzA3dER4NDhlelBkTnJhNE5oR0ZkVlZoY2ZIOS9hYXJYZUQ2Q1BpT3dXa1hmZGJ2ZUhpWW1KNTVpbWVhMWhHSjhBSmFPTktMY0JsdDF1L3djQW1LYjVXa3BLeXFKVGlTa2pJOE1GQUkwYU5RSUFWN25YT3hwQWNya2RzY3ZlZDdpbWFkNFJXVTNUSGhDUm9VREZhZFVKQ1FrM1d5eVdnU0xTVENuVkRFQjdBS0ZXcS9VQUFGZ3NGZ0E0cG1uYVR3RHlBTUF3akIvdGR2dFhBRWJxdXI2em9LRGd5NUNRa1BORVpMcUl1QUU4VjgzTHU2ajBmZGxZdmtKRXRwU09scmV2cGc4QTZBWUFTcW5OVlRXeVdxM1BBQWhDeVdacE5kV3ROTVlxKzZhcU1Ua21JaUlpSXFvaDB6VEhhSnIybXR2dGJtR3hXTnFMeUFVQUxsQktYYXFVaWhJUnE4VmlLUkNSazBxcEFoRXBhTml3NGNtR0RSdnVCYkJUUkhZQzJHR2E1bzc4L1B5TW1tNXExYWxUcDA1V3EzV3R2em9SZWN6cGRMNXJzOWxHYXByMnJJajhwcFF5M1c3M1phbXBxWGwydXozQk5NM0ZTcWtHc2JHeFA2ZWxwZTJ2NURiM0FuQ2JwdmxyWW1KaTQ2cmlPWGJzMkltYXhGNTY3d01BV3R0c3R2SlR2ejN4N3hLUjVvbUppZWNrSnljZmN6Z2NvMUdTVUZlWVZwMlFrSENGaUpnb09TcnFBSUFIUmVTSWlBeXpXQ3dIamgwN2RzQmZYRGs1T1hjMmJOandDd0FmaFlhR2V1NWJwSlM2MXVGd3BKUnZYMDVMQU1qTnpUMVF2cUwwQ3hJb3BScFcxVUZpWW1JTDB6UkhBU2d5VGZPZHl0ckZ4Y1UxRTVFK0FOWlc5bVZDZWJxdTl4Q1JPMFJrczlQcC9Ma20xNUIvVEk2SmlJaUlpR29vSlNWbEw0QzlLRW5Pdmk1WGJZbU5qVzBWRWhMU1hrUmlST1JDcGRTRlNxbnpSU1FCd01XbHh3OEZXU3lXb1ByMTYydDJ1LzEzQUZzQmJCT1JyYVpwdmxObU9yQ1gyKzMreldxMWVxZFBsMjRPTlVVcDFjcmxjamtBUU5PMFZnQlNUNXc0MGFOKy9mcUd4V0w1MEdhei9RQmdvbExxZTZYVXZ5cExqR05pWWlLVlVqY0FzQVFGQmUwVXFmcEVvUHIxNi9jRjhINGwxVUYydTcyN2lMUURjSW1tYVlORXBOS1JjNldVQmlETTdYYmJFeE1UZnpOTnMzT1phcDlwMVc2M085TXdqSDZlU3J2ZDNndEFydFBwL0tXS2NGWERoZzFmVlVwZEt5SVpTcWtOSXRJTUphT3Q3OGZIeC9kTVRVMkJMWTVCQUFBZ0FFbEVRVlQxZDVheU53WUFDQTRPcnZBYWlvcUtDa0pDUWxEVk9jNjZybmMwVGZOenBWUkxBSU5MUDBOK0JRY0hQNEtTdGVTdlZSR1BsODFtdTAxRTNsZEs1Ymxjcm43VlgwRlZZWEpNUkVSRVJGUTczR2xwYVhzQTdBSHdRNWx5N2NJTEwyd1VFUkhSUkVTYWlraFRBRTFGNU5MU0k1ZHlBU1FvcFM1eHVWeWZvSFE2Y0ZscGFXbTVLTmxrQzdHeHNjMURRa0xlQjlEQzVYTDEycmh4bzg5MDN4MDdkaHhQU0VqNGg2WnAzMnVhZHJPSWpIUTRISDZQVWZJSUN3c2JEQ0JNUkZZQnVGaEViaFlSVi9sMkZvdmxRUUFEQU93b1c2enJ1ZzFBTnhIUkFFeFJKWE9OMXdKSUZaRmxobUY0RS92NCtQaVlvS0NnazhuSnlYc0E3NjdQdndDQWFacXhBRHpybmEwQVFrVEVPNjNhWXJITUFqQ2lxdGRTbnE3cnd3QThMQ0p6TkUxN0pEazV1UmdBYkRiYjVVcXBieTBXeXhjQVlnRlVlTDBBb0pSeWxiNUhWZ0JGWmV0RXhMT1pXTDYvYTIwMlczOFJlVU1wWlRGTjh3R24wL2x1WlhIR3hzWUdpOGpEQUxJMFRmdWtxdGVVbUpnWUpDS1RBQXdUa2Q4QjNKYWFtdXFvNmhxcUhwTmpJaUlpSXFMVHk5eTJiVnMyZ0d3QTJ6cDE2blJGNlNqd3BRRFc1T2ZuSjFrc0ZqTWtKQ1FrTFMwdHU0cCtOSnZOOXFDbWFSTkU1SkJTcWt0UVVGQldiR3hzc05WcURRSVFMeUs1QUpDU2ttTFk3Zlp1QUpZcnBVYlo3WFpvbWphajNMRk5BSUNvcUtoUVRkTkdBTmhrbXVZL0xSYkxid0JhT0ozT0Q4dTJpNDZPcmwrL2Z2M3JBYXgwT0J6ZVRhenNkdnNzQUFORlJKUlNTa1ErRVpHWERNTkl0dHZ0TThyZnoycTFMakZOY3cyQWY1V3ZNd3hqTFVxUGNkSjFmU3FBb1NJeXV0eHUxVnA4Zkh6ajBuWEhEVVNrc2E3ci8vR3NRL2I4WFZSVWROMm1UWnNPaU1oUXBkVHhuSnljSVJrWkdjV2VUcHhPNTgrNnJrOVZTbzJ5Mld3M09wM09wZjdlZEJISlVVcWh1TGk0RWNvbHdWYXJ0VEVBS0tYS1Q3bTIydTMyR1VxcFFRQTJGaGNYOXluL0pVWjVvYUdoTndGb1pwcm1xNTRFM3AvU3FkZExBWFFWa1UrS2lvb2Uycng1ODVHcStxYWEwUUlkQUJFUkVSSFIyU3c2T2pva0xpNnVqZDF1ZjhSdXQvOGFGQlQwSFlEZVNxbGNBTjlIUkVRY1NrdEwyMjhZeG01VU1ucXA2L3J0dXE2bkthVm1BVmlnYWRyRkRvZGpoNGc4R3hvYVdtaTFXbk1CZEZOS2VSTTh3ekRTOHZMeTRrUmtubEpxdkdtYUIzVmQveFRsQnNnYU5XbzBFRUJ6RVptVWtwS3lWMFJtQUhpNVU2ZE9QdXRvSXlNalh3ZHdyc3ZsZXJ4Y2VNdE4wM3lvZEZxM1d5bTFxblM5ck4rNTJTSlNYeWxWWVhTOHJKaVltRWdSNlNzaXVacW10ZGQxdlRjQTJPMzJERjNYaTZ4VzY0R2dvS0JVQUlsS3FRc0I5RkZLeFpWdXNKVU1ZRzVCUWNISjZPam9rTktkcjNmNjJ4Uk5SRFlDZ0tacE1WV0VzNjIwVGNmeUZSYUxwVU5wUDJVM3d0SjBYVjlVbWhpL2VmejQ4YzdWSmNhbDdpNzl1OUt6b2UxMmU1T2dvS0ExSW1JelRmTWh3ekQrd2NTNDluRGttSWlJaUlqb05JcU1qT3lobEpxRGtoSFJ0U0x5a2R2dC90SGxjam5TMHRLS3FydSsxRDRSK1UxRTdqVU13K2twZExsY2IycWE5ck9tYVpyTDVjb29QN1YyNjlhdEp3QU1UVXhNbkNJaWd3RGtvRXdDWHJwUjFQTktLY013akFVQUlDSmpsVkkzVzYzV0phMWJ0Kzc5KysrL245UjFmUlJLemk5K0lqVTFkVlBaZTNoMndBWUFYZGVyZkJHSmlZbmhwbWsyTjAzejk2cmFoWWVIUDZHVVdnc2dXa1M2QUhqQVpyUGRBMkNFaUJ4enVWd0hsRklIckZicmh5SnlvdXkwN2ZKMFhUOG1JbEVveVgxOHZueFFTc1VBZ0dtYUJ5dTdYa1JXS2FYdTF6VHRSZ0RmbGF1K3Z2VHY1V1h1OXppQTIwVmt2R0VZejFUMU9qMWF0MjRkSmlJM0FzaHlPcDErTjE0cjlSYUE4MDNUdkQ0bEplWGJtdlJOTmNma21JaUlpSWlvRnRsc05odUFXS2ZUK1FFQW1LYTVVOU8wT1c2Myt6T0x4WkpwR01aaG5PSjV5S1hUbUs4SEFGM1hVMHAzeWZZU0VWZ3NGdGp0ZG4rWEgwMU9UbTROWUV6NUNoR1pyWlJxNkhhN2IvSEU1SFE2anlZa0pOeHBzVmhXTlczYWRHV1RKazNXb0NRcG5XNFl4dFJUaWJzOHQ5dDl1NlpwR3NxdDNTM0xack5GS2FYK0t5TFhLNlZtaThnQ1RkT1VVdXBqRWJuUE1JenZQVzN0ZHJ2ZjBXbTczZjQvQUM4Wmh2RzVpSHlzbEJwa3Q5dWZNd3hqTkVwSHREdDE2dFFKd0JNQUNpd1d5N0xTUzVYTlp1dXZsUHJOTUl3ZlM4cytGcEZKU3FsL3hjZkh2KzM1Y3NCdXQxOE00SjhpNGpRTVkzV1oyLzliUkFvTEN3dWZyK243MHJScDArNEFJa1RrRTFReTRwNlltSGllaU53S1lDVVQ0OU9EeVRFUkVSRVIwWjhRSFIwZEVob2Eyc0Jpc1Z5dWFkb3dBRHFBWHhJU0VuNU1TVW5abTVLU3NnMUFqVVlRcXhNVEV4UHBkcnVIV1N5V2V2N3FUZE8wS3FYYUtLVitLMU5tdWVpaWl4cVZuMzVydDl2L0RlQW1BTk5TVWxMV2xLMUxTVWt4YkRiYkk1cW1MVkJLZFJXUnRZWmhQSEdxOFNxbDFnQTRCL0FtZDVNQkZDdWxwdW02ZnJWUzZra0FCMFhrRFJFNUJFQlRTczBEc040d2pOV2VrV2lId3pIWmJyYzNWMG8xcis2ZWlZbUo0U0p5S1lBWUFEaDU4bVJTV0ZqWWxVcXBrYnF1M3l3aXlRQ2FLS1d1RXhHTGlBeDBPcDNacGU5SmI2WFVQQkVwVEV4TWJKU2NuSnp2ZERxUDJ1MzJ4d0hNdDFnczYreDIrK2VsTzJ6ZklpSkZJaklBcFFsdFRFeE1KSUR6QWVTRmhJUXNxdVRMQ3BpbStWaTVYYXU3bHI1ZmxSN2ZWTHJqT1VUa2ZMdmR2c1JmRzZWVWpzUGhHRkRkZTBUK01Ua21JaUlpSXZvRDR1UGpteXFsYnJKWUxOMEFYQ2tpVmdBL2lzajg0dUxpVlpzM2I4NnF6ZnNsSkNTMHNsZ3MyMHpUN09Od09KYkV4Y1cxQ1FvSytzYnRkdi9UTTUzYWJyZFBVMHJkbnBlWGQxSHBsR3JvdXI0aUpDUWtLU29xNm1yUHVsdTczWDR2Z0traThrdGhZZUYveXQ1SDEvVkxST1JScGRSOUtKbk9uYUtVNnEzcitsWUFrNDRmUC81T0pXY2NhNTQ5dVR3RkRvZmpmWlNNeHQ1VmVqeFJmZE0wTDljMDdYd0FrMDNUVEFQd3VxWnBvMU5TVW82Vm50bDdzY3ZsaWkvZnVXRVkvbmFwTnBWU2xySUZSVVZGRndRRkJRSEFGZ0RZc21YTDRaaVltSXZEd3NMK3E1UzZDOEM5U3FrVEl2S1ZpRXh5T3AzLzgxd3JJdWtBc3BSU1c1T1RrMCtXdWZkN3VxNGZWVXFOQm5DYmlKd0VzRnpUdE5ISnljbGJQTzFDUTBQckE0QlNxaDZBVy8zRUN3Q3dXcTFKWlorTFNCZWxGRW9UZDc5TTA2eXZhUnBLMTFDMzlkZEdSQ3FjeFV3MXB3SWRBQkhWVGJxdUM0Q1ZBSzUyT0J6OHY0aUlpTTQ0dXE3M0FQQ3BpR3dITUZjcDlWMWVYdDRCVDFKNkd1NzNLb0FCeDQ4ZlAyL0hqaDNIQVNpNzNiNEp3RjdETUhvQzN0SFpkQUJ2T1J5T1lRQmd0OXV2VkVxdEVKR0ZobUgwc2R2dFRRQmtLcVYrRjVFckRjTTRZTGZidXlpbGJoS1J1NVJTN1VYa2lGTHF0Ynk4dkZlMmJ0MTZ3bTYzZHdmd3NsTHFZZ0RIUzlmaGZtZWE1akpOMDVxTGlFMHBkVDZBcDBUa2ZrM1R2bk83M1Zjb3BhNEFjSWRTcXAySXBDdWwram9janVUU1dNUGRidmNvVGRQK0t5STVBTVpvbWpiSE5NMWJQT3VZZFYzZllwcm0yK1YycXk3N25zd0ZjS2VJUEMwaUp3QkEwN1Q3QUZ3aklpME13emgwT3Y0dDZPekVYMGlKS0NDWUhCTVIwUmxDeGNURVJJU0doclpRU3QybGxMckpNSXh1S04zWXlXYXpYVloyNVBGMFNVeE03Q0FpcVFCZWNEZ2N6M3JLYlRaYkgwM1QzaGVSN3A1MXIzYTdmUUtBaHpWTmkvSWMzV1N6MlVacW12WWlnTUVPaDJPMnJ1dVBtYWI1cGRQcHpMRGI3VXVVVXA1UnptUUFzMTB1MTRMVTFOVHlPMG9yWGRkdkU1SEhBUFFBa0NjaTNRREVhcHJtMmN6cjF4TW5UbHdUSGg1ZTMyS3hwQ3VsUWtUa1p3Q3pOVTFiN08rSW92ajRlTjFpc2N4WFN2M3NjRGdHbDYyclFYTGNFY0FpRVlrdG5lb01BTm1tYVk1MU9wMXZuc3A3VE1SZlNJa29JSmdjRXhIUjM1eVdrSkJ3c2NWaXVVcEV1Z080UkNsVkJPQ253c0xDaC8vcTQzTVNFaEphYVpyMldINSsvb1J5STlNV3U5MStvMkVZeTFDNm9WWjBkSFQ5OFBEdzBOVFUxTEk3TUN1NzNmNGZsOHMxZStQR2pUbGwrNDZQajI5cXNWZ2VLazFldDZBR2JEWmJleEZwVm1hdHNpY3g5VzQwbHBpWTJBSEFudVRrNVB3S0haUVRIUjBkY3M0NTU1aFZuZTlMZExyeEYxSWlDZ2dteDBSRTlIZFZ1Z3Z4UkFBWEFtZ0tZRGVBdVM2WDYwdUx4WkxwZERxUEJqUkFJam90dUNFWEVSRVJFZFZwTVRFeGtlSGg0YUdHWVdRREVOTTB0ZElOb3pZQm1HSVl4Z3FjNHRGTFJIVG1ZWEpNUkVSRVJIVk9ZbUppZUhGeGNhS21hVjAxVGJ0S1JOcDA2TkNoeDVZdFd3Nm5wS1FZdXE1ZjUzQTRkZ1E2VGlMNjZ6QTVKaUlpSXFJNkl6NCt2clZTNm03VE5PKzBXcTN0QURRUmtXL2RidmR6OWVyVk8xN2FySmlKTVZIZHcrU1lpSWlJaU01MkNvQjA2dFFwMFdLeExBVFFUQ2wxVUVRK0xpNHVmbTNUcGswN0F4MGdFUVVlazJNaUlpSWlPdXZFeHNaR0JBVUZYYVpwV2t4UlVkSHl6WnMzN3lndUxzN1FORzJTeFdMSmRybGNhOHJ0NWt4RWRSeVRZeUlpSWlJNmE4VEV4RVNHaG9iK1M5TzBPd0ZFQXlpeVdDeWJBZXpZc21YTFlRQnZnNXRyRVpFZlRJNkppSWlJNkl4WE9tWDZNYVhVL1FEeUFPeFVTajJUbDVmM1libHpnWmtZRTVGZlRJNkppSWlJNkl3VEZ4ZlhwcUNnNE5pT0hUdU9BNERWYW4wZWdBWmdySWo4ZFBEZ1FXZFdWbForWUtNa29qTUprMk1pSWlJaU9tTWtKQ1RZTlUxN0NNQTFRVUZCWXdGOFdGbzFDRUN4WVJpSEFoY2RFWjNKbUJ3VEVSRVIwZDlXZEhSMGlNVmlPVGNzTE93cUFJOXFtbmFKaUp4UVNoMTN1OTNlS2RLR1lXUUZNRXdpT2dzd09TWWlJaUtpdnlzVkdSazVWU25WVTBTYUtxVU1BT1BkYnZkUCtmbjVhM2JzMkZFWTZBQ0o2T3pCNUppSWlJaUkvalpzTmx2Ny9QejhuRzNidG1VREVBQU5SZVJidDl2OVFYRng4WTcwOVBSREFGd0JEcE9JemtKTWpvbUlpSWdvWUdKalk0TkRRa0xPQVpBZ0lzTTBUZXNXRVJFeERzQ3JBR0FZeHIyQmpaQ0k2Z29teDBSRVJFVDBsNHVQajI5dHRWb3ZGNUh1QUs0RTBFVFR0QjhCakZaS0xROXdlRVJVQnpFNUppSWlJcUsvV3BERllubFpSSG9wcGZZRG1PZHl1WlpxbW5iQTZYUWVROGwwYWlLaXZ4U1RZeUlpSWlJNlhWUjhmSHk0YVpxTmdvS0Nibk81WENrYk4yNWNEYUFZd01kdXQvdWQxTlRVcndNZEpCRVJ3T1NZaUlpSWlFNERtODFtQTNDVlVxcWJ4V0xwcHBSU0ZvdmxCUUNyQWNBd2pFOENHeUVSa1M4bXgwUkVSRVJVVzVUTlpydFdLZlZ2cFZRQ2dLWWlzdFUwelFraThsMVFVRkJtb0FNa0lxb01rMk1pSWlLaUtrUjFTUGhWS1pVWTZEak9CQ0tDazhXQ0VDdmdNZ1ZGYnNCbFNvSlM2aFZBQWNWdXRPdG9DM1NZZnljdTA0MWh1N2M1M3doMElFVEU1SmlJaUlpb1NrcXB4UFBiUmVHQ2RsR0JEdVdNNENvdUJnQllnNElDSE1uZjMzY3JWbG1WQmRHQmpvT0lTakE1SmlJaUlxckd6VGYwd3RESEhnNTBHSFNXT1QvV0h1Z1FpS2dNTGRBQkVCRVJFUkVSRVFVYWsyTWlJaUlpSWlLcTg1Z2NFeEVSRVJFUlVaM0g1SmlJaUlpSWlJanFQRzdJUlVSRWRZS0lTS0JqQ0NTbGxBcDBERVJFUkg5bkhEa21JaUlpSWlLaU9vL0pNUkVSRVJFUkVkVjVUSTZKaUlpSXpsQzV1YmtvS0Npb3NvMXBtbkM1WEtpTmxRVjVlWGtvTEN6ODAvMEF3TWFORy9IYWE2L1ZXbjk3OSs3Rjc3Ly9YaXQ5RVZIZHhPU1lpSWlJNkF3MVo4NGM5T3paRThYRnhYN3JYUzRYYnIvOWRuVHQyaFdIRHgrdXRKLzkrL2RqNjlhdFBuOHlNaklxdEpzK2ZUcXV1ZVlhN05tenA5SytsaXhaZ3ZIang4UHRkbGNaKzlhdFcvSHV1KytpcUtpbzBqWWlncGRlZWdscjE2NnRVTGQ5KzNiczNyM2IrM3pjdUhFWVBYcDBsZmNrSXFvS04rUWlJaUlpT2tPdFc3Y091cTRqS0NqSWIvMmlSWXU4bzZrTEZpekEwS0ZEL2JhYlBuMDZsaTlmN2xQV3ZuMTdmUFRSUjk3bjJkblpXTEprQ2JwMjdZcnp6anV2MHBoT25qeUpKVXVXSURzN0d4TW5Ub1RGWXNGWFgzMVZvVjFxYWlvQVlQbnk1UWdORGExUWY4c3R0eUF2THcvYnQyL0hKNTk4Z24vLys5L28xNitmdC82RkYxN0FpUk1uOE1rbm4xUWFDeEhScVdCeVRFUkVkYzZ4WThjd2UvWnNyRnExQ29jUEgwYVRKazNRczJkUERCdzRFT0hoNGRWZTczSzVzR0RCQW56KytlZll1M2N2empubkhGeDU1WlVZTW1RSXpqbm5ISisySjArZXhQejU4L0hOTjk4Z0t5c0xJU0VoaUkyTnhZQUJBOUNsU3hkdnU2MWJ0K0wrKysrdjl0NExGeTVFZEhRMEFHRGZ2bjE0NjYyMzhMLy8vUTg1T1Rtb1g3OCt1bmJ0aXNHREI2Tk5temFuK0s3UW1lTEFnUU00ZVBBZ1RwNDhpVzNidHFGcjE2N1l1SEdqdDc1cDA2Wm8xcXdaTWpNejhlYWJiNkpYcjE2b1Y2OGVGaXhZZ0t1dnZocng4ZkYrKzlWMUhhKzg4Z29BNFBYWFgvY21yeDd2dlBNTzNHNDNoZzBiQnFEazUyakpraVhvMDZjUHJOYi8vNVh5dnZ2dVE1TW1UVEI2OUdnTUdUSUVFeVpNd0h2dnZWZmhmc2VQSHdkUThwbld0SXFUR1crNTVSWkVSRVJneG93WkdETm1ES1pObTRhOWUvZGk1TWlST0hMa0NEWnQyb1QrL2Z1ZjRydEhSRlE1SnNkRVJGU241T2JtNHNFSEgwUkdSZ2JpNHVKd3lTV1hJRDA5SGUrODh3N1dyVnVIdVhQbklpUWtwTkxyUlFSSlNVbFl1WElsMnJWcmgrdXZ2eDVidG16QnA1OStDcWZUaVhmZmZkZWJZSXNJQmd3WWdPM2J0eU11TGc0OWUvYkUvdjM3c1dIREJtellzQUhQUHZzc2JycnBKZ0JBWkdRa2V2VG9VZWw5VjYxYWhmRHdjRFJ2M2h3QWtKbVppYjU5KytMa3laUG8zTGt6R2pac2lHM2J0bUg1OHVWWXZYbzE1czZkNjAyaTZleXlaTWtTeko0OTIvdjh2ZmZlODBrK0gzcm9JVHp3d0FNWU9YSWt3c1BEOFovLy9BZFdxeFUvLy93emhnOGZqdmZlZXc4dFdyU28wSy9GWWtGa1pDUUFJRGc0MktjdU16TVRpeGN2eHYzMzM0K29xQ2dBd09IRGh6RjkrblJvbW9hK2ZmdjZ0TC8yMm1zUkhoNk9MNy84RXVIaDRYanZ2ZmR3N05neG56WmZmZlVWcGsrZmpzbVRKNk5ldlhvK2RSRVJFZDdId2NIQmVQSEZGOUdrU1JOMDY5WU5BUERUVHo5QlJMQmd3UUx2NkxabjdmTGxsMS91MDFkVVZCUVdMRmhRMmR0SlJPVEY1SmlJaU9xVVR6LzlGQmtaR2VqWHI1OTNpcWxuWGVQaXhZdngxVmRmNGZiYmI2LzArcSsrK2dvclY2N0VsVmRlaWNtVEo4TnF0Y0kwVGZ6M3YvL0ZpaFVyOE9HSEgyTGd3SUVBQUxmYmpjTENRcno3N3J1SWk0dno5ckYyN1ZvOC92amptREpsQ25yMzdnMnIxWXFXTFZ0aTh1VEpmdSs1Y3VWS3JGaXhBdjM3OS9jbURWbFpXWWlQajhjenp6eURKazJhZU52T21ERURiNy85TnFaUG40NnBVNmYrNmZmcmJLSHIraEFSVVFVRkJZdlQwOVAzQlRxZVArT0JCeDdBL2ZmZmo2U2tKSWdJcnJycUtodzhlTkE3aXFwcEd2N3puLzlnMjdadG1EbHpKaG8wYUFBQW1ESmxDZ1lPSElpQkF3Zml0ZGRlTzZVdlR5WlBub3h6enowWGd3Y1A5cGFkZi83NXVPMjIyL0RXVzIvaHhodHZSS05Halh5dXVleXl5M0RaWlpjQkFENzc3RE9NSHovZWI5OTMzWFZYaGJKSEhua0Vnd1lOOGo3WE5BMGpSb3dBVVBMeit1R0hIK0s4ODg3eitWbGR2SGd4M0c0Mzdybm5IcCsrUEsrZmlJaUk2RzlKMTNYUmRYMkZydXQvZnZ0VW9ocVFVazgvL2JUb3VpNzc5KytYc25idjNpMjZyc3ZFaVJPbEtuMzc5aFZkMXlVek05T25QRE16VTNSZGwxdHZ2ZFZiWnBxbTVPVGsrTzFuOE9EQm91dTZiTnUycmNyN3VkMXV1ZXV1dStTYWE2NlIvUHg4Yi9uUm8wZkY1WEpWYUY5Y1hDeGR1M2FWcTY2NnlxYzgwTzkvb09tNi9xcmRicGZTUDUvYjdmWitOcHN0S2pZMk5nTFZiRkRhcnFOTnBrNmZVZVcvMDEvdHhJa1QwclZyVjFtNmRLbU1IejllK3ZYckp5SWl1Ym01TW5Ub1VORjFYVDc1NUpNSzEvMzQ0NC9TdFd0WHVlS0tLMlRCZ2dYZXo5RG8wYVBsbGx0dWtibHo1OHJjdVhObHdJQUJjczg5OTRpSXlBOC8vQ0M2cnN1cVZhdTgvWmltS1hsNWVaS2VuaTVkdW5TUjU1OS9Ya1JFdG0zYkpnTUdESkQwOUhTZis1NDhlVklPSFRyazgrZWRkOTRSWGRjbEl5T2pRcDNuc3o1cjFpeDU1cGxuNU9USms5NitWcXhZSWJxdXk5S2xTMzN1TVdqUUlPLzdjS1pvMTlFbVVSMXRyLzVGUHdaRVZBMk9IQk1SVVozaVdZdTdmLzkrTkd2V3pGdStkKzllQUtoeW82Rmp4NDVoOCtiTmlJNk9SdXZXclgzcVdyZHVqYlp0MjJMMzd0M0l6czVHNDhhTm9aU3FkTlRLTXdKY2Z2cHFlVjkvL1RWMjd0eUpFU05HSUN3c3pGdGVmbTJ6aDlWcVJXaG9hTFg5MW5FM0E3aFpLWlVkRWhLeVZ0ZjE5YVpwL3B5Ym0rdllzV1BIOFVBSFZ4TS8vdmdqbEZMbzBhT0h6M3JqRVNORzRKZGZmc0dJRVNOd3h4MTNWTGp1eWl1dnhPdXZ2NDZSSTBmaTdiZmZScytlUGRHNGNXTUFRRTVPRGxhdFdnV2daRDE3bzBhTjRIQTRNSGJzV0Znc0ZzeVlNUU9USmsxQ2JtNHU4dkx5Zkk2Ryt2enp6OUd2WHovazV1WWlNek1UL2Z2M3g2QkJnekJnd0FCTW16WU42OWF0cXhDTFo4M3g4T0hEL2E0NWZ1S0pKeEFjSEl3dnYvd1NXN2R1eGJScDA5QzhlWE44K2VXWGFOaXdJWHIzN3YzbjNrUWlvbktZSEJNUlVaMXk5OTEzWStuU3BYanV1ZWN3WnN3WXhNVEVJRFUxRmVQSGowZFVWQlJ1dWVXV1NxL2R0V3NYQUZRNkhUVXFLZ3E3ZCs5R1ptYW1OK0h3cDdpNEdCczNia1JvYUtqZnRaOGVwbWxpMXF4WmFOQ2dBZTY4ODg0YXZiNmRPM2ZpeElrVDZOaXhZNDNhMXlWS3FmSm4vVFpHU2FMY1c5TzB3NUdSa2ZzVEVoSStWMHA5NW5RNm5ZR0pzbWFXTDErT2J0MjYrYXpOQllESEhuc01XVmxaYU5XcUZmNzV6My9pcFpkZTh2a2lwN2k0R0owN2Q4YkhIMytNakl3TW44OXBiR3dzWnM2Y0NRQjQrZVdYOGV1dnY2SmV2WG9vS2lwQysvYnQwYng1Y3pSdTNCaE5talJCbzBhTlVMOStmWnh6emprSUNRbkI0TUdETVdQR0RFeVlNQUVmZlBBQmhnMGJocGt6WitLODg4NUQ5KzdkMGI1OSsxTitqVzNidHNWbGwxMkdGaTFhWU15WU1lamJ0eThXTGx5SWwxNTZDZHUzYitjWFFIVk1YRnhjeDZDZ0lMLy82S1pwbmt4SlNka0dBRkZSVWFFTkd6YU1xYXlmbkp5Y3JSa1pHUVVBa0pDUWNLR21hV0grMmhVWEZ4ZHQyclFwSFFBU0V4T0RUTk9NcmF4UHQ5dTlJelUxTmE4MHpndUNnb0lpS21ublRrMU4zZVI1YnJmYkV5cnI4OFNKRTc5NXZxeUxpNHRyRXhRVTFLaXl0b1pocE5Ta3o3eTh2TDNidG0zTExtM1hFa0NUeXRyV3NNL2l3c0xDUFdscGFibVY5WE9tWVhKTVJBRWxJbUszMnlzZVlFbDBtalJvMEFCejVzeEIvLzc5OGVDREQzckxXN1pzaVZtelpsVzVXL1doUTRjQW9NTGFTZzlQK1lrVEo2cU1ZZDY4ZWNqT3pzYmRkOTlkNVMvNFAvNzRJMzcvL1hjTUdEQ2d5azNDUEZ3dUY2Wk1tUUlBRlpMcHV2NXpKaUpSU2lrb3BmelZCUUZvRHFDNXBtazJwZFFZbTgxMlRDazF6ZTEydjNPODZPODFLLzNJa1NQWXNHR0QzelhxblRwMVFxZE9uYkIrL1hxa3A2ZWpvS0RBVzVlWm1ZbWhRNGVpUzVjdVNFcEtRc09HRGF1OVYweE1ERmF2WGwzdDU2OTM3OTQ0ZnZ3NDNHNDNtalJwZ3JmZmZodGZmUEVGZXZYcUJRQTRldlFvZHV6WVVhUFhaN0ZZWUxmYnZjOTc5ZXFGK3ZYcncrRnd3T1Z5NFlNUFBnQUEvUExMTHo3WEhUaHdBRzYzRy9Qbno2L1FaNk5HamJ5YjMvM2RSQVNwUzZwYVl1UndPTHdmMm1xV0lrMTFPQnhQQUlETlp1dXZhZG83dGREbkVvZkRjWHRwbjdkcW1yYWtzb1pLcVFiSnljbkhBTUJ1dCtjb3BmeE9teEdSVllaaFhGM2FycnRTYWxWbGZZcElsR0VZdXdFZ09EajRjd0JSL3RwcG11WUUwQmtBR2pac0dLT1Urcld5UGhzMmJIaHhSa1pHU3VsMUM1UlNObi90Z29PRE13QzBCd0RUTkZ0VzFhZkZZcmtHd0dvQUNBb0ttcVdVNnU2dm5kVnFQWW95Q1dsVmZVWkdSdDRKNFBQU1BzY3FwYXJhbXQxN2xsdFZmZGFyVjI4NGdOZExuNDVRU2ozK1ovb1VFWGR3Y1BBWUFKT3E2T2VNd3VTWWlBSXBRMFRlMGpTTlgvL1RYK0VTb0dRcVoxSlNFckt6czlHaFF3ZWNkOTU1MkxWckYzYnMySUhSbzBkajZ0U3BQdE9YeS9Ja0dwVWxDcDVFdDZpb3lHKzlhWnFZT1hNbTVzeVpnM2J0MnVIUlJ4K3RNdUFQUHZnQUZvdkY3NFpGNWVYbTVtTFVxRkZZdjM0OWV2ZnVqV3V2dmRhblhpbTFwZHBPem1JaVVoOGxDWENOS0tWTUFIWk4wdzRvL0wyUzQ4MmJOOFB0ZG1QVXFGRUFTa2FEVGRQMDd0SmNkaWRyajNYcjFtSGt5SkVJQ3d2RFAvN3hqMU82WDAyK21CazllclRQY1U1aFlXRzQrKzY3dmM4Tnc4Q1RUejRKcTlYcTl3c0tEN2ZiamZEd2NQejQ0NDgrNVpkZWVpa3V2ZlJTcEthbVl0YXNXZDV5bDhzRmw4dmxQU2RaUkRCdDJqUUVCd2Y3VE5WdTM3Nzkzelk1ZHBteUx4aXFwcnZuVmRyT05NMnliMXBhVlcxcjJxZUllT2ZzbTZhNVU5TzBTdHNlUG55NHNNelRHUUQ4L2tlcWxQSitTNkpwMnU4aVVtbWZMcGZMdTh4QlJKNDNUYk4rSlUwUGVSN2s1ZVh0RFFzTGU2S3lQaytlUExuWDg5ZzB6WmRSeWVpcHBtbmVlK2ZuNXg4SkRRMnR0RThBTzh2MCtRWUF2MThpS0tYS3ZrZHd1OTJWOWxuMnZRZndvZHZ0cnRGc2xxcjYxRFR0cHpKeGZnYmd0ei9iSjRBTk5lbmpUTUhrbUlnQ2FjL0Jnd2NuTldqUW9Nck5jSWhxeVFNQU1IYnNXR3pjdUJGanhvekJyYmZlNnExY3NHQUJYbm5sRlV5YU5BbGp4NDcxMjRIbmwzKzMyKzIzdnJpNEdBQzh2NmlYZGZqd1lZd2VQUnEvL1BJTDdIWTdKaytlN0QwMng1OXQyN2JCNFhEZzJtdXY5VmtiN2MvbXpadVJsSlNFckt3czNIMzMzWGp5eVNjcnRDa29LUGgzbFoyYzVVSkRReWNDOEU2TEZQOTdsQlVEV0c2YTVtY3VsMnU5aUJ6WXZIbHpUcnVPdGpmK3FqaHJvbVBIanBnNGNhTDMrYWVmZm9xc3JDd01HVElFUU1uNjl5MWJTcjRMeWMzTnhmUFBQNDhsUzVhZ2MrZk9lUEhGRi8zT2ZEQk5FMGVPSE1FMzMzd0RBTmk5ZTdlM2J1Yk1tZmpoaHgrcWpLbExseTU0NnFtbnZNOXpjbkx3N2JmZm9tZlBuajRqMUo5OTlobGF0bXhaYVQ5dnZQRUdGaTFhVktGODE2NWRhTmV1SGVMajQvSHp6ejk3eStmTm00ZnAwNmZqMjIrL1JiMTY5YkJ4NDBZODhNQURtREpsaW5lbjdMKzdBamQyYnlrZDhhMk9vNGJ0bkU3bkx3QitxYmJoS2ZSWk9oMjRSbTBOd3hoVmszYkp5Y2s3VDZIUGlsTUMvQ2lkTmp5OUptMVRVbElXMXFUZDFxMWJUNXhDbjUvVnBGMXAyeHIxYVJqR0R3Q3EvaUU4eFQ1VFVsTFdBRmhUbTMyZURaZ2NFMUVnU1ZaV1ZuNVdWbGFnNDZBNll1L2V2Vmk5ZWpXNmR1M3FreGdEUUo4K2ZmRDk5OTlqMmJKbEdEWnNtTjhOcnp6SmJQbnpXajJPSGowS0FEajMzSE45eWpkdTNJZ1JJMGJnNk5HakdEeDRNQVlPSEFpTHhWSmxyRXVXbEF3ODNIREREVlcyKy9UVFR6Rng0a1RVcTFjUGt5ZFBydlNzNUxOcFRkZ2ZvZXQ2a1orRXVGZ3BkVXhFZGl1bEZoUVVGSHlZbHBhMlB4RHhuWXJHalJ2N3pBeFl2MzQ5OHZMeUtzd1dBSUFoUTRiQTdYYmo4Y2NmUjkrK2ZmMXVmQVdVekhiWXZYczNYbjc1WlFCQWZuNitkL082Z3djUDR2RGh3NVd1ZS8veXl5K3hiNS92NlZnYk5tekFwRW1UMEZIVHBYVUFBQ0FBU1VSQlZLeFpNMXgxMVZYZThudnV1YWZTR0lDU3M0cjlqVlEvOHNnajZOU3BremMranlOSGpzQmlzVlE2MjRPSVRpc0xBQlA0bTAyditST1lIQk1SVVoyeFo4OGVBTUFGRjF6Z3R6NDZPaHFwcWFuSXpNejBteHkzYmRzV0FQRGJiLzVub21Wa1pFRFRORVJGL2YreU9NTXdNR1RJRU5Tdlh4OXZ2ZlVXRWhJcTNTdkZ5elJOL1BERER3Z1BEOGVsbDE1YWFUdlBhTGZkYnNlRUNSTjh6anVteWltbE5nRndtcWI1cTFKcVRVNU96bWJQQmoxbktoSEIvdjM3a1ptWjZmTTU2TktsQzRZUEgrNnpLZGZKa3lleGZmdDJ4TWZIZThzS0NnclF2WHQzVEpwVXNuVFFzeUdYUjRNR0RmRFlZNC81dlhkeWNuS0ZzbDkvL1JWS0tTUW1KdnFVUC8zMDB4VytQQ3ByNmRLbFdMMTZ0VS9aL3YzN2taMmQ3WGNuK1MxYnRxQk5telpWSnR4RWRIclk3ZmJ4QUw0dkhkaytLekE1SmlLaU9zTXp2VE16TTlOdnZXY3FhV1ViYnJWcDB3Wk5talJCV2xvYWNuSnlmS2FMN3R1M0Q3dDI3VUppWXFKM0ZLdWdvQUJKU1VtSWlJakF2SG56MEx4NXpaYThPcDFPWkdkbm8yZlBucFZ1MkpXZW5vNVhYMzBWblR0M3h1dXZ2NDZnb0NDLzdhaUVpQlNJeUR5bDFNY2lrcGFmbjM5azY5YXR1VGdEUnp4V3JGZ0J3ekJ3Nk5BaEhEeDRFRHQzN2tSdWJpNXV2UEZHQUVCU1VwSTNrWHowMFVjckhEdDI0TUFCREJnd0FGT25Ua1czYnQwQWxIeCt1M1RwVW1zeEppY25vME9IRGhXV0RnUUhCMWU1aHRuZmpJcVVsSkpOYzh0dTBnV1VqQnFucEtSVW1BVlNubUVZMkxWckYyNjk5VmFmZGRGRTlPY29wWklBRktDR1U3N1BCUHdmZ29pSTZveVltQmkwYWRNR2E5YXN3Wm8xYTNERkZWZDQ2NVl0VzRiazVHUjA3TmpSdXlZeUl5TUQ2OWV2eDgwMzM0enc4SEFvcFhENzdiZGo5dXpabURwMUtzYU5Hd2VsRkV6VHhLdXZ2Z29BdU8rKys3eDkvdkRERDhqT3pzYmd3WU5ybkJnRHdKbzFKY3ZBcWhvMVhyUm9FVVFFRHozMEVCUGpHakFNWTJTZ1k2Z3RhOWV1eGVyVnE5R2lSUXUwYk5rU2VYbDVLQ2dvd0ZOUFBZVVdMVnFnZGV2V3FPb2tLcyt1NjU2MTdDNlhDMWxaV1gvb3VDVi85dTNiaDkyN2Q2TmZ2MzRWNnBLU2ttcTBJVmRaVHFjVFNpblliTDZiQ3MrYk53OXV0N3ZhODQ0M2I5Nk1WMTk5RlRmZmZQTXB2QW9pcW91WUhCTVJVWjJobE1Menp6K1BoeDkrR0VPSERrVmlZaUphdFdxRjMzNzdEUnMzYmtSRVJJVFBabHhqeG96QjVzMmJjZmp3WWUvTzB2MzY5Y1BLbFN1eGJOa3k3Tml4QXgwNmRNRG16WnV4ZmZ0MjNIREREYmo2NnF1OTEyL2R1aFVBc0hyMWF1OEdTZVhaN1hiMDdkdlhwMnpUcHBKak1HTmpLejFXRTl1MmJRTUF6SjA3RisrLy83N2ZObmZkZFZlVkNUYWRtVWFOR29YUm8wZDduNy93d2d2WXRtMmJ6NWM5bmdUVXMwbGNXWjVsQVo0enRqZHUzSWlpb2lLZktkRGwxMmVMQ1BMejgvM0dZNXFtei9OVnEwcE81dkUzRWwzZGhselRwMC9IeHg5LzdGTzJZY01HUkVkSCs0eEMvL1RUVC9qd3d3L1J1WFBuQ2xPM0FkOU44dzRjT0lEbXpadnpYR1FpcWhhVFl5SWlxbE02ZGVxRWhRc1hZczZjT1ZpN2RpMVNVbEp3N3JubjRvNDc3c0RBZ1FOOVJuZ1RFeE9Sa1pIaHN6WXpMQ3dNYjczMUZ0NTQ0dzJzV0xFQ08zZnVST3ZXclRGaXhBamNlKys5UHZmS3k4c0RVRElGT2owOTNXODg1YWVZbXFhSjlQUjBoSVNFb0YyN2RwVytqdHpja3YyMTFxNnQvUGppTTJXM1hqbzFWWTI4ZW5oR2hWOTU1UlgwNnRYTE8xMzV4SWtUZVAvOTk5RytmWHR2c3ZuOTk5K2pZOGVPYU51MkxYNzQ0UWZrNWVWaHpabzFQbXVYOSt6WjQ1MkM3VS8zN3Y5L3JPdVBQLzRJcTlWYVlScTBQei8vL0RQV3IxK1BrSkFRaUFpV0xWdm1jOStEQnc4aUl5UERlL3lVaU9Eamp6L0dsQ2xUY082NTUyTGN1SEUrL1htV1JIejg4Y2NvTEN4RVhsNGVsaTlmN2plQkppSXFqOGt4RVJIVk9hMWJ0NjcwdUtheWhnNGRpcUZEaDFZb2o0eU1SRkpTRXBLU2txcTgvcGxubnNFenp6eHpTckZwbW9hZmZ2cXAyblpMbHk0OXBYNnBibW5idGkwR0RScUVSWXNXd2VGd2VNdXRWaXN1dlBCQ1BQMzAwOTZ5dExRMDlPL2ZId0R3eVNlZllQMzY5WWlNalBUNTdEZHIxZ3pQUGZlYzMzdDVOdkh5YU5XcUZTSWlJdndlYVZhZWFacmVaUVJLS2JSdTNSb1BQL3l3dDk1VDU5bkk3cEZISHNFdnYveUNxS2dvVEpreXBjSnloVmF0V3VHT08rN0FzbVhMdkVjK3RXdlhEb01HRGFvMkZpSWlJcUtBMEhWZGRGMnZQanNocWlWU3h3WDYvVCtUdGV0b2s2blRad1Q2bi9DME1rM1QrOWp0ZHZ2VUZSY1hTMUZSMFY4ZGtvaUk1T2JteW5mZmZTZloyZGtpSXJKKy9YcVpNMmVPbkR4NU1pRHgxTFoySFcwUzFkSDJhcUEvNDBSL3hObjR1eHhIam9tSWlJanF1TEpUdGNzZml4VElIWjdyMWF2bmMzNXpseTVkYW5WWGJTTDZVemFKeU1GQUIxR2JtQndURVJFUkVSSFJLWEU0SEowQ0hVTnQ0NG5wUkVSRVJFUkVWT2R4NUppSWlPb0VWWk10Zm9tSWlLaEdFaElTTHRJMDdhQmhHSWNDSFV0dDRjZ3hFUkVSRVJFUm5SS0x4YkpKS2ZWb29PT29UVXlPaVlpSWlJaUlxTTVqY2t4RVJFUkVSRVIxSHBOaklpSWlJaUlpcXZPNElSY1JFUkZSVlVST1RIdGpWdVMwTjJZRk9wSXpnRURFOTl4a3FweUltQW9xUDlCeEVGRUpKc2RFUkVSRVZYQUQ5MnVDY3dNZHg1a2dSRk54YmtpMlM3QS8wTEdjQ1pRU2dTbnJBeDBIRVpWZ2NreEVSRVJVaFQxYlVwWUZPb1l6aGQxdVh3S29MWVpodkJ2b1dJaUlUaFhYSEJNUkVSSFJueFliRzN1ZVV1cFdBRmUyYk5reVBORHhFTkhwWlpybUN5Nlg2NmRBeDFHYk9ISk1SRVJFUkg5YVVGRFFuYVVQYlUyYk5tMlZsWlcxUGFBQkVkRnA1WFE2bnc1MERMV05JOGRFUkVSRTlLZFpMSlpyU2gvR0FHZ2F5RmlJaVA0SUpzZEVSRVJFOUtkMDZ0U3BrNGkwRnhFQUNBRndaeldYRU5FWnptYXpqWTZQais4VzZEaHFFNU5qSWlJaUl2cFRMQlpMUElDV251ZEtxVnNDR0E0Ui9RVTBUUnR2dFZwN0JEcU8yc1RrbUlpSWlJaitqQ0NsMU5VQUlzcWNiM3lCeldhN01ZQXhFUkdkTWliSFJFUkVSUFNIeGNmSEJ5dWxMaTlmcnBSNk1CRHhFQkg5VVV5T2lZaUlpT2dQRTVGRUFOSGx5NVZTM1R0MjdOZzJBQ0VSRWYwaFRJNkppSWlJNkEreldxMkRSY1I3UEtobmFyV0lSSWFFaEZ3WHNNQ0lpRTRSazJNaUlpSWkra1BpNCtQckthVnVxNlE2Q01CbEFDeC9ZVWhFUkg4WWsyTWlJaUlpK2tPVVVqMUZKTHowY2RseUFGQ2FwblZNU0Vob0hxRHdpT2cwRXBFdHBtbG1CenFPMm1TdHZna1JFUkVSVVVWS3Flck9NNDRGMEFyQTNyOGdIQ0w2Q3hVV0ZuWUdVQlRvT0dvVGsyTWlJaUlpT21WeGNYSE5ORTBMQjdDbFRIRUhFVG1pbERyb0dVbldOQzBHd0laQXhFaEVwMDlhV2xwdW9HT29iVXlPaVlpSWlPaVVIVGx5NUVTelpzMmVGcEZnVDVtbWFZWlNhcmxwbWk5N3lvcUtpbzRFSmtJaU9wM2k0K05qaW9xS3NyZHMyWEk0MExIVUZpYkhSRVJFUkhUS3NyS3k4ck95c3RMS2x1bTZEZ0NIbkU2bk16QlJFZEZmeFdLeC9Cb2FHdm9pZ0FtQmpxVzJNRGttSWlJaUlpS2lVNktVaWxCS0JWZmY4c3pCM2FxSmlJaUlpSWlvem1OeVRFUkVSRVJFUkhVZXAxVVRFUkVSVWEwUWthTUFUZ1k2RGlLaVA0TEpNUkVSRVJIVkNyZmJmWitJWkFRNkRpS2lQNExKTVJFUkVSSFZpdFRVMUs4REhRTVIwUi9GTmNkRVJFUkVWQ3NTRXhQUGlZcUtDZzEwSEVSMCtwbW1PYzNsY3EwUGRCeTFpU1BIUkVSRVJGUXJUTk44dTBHREJsOENlQ2ZRc1JEUjZlVjBPb2NGT29iYXh1U1lpSWlJaUdxRlV1b2ZTcW5mQXgwSEVkRWZ3V25WUkVSRVJFUkVkRXBzTnR2UStQajRyb0dPb3pZeE9TWWlJaUlpSXFKVG9tbmFWS3ZWMmp2UWNkUW1Kc2RFUkVSRVJFUlU1ekU1SmlJaUlpSWlvanFQeVRFUkVSRVJFUkhWZWR5dG1vaUlpSWhxaFlpc0U1SGRnWTZEaU9pUFlISk1SRVJFUkxYQ01JeExBeDFEV1NJaWdZNkIvbjZVVWlyUU1kRGZFNU5qSWlJaUlpSWlPaVVpc2dQQWtVREhVWnVZSEJNUkVSRlJyWWlQais5YVhGeThQejA5blZPcmljNXloWVdGM1FEa0JqcU8yc1RrbUlpSWlJaHFoZFZxWFdlMVdxY0NlQ0xRc1JEUjZaV1dsclkvMERIVU51NVdUVVJFUkVSMVJtN3VtVFBRZGZUb1VYeisrZWZZdTNkdm9FTWhxaUF1THU2Q1RwMDZOUXgwSExXSnlURVJFUkVSMVFrYk4yNUVyMTY5OE5OUFAvbXRMeWdvd01HREI1R2VubzQxYTlaZzZkS2xtRHQzTHFaTW1ZSkE3TzJWbFpXRlo1OTlGcHMyYmZyTDcwMVVuZURnNERWV3EvWEJRTWRSbXppdG1vaUlpSWpPZWk2WEN4TW5Ua1JFUkFUc2RqdW1UcDJLWDMvOUZibTV1VGh4NGdSeWMzUGhjcmtxWEZlL2ZuMDBhdFFJRHo3NElBb0xDN0Y5KzNhLy9YZnMyQkUzM1hRVDNHNTN0YkVNSFRvVS8vem5QLy8wYS9Jbk9Ua1pDeGN1UkZwYUdnNGZQb3hHalJwQjEzVU1HalFJYmR1MnJkRGVNQXk4ODg0N1NFMU5SWDUrUHBvM2I0NGVQWHBnMEtCQnFGZXZYbzN2YTVvbVB2MzBVN3p5eWl0WXVYSWxRa0pDL0xiYnZuMDdac3lZQWNNd1VGUlVoT2pvYUR6d3dBTzQrdXFySzdROWR1d1lacytlalZXclZ1SHc0Y05vMHFRSmV2YnNpWUVEQnlJOFBOeW5yZHZ0eGtjZmZZU2xTNWNpTXpNVDllclZ3eVdYWElLSEgzNFlyVnUzcnZIcm9GUFNYQ2tWRWVnZ2FoT1RZeUlpSWlJNjY4MlpNd2ZwNmVsNDlkVlhFUkVSZ1MxYnRxQ3dzQkMzM1hZYklpSWlFQkVSZ2NqSVNQeisrKzl3dTkyNDRZWWJFQmtaQ1l2RjR1M2pzODgrdy9qeDQvMzJQM0hpUkF3Wk1nU21hUUlvbWI0OVo4NGNYSG5sbGJEYjdUNXRkVjAvcGRnckc3WE96OCt2a0NST25qd1p1Ym01Nk5peEkrclZxNGYwOUhSODlkVlhXTGx5SmViTm00ZjI3ZHQ3MjM3MzNYY1lPWElrSWlNajBibHpaMWdzRmhpR2dmbno1MlB0MnJXWU4yOGV3c0xDcW8xdDllclZtRDE3TnJaczJWSmwyNDBiTitLaGh4NkNpS0JidDI2d1dxMVl2WG8xbm56eVNZd2RPeGEzM0hLTHQyMXViaTRlZlBCQlpHUmtJQzR1RHBkY2NnblMwOVB4emp2dllOMjZkWmc3ZDY1UEF2N01NOC9nbTIrK1FhdFdyWEQ5OWRmajRNR0RXTDU4T1g3NjZTZk1uei9mN3hjRFJFUkVmd3U2cm91dTYyTURIUWNSRWRXZTB2L2JYdzEwSEI1U2F2WHExWktZbUNnVEowNzBGTW5nd1lNbEtTbEp5cHM4ZWJMMDZkT25Rcm1JU0dGaG9lVGs1RWhPVG80TUhqeFk3cm5uSHUvem9xSWluN1pMbHk0VlhkZGx6NTQ5ZnZ1cWljMmJONHV1NnpKdTNMZ0tkUnMyYkpBZVBYcEljbkt5VDNseWNySzQzVzZmc2hkZmZORnZQMis4OFlaTW16Wk5DZ29LdkdVblQ1NlVSeDk5VkhSZGwvZmVlNi9LK0g3NzdUZnAzYnUzNkxvdU45eHdnL1RvMFVOMFhmZnB6OFBsY3NsdHQ5MG1uVHQzRnFmVDZmTWF1M1RwSXQyN2Q1ZmMzRnh2K2J2dnZpdTZyc3ZVcVZPOVphWnBlbC9McDU5K1d1RjlHamh3b0JRV0Zuckx2Lzc2YTlGMVhVYVBIdTBUUzZBL2wyZUxzL0YzT1k0Y0V4RVJFVkd0RUpGY0FJV0JqcU1zaDhPQmtTTkhJakV4RWNPSEQvZXAyN2R2SDc3NTVodWZzdDI3ZCtQNDhlTVZ5a05EUTlHOWUzY0VCd2NEQUt4V0s2eFdLeG8wYU9EM3Z0OSsreTBTRXhQUnBrMmJTbVBidFdzWHZ2dnVPNzkxdDk1NnEwOWZJMGFNUUVSRXlRelc5UFIwREI4K0hFb3BuNUZ0d1Arb2RLOWV2YkI0OFdJY1AzN2NwL3krKys1RHc0YSsreW1GaG9aaTBLQkJXTGR1SFp4T1o1WFR2M055Y2xCVVZJU0hIbm9JZmZ2MlJmLysvWEgwNkZHL2JkZXRXNGM5ZS9iZ3BwdHVRa0pDZ3JjOE5qWVd2WHIxd3BkZmZvblZxMWZqK3V1dkJ3RHY5UFY3NzczWDIxWXBoVDU5K21EeDRzVSswOXM5aisrNDR3N3Z2NC9uZGIveXlpdVZUb1VuS28vSk1SRVJFUkhWQ2hINXQ0aWtCVHFPc3Q1ODgwMjBhZE1Ha3lkUFJsNWVIcjc2Nml2Y2VlZWRBSUMwdERRODk5eHpQdTFkTGhmY2JuZUY4cVpObTZKNzkrNDF1dWZSbzBleFljTUdqQnMzcnNwMnUzZnZ4dno1ODMzS1ROTkVVVkVSdW5idDZrMzBDZ29Lc0hqeFlqend3QVBZdkhrei92M3ZmMFBUTkx6eHhodUlpNHVyTnA3ZHUwdU9uYjdvb290OHlzc254aDZlSkx4c291bFBiR3dzdnYzMjJ3b0p1ai8vKzkvL0FNRHZlM2o1NVpmanl5Ky9oR0VZM3VUWTg2WEMvdjM3MGF4Wk0yOWJ6ODdkNTUxM25yZk1zNlo0LzM3Zms0VnljM054L1BoeGRPclVxZHI0aUFBbXgwUkVSRVJVUzV4TzV6dUJqcUc4NGNPSG8yWExscWhmdno0bVRweUl6ei8vSE4yNmRRTUFYSFBOTlpnd1lZSlArNWRmZmhsT3B4UHZ2LzkraGI0T0hEaUFWYXRXQVNnWmRTNG9LTURDaFFzQkFGZGNjUVZhdFdvRkFGaTBhQkhjYmpmZWYvOTlOR25TQkowN2QvWWIyOVZYWDQyZmYvN1pwMnpldkhtWU9YTW1vcU9qc1dmUEhnQkFaR1FrM252dlBaeC8vdmtZTldvVTZ0V3JoeGt6WmlBbUpxYlMxMTFjWEl6RGh3OWp6Wm8xZU8yMTE5Q3hZMGZjYzg4OU5YbkxZQmdHQU9DQ0N5Nm9zbDFsbTI3NXMzUG5UZ0JBZEhSMGhicW9xQ2dBOEw1ZUFMajc3cnV4ZE9sU1BQZmNjeGd6Wmd4aVltS1FtcHFLOGVQSEl5b3F5bWQ5Y21KaUlpNi8vSExNblRzWHJWdTN4aFZYWElIOSsvZGo0c1NKMERRTkR6MzBVSTNqcExxTnlURVJFUkVSMVlyWTJOamdrSkNRdnBYVkZ4WVdmcG1XbHJZZkFPeDIrN1VBS3QwbHlUQ01PWjdIZHJ0OVlHWHRSR1MxMCtuY0RnRHg4ZkhkTEJiTGhlVmlBbEN5R2RUaXhZc3hiTmd3bjkyTGMzSnlmSTVLMnJ0M0wwNmNPT0Z6M0ZQanhvM1JzV05IWkdabTRyWFhYZ01BRkJVVlFVUzh6MXUyYklsV3JWcWhzTEFRaXhZdFFvY09IYkJseXhaa1ptWmkyYkpsR0RCZ2dEY0pyTXAzMzMySFN5KzkxRHQ2Q3dEMzMzOC8zbnJyTFR6eHhCT0lqbzdHdEduVDBMeDU4MHI3dU82NjYzRGt5QkVBSmRPLy8vV3ZmNkZ2Mzc0MVNtYXpzN014Wjg0Y1dLMVczSHp6emRXMnI2bERodzRCQUJvMWFsU2h6bE4yNHNRSmIxbURCZzB3Wjg0YzlPL2ZIdzgrK1ArbkJiVnMyUkt6WnMzeXV4SFpzR0hETUhMa1NHK1oxV3JGekpremNlR0ZQaCtKU2o5UHBtbWVTRWxKV1FRQXNiR3hFU0VoSVpWK20xRDJzMnl6Mlc1UVNyV29wTS9DbEpTVTkwdjdyTzduNDd1MHRMUTlwVEdlanArUHJoYUxwZEtwQmpYdDB6Uk5SMHBLaWlFaWN3QVlsYlU3RXpFNUppSWlJcUphNFhhN1F3QThYVm05MVdyZEJHQS9BSWpJWFVxcG5sVjBONmZNNDByN1ZFbzlDV0I3YWYrM2lNZy95cmM1ZWZJa3hvNGRpNVl0VytLKysrNHJleTNTMDlNeGJOZ3doSWFHK2x5VGxKUUVvQ1FKdnVxcXF6QjU4bVJjZlBIRjNwSGVJVU9HNE9qUm94VkdtTC80NGd2azVPVGdxYWVld3FoUm82QnBHaHdPQjlMVDB6Ri8vdndLOXlscisvYnQyTHAxSys2Ly8zNmY4clp0MitMR0cyL0VGMTk4Z2RHalIxZVpHQU1sNjVXUEhqMktRNGNPWWRPbVRaZ3hZd2EyYk5tQ01XUEdvSDc5K3BWZTk5dHZ2MkhZc0dISXpzN0c2TkdqMGJScDB5cnZjeW9LQ2dvQStCOXQ5a3pmTGlvcThwWWRQMzRjU1VsSnlNN09Sb2NPSFhEZWVlZGgxNjVkMkxGakIwYVBIbzJwVTZkNmQ5SVdFVXlaTWdVYk5teEFpeFl0RUJjWGg4T0hEOE13RER6OTlOTjQ0NDAzeW44eDRmZnpaTEZZZmdld0NBQ0Nnb0xPcWF3ZDRQdFpWa3IxQlhDSnYzYWFwaDBIOEQ1US9jOUhjSER3SGdCN1NsOVRyZjk4V0N5V25nQ3FPcGU0cG4xT0JXQVloakdvaXI3T1NFeU9pWWlJaUtoV2JOMjZOVGMyTnZiU0twb2NLZlA0djRXRmhUWGE2YmF3c0xEU1BvOGZQMzdNOC9qbzBhUGpRME5EcDVTcDNnY0F6ejMzSEhidjNvMjR1RGhvbWdhZ0pGa3JtNmd1WGJvVWpSczNydEQvMEtGRGF4SWlnSkkxcnJObXpjTFZWMS90blpJY0VSR0JGMTk4RVFNSERzU2tTWk13WnN5WVNxK2ZOV3NXR2pWcWhPdXV1NjVDM1NPUFBJS1ZLMWZpeFJkZnhQejU4NnRjRHp4a3lCRHY0OExDUXJ6Kyt1djQ4TU1QQVpSTUcvZm5peSsrd0VzdnZRVFROREZ1M0xoYUhUVUdTa1p4Z1pMemlJT0NnbnpxaW91TEFjRG4zMlBzMkxIWXVIRWp4b3daNDdNNTJZSUZDL0RLSzY5ZzBxUkpHRHUyNU9QendRY2Y0Sk5QUHNHdHQ5NktVYU5HZWUvbGREcngyR09QWWRpd1lWaThlTEczdkxMUFUwaElpUGVRNnBTVWxQMDEvU3dYRlJVOUppSisvMEdzVnF2cGVWemR6MGRSVVZGT21hZTEvdk9SbjU4LzFXS3h2UFZuK3dTUVc1TSt6a1JNam9tSWlJaW90b2hucW1sMW5FNm4vMjJOL2FocG43dDI3VG9HNEZqWnN0ZGZmeDNmZnZ0dGhSSFQvUHg4bjJUc2YvLzdIeUlqSXl2MGVmandZYlJvNFhmR2JBV3paOC9Hc1dQSE1HVElFTGhjTG05NXAwNmQ4TWdqajJENjlPbm8wcVVMZXZmdVhlSGE5UFIwckZ5NUVvOC8vcmpmMGRWbXpacmhxYWVld3RpeFkvSFNTeTlWbVdTWEZSSVNndUhEaDJQbHlwVll1WElsY25KeWZEYmljcmxjbURCaEFwWXNXWUxvNkdpTUh6L2U1eXprMnVKNWI0OGRPMVpoOU55encvVzU1NTRMb0dScSsrclZxOUcxYTFlZnhCZ0ErdlRwZysrLy94N0xsaTNEc0dIRGNNNDU1K0NERHo1QXZYcjE4Ti8vL3RlYkFBT0F6V2JEL2ZmZmo3bHo1MkxObWpXNDZxcXJBTlQ0OCtTdTZlZHU4K2JOUjZwdkJTREFQeDlidDI0OUFlQkV0UTFQb2MrekRaTmpJaUlpSWpwcnJWdTNEbjM2OUVGdWJxNTNVeWlnWkpTM1hyMTYzdWN6WnN6d2ppcVhsWk9UVTJseVhGaFlpQjkrK0FIcjFxM0RaWmRkaG9VTEYrTHV1KzlHVkZRVWR1elk0ZE8yZi8vK1dMMTZOU1pNbUlENCtIaTBiTm5TVzFkY1hJeG5uMzBXRFJvMHdELytVV0ZXdU5kTk45MkUxYXRYWStuU3BXalJvZ1grOWE5LzFlZzkwRFFON2RxMXcvNzkrN0Z2M3o1dmNteWFKcEtTa3JCeTVVcmNkZGRkR0Q1OGVMVTdWUDlSYmR1MlJYcDZPbjc3N1RlZjNhY0JJQ01qQXdCdy92bm5BL2ovamJrcTJ4QXNPam9hcWFtcHlNek1SRmhZR1BidjM0K1ltQmkvWHlwNE5nRHo3TmhOVkJVbXgwUkVSRVIwMW5yKytlZHgvdm5uK3h6TlZGQlFnQU1IRHZpY1FmemVlKzlWTzYwNkp5Y0h2Lzc2S3h3T0I5TFMwbkRzMkRHTUdUTUduVHAxd3JQUFBvdkdqUnZqMFVjZjlSdUhwbWtZTzNZczdydnZQb3daTXdhelo4LzJKdU16Wjg3RTl1M2JNV0hDQkorRTNaOW5uMzBXKy9idHc4eVpNeUVpTmRxSldVUzh5V0haeFBTamp6N0N5cFVyTVhEZ3dFcmpyaTJKaVluNCt1dXZzV2JOR2x4eWllL3lYTTg2N3NzdnZ4ekEveDh4bFptWjZiY3Z6MnRwMUtnUmdvT0RFUkVSZ2F5c0xMaGNMcCtSNDdKdEt6dTJpcWlzaWwrUEVSRVJFUkdkSlR5amtXVjVFcWF5eWZHdHQ5Nkt5eSsvdk1JZnovbThBREIvL253a0pTWGgrKysvUjQ4ZVBUQjE2bFNzV0xFQ3pabzFRMjV1THNhTkcxZGhGK1d5b3FLaThOQkREOEZxdFNJL1B4OEFzR0xGQ3J6Nzdydm8zcjA3ZXZhc2F2K2xFbUZoWVhqdHRkZlFwazBiekpvMUN5Kzg4SUozSTZzTkd6WjRqMkh5Y0x2ZGVQUE5ONUdWbFlWTExybkVPM1VaS0VtT2c0S0NhalFDblpHUmdZVUxGM3JqUGxYWFhYY2RJaUlpOE5sbm4vbU1xcWVscGVHcnI3N0NoUmRlQ0YzWEFmeGZlL2NkSG1XVjluSDg5OHhNQ2ltSUZPa0tHSVFnQ1dTeUZFSEZ3b0p0UlgxVlZoUWlaY1dDd3NMcVJwRUFZa01XQlZlWDRrWVF4QlZGQkJkN29ZaFNOSVVFQ0JDVVlBQkRid21relp6M0Q4eHNoa3hDd01BQStYNnVpK3VhT2MrWis3bG5uSWx6enpuUE9WS3JWcTNVdEdsVExWKytYTXVYTC9lS3MyalJJaVVsSlNreU10SXordDY5ZTNjZFBuelk4NE5CaWN6TVRNMlpNMGVCZ1lHNit1cXJUeWx2VkMrTUhBTUFBS0JhV2IxNnRSd09oeTY3N0RLdFdiTkdrdlQ4ODgvN1hNbTVaS3NtU2JyeHhodDF6VFhYS0RvNldwWmxlZHE3ZE9taVN5Kzl0Tno5akV2cjE2K2Y0dUxpWkxQWmxKNmVycWVmZmxxTkd6ZXU5RFhFMHJGUjBEZmVlRU9QUGZhWTVzK2ZyMDJiTmlreE1WSGJ0Mi8zWERNY0dSbXBvcUlpclYyN1Z0bloyV3JZc0tGR2pScmxpWkdYbDZmdDI3Y3JPRGhZZi8vNzM4czlWM3g4dkM2NjZDSWxKQ1JvM2JwMTJydDM3eW1OTW9lSGgrdUpKNTVRUWtLQzR1TGkxSzFiTnhsanRIVHBVZ1VFQkdqTW1ER2UxOVN5TEkwYk4wNFBQdmlnaGc0ZHF0allXRFZ1M0ZoYnRteFJlbnE2d3NMQ1BJdHhTZEtqano2cTVPUmt6Wmd4UTh1V0xWTmtaS1QyNzkrdlZhdFd5ZVZ5S1NFaFFiVnExVHJwbkZIOVVCd0RBQUNnV3ZubW0yOFVFeFBqTllYNThzc3Y5em10dW5UQmZQeCt1U1Y2OXV4WjZYUGI3WGJQN1I5KytFR0JnWUdhUEhteXorSnQ1ODZka3VSek5McGV2WHBLVEV4VWZIeThldlhxSllmRG9TNWR1dWllZSs3UmloVXI5T1dYWDhybGNxbEpreVlhTUdDQSt2WHI1N1hnV0Y1ZW5xUmpVOHlYTGwxYWJyNlBQZmFZcEdQVG9yT3lzaFFkSFYzcDUzcThtMisrV2VIaDRVcE1UTlNTSlVzVUZCU2tMbDI2YU1pUUlXWDJnSTZLaXRMY3VYT1ZtSmlvRlN0V2FNMmFOYXBUcDQ3dXVPTU9EUnc0MEdzN3ExcTFhdW50dDkvV3pKa3o5ZFZYWCtuenp6OVhhR2lvdW5idHFyaTRPTFZyMSs2VWMwYjFZcDI0Q3dCVVBhZlRhU1NOU1U1T0h1dnZYQUFBNXlkVGFvN3RNODg4bzU5KytrbVBQUEtJSG5yb0lZMGFOVXEzM1hhYnZ2LytlejM2NktQbDdqOWNlcC9qazdGNTgyYjE3dDFiNDhlUFYvZnUzY3Z0bDVPVDR5bjBEaDgrckxGangrcUNDeTd3aktybTV1WnE0Y0tGSjl6YkdKVm5sUjcyQjBwaDVCZ0FBQURWeG80ZE85U3laVXZkY3NzdFh1MGpSNDcwdVpYVDlPblRUMnMrcFl2ZThQQndKU2NuNitEQmc3SXNTNDBhTmRMdzRjTXBqSUV6aEY5TkFQZ0ZJOGNBZ05PdDlNaHhibTZ1WEM2WFoxU1d3Y1BxaTVGamxJZVJZd0FBQUp6M3dzTENQTGVwalFENHdsWk9BQUFBQUlCcWo1RmpBQUFBbkplWVBndmdaREJ5REFBQUFBQ285aWlPQVFBQUFBRFZIc1V4QUFBQUFLRGFvemdHQUFBQUFGUjdGTWNBQUFBQWdHcVA0aGdBQUFBQVVPMVJIQU1BQUFBQXFqMktZd0FBQUFCQXRVZHhEQUFBQUFDbzlpaU9BUUFBQUFEVkhzVXhBQUFBQUtEYW96Z0dBQUFBQUZSN0ZNY0FBQUFBZ0dxUDRoZ0FBQUFBVU8xUkhBTUFBQUFBcWoyS1l3QUFBQUJBdFVkeERBQUFBQUNvOWlpT0FRQUFBQURWSHNVeEFBQUFBS0Rhb3pnR0FBQUFBRlI3Rk1jQUFBQUFnR3FQNGhnQUFBQUFVTzFSSEFNQUFBQUFxajJLWXdBQUFBQkF0VWR4REFBQUFBQ285aWlPQVFBQUFBRFZIc1V4QUFBQUFLRGFvemdHQUFBQUFGUjdGTWNBQUFBQWdHcVA0aGdBQUFBQVVPMVJIQU1BQUFBQXFqMktZd0FBQUFCQXRVZHhEQUFBQUFDbzlpaU9BUUFBQUFEVkhzVXhBQUFBQUtEYW96Z0dBQUFBVG82dGJkdTI5Y1YzYWVDODR2QjNBZ0FBQU1DNTVMTExMcXNkRUJBd0xTWW01aytXWldVWll6WkkydUJ5dWRiYmJMWU5sbVZ0S3lnb0tMQXNxOUFZVTFoWVdGaTBlZlBtUWtuRzM3a0RLQi9GTVFBQUFIQVN3c1BEanhoalpobGoxaGhqTHBKMGthUk9kcnU5bDZUNmxtVTVnb0tDZGtyYVpZelpHUlFVdExOOSsvWTVsbVh0Y3J2ZE8yMDJXMDVSVWRFdVk4ek9NZVBFRUFBQUlBQkpSRUZVZGV2V0haRGs5dXNUQWlDSjRoZ0FBQUE0S1VsSlNVY2t6WmYwWWJObXpZTEN3OE5yQkFZR0JoY1dGdGF3Mld3MWpESDFMY3RxYWJQWldscVcxVkpTRjV2TjFzd1lZN1BaYlBtV1pSME5DQWc0S3VsbysvYnREMWlXdFZsU3B0dnR6cFMwS1Q4L2YvUEdqUnNQKy9NNUF0VVJ4VEVBQUFCd2FreFdWbGErcFB6ajJ0ZEordWE0dG9EMjdkczNzOWxzclkweGJZd3hyU3pMYW0xWlZpUExzbHBJdXRsbXN3VkxxaEVhR3JvMklpS2k0K2JObXd2T3hKTUFjQXpGTVFBQUFIRDZGYVdtcG1aS3lwVDAzNUxHSmsyYTFLaGJ0MjU5dDl0ZDMyNjMzeWJwVVVtdUN5NjR3TzZ2UklIcWl1SVlBQUFBT1BNQ25VN24zY2FZaTNidjNqMWwyN1p0V1ZGUlVRY2REc2RtbDh2MTdabzFheGcxQnM0d2ltTUFBQURnOUxORlJFU0VoWVNFTkxUYjdYR1MvaUlwekxLczFKQ1FrRm1TanFhbnAyK1F0TUcvYVFMVkY4VXhBQUFBY0JxMWFkT21RWEJ3OEVCalREZEpmNUMwdzdLcytXNjNlNFV4NXZ0Tm16YnQ4M2VPQUNpT0FRQUFnQ3JYcUZHamtCMDdkaHlScE9EZzRBc2xEYkFzSzhudGRnK3dMQ3RsMTY1ZHU3WnQyM2JVejJrQ0tJWGlHQUFBQVBpZFltTmpBOXh1ZHkyMzJ4MWpzOWtHVzViVnNtN2R1cjNTMHRLMkpDY25aelpwMHFRdHhUQndkcU00QmdBQUFFNVJURXhNUFVuZDNHNTNOMG5YMld5MkpwTFd1ZDN1RHlRVi9kYXRlTnUyYmNWK1N4SkFwVkFjQXdBQUFLZWdYYnQybDFtV3RkQVlVOSt5TExmYjdaNXRXZGFIa2piYjdmYmRxYW1wUlNjTUF1Q3NRWEVNQUFBQW5FQnNiR3pJMGFOSDZ3WUhCOStZbkp5Y0tLbDR6Wm8xbTV4T1o1cGxXZlB6OC9NL1hMOStmYUcvOHdSdzZpaU9BUUFBQU4vc2JkdTJ2VHdnSU9BYXQ5dDlWWEJ3Y0ZkalRIQzdkdTJXcjFtelpwMGtKU2NuOS9aM2tnQ3FCc1V4QUFBQVVFcWJObTBDQXdJQ2V0aHN0dnQxYk91bEJwSitNc2E4Nm5LNUZ1M2J0KzluUDZjSTREU2dPQVlBQUVCMVo0K0lpQWpkdkhuellVbkc0WEMwdGRscy81YVVMK25yNHVMaWY2ZW5wNi93YzQ0QVRqT0tZd0FBQUZSTExWcTB1S0JtelpvZEpYV3pMQ3MyT2pvNkxpMHRiVmRhV2xxcTArbU15OHZMUzkrNGNlTU9mK2NKNE15Z09BWUFBRUMxRWhzYmU0SEw1UnBzV2RidGtscFlsaFZtakZsaHM5bENmdXZpVGs1Ty90eWZPUUk0OHlpT0FRQUFVQzFFUjBkZlpGblcwMjYzZTdCbFdVY3N5OXBwakpuaGRyc1RVMU5UTS8yZEh3RC9vamdHQUFEQWVhbDkrL2JOSkxXejIrMHBTVWxKditUbjU3dERRa0wyV1pZMTF1VnlyY2pMeTB2YXZIbnpJWC9uQ2VEc1FIRU1BQUNBODBwMGRMVFRicmMvSU9sNnk3SnF1ZDN1NFpKbWI5cTBhVytqUm8xZTJyRmp4eEYvNXdqZzdFTnhEQUFBZ0hOZW16WnRHZ1FGQmZXUTlJaGxXVEdTRGhsanN0eHU5eXRIamh6NTlMZHVoc0lZUUhrb2pnRUFBSEJPYXRPbVRlRDY5ZXNMSlNrb0tHaVNwTTZTdnBjMHl4aXpLaVVsNVVlL0pnamduRUp4REFBQWdIUEdiOXN2M1NKcG9ERm1tcVM1a3VSMnU4Y1pZNHFQSERueUs5Y1JBemdWRk1jQUFBQTRxN1ZvMGVLQ0dqVnFOQTRJQ09oaldWWi95N0l1bEhUUUdOTld2eFhIYTlhc1dlZmZMQUdjNnlpT0FRQUFjTmFLaVlrWklla0dTWCt3TEN0YjBnSkpLd29MQzFlc1hidjJaLzltQitCOFFuRU1BQUNBczBaVVZGUUxsOHQxWlAzNjlUbVNaSXk1M0xLczNXNjN1Ni9OWmt2ZnZYdjNybTNidGgzMWQ1NEF6ajhVeHdBQUFQQ2IyTmpZQUVrWHVGeXV0amFiYmFneHBvZmRibjlPMHZPU2xKcWFPc0MvR1FLb0xpaU9BUUFBY01hMWF0V3FVVWhJU0JlMzI5M05zcXh1TnB1dHBhUWZqVEd2R1dPVytUcy9BTlVQeFRFQUFBRE9ORWRvYU9oTHhwaWJqREY1eHBqM0pRMHNLQ2pZRmhJU3NpY3BLYW5JM3drQ3FING9qZ0VBQUhDNldOSFIwU0Z1dDd0MlFFREFMY2FZak5UVTFDV1NpdDF1OXp4anpBY0hEeDc4TkNzcks5L2ZpUUlBeFRFQUFBQ3FYRXhNVER0SjNTUmRiYmZicjdJc3l5YnBCVWxMSkNrMU5YV0JQL01EZ09OUkhBTUFBS0NxV05IUjBkZlo3ZmFobG1XMWszU1JNV2FqTVdaQ1VWSFJGMEZCUVZ2OW5TQUFsSWZpR0FBQW9BTE5JdHR2dHFSTC9aM0h1Y0FZbzBLM3BVRExxTmh0Vk9pU2l0Mm0zYkZDMlRFaDc0aEx6U1BiK3p2TnM0WXhjc25vcWF5TnFTLzVPeGNBRk1jQUFBQVZzcVJMLzNqZE5mcmo5ZGY2TzVWendwRWpSeVFaaFlTRStqdVZzOTRUSTBmYmphV0cvczREd0RFVXh3QUFBQ2ZRSnJLVjdyejlWbituZ2ZQTUV5TkgrenNGQUtYWS9KMEFBQUFBQUFEK1JuRU1BQUFBQUtqMktJNEJBQUFBQU5VZXhURUFBQUFBb05walFTNEF3QmxoakRIK3pzR2ZMTXV5L0owREFBQW9IeVBIQUFBQUFJQnFqK0lZQUFBQUFGRHRVUndEQUFDY28zSnpjNVdmbjE5aEg3ZmJyZUxpWWxYRmxRMTVlWGtxS0NqNDNYRWtLVDA5WGErKyttcVZ4ZHUrZmJ1MmJkdFdKYkVBVkU4VXh3QUFBT2VveE1SRTllalJRMFZGUlQ2UEZ4Y1g2L2JiYjFlblRwMjBkKy9lY3VQazVPUm80OGFOWHYreXNyTEs5SHZ0dGRkMC9mWFg2NWRmZmlrMzFvSUZDL1RzczgvSzVYSlZtUHZHalJ2MTFsdHZxYkN3c053K3hoaTkrT0tMV3JGaVJabGptWm1aMnJwMXErZittREZqTkhMa3lBclBDUUFWWVVFdUFBQ0FjOVRLbFN2bGREb1ZFQkRnOC9oNzc3M25HVTJkTTJlT2hnNGQ2clBmYTYrOXBrOC8vZFNycldYTGxucjMzWGM5OS9mczJhTUZDeGFvVTZkT3V2amlpOHZONmVqUm8xcXdZSUgyN05tajhlUEh5MjYzNjVOUFBpblRMeTB0VFpMMDZhZWZLamc0dU16eFcyKzlWWGw1ZWNyTXpOUUhIM3lnUng5OVZQMzY5Zk1jZis2NTUzVDQ4R0Y5OE1FSDVlWUNBQ2VENGhnQWNNWWRQSGhRMDZkUDE1SWxTN1IzNzE3VnExZFBQWHIwME1DQkF4VVNFbEtwR0lzWEw5WmJiNzJsek14TU9Sd094Y1RFYU1pUUlZcUlpUERxZC9Ub1VjMmFOVXVmZi82NWR1ellvYUNnSUxWcDAwYjkrL2RYeDQ0ZFBmMDJidHlvUG4zNm5QQzhjK2ZPOVp5anNyR0JxclJ6NTA3dDJyVkxSNDhlMWFaTm05U3BVeWVscDZkN2psOTAwVVdxWDcrK3NyT3o5YTkvL1VzOWUvWlVhR2lvNXN5Wm8ydXZ2VmJSMGRFKzR6cWRUcjM4OHN1U3BILys4NStlNHJYRXpKa3o1WEs1Tkd6WU1FbkhQc2NMRml6UXZmZmVLNGZqZjE4cDc3bm5IdFdyVjA4alI0N1VrQ0ZEOU1JTEwyajI3Tmxsem5mbzBDRkp4ejVUTmx2WnlZeTMzbnFyd3NMQ05HWEtGQ1VrSkdqeTVNbmF2bjI3bm56eVNlM2J0MDlyMTY1VlhGemNTYjU2QUZBK2ltTUF3Qm1WbTV1ckFRTUdLQ3NyUzIzYnRsWG56cDJWa1pHaG1UTm5hdVhLbFhyenpUY1ZGQlJVWVl4MzNubEhFeWRPVksxYXRkUzllM2Z0MmJOSDMzNzdyWDc4OFVmTm5EblRVN3dhWTlTL2YzOWxabWFxYmR1MjZ0R2poM0p5Y3JSNjlXcXRYcjFhWThlTzFTMjMzQ0pKQ2c4UDEzWFhYVmZ1T1pjc1dhS1FrQkExYU5EZ3BHTURWV25CZ2dXYVBuMjY1LzdzMmJPOWlzOEhIbmhBOTk5L3Y1NTg4a21GaElUb2lTZWVrTVBoMEhmZmZhZmh3NGRyOXV6WmF0aXdZWm00ZHJ0ZDRlSGhrcVRBd0VDdlk5bloyWm8zYjU3NjlPbWpaczJhU1pMMjd0MnIxMTU3VFRhYlRYMzc5dlhxMzcxN2Q0V0VoT2pqano5V1NFaUlacytlcllNSEQzcjErZVNUVC9UYWE2OXB3b1FKQ2cwTjlUb1dGaGJtdVIwWUdLam5uMzllOWVyVjAxVlhYU1ZKK3ZiYmIyV00wWnc1Y3p5ajJ5WFhMbmZ0MnRVclZyTm16VFJuenB6eVhrNEE4S0E0QmdDY1VmUG56MWRXVnBiNjlldm5tZUpaY2wzaHZIbno5TWtubitqMjIyOHY5L0hidDIvWDVNbVQxYkJoUTgyYU5VdTFhOWVXOUwrQ2VlTEVpWm95Wllva3llVnlxYUNnUUcrOTlaYmF0bTNyaWJGaXhRbzk5dGhqbWpoeG9tNjQ0UVk1SEE0MWF0UklFeVpNOEhuT3hZc1g2NXR2dmxGY1hKem5TL3ZKeEliL09aM09JY1lZS3o4L2YxNUdSc2F2L3M3bjk3ai8vdnZWcDA4ZnhjZkh5eGlqYTY2NVJydDI3ZktNb3Rwc05qM3h4QlBhdEdtVHBrNmRxbHExYWttU0prNmNxSUVEQjJyZ3dJRjY5ZFZYeTh5eXFNaUVDUk5VcDA0ZERSNDgyTlBXb2tVTDNYYmJiWHJqalRkMDg4MDNlejZMSmJwMDZhSXVYYnBJa2o3ODhFTTkrK3l6UG1QZmRkZGRaZG9lZXVnaERSbzB5SFBmWnJOcHhJZ1Jrbzc5dmZqUGYvNmppeSsrMk90dnhieDU4K1J5dWRTN2QyK3ZXQ1hQSHdBQTRLemtkRHFOMCtrYzdlODhjT2FZM3p6OTlOUEc2WFNhbkp3Y1U5cldyVnVOMCtrMDQ4ZVBOeFdaTkdtU2NUcWRadUhDaFY3dGJyZmIzSHp6emNicGRKcWRPM2Q2MnZidjMrOHp6dURCZzQzVDZUU2JObTJxOEh3dWw4dmNkZGRkNXZycnJ6ZEhqaHp4T3QvSnhQYjM2MS9kT1ozT1YySmlZc3h2L3o2TmlZbDVLQ29xS3VyeXl5K3ZMY2xlMFdPYlI3WTNrMTZiVXVINzVFdzdmUGl3NmRTcGsxbTRjS0Y1OXRsblRiOSsvWXd4eHVUbTVwcWhRNGNhcDlOcFB2amdnektQVzdwMHFlblVxWk81OHNvcnpadzVjMHh4Y2JFeHhwaVJJMGVhVzIrOTFiejU1cHZtelRmZk5QMzc5emU5ZS9jMnhoano5ZGRmRzZmVGFaWXNXZUtKNDNhN1RWNWVuc25JeURBZE8zWTA0OGFOTThZWXMyblRKdE8vZjMrVGtaSGhkZDZqUjQrYTNidDNlLzJiT1hPbWNUcWRKaXNycTh5eGtzL2F0R25UektoUm84elJvMGM5c2I3NTVodWZmd01HRFJya2VSM09GYzBqMjV0bWtlMWZPVU1mQXdBbndNL1pBSUF6cW1uVHBwS09yWTVidjM1OVQvdjI3ZHNscWNLRmZpUjVWcTI5K3VxcnZkb3R5OUlWVjF5aCtmUG5LelUxVlQxNjlKQmxXZVdPR3BXTUFCOC9mZlI0bjMzMm1YNzY2U2VOR0RGQ05XclU4RHJmNzQwTnY3bEIwZzBPaDJPUHBCVk9wM09WMiszK0xqYzNOM256NXMySC9KMWNaU3hkdWxTV1plbTY2Njd6dXQ1NHhJZ1IrdUdISHpSaXhBamRjY2NkWlI1MzlkVlg2NS8vL0tlZWZQSkovZnZmLzFhUEhqMVV0MjVkU2RMKy9mdTFaTWtTU2RLdnYvNnEyclZyS3prNVdhTkhqNWJkYnRlVUtWUDAwa3N2S1RjM1YzbDVlVjViUTMzMDBVZnExNitmY25OemxaMmRyYmk0T0EwYU5FajkrL2ZYNU1tVHRYTGx5aks1bEZ4elBIejRjSi9YSFAvMXIzOVZZR0NnUHY3NFkyM2N1RkdUSjA5V2d3WU45UEhISCt2Q0N5L1VEVGZjOFB0ZVJBQTREc1V4QU9DTXV2dnV1N1Z3NFVJOTg4d3pTa2hJVUt0V3JaU1dscVpubjMxV3pabzEwNjIzM2xydVkxMHVsN1pzMmFLNmRldjZMRXliTjI4dVNSVnVNeU5KUlVWRlNrOVBWM0J3c005ckwwdTQzVzVObXpaTnRXclYwdi85My85VjZ2bFZOamJPUE11eWp0L3J0NjZrUDBtNndXYXo3UTBQRDg5cDE2N2RSNVpsZlppYW1wcnFueXdyNTlOUFA5VlZWMTNsZFcydUpEM3l5Q1Bhc1dPSEdqZHVyUHZ1dTA4dnZ2aWltalJwNGpsZVZGU2tEaDA2NlAzMzMxZFdWcGFuTUpha05tM2FhT3JVcVpLa2YvempIL3J4eHg4VkdocXF3c0pDdFd6WlVnMGFORkRkdW5WVnIxNDkxYTVkV3pWcjF0UUZGMXlnb0tBZ0RSNDhXRk9tVE5FTEw3eWdkOTU1UjhPR0RkUFVxVk4xOGNVWHExdTNibXJac3VWSlA4ZExMcmxFWGJwMFVjT0dEWldRa0tDK2ZmdHE3dHk1ZXZIRkY1V1ptY21QVDlWTVZGUlVyTjF1TDd1c3VTVExzbkpUVWxMV1NGSjBkSFNveldaclgxNGN0OXVkbXBhV2xpZEpNVEV4N1l3eFliNzZ1Vnl1L1BUMDlDUkppb2lJQ0FvTEMvdERlVEZ6YzNQVFMzNVlpNDZPYm11ejJTNG81OXpGYVdscHEwcnV0Mi9mdnF1dmZwSlVWRlNVc1c3ZHVuMlM1SFE2STl4dWQvM3krcWFtcG41WG1aZ0ZCUVUvbDF4V0VoMGQzZHhtc3pYNm5URUxEeDA2dE9ubm4zOCtXTTd4Y3c3Rk1RQi9LVGJHUEJBVEU4T0tSZFZNclZxMWxKaVlxTGk0T0EwWU1NRFQzcWhSSTAyYk5xM0MxYW9QSGp5bzR1SmkxYWxUeCtmeEN5KzhVTkwvUnFUS00yUEdETzNaczBkMzMzMTNoVit3bHk1ZHFtM2J0cWwvLy80blhDVHNSTEZqWW1KK3FGUUFuQmJHbUthV1pjbXlMRi9IQWlRMWtOVEFack8xdHl3cklTWW01cEF4WnByTDVacDl1T2pzbWhXL2I5OCtyVjY5MnVjMThsRlJVWXFLaXRLcVZhdVVrWkdoL1B4OHo3SHM3R3dOSFRwVUhUdDJWSHg4dk9melVwRldyVnBwMmJKbEozei8zM0RERFRwMDZKQmNMcGZxMWF1bmYvLzczL3J2Zi8rcm5qMTdTcElPSERpZ3paczNWK3I1MmUxMnhjVEVlTzczN05sVE5XdldWSEp5c29xTGkvWE9PKzlJa243NHdmc2p0WFBuVHJsY0xzMmFOYXRNek5xMWE1KzFDK1NGQlZpZG5VNW51Vyt5NU9Sa3o1dTJvbjZTSmlVbkovOVZrdHEzYng5bnM5bG1Wa0hNQmNuSnliZi9Gck9YeldaYlVGNUh5N0pxSlNVbEhaU2ttSmlZL1pabCtaeGFZNHhaa3BLU2N1MXYvYnBabHJXa3ZKakdtR1lwS1NsYkpTa2dJR0M2TWFhOHFVVnJKVjM3MiszbWxtV1ZtK2R2L2RiK2RudVNaVmx0ZlhVS0NBajRSVktzSkFVSEIxOVVVY3l3c0xCZWtyNlhKTHZkL3F3a244V2t3K0U0S01senNYOUZNUU1EQS90SitsU1NqREZETGN2NmN3WFBxVjVsWXRhb1VXT2twT21TWkxQWkJscVdOYmk4dnBXTTZhNVpzK1lMa2laVkVPZWNRbkVNd0MrTU1TOWFsdFhreEQxeEh2bURkS3h3alkrUDE1NDllOVM2ZFd0ZGZQSEYrdm5ubjdWNTgyYU5IRGxTa3laTjhwcStYRnJKRi8zeUN0cVNML0JGUlVVK2o3dmRiazJkT2xXSmlZbHEzcnk1SG43NDRRb1RmdWVkZDJTMzIzMHVHSFN5c1MzTFdsdk9RM0VHR0dOQ0pKVTc4dUtEeTdLczFuYTcvU3JyTEN1TzE2MWJKNWZMcGFlZWVrclNzZmU3MiszMnJOSmNlaVhyRWl0WHJ0U1RUejZwR2pWcTZNNDc3enlwODFYbWg2R1JJMGQ2TFQ1WG8wWU4zWDMzM1o3N0tTa3ArdHZmL2lhSHcrSHpCNG9TTHBkTElTRWhXcnAwcVZmN0ZWZGNvU3V1dUVKcGFXbWFObTJhcDcyNHVGakZ4Y1dlZlpLTk1abzhlYklDQXdPOXBtcTNiTm55ckMyTzg0dk5ab2ZOVEsxTVg3ZmJmWDhGaDllWDNMRGI3Y3RkTGxkRmZTc1YweGpqbVlaVFhGeWM3SEE0eXUxcnQ5dVBsTHI3c052dDl2bUgybWF6NVpUY0xpb3EybEJSVExmYnZhZFVMc05kTHBmUC96blliRGJQTDZJRkJRVmJnNEtDK3ZycVYzSzhWTXlSYnJlN3BxOStkcnY5YU1udEF3Y083S2xkdTNhNU1WMHUxNFpTT1Q5dmpLbnRxNS9kYnZmNm41UEw1U28zcHFUa2todkZ4Y1hUTGN2NnVJSytsWXBwdDlzelN2VjcyN0tzNWI4M3BzdmxxdHl2WHVjSWltTUFmcEdTa3ZKTW16WnRLamNVaC9QRi9aSTBldlJvcGFlbkt5RWhRYjE2OWZJY25ETm5qbDUrK1dXOTlOSkxHajNhOTFwdGR2dXhkWk5jTHBmUDR5VkZjY2tYNWRMMjd0MnJrU05INm9jZmZsQk1USXdtVEpqZzJiYkdsMDJiTmlrNU9WbmR1M2YzdWpiYWw4ckV6cy9QZjdUQ0lEaXRnb09EeDB0cVUzTGYrRjRqclVqU3AyNjMrOFBpNHVKVnhwaWQ2OWF0Mjk4OHN2M3JaeXJQeW9pTWpOVDQ4ZU05OStmUG42OGRPM1pveUpBaGtxUW1UWnBvdzRaajM5VnpjM00xYnR3NExWaXdRQjA2ZE5Eenp6OWZabFZwNmRpUE8vdjI3ZFBubjM4dVNkcTYxVk0vYU9yVXFmcjY2Njhyektsang0NTYvUEhIUGZmMzc5K3ZMNzc0UWoxNjlQQWFvZjd3d3cvVnFGRzVNem4xK3V1djY3MzMzaXZUL3ZQUFA2dDU4K2FLam83V2Q5OTVabnRxeG93WmV1MjExL1RGRjE4b05EUlU2ZW5wdXYvKyt6Vng0a1RQU3RsbnUyS2pQYW1wcVc5VnBtOWwreVVsSmYwazZhZXFqTGwyN2Rwc1NaWHFtNUtTOHA5S3h0eDVFakdYbnJpWHRISGp4c09TUHF0TTM5VFUxTzhyMDIvYnRtMUh0MjNiVnFtWWE5YXNXVjJaZnBLVWxwWldxWmpweHhZV1NEOWh4NU9MdVVIU2hoTjJQSW1ZNXdPS1l3RCtVclIrL1hyZnczczRiMjNmdmwzTGxpMVRwMDZkdkFwalNicjMzbnYxMVZkZmFkR2lSUm8yYkpndXVLRHNKVnNsQldkNTA2WVBIRGdnU1dXKy9LZW5wMnZFaUJFNmNPQ0FCZzhlcklFREIzb0s3ZklzV0hCc0Z0bE5OOTFVWWIvS3hsNi9mbjF1aFlGd1dqbWR6c0xqQzJMTHN2SWw3VGJHL0NUcFBaZkw5VUZhV3RvdXZ5UjRFdXJXcmF2dTNidDc3cTlhdFVwNWVYbGViU1dHREJraWw4dWx4eDU3VEgzNzl2VzU4SlVrRlJZV2F1dldyZnJIUC80aFNUcHk1SWhuOGJ4ZHUzWnA3OTY5NVY1My8vSEhIK3ZYWDcxM3gxcTllclZlZXVrbDFhOWZYOWRjYzQybnZYZnYzdVhtSUIzYnE5alhTUFZERHoya3FLZ29UMzRsOXUzYko3dmRYdTVzRXdDblQrdldyZXZrNXVZZTJiWnQyOUVUOXo0M1VCd0RBTTZZa29XeUxyMzBVcC9ISXlJaWxKYVdwdXpzYkovRmNVaElpT3JXcmF0ZmYvMVYrZm41WlVhSXM3S3l5c1JQU1VuUmtDRkRWTE5tVGIzeHhodHExNjdkQ2ZOMHU5MzYrdXV2RlJJU29pdXV1S0xjZnFjU0cvNzMyeFQzVkxmYi9hUE5abHUrZi8vK2RWbFpXZmtuZk9CWnpCaWpuSndjWldkbnExNDl6NldDNnRpeG80WVBIKzYxS05mUm8wZVZtWm1wNk9ob1QxdCtmcjY2ZGV1bWwxNTZTZEwvRnVRcVVhdFdMVDN5eUNNK3o1MlVsRlNtN2NjZmY1UmxXWXFOamZWcWYvcnBwOHRkTTBDU0ZpNWNxR1hMbG5tMTVlVGthTStlUFQ1WHN0K3dZWU9hTm0xYVljRU40UFFJQ1FsWkVCSVM4dWEyYmR0bStEdVhxa0p4REFBNFkwcW1WMlpuWi9zOFhqS1YwOWUwenhKLytNTWY5TmxubjJuRmloVzY5dHByUGUzR0dIMy8vZmNLRGc2VzArbVVkT3dMZjN4OHZNTEN3alJqeGd3MWFOQ2dVbm1tcHFacXo1NDk2dEdqUjduWE41OXFiUGlITVNiZkdEUERzcXozalRIcmp4dzVzbS9qeG8yNWtzNnVDNG9yNFp0dnZsRktTb3AyNzk2dFhidDI2YWVmZmxKdWJxNXV2dmxtU1ZKOGZMeW5rSHo0NFllOUNtUHAyTUpWL2Z2MzE2UkprM1RWVlZkSk9yWjFVOGVPSGFzc3g2U2tKTFZ1M2JyTTVRV0JnWUVWWHNQc2E5YkZtalZySk1scmtTN3AyS2p4bWpWcnlzeENPVjVLU29wKy92bG45ZXJWeSt1NmFBQy8yNVdTdnZKM0VsV0p2eEFBZ0RPbVZhdFdhdHEwcVpZdlg2N2x5NWZyeWl1djlCeGJ0R2lSa3BLU0ZCa1o2YmttTVRjM1Y0c1dMZEtWVjE3cCtZSi8rKzIzNjdQUFB0T1VLVlBVb1VNSHoxWTI3Nzc3cnJadDI2Wjc3cm5ITTZMODlkZGZhOCtlUFJvOGVQQkpGYS9MbHg5Ym82U2lVZU5UalEzL1NFbEplZExmT1ZTVkZTdFdhTm15WldyWXNLRWFOV3Frdkx3ODVlZm42L0hISDFmRGhnM1ZwRWtUVmJRVDFlN2R1eVhKY3kxOWNYR3hkdXpZY1VyYkxmbnk2NisvYXV2V3JlclhyMStaWS9IeDhaVmFrS3UwMU5SVVdaYWw5dTI5ZCtlWk1XT0dYQzdYQ2ZjN1hyZHVuVjU1NVJYOTZVOS9Pb2xuQWFBNm9qZ0dBSnd4bG1WcDNMaHhldkRCQnpWMDZGREZ4c2FxY2VQRzJySmxpOUxUMHhVV0Z1YTFHRmRpWXFKbXpacWxMNy84VW9tSmlaS09qUnpmZXV1dCt1aWpqM1RYWFhlcGMrZk8ycmx6cDFhdFdxVVdMVnJvd1FjZjlEeCs0OGFOa3FSbHk1WjVGaWc2WGt4TWpQcjI5VjZJYyszYVl3dEx0Mm5UeHRkRGZsZHM0UGQ2NnFtbk5ITGtTTS85NTU1N1RwczJiZkw2c2Fta0FQVzFjdnVXTFZza3liTVBkM3A2dWdvTEM3Mm1RQjkvZmJZeFJrZU9ISkV2YnJmYjYvNlNKY2QyNXZFMUVuMmlCYmxlZSswMXZmLysrMTV0cTFldlZrUkVoTmNvOUxmZmZxdi8vT2MvNnRDaFE1bXAyNUwzb24wN2QrNVVnd1lOMkJjWndBbFJIQU1BenFpb3FDak5uVHRYaVltSldyRmloZGFzV2FNNmRlcm9qanZ1ME1DQkE3MUdZYU9qb3hVU0VsTG15KytvVWFQVW9rVUx6WjgvWDU5ODhvbHExNjZ0UC8vNXozcm9vWWM4SThtU2xKZVhKMG5LeU1oUVJrYUdmRGwraXFmYjdWWkdSb2FDZ29MVXZIbnpjcC9IcWNRR3FrSkZJNjhsU2thRlgzNzVaZlhzMmRNelhmbnc0Y042KysyMzFiSmxTMCt4K2RWWFh5a3lNbEtYWEhLSnZ2NzZhK1hsNVduNTh1VmUxeTcvOHNzdm5pbll2blRyMXMxemUrblNwWEk0SEdXbVFmdnkzWGZmYWRXcVZRb0tDcEl4Um9zV0xmSTY3NjVkdTVTVmxlWFpmc29Zby9mZmYxOFRKMDVVblRwMU5HYk1HSzk0Slpka3ZQLysreW9vS0ZCZVhwNCsvZlJUbndVMEFCeVA0aGdBY01ZMWFkS2szTzJhU3J2MjJtdjE3YmZmbG1tMzJXenEyN2Z2Q1VkbFI0MGFwVkdqUnAxVWJqYWJ6ZWM1cXlJMmNLWmNjc2tsR2pSb2tONTc3ejBsSjN1MlM1WEQ0ZEJsbDEybXA1OSsydE8yZnYxNnhjWEZTWkkrK09BRHJWcTFTdUhoNFJvNmRLaW5ULzM2OWZYTU04LzRQRmZKSWw0bEdqZHVyTEN3TUo5YnFoM1A3WFo3TG1Pd0xFdE5talR4bXYxUmNxeGtzYnVISG5wSVAvendnNW8xYTZhSkV5ZVd1YVNoY2VQR3V1T09PN1JvMFNMUGxrL05temZYb0VHRFRwZ0xBSno0cDBjQUFLcUFLV2RqMmVyQ3FzeHdIODVLelNQYm02R1BETmJRUng0OGNlZHpsREhHTXlMdGRydTlWbjh1TGk2V01VWUJBUUZuUEsrOHZEeXRXTEZDTVRFeHFsT25qbGF2WHEyMWE5ZXFUNTgrbFNxK3ozWXQyc1RJU0pPeU1sTC82dTljZ0pQbGREcU5wREhKeWNsai9aMUxWV0hrR0FBQW9Kb3IvZHZOOGRzaStYT0Y1OURRVUsvOW16dDI3RmlscTJvRE9IVnV0L3RqU1puK3pxTXFVUndEQUFBQUFFNUthbXJxTGY3T29hcXhZem9BQUFBQW9OcGo1QmdBY0Vad3pTMEFBT2VQZHUzYTlaYTBkczJhTmV2OG5VdFZZZVFZQUFBQUFIQlM3SGI3dTNhNy9VNS81MUdWS0k0QkFBQUFBTlVleFRFQUFBQUFvTnJqbW1NQUFJQVRtUHo2TkUxK2ZacS8wd0FBbkVZVXh3QUFBQlZ3Ry8zRHNoVGg3enpPQmNZWWh5WExMVXR1ZitkeUxyQ01jY21Zei8yZEI0QmpLSTRCQUFBcXNIVkQ2dVArenVGYzBiNTkrNkV1bHlzbFBUMTltYjl6QVlDVHhUWEhBQUFBK04zYXRHa1RhTFBaSG5RNEhGZUw3NWpBZWM4WWsrVjJ1dy80TzQrcXhCOHVBQUFBL0c2QmdZRmRKTFdXZEVWTVRFd2RmK2NENFBRcUtDaTRvckN3TU5IZmVWUWxwbFVEQUFEZ2Q3TXM2MCsvM1d4cldWWkRTYnY5bVErQTAydjkrdlU1L3M2aHFqRnlEQUFBZ04rbGRldldkU1IxTnNaSVVpTzMyeDNqNTVRQW5HWnQyN2E5TkNvcTZrSi81MUdWS0k0QkFBRHd1d1FGQlVWTHV1UzN1dzdMc203M1p6NEFUci9Bd01EbERvZGpnTC96cUVvVXh3QUFBUGc5TEx2ZC9nZkxzaHFVYXV0eCtlV1gxL1piUmdET2hBYVdaWVg1TzRtcVJIRU1BQUNBVXhZUkVSRm9qTG5HR0dPM0xLdWt1VVpBUU1CQWYrWUZBQ2VMNGhnQUFBQy9SNUNrcTQ5dnRDenJBVC9rQWdDbmpPSVlBQUFBcHl3ME5EUk9rbWRxWmNub3NXVlpqYUtpb3NvVXpRQnd0cUk0QmdBQXdDbXoyV3lEeXprVTVIQTR1cC9SWkFEZ2Q2QTRCZ0FBd0NtSmpvNXVMcW1OcjJQR0dKdGxXVkhSMGRHaFp6Z3RBRGdsRk1jQUFBQTRKWGE3dmE4a1MvcmZkT3BTdHkxalREdTczWDZKNzBjRE9KZTUzZTduaW91THYvVjNIbFhKNGU4RUFBQUFjTzZKaUlpb0tlbTZpdnBZbHRYVTVYSzFsYlQrekdRRjRFeEpUVTE5MnQ4NVZEV0tZd0FBQUp5MGtKQ1Ftc2FZQlRhYmJVbXA1dEdTVmtyNnZOVENYSVgreUE4QUFBQUFBTDl3T3AzRzZYUys0dTg4QUp4K01URXhMOFRFeEZ6djd6eXFFdGNjQXdBQUFBQk9pbVZaOFphdWVTMEdBQUFVYWtsRVFWUmxYZW52UEtvU3hURUFBQUFBb05xak9BWUFBQUFBVkhzVXh3QUFBQUNBYW8vVnFnRUFBRkFsM0c3M3gyTGJKZ0RuS0lwakFBQUFWSW5VMU5SYi9KMERBSndxcGxVREFBQUFBRTZLTVNaVlVvNi84d0FBQUFET091M2F0ZXZkdm4zNzl2N09Bd0JPQlNQSEFBQUFxQkoydS8xZG04MFc1Kzg4QU9CVVVCd0RBQUFBQUU1S1ZGUlViR1JrWkVOLzUxR1ZLSTRCQUFBQUFDY2xJQ0RneHhvMWFqemc3enlxRXNVeEFBQUFBS0Rhb3pnR0FBQUFBRlI3Rk1jQUFBQUFnR3JQNGU4RUFBQUFjSDR3eG1SSjJ1ZnZQQURnVkZBY0F3QUFvRW9VRkJSYzRYSzU4dnlkQndDY0NvcGpBQUFBVkluMTY5Zm4rRHVIMG93eHh0ODU0T3hqV1pibDd4ek9COGFZWEdOTW9iL3pxRW9VeHdBQUFLZ1NiZHUydmJTNHVQakFoZzBiOXZvN0Z3Q25YWC9Mc3RiN080bXFSSEVNQUFDQUtoRVlHTGc4SUNCZ3VxVFIvczRGd09tVmtwSXl6OTg1VkRWV3F3WUFBRUJWYVdCWlZrMS9Kd0hnOUl1TmpiMGdJaUlpeU45NVZDV0tZd0FBQUZRYnVibTUvazZoMGc0Y09LQ1BQdnBJMjdkdjkzY3FRQmx1dC92ZllXRmh0L283ajZwRWNRd0FBSUJxSVQwOVhUMTc5dFMzMzM3cjgzaCtmcjUyN2RxbGpJd01MVisrWEFzWEx0U2JiNzZwaVJNbnloOXJlKzNZc1VOang0N1YyclZyei9pNWdST3hMT3RPbTgzV3h0OTVWQ1d1T1FZQUFNQjVyN2k0V09QSGoxZFlXSmhpWW1JMGFkSWsvZmpqajhyTnpkWGh3NGVWbTV1cjR1TGlNbytyV2JPbWF0ZXVyUUVEQnFpZ29FQ1ptWmsrNDBkR1J1cVdXMjZSeStVNllTNURodzdWZmZmZDk3dWZreTlKU1VtYU8zZXUxcTlmcjcxNzk2cDI3ZHB5T3AwYU5HaVFMcm5ra2pMOVUxSlNOSFBtVEtXbHBlbklrU05xMEtDQnJydnVPZzBhTkVpaG9hR1ZQcS9iN2RiOCtmUDE4c3N2YS9IaXhRb0s4ajNiTmpNelUxT21URkZLU29vS0N3c1ZFUkdoKysrL1g5ZGVlMjJadmdjUEh0VDA2ZE8xWk1rUzdkMjdWL1hxMVZPUEhqMDBjT0JBaFlTRWVQVjF1Vng2OTkxM3RYRGhRbVZuWnlzME5GU2RPM2ZXZ3c4K3FDWk5tbFQ2ZWFCNm96Z0dBQURBZVM4eE1WRVpHUmw2NVpWWEZCWVdwZzBiTnFpZ29FQzMzWGFid3NMQ0ZCWVdwdkR3Y0czYnRrMHVsMHMzM1hTVHdzUERaYmZiUFRFKy9QQkRQZnZzc3o3amp4OC9Ya09HREpIYjdaWjBiUHAyWW1LaXJyNzZhc1hFeEhqMWRUcWRKNVY3ZWFQV1I0NGNLVk1rVHBnd1FibTV1WXFNakZSb2FLZ3lNakwweVNlZmFQSGl4Wm94WTRaYXRtenA2ZnZsbDEvcXlTZWZWSGg0dURwMDZDQzczYTZVbEJUTm1qVkxLMWFzMEl3Wk0xU2pSbzBUNXJaczJUSk5uejVkR3pac3FMQnZlbnE2SG5qZ0FSbGpkTlZWVjhuaGNHalpzbVg2MjkvK3B0R2pSK3ZXVy84M1F6YzNOMWNEQmd4UVZsYVcyclp0cTg2ZE95c2pJME16Wjg3VXlwVXI5ZWFiYjNvVjRLTkdqZExubjMrdXhvMGI2OFliYjlTdVhidjA2YWVmNnR0dnY5V3NXYk44L2pBQUFBQUFBS2VGMCtrMFRxZnpGWC9uVWNMOFp0bXlaU1kyTnRhTUh6KytwTWtNSGp6WXhNZkhtK05ObUREQjNIdnZ2V1hhalRHbW9LREE3TisvMyt6ZnY5OE1IanpZOU83ZDIzTy9zTERRcSsvQ2hRdU4wK2swdi96eWk4OVlsYkZ1M1RyamREck5tREZqeWh4YnZYcTF1ZTY2NjB4U1VwSlhlMUpTa25HNVhGNXR6ei8vdk04NHI3Lyt1cGs4ZWJMSno4LzN0QjA5ZXRROC9QRER4dWwwbXRteloxZVkzNVl0Vzh3Tk45eGduRTZudWVtbW04eDExMTFubkU2blY3d1N4Y1hGNXJiYmJqTWRPblF3cWFtcFhzK3hZOGVPcGx1M2JpWTNOOWZUL3RaYmJ4bW4wMmttVFpya2FYTzczWjduTW4vKy9ES3YwOENCQTAxQlFZR24vYlBQUGpOT3A5T01IRG5TS3hkL3Z5L1BGNzk5M3Mrcmxla1pPUVlBQUVDVmNMdmR6MG42M3Q5NWxKYWNuS3dubjN4U3NiR3hHajU4dU5leFgzLzlWWjkvL3JsWDI5YXRXM1hvMEtFeTdjSEJ3ZXJXclpzQ0F3TWxTUTZIUXc2SFE3VnExZko1M2krKytFS3hzYkZxMnJScHVibjkvUFBQK3ZMTEwzMGU2OVdybDFlc0VTTkdLQ3dzVEpLVWtaR2g0Y09IeTdJc3I1RnR5ZmVvZE0rZVBUVnYzandkT25USXEvMmVlKzdSaFJkZVdPWjVEaG8wU0N0WHJsUnFhbXFGMDcvMzc5K3Z3c0pDUGZEQUErcmJ0Ni9pNHVKMDRNQUJuMzFYcmx5cFgzNzVSYmZjY292YXRXdm5hVy9UcG8xNjl1eXBqei8rV011V0xkT05OOTRvU1o3cDYzLys4NTg5ZlMzTDByMzMzcXQ1OCtaNVRXOHZ1WDNISFhkNC92dVVQTytYWDM2NTNLbnd3UEVvamdFQUFGQWxVbE5Ubi9aM0RzZjcxNy8rcGFaTm0yckNoQW5LeTh2VEo1OThvdi83di8rVEpLMWZ2MTdQUFBPTVYvL2k0bUs1WEs0eTdSZGRkSkc2ZGV0V3FYTWVPSEJBcTFldjFwZ3hZeXJzdDNYclZzMmFOY3VyemUxMnE3Q3dVSjA2ZGZJVWV2bjUrWm8zYjU3dXYvOStyVnUzVG84KytxaHNOcHRlZi8xMXRXM2I5b1Q1Yk4yNlZaSjArZVdYZTdVZlh4aVhLQ25DU3hlYXZyUnAwMFpmZlBGRm1RTGRsKysvUC9hYmlhL1hzR3ZYcnZyNDQ0K1ZrcExpS1k1TGZsVEl5Y2xSL2ZyMVBYMUxWdTYrK09LTFBXMGwxeFRuNU9SNHhjM056ZFdoUTRjVUZSVjF3dndBaWVJWUFBQUFWY2NlRXhOelpYa0hiVFpiYWxKUzBrRkphdGV1M2VVMm02MXVlWDFUVWxLV2x0eU9pWWtwdHlvdEtpcmFzSGJ0MnAyU0ZCMGQzY3B1dHpjb2ZYejQ4T0ZxMUtpUmF0YXNxZkhqeCt1amp6N1NWVmRkSlVtNi92cnI5Y0lMTDNqRis4Yy8vcUhVMUZTOS9mYmJaYzYxYytkT0xWbXlSTkt4VWVmOC9Iek5uVHRYa25UbGxWZXFjZVBHa3FUMzNudFBMcGRMYjcvOXR1clZxNmNPSFRyNHpQM2FhNi9WZDk5OTU5VTJZOFlNVFowNlZSRVJFZnJsbDE4a1NlSGg0Wm85ZTdaYXRHaWhwNTU2U3FHaG9ab3laWXBhdFdwVjNzdWlvcUlpN2QyN1Y4dVhMOWVycjc2cXlNaEk5ZTdkdTl6K3BhV2twRWlTTHIzMDBncjdsYmZvbGk4Ly9mU1RKQ2tpSXFMTXNXYk5ta21TNS9sSzB0MTMzNjJGQ3hmcW1XZWVVVUpDZ2xxMWFxVzB0RFE5Kyt5emF0YXNtZGYxeWJHeHNlcmF0YXZlZlBOTk5XblNSRmRlZWFWeWNuSTBmdng0Mld3MlBmREFBMTduSysvOTVISzU4dFBTMGxiOWxtZFFlSGg0NS9LZVQrbjNja3hNVER0SlBxY1FHR09LVTFOVFMvNGpWL2o1T0hyMDZOb05HemJzbFU3UDU2TnQyN2FYQmdRRWxMczZXV1ZqU3NwS1NVblphb3haYW96WldrRy9jdzdGTVFBQUFLcEVSRVJFcUtSNTVSMTN1Vnk5OU51MGE1dk45b1NrbXlvSVY2L1U3WEpqQmdRRVBDcnBYVW15MisxREpQMjU5UEUyYlk3dE5KT2VucTU1OCtacDJMQmhYcXNYNzkrLzMydXJwTzNidCt2dzRjTmUyejNWclZ0WGtaR1J5czdPMXF1dnZpcEpLaXdzbERIR2M3OVJvMFpxM0xpeENnb0s5TjU3NzZsMTY5YmFzR0dEc3JPenRXalJJdlh2Mzk5VEJGYmt5eSsvMUJWWFhPRVp2WldrUG4zNjZJMDMzdEJmLy9wWFJVUkVhUExreVdyUW9FRzVNZjc0eHo5cTM3NTlrbzVOLy83TFgvNml2bjM3VnFxWTNiTm5qeElURStWd09QU25QLzNwaFAwcmEvZnUzWktrMnJWcmx6bFcwbmI0OEdGUFc2MWF0WlNZbUtpNHVEZ05HRERBMDk2b1VTTk5temJONTBKa3c0WU4wNU5QUHVscGN6Z2NtanAxcWk2NzdMTGpUK256L2VSd09INlJGQ3RKd2NIQkY1WFhUL0orTDBzYUs2bXJyMzQybSsyZ3BBanB4SitQR2pWcTlKUDA2VytQcS9MUGg4UGg2QzlwOE8rTmFZeDVTZEtFbEpTVWF5cUlkVTZpT0FZQUFFQ1YyTHg1YzE2N2R1MXVMKy80NGNPSDE1WGNMaW9xZXRGdXQ3OVJtYmh1dDd2Y21NYVlUYVZ1djJxTW1WdnE4TGVTZFBUb1VZMGVQVnFOR2pYU1BmZmM0emxvV1pZeU1qSTBiTmd3QlFjSGU4V05qNCtYZEt3SXZ1YWFhelJod2dUOTRROS84SXowRGhreVJBY09IQ2d6d3Z6Zi8vNVgrL2Z2MStPUFA2Nm5ubnBLTnB0Tnljbkp5c2pJMEt4WnM4cWNwN1RNekV4dDNMaFJmZnIwOFdxLzVKSkxkUFBOTit1Ly8vMnZSbzRjV1dGaExCMjdYdm5BZ1FQYXZYdTMxcTVkcXlsVHBtakRoZzFLU0VoUXpabzF5MzNjbGkxYk5HellNTzNaczBjalI0N1VSUmRkVk9GNVRrWitmcjRrMzZQTkpkTzNDd3NMUFcySERoMVNmSHk4OXV6Wm85YXRXK3ZpaXkvV3p6Ly9yTTJiTjJ2a3lKR2FOR21TWnlWdFk0d21UcHlvMWF0WHEySERobXJidHEzMjd0MnJsSlFVUGYzMDAzcjk5ZGU5ZnBnbzcvMWtzOW55UytXN3kyNjNWK3E5WEZ4Y1BNcG1zMTNncTU4eHhyTS8ySWsrSDhYRnhldExicCtPejRmYjdVNjBMT3V6M3h1enFLam9sL0tPQVFBQUFEZ0xsYXhPSEI4ZmI1eE9wK25YcjU5bnhlSzR1RGd6ZHV4WTg5MTMzeG1uMDJsMjc5N3RjMFhteHg1N3pQenRiMzhyMC83SUk0K1VXZFg2OE9IRHBudjM3bWJFaUJFbU16UFRPSjFPOCtXWFg1cTB0RFRUb1VNSE0zYnNXSi9uS0RGaXhBalR2WHQzejJyUEphc3dmL2JaWnlZbko4ZGNmZlhWcG5mdjNsNHJNcDlJZm42K21UQmhnbkU2bldiRWlCSGw5dnZvbzQ5TWx5NWRUT2ZPbmMxSEgzMVU2ZmlsM1hubm5lV3VWbjNycmJjYXA5TnBqaDQ5V3ViWTd0MjdqZFBwTlBmZGQ1K25iZGl3WWNicGRKb0ZDeFo0OVgzNzdiZkxyTHhkMGpaMjdGaFRWRlRrYVU5SlNURmR1blF4dlhyMThtcjM5L3NTWnkrYnZ4TUFBQUFBVHBkLy92T2YrdUtMTDhxTW1CNDVjc1JyRlBmNzc3L1g0c1dMeS96YnUzZHZwYzgxZmZwMEhUeDRVRU9HRFBGcWo0cUswa01QUGFTRkN4ZnFzODk4RDl4bFpHUm84ZUxGdXUrKyszeU9ydGF2WDErUFAvNjRNak16OWVLTEwxWTZwNkNnSUEwZlBsd05HalRRNHNXTHRYLy9mcS9qeGNYRkdqZHVuTWFNR2FNbVRacG8xcXhaVlRxZHVrUjRlTGdrNmVEQmcyV09sYXh3WGFkT0hVbkhwcll2VzdaTW5UcDE4bHExVzVMdXZmZGVSVWRIYTlHaVJaNVk3N3p6amtKRFEvWDN2LzlkRHNmL0pzYTJiOTllZmZyMFVYWjJ0cFl2WDE3bHp3bm5INlpWQXdBQTRMeTFjdVZLM1h2dnZjck56ZlVzQ2lVZFc4azRORFRVYzMvS2xDbXkyY3FPRyszZnYxOE5HemIwR2J1Z29FQmZmLzIxVnE1Y3FTNWR1bWp1M0xtNisrNjcxYXhaTTIzZXZObXJiMXhjbkpZdFc2WVhYbmhCMGRIUmF0U29rZWRZVVZHUnhvNGRxMXExYXVuT08rOHM5N25jY3NzdFdyWnNtUll1WEtpR0RSdnFMMy81UzZWZUE1dk5wdWJObXlzbkowZS8vdnFyWjVWcXQ5dXQrUGg0TFY2OFdIZmRkWmVHRHg5K3doV3FUOVVsbDF5aWpJd01iZG15eFd2MWFVbkt5c3FTSkxWbzBVTFMveGJtS205QnNJaUlDS1dscFNrN08xczFhdFJRVGs2T1dyVnE1Zk5IaFpJRndFcFc3QVlxUW5FTUFBQ0E4OWE0Y2VQVW9rVUxyNjJaOHZQenRYUG5UcTg5aUdmUG5xMjZkY3N1RGp4MDZGRFA3ZjM3OSt2SEgzOVVjbkt5MXE5ZnI0TUhEeW9oSVVGUlVWRWFPM2FzNnRhdHE0Y2ZmdGhuSGphYlRhTkhqOVk5OTl5amhJUUVUWjgrM1ZPTVQ1MDZWWm1abVhyaGhSZThDblpmeG80ZHExOS8vVlZUcDA2Vk1hYk1Tc3krR0dNOHhXSHB3dlRkZDkvVjRzV0xOWERnd0hMenJpcXhzYkg2N0xQUHRIejVjblh1N0wwSWRNbDEzRjI3SGx2VHFxUjR6ODdPOWhtcjVMblVybDFiZ1lHQkNnc0wwNDRkTzFSY1hPdzFjbHk2YjNuYlZnR2xNYTBhQUFBQTU2MlMwY2pTU2dxbTBzVnhyMTY5MUxWcjF6TC9TdmJubGFSWnMyWXBQajVlWDMzMWxhNjc3anBObWpSSjMzenpqZXJYcjYvYzNGeU5HVE9tekNyS3BUVnIxa3dQUFBDQUhBNkhqaHc1SWtuNjVwdHY5TlpiYjZsYnQyN3EwYVBIQ1o5UGpSbzE5T3FycjZwcDA2YWFObTJhbm52dU9jOUNWcXRYci9ac3cxVEM1WExwWC8vNmwzYnMyS0hPblR0N3BpNUx4NHJqZ0lDQVNvMUFaMlZsYWU3Y3VaNjhUOVlmLy9oSGhZV0Y2Y01QUC9RYVZWKy9mcjArK2VRVFhYYlpaWEk2blpLa1ZxMWFxV25UcGxxK2ZIbVo2ZENMRmkxU1VsS1NJaU1qUGFQdjNidDMxK0hEaHowL0dKVEl6TXpVbkRsekZCZ1lxS3V2dnZxVThrYjF3c2d4QUFBQXFwWFZxMWZMNFhEb3Nzc3UwNW8xYXlSSnp6Ly92TStWbkV1MmFwS2tHMis4VWRkY2M0MmlvNk5sV1phbnZVdVhMcnIwMGt2TDNjKzR0SDc5K2lrdUxrNDJtMDNwNmVsNit1bW4xYmh4WXlVa0pGUTYvd3N2dkZCdnZQR0dIbnZzTWMyZlAxK2JObTFTWW1LaXRtL2ZybWVmZlZZdFc3WlVaR1NraW9xS3RIYnRXbVZuWjZ0aHc0WWFOV3FVSjBaZVhwNjJiOSt1NE9CZy9mM3ZmeS8zWFBIeDhicm9vb3VVa0pDZ2RldldhZS9ldmFjMHlod2VIcTRubm5oQ0NRa0ppb3VMVTdkdTNXU00wZEtsU3hVUUVLQXhZOFo0WGxQTHNqUnUzRGc5K09DREdqcDBxR0pqWTlXNGNXTnQyYkpGNmVucENnc0wwK2pSb3oyeEgzMzBVU1VuSjJ2R2pCbGF0bXlaSWlNanRYLy9mcTFhdFVvdWwwc0pDUW1xVmN2bk5zU0FGNHBqQUFBQVZDdmZmUE9OWW1KaXZLWXdYMzc1NVQ2blZaY3VtSDNzbHl0SjZ0bXpaNlhQYmJmYlBiZC8rT0VIQlFZR2F2TGt5VDZMdDUwN2QwcVN6OUhvZXZYcUtURXhVZkh4OGVyVnE1Y2NEb2U2ZE9taWUrNjVSeXRXck5DWFgzNHBsOHVsSmsyYWFNQ0FBZXJYcjU5blVTenBXSEVzSFp0aXZuVHAwbkx6ZmV5eHh5UWRteGFkbFpXbDZPam9Tai9YNDkxODg4MEtEdzlYWW1LaWxpeFpvcUNnSUhYcDBrVkRoZ3dwc3dkMFZGU1U1czZkcThURVJLMVlzVUpyMXF4Um5UcDFkTWNkZDJqZ3dJRmUyMW5WcWxWTGI3Lzl0bWJPbkttdnZ2cEtuMy8rdVVKRFE5VzFhMWZGeGNXcFhidDJwNXd6cWhmcnhGMEFBQUNBYzAvcGJYdWVlZVlaL2ZUVFQzcmtrVWYwMEVNUGFkU29VYnJ0dHR2MC9mZmY2OUZISHkxMy8rSFMreHlmak0yYk42dDM3OTRhUDM2OHVuZnZYbTYvbkp3Y1Q2RjMrUEJoalIwN1ZoZGNjSUZuVkRVM04xY0xGeTQ4NGQ3R3FEeXI5TEEvVUFvanh3QUFBS2cyZHV6WW9aWXRXK3FXVzI3eGFoODVjcVRYeUdxSjZkT25uOVo4U2hlOTRlSGhTazVPMXNHREIyVlpsaG8xYXVUWmhnbkE2Y2V2SmdBQUFEZ3ZsUjQ1enMzTmxjdmw4b3pLTW5oWWZURnlqUEx3eGdBQUFNQjVxWFJ4REpTZ09FWjUyTW9K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9MLzlQOEg4RzhHR1J3Z2ZBQUFBQUVsRlRrU3VRbUNDIiwKCSJUaGVtZSIgOiAiIiwKCSJUeXBlIiA6ICJmbG93IiwKCSJVc2VySWQiIDogIjM0ODUwMTMxNCIsCgkiVmVyc2lvbiIgOiAiMzIiCn0K"/>
    </extobj>
    <extobj name="ECB019B1-382A-4266-B25C-5B523AA43C14-2">
      <extobjdata type="ECB019B1-382A-4266-B25C-5B523AA43C14" data="ewoJIkZpbGVJZCIgOiAiMzY4Mzk2NzUyMzMxIiwKCSJHcm91cElkIiA6ICIzMzQ5MzgzNDUiLAoJIkltYWdlIiA6ICJpVkJPUncwS0dnb0FBQUFOU1VoRVVnQUFBMWdBQUFCMkNBWUFBQURWMFRKekFBQUFBWE5TUjBJQXJzNGM2UUFBSUFCSlJFRlVlSnp0M1hkWUZOY2FCdkIzdGlBSVVTOVkwQmhFRkxGR3NaQ294RUlzOTlvMXNSdExZb25SRzJPNzlzUVNhK3hHckNqV3hFYlVhMndZaVdKQWpBb0tGbEFVRlJVVkFYR0JoUzF6LzhDZHk3QzdpRW9FemZ0N0hoNTNaODdPRFB2NGNlYWMrYzQ1QU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SDlYUWlGZlFHV3ZGZTFkaFdsVXVGZTJOZEJSWXRlcDR1TnYzSGxXbUZmeDV1TzhVV1dNTDRLQnVPTExHRjhGUXpHRjFsU0ZPT3J5RFd3S3JyVmMxZlppRWNBbEMvc2E2R2lSUUJTRFhwOXk5dlhMMTB1N0d0NVV6Ryt5QnJHMTZ0amZKRTFqSzlYeC9naWE0cGlmS2tLK3dKeVU5bmdYUWpDUDVRS2hhMlRveU5zYk5TRmZVbFV5SFE2SFI0bkpVT3YxME9oVkxvQUtESUI5S1poZkZGdWpLK0N3L2lpM0JoZkJZZnhSYmtWNWZncWNnMHNreElsM3NHRXNhTlF2UnFmQlAvZHhkNk13K3o1Qy9IZzRhUEN2cFMzQnVPTFRCaGZCWS94UlNhTXI0TEgrQ0tUb2h4ZlJiYUJwVktxVUxtU0Myclc4Q2pzUzZFaVFLMW1UMVZCWW54UlRveXZnc1g0b3B3WVh3V0w4VVU1RmRYNFVoVDJCUkFSRVJFUkViMHQyTUFpSWlJaUlpSXFJR3hnRVJFUkVSRVJGUkEyc0lpSWlJaUlpQW9JRzFoRVJFUkVSRVFGaEEwc0lpSWlJaUtpQXNJR0ZoRVJFUkVSVVFGaEE0dUlpSWlJaUtpQXNJRkZSRVJFUkVSVVFOakFlZ2xhclJaWldWbjVMcCtWbFFXRHdaQm5HWVBCZ016TXpEekw2SFE2YUxYYVBNdG9OQnFrcHFZKzk1b1NFeE1SSHgvLzNISkVyMU5DUWdMdTNidVg3L0xwNmVsSVRFeUUwV2kwdUYrajBlREpreWY1UGw1aVlxTEY3UThlUExCNkRxSzMzWXZFNUl1NmV2WHFLMzFlbzlFZ0pTWEY0cjc4MUpsRVJkbkRodzl4OXV6WlBNdUlvdmlYbkRzdExRMTM3dHo1UzQ3OWQ4QUdWZzVKU1VsbzJyUXBnb0tDOGl6WHMyZFB6SjQ5TzkvSGJkcTBLWGJzMkpGbm1mMzc5Nk5Ka3laSVQwKzNXbWJWcWxYbzA2ZVAxZjE2dlI3OSt2WERqQmt6bm50TmZuNSttREpsaXZRK0lTRUIxNjlmei9kUFJrYkdjODlCOUtJV0xWcUVtVE5uNXF1c0tJb1lQSGd3dnZqaUM0djdNekl5MExGalI4eWFOU3RmeDl1MWF4ZTZkKytPaHc4ZnlyWWJqVVo4L3ZubnNuZ2hLbXFTa3BMdzIyKy9tVzNYYURRSUNRbXgrblByMXEwOGo1dVFrSUFlUFhyZysrKy9ML0JyM3JKbEMvcjI3WXZEaHcvbit6TzVHMHpMbGkzRGwxOSthYkhzMnJWcjBiRmp4MWU2UmlJQTJMZHZINDRjT1NMYmxwbVptZThmdlY0dmZlNlhYMzVCUkVSRXZzNGJGQlNFWWNPR1FhZlRZZjc4K2JoMjdacHNmM3g4UEhyMDZJSHc4SERaZHExV2k1U1VsSHo5V09zOFhMWnNHWHIxNm9WSGp4N2w2MXBKVGxYWUYxQ1VHSTFHYUxYYTV6NXRlaDZ0Vm9zYk4yN0l0aVVrSk9EeTVjdFdQM1AvL24wQVFIUjBOSW9WS3dZQXFGU3BFdXp0N2ZOOVhwVktoZjc5KzJQMjdOazRlZklrbWpWcmx1L1B6cDA3RjZkT25jcDMrVFZyMXFCaHc0YjVMazh2cjA2ZE9tNmlLRHBFUlVWZExPeHJlUm1KaVltSWpJdzAyMTY3ZG0wa0p5Zmo3dDI3MHJaSGp4NUJxOVdhZFhJMGJOZ1E3N3p6am16YjBhTkhFUjBkaldiTm11SEFnUU95ZmU3dTdqaC8vanhTVTFQaDZPaUkvZnYzbTUyL1ZxMWFxRktsaXZUK1gvLzZGL3o5L2ZIdHQ5OWkxYXBWRUFRQkFCQWFHb3FFaEFSTW5EZ3hYNy92OGVQSGNlWEtsWHlWdGFSbXpacG8yYkxsUzMrZVhzeWJIbDhtSzFhc3dILy8rMS9NbmowYmJkdTJsYmJmdm4wYi8vNzN2NjErYnNDQUFmajY2Njh0N2pNYWpaZzFheFl5TWpMZzZ1cjYzTTVIQUtoYnR5NGNIUjN6ZGMxZHUzYkZuajE3TUd2V0xMaTd1OHZpMFpLc3JDd01IandZVmF0V3haUXBVNkJXcS9OMUhpbzhiMHQ4blR4NUVzSEJ3YkMzdDRlM3R6ZWVQbjJLRmkxYTVQdnpQajQrK09HSEg2RFZhdUh2NzQvSGp4L2p4eDkvUkwxNjlmTDhuQ0FJRUFRQldWbFppSW1Kd2NDQkEvSDk5OTlMZFVUcDBxVmhOQm94Y2VKRWJOdTJEYVZMbHdhUTNTRy9kZXZXZkYzYndZTUhVYTVjT2RtMkV5ZE9ZTStlUGVqWnN5ZktsQ2tEalVZais3dGlqYnU3Ty96OS9mTjEzcmNkRzFqUGNlUEdEWHovL2ZjWU4yNGNhdGFzbWEvUDNMcDFDNTk5OXBsczI3WnQyN0J0MjdibmZuYnc0TUhTNitjMVltSmpZL0hISDMrWWJmZjA5RVJjWEJ6aTR1SmsyenQxNm9SU3BVcFpQVjdMbGkweGI5NjhQSy92MGFOSDZOQ2hRNTVscUdBcGxjcVBGQXFGdjZlbjUyVlJGSDFGVVF6VWFyWDNvNk9qMHdBVStieTF5TWhJakJzM3ptejcvUG56RVJzYksrc1ZmUFRvRVl4R0kxYXNXQUVnTzhYbjNyMTcyTEpsaXl6K2REb2RWcTFhQmFWU2lUTm56dURNbVRPeVkvZm8wUU5Iamh5QlNxWENyNy8raWw5Ly9kWHMvQ05IanBUZDBEazRPR0RTcEVrSURRMkZUcWVEalkwTkFHRFBuajBBc3AvNmJ0eTQwZXJ2MmE5ZlAvajQrT0RFaVJObURiNFgwYmx6Wnphd1hxTTNQYjVNeG8wYmg2dFhyMkxhdEdrb1hydzRQdnJvSXdEL1R4K2FPWE1tUEQwOVpaL3AzcjE3bnNkY3RXb1ZUcDgrRFlWQ2dWV3JWdVZaTmpNekU2SW80c2NmZjBUanhvMmw3ZWZQbjgvektabTN0emQrK2VVWEhEOStIQmN2V3I0SGYvLzk5MUdsU2hYWTJOaWdVNmRPbUQ5L1BoSVNFckJvMFNLcFRGeGNISTRkT3liN1hFUkVCREl5TXJCKy9Yclo5akpseXFCejU4NTUvajVVTU42VytQcisrKzh4YU5BZ1RKdzRFWDUrZnFoUW9RSUFZTWlRSWJLNFNrOVBoMHFsa3VvUEFGSjlCZ0MydHJidzlmWEY1NTkvanErLy9ocHIxcXhCalJvMThqeTNLSXF3dDdmSHlwVXJNWHIwYUJ3K2ZGaXFJMnh0YlRGbnpoejA3OThmRXlkT3hPclZxNkZTcWRDMmJkdm5kbGlZbEN4WlV2WStOallXMDZaTlEvWHExYVhPRnhzYkd3d2FOT2k1eDNKeWNzclhPZjhPMk1CNmpyUzBORnk0Y0FGUG56NjFXc1pnTU9EaXhZdHdjbktDaTRzTDNOM2RFUndjTE8xdjNydzVSbzRjbVdkbGR1REFBY3lmUHg5SGp4NkZuWjBkQUVoUHNxNWV2WXFNakF3OGZQZ1FtWm1aQ0E4UGg1MmRIV0ppWXJCczJUS1VLVlBHN0hqYnQyK1hYdXYxZWlRbko2TkpreWJZc0dFREhqMTZoQ3RYcmlBMU5SV1RKazFDbzBhTkFHVDNsS2hVZWYrWFVDaVlWVnBZQkVHb0tRakNqNklvUGlsZXZIaG92WHIxem91aWVFR2hVSndLRHcvLzZ3Wkp2S0tXTFZ2aTNMbHpBTEp2d3I3NDRnczhmZm9VSDN6d0FWcTFhb1ZodzRaSlpjZVBINCtuVDU5aTllclZBSURyMTYralo4K2Vac2VjTzNjdTd0eTVnMVdyVnNISnlRa2hJU0d5VG8zRml4Zmp3WU1IV0x0MkxSbzBhSURkdTNmRHljbkpZc1BGeDhmSExMNTM3dHdKQUZpd1lBRk9uandKSHg4ZnN4NiszUDd4ajM4QUFHYk1tR0UxVGZmZ3dZT1lObTBhRmk1Y3lFWlVFZk9teHBlSnZiMDlsaXhaZ3I1OSsyTGJ0bTFTQTh1VThscXRXalhwcGpBL2R1ellnUTBiTnFCeTVjcUlqNC9IbkRsejBMeDVjNHRsTjIzYUpQWEcxNjlmWDdadjM3NTkrZXB3TU1XOEpXUEhqcFZ1Rm52MDZBR1ZTZ1UvUHo4a0p5ZExaUklTRXN4U3VKS1NrcENWbFdXMnZXclZxbXhndldadmVueloyZGxod1lJRjZOZXZIM2J2M2kwMVBLcFdyWW9QUHZoQUt0ZTVjMmUwYTlkT1ZxOXQyYkpGZHF4MzMzMFhpeGN2eHVEQmc3RnUzVHBNbURBQnYvLyt1OFh6bWxJSlRjTk1talJwQW9WQ2dlRGdZQ25HUFR3OE1ITGtTQ3hkdWhTLy92b3JPbmZ1akpvMWErYjdvVUJPdDIvZnh2RGh3MUdzV0RFc1dyUUl0cmEyQUxJYldEa2ZBTkR6c1lIMWt0TFMwbkQ0OEdFRUJ3Y2pKQ1FFcWFtcFdMaHdJVnhjWEtCUUtGQzhlSEZaK1MxYnRtRGZ2bjFXajZmUmFBQmtCM0h1ejA2Yk5rMldjamg0OEdDNHVibmhzODgrZzBLaGtQTFgwOUxTWkNtRm1abVpLRmFzR0tLam8vTWN1Mlh5KysrL28yblRwcy8vNWFuUWlLSUlRUkJLQXZnbmdEYUNJS1FDZU9qcDZSa0tZRXQ0ZUhnUWluQ3Y0S3haczNEcjFpMXMyclFKRnk1Y3dLVkxsMlQ3Yjl5NGdheXNMS3hac3daQTlnMFNBQVFFQkNBNE9CamR1blZEWUdBZzl1M2JoMzc5K3NITHl3dUJnWUZZdW5RcDFHbzFldlhxaGJObnoyTGJ0bTFvMTY0ZEdqUm9BQ0M3UjI3eDRzWFl1SEVqUER3OFpPZWNPblVxcmwyN2hyVnIxMkw4K1BGU1F3a0ExcTFiQjJkblo4eWRPMWZxZkdqZnZqMG1USmp3UWltNDlHWjQwK1BMMmRrWnExZXZScVZLbGFSdHg0OGZoNE9EQTF4Y1hNektDNEpnTVNYK3A1OSt3c0tGQzlHeFkwZE1tellOVTZaTXdmang0ekZwMGlSMDdkcFZLcGVjbkl4NTgrYmgyTEZqYU5xMEtlYk5teWQxRE9aVXBrd1pzMGFXd1dEQTNyMTcwYlp0V3pnNE9GajhmYXhsVEhUcjFnMy8vT2MvOGR0dnYrSEVpUk53ZEhURWh4OStpRjI3ZHNuS3JWeTVFbnYzN2pYYlRvWGpUWTh2RnhjWCtQbjVvVXFWS2toTFM1TzJ4OGZIUzZudVdxMFc4Zkh4Q0FzTEF3Q3JLWUMxYXRYQzZ0V3JVYk5tVFVSRVJHREpraVVXeTVuR1IrWGU3KzN0TFRXd2dPd01pb29WSzc1U3gxMVVWQlMrK2VZYjZQVjZxZTdidVhNbjJyZHYvMExEVlNnYkcxZ0FBZ01ERVJvYUtzM2l0M3YzYm9TRWhNRGIyMXYyZE9qV3JWc0lEZzVHVWxJU2dvS0M4UHZ2djZOT25UcG8xYW9WQWdJQ3BKYStKVTJhTk1tejhYTDI3RmtFQkFSWTNMZHUzVHJvOVhyNCtma2hKQ1FFZm41K1VLbFVDQThQaDZ1ckswUlJ4UExseS9IYmI3OWh5NVl0S0ZteUpNNmZQNDhKRXlaZ3hvd1plTys5OTFDM2JsM1kyZGxoekpneEFMTFRzeTVmdm95NWMrY0N5TTYzclYrL1BrYU9IQ2s3ZDFKU0VoSVRFMUd0V2pVQXdOT25UK0hyNjh0Z0swUTVaZ3hTQUNnRm9KUWdDTlVBRFBEMDlMd0xZS3Rlcjk5bU5CcnZabVptcGwyL2ZqM3Y2U2xmazAyYk51SFFvVU5ZdkhneDNOemNjUEhpUlZ5L2ZsMVdKaTB0RFhxOVh0cHVxc1RpNCtQeDVNa1RaR1ptNHRLbFMyamV2TG5VZzlpNmRXdWNPSEVDQVFFQitPU1RUNUNabVFrUER3OU1tREJCT3U2b1VhTnc1c3daaElXRm1UV3dmSHg4cEJzOEh4OGZsQzFiRmdCdzd0dzVSRWRIWStMRWlkRHI5VklES3lFaGdaTzh2TVhlMVBneWNYZDNsMTRIQmdiaTBLRkRHRFJva01XR1Q4bVNKWEhreUJIWTI5dERyVmFqWWNPR2lJeU14S0pGaTlDcFV5ZE1uVG9WU3FVU3MyYk5ncjI5UGI3Ly9uc2NQSGdRWThhTXdkbXpaN0YrL1hwb3RWcDg5ZFZYR0RSb1VKNFpEcm16SXdJQ0FyQmd3UUlvbFVwOCt1bW5GajlqN1hnaElTRll2bnc1cmwyN0Jqczd1M3lQK2FMQzl6YkZsOG1oUTRla2NVZGFyUlpIang3RjhlUEhBZncveGR5U3VuWHJBZ0FhTldxRTA2ZFBXeXh6Nk5BaFRKMDZGYi8vL251ZTk1aUNJRWlOcTdTMHRCZWU5Ylo0OGVMNCtlZWZJWW9pZkgxOTRlN3VqcUNnSU15ZlB4OUtwUktmZlBMSkN4MlAyTUFDa1AzMDZPSERoOURwZEFDQUowK2VRS1ZTSVNVbFJVb2Rtang1TWxKU1VtQm5ad2U5WG84UFB2Z0FjK2JNUWFsU3BSQVpHWW1BZ0FCWnptMXVGU3RXekhNdzQ0TUhENnp1TTQyYnNyT3pnMUtwbEFZeHRtelpFaDk4OEFFbVRKaUEzMzc3RFNOR2pKQnlhZDNkM1ZHNWNtVjgvZlhYK09xcnI3Qmh3NGJuZmc4bFNwUkFuVHAxWk51MmI5K09qUnMzSWpBd1VOcldwRW1UNXg3cnJ5Q0tJbXlVb291bnAyY3pvOUZvRkFUQktBaUNhREFZaklJZ2lBcUZ3cGp6dFY2dk53cUNJQ3FWU3FOQ29URHFkRHBSb1ZBWWxVcWxNU3NyUzFRcWxVWkJFRVNkVG1kOFZrYk16TXcwcWxRcW8xS3BGRE15TW94cXRkcW9WQ3BGalVaanRMR3hNYXBVS2pFcEtjbG9hMnRydExHeEVTOWZ2bXdBOEdxem9yd0EwOFFMcHU4ajkydEJFTjRGTUVHbFV2MGJRSlNOamMzRnVuWHJoaWdVaXJEdzhIRHJzNno4eGY3NDR3K3NXTEVDdzRjUGw5S011blRwZ2k1ZHVzakttVklFZi9qaEJ3RC9UeEg4K3V1dnBYU0htVE5uUXEvWFE2bFVTcCtiTkdrU2xFb2wxR28xMUdvMXZ2cnFLN1B4SEtOR2pZSktwVEwxb3NyMm1XWjR5aG5ERFJvMGdMKy9Qelp0Mm9Relo4NUkxNVNUVnF0RlRFd003T3pzTEZhOGJ4TEcxNXNaWDJmUG5vV3ZyNi8wdmwyN2R2ajAwMCt4Y3VWSytQdjdvMUdqUnJKMHBaeUdEeCtPRlN0V1lOT21UUUN5eDArMGJkc1dCb05CbG5LclZxc3hiZG8wdUxtNVlmSGl4ZWpYcjU5VWZ2WHExWG1PSVJreVpBaDY5KzR0MjVhZW5vNjFhOWVpU3BVcXNpZGl1VGs2T3NMZjN4L2x5NWNIa0QyZWMrblNwWWlJaUVDbFNwV3diTmt5bkRoeFFwcEVaK2ZPbmJLNGo0bUpnVWFqd2RTcFUyWEhIVDE2OUdzZks4TDRlalBqNi9UcDAvam1tMitrOTl1M2I0ZWJtNXVzekpBaFF6Qmt5QkFBbGxNRWMycmV2TGxVMy9qNCtEeDNsbHRUUmxObVpxWlpBeXNoSVFGSGp4NlYzcnU0dUtCRml4WVlPSENnMlVScnorUHY3NCtoUTRkaXlKQWhxRlNwRWpRYURSWXVYQWgzZDNkMDdOalI2bElJbGlnVUNwUW9VZUtGenY4MllnTUwyVE1aZGUzYUZZbUppV2pidGkyKytPSUx0R3JWQ2dNR0RFQlVWQlNBN0lranVuVHBBaTh2TDNUdjNoMWx5cFNSR2o2bWhwbWxIa0tUTld2V1NHbFBCU1VtSmdZVEprekF3NGNQc1dEQkFuejg4Y2ZTdm5mZWVRY3JWNjdFOU9uVHNYTGxTdHk4ZVJQVHBrMHphd1ErZmZvVWp4OC9sdDdmdkhrVC9mcjF3L2J0MjJWcEppYlRwazBEZ0h4UGZWMlFCQURGYlpTZkNvSlFXNkZRbVA0Nmk4OXV0RVZCRU1SbnZhUWlnSnl2WVRRYVJaVktKUUtBS0lxaVdxMFduLzFSRjUvTlJDVUtnaUErK3dNbUFvQ2RuWjFvZXYzT08rK0lnaUNJQUZDMmJGbnAzSjZlbmxLWlhES1FuZXBnTVAwcmlxSkJFQVRqczMrbDE3bTNpNkpvZlBhdlFSQUVJd0NMZCs2V0txc2NGVlZ4QUY2aUtEWlNLQlM5QUR6eTlQU01UTXMwUkdXSnIzOGMzY3laTTJGalk0TUhEeDVJU3h4MDc5NGRVVkZSQ0EwTmxjcEZSa1pDcjlkai9QanhBQ0JMd3pDNWVQR2kxVnp3cFV1WFl1clVxVkxLclNWaFlXRm12ZW1tcDlkanhveVJHbTVkdW5SQisvYnRwZTg1TFMxTm1pSjMrL2J0V0xkdUhXN2R1Z1dqMFloUm8wYTk4UTBzeGxldTcrTU5pYS9TcFV0TG5WNysvdjVTUjE2REJnMWdhMnVMQVFNR1dCMWIyNkZEQjRzcGVLYkdsZEZvUkV4TURFNmZQbzJUSjAvaXdvVUxVS3ZWOFBiMlJteHNMRzdmdm8yQkF3ZWlUcDA2cUZtekpxcFdyWXFLRlN1aWJObXlLRldxRkpSS0pSd2NIT0RnNENDN1FkdTZkU3VTazVNeGJ0eTRQTWMzQThCNzc3MEhJTHVldlgvL1BxNWZ2NDdSbzBlalY2OWVVS2xVT0hIaWhGUldyOWNqTVRGUm1uRzBVcVZLcUZTcGt0a2FrMy9WdWtGNVlYemwrajVlSXI0eWRZYW9kSjFnNFdoL0hUYzNOMHllUEJueDhmSHc4L016ZXpKa01CZ1FFaElpdmRkcXRiaHo1NDYwTGZmVDFmSGp4OE5vTkVwUGY1L0hsRjJoMFdqTUpxT0lqNCtYN2lzek16UFJyRmt6dEdqUkFrT0dESkhXUXpWbE9LbFVLb3dZTWNMcWVkNTk5MTNadGM2ZE94Y0pDUW1ZTTJjT2J0KytiWEVzdERYT3pzNFdKNWI2dTJFREt3OTkrL1pGY25JeUZpeFlnTzdkdThzR011WmtXcnZLTkRtRkpTTkdqTWh6a290ZmYvM1ZZZys1SlltSmliaDY5U29DQXdPUmxKU0VUcDA2SVMwdHplSlUxSjA2ZFlLenN6TisvdmxuOU8vZlgzWVRHQmNYaC9idDI2Tm56NTR3R28xUXE5VXdHQXpRYXJWV0s2QkNYN1JSRkpTaUtOb0o4a2NRUXE1L0lZcGk3bTFtNVhNZVF4UkY0ZG52TEczTHNkL3E4UVZCeVBmZGxPbHdPUy9kTkFXcnBmMjVuN0s4Q05OVG1tZS9nNTBvaWc0QVNpb1VDcHZYMTEvNWYvWHIxMGQ2ZWpvZVBueUlqSXdNbkR0M0RzMmFOVVA1OHVWbEEzRnYzYnFGek14TWFWdFNVaEwrL1BOUDJYZFJwVW9WTEYyNkZFQjJqL1h0MjdlbFdRcHIxYW9GQUJnMmJKalV5MjVpbWtqR0VsTW5TZlhxMWFGUUtMQnIxeTQwYXRRSTI3WnRRMHhNREJJU0VzekdYUG40K0tCR2pScVlQSGx5bnFrYmJ4VEdWNzRVcGZoeWRYV1ZPaHh5cnJmNDRZY2ZZdHEwYWZuS1hoZzdkaXk2ZGV1R3pNeE1IRGx5QkxHeHNZaU9qc2FsUzVlUW5wNE90VnFOUm8wYVljcVVLV2pWcXBYVU94MFpHWW5nNEdDRWhZVmh4NDRkc3JWK0dqZHVERmRYVi96MDAwOVd6L3NpYTh2Tm56OGZyVnUzaHBlWGwydzJYQThQRHluK2pFWWpybCsvanA5Kytzbmk1RStGanZHVkw5YmlDd3FGamVYMjRGK25iTm15Nk5TcEV5SWpJK0huNTJlMlB5TWpBM1BtekpGdEN3NE9saVk2OC9iMmx1MHpkV2prVEIwTUNnb3llOHBxTW1yVUtBRFptVlh2dnZ1dWJGL0RoZzJsbWFSejNsKzJhZE5HZW4zczJER2twNmRqM0xoeFVpcnUvZnYzcGFmQ2x1emV2UnVIRHgrR2w1Y1g2dGF0QzQxR1k3VlRQVFEwRkFjUEhzU0lFU1BnN093TUlPOTc0YjhUTnJEeTBLWk5HNHZyOStSbTZpa3dqVXNLRFEyVnpXNGtpaUp1M3J3cG0xa3d0NWlZR0FEWmEvdVluakw5NHgvL2tLYTdmZlRvRVc3ZnZvMjdkKy9pWC8vNkYrclhyNCtGQ3hlaVQ1OCsrUHp6ejgwYVYwYWpFVmxaV2ZEMjlzYXlaY3ZRdlh0M09EczdJekl5RWp0MzdzVFJvMGVoVUNqUXRXdFhmUExKSjVneVpZb1VIRVdWQ0NCZHA5OXBweEptSzVWS3hiTktSYUZRS0t5K0JpQVlqVVlGQU9IWlBvVW9pbm0rQmlDSW9xaEFkbzY0SUlxaTRsbEZaT20xMlVJc29paXFCRUZRUER1R2tOZnJmQnhmSVlwaUZVRVFHbHM0ajhYdlNSQUVpS0tZQmVDQktJb1BSVkc4cXRmckYwUkZSVjEwclY2dkJRUzg5cW1BdnZubUc1UXVYUnBLcFJKaFlXRTRkKzRjbkoyZDRlN3VMcHZTK2ZMbHkzajY5S2xzT3RpeFk4ZktqbFdpUkFscGNPL0preWVSbkp3c0crd0xaS2MwS1JRS3FOVnE2WWxVWG12bVpHWm1RcUZRNEQvLytRK0E3TXJQM3Q0ZXUzZnZoa2FqUVpVcVZUQml4QWg0ZUhpZ2JkdTI2Tk9uRDlxMmJRdFJGSkdWbFdVMk1jMmJpUEZsZGg2TDMxTlJqQzlyeG84Zmp5VkxscUJDaFFvV3gxQ1libzVNRTdzVUsxWU1CdzhleExWcjEvRGVlKytoUVlNR3FGKy9QdXJXclNzMVl1N2Z2eSt0MjJoalk0T1BQLzRZSDMvOE1YUTZIYTVkdXdhZFRvZkhqeCtqVzdkdWVQTGtpVmxxL01xVks1R1FrR0F4b3dMSW5uVXdKQ1FFa3lkUGx2WFl2Ly8rKzlMYWRqazVPVG5CeWNrSlFVRkJzTE96dzVNblQ3QjgrWEw0K1BoWS9WNGNIQnlrMlhOZkY4YVgyWGtzZmsvUGpTK0ZVR1RpQzhqT0ZzcjVGTldTM0dQYmMvUHc4SkE2Q1E4Y09JRDc5KzlMS1llMWE5Y0drTjJ4L3FLTVJpUFdyRmtERnhjWHFRRVdGaFltelRob2FWNkFVNmRPU1IyUnBvYVNnNE1EMnJWclovRWNLU2twT0hqd0lKbzJiV28ydnZudmpnMnNWMkFhZExoMzcxN1kydHBLUFdhN2QrL0cxYXRYcFhMbHlwWER3WU1IRVJnWWFESHYyN1JLdHJPek05YXRXeWR0cjE2OU9obzNib3d2di93U2YvNzVKNERzbTh0Smt5YWhXYk5tc0xXMWhZZUhoOWxhV01IQndaZy9mejUwT3AwMHhzWFVlQm96Wmd5MFdpMmNuWjFScWxRcDZZWXk5d3lFWThlT2hWcXRSbkp5TXA0OGVZSmV2WG9CeUs1Y3ZieThYdTJMZTBtQ0lFQm53SzFybHk4ZUw1UUx5RDhCOGw1RDZYWE5talVGQU1qS3loSUFRSy9YQzNxOVhnQUFvOUVvbEM5ZkhqcWRUdHBtTUJpRTRzV0w5d1hRR01pN1VucTJQMEVVeFoxR28zR1hJQWdQakVaamhpaUthVkZSVWNrV1AvZ2FQSGp3QU8zYnQ0ZXZyeSs4dkx3UUd4c0xsVW9GRnhjWERCa3lCUGZ1L1grR1h0T3E4dTNidDVjZG8yUEhqdmp5eXkvemZVNVJGREZpeEFpVUsxY09zMmJOa28zWHNpUTFOVlhXU05McGRMQ3pzOE12di93aXBTdGFxb3hNVDYvZmhrbGZHRjl2Wm56bHBVMmJOcmg1OHlhMmJ0MktKazJheUo3OG1DWk9xbHk1c216NjlSVXJWa0N0VmlNa0pBVC8vdmUvcGJySFJCUkZhWWJhM0U4cHRGb3RWcXhZZ1I0OWVnRElydnRNRXlRQjJaTXAzYjU5RzBPSERyVjR3NWFXbG9hNWMrZWlYcjE2Rmh1RVk4YU15ZGNpM2djUEhzVEJnd2V0N25kemMzdnRNd3N5dnQ2dStES2xuZHJhMnVMV3JWc1daMnB1MTY1ZHZwN1NWcWhRUVJxTEdCa1ppYlMwTk5uWVJGdGJXMWs5bVY4QkFRRzRjZU1HbGk1ZEtxVUpOMmpRQU83dTd2anV1Kyt3WThjTzJUMXBVRkFRSmsyYUJGZFhWK20rbEY0ZUcxaXZZTW1TSllpUGp3ZVFuUUpvdW9uTHVmaGhlbm82WnN5WWdheXNMQ3hidGd3MWE5WkVWRlFVQmc4ZWpJMGJONkpHalJvNGMrWU14bzhmajZaTm0yTE1tREZtNlViVnExZEhodzRkRUJVVmhUTm56c2dlLythVW1wcUtCUXNXNFBEaHcralJvd2RHakJoaGR1TTNmdng0ZUhsNVljMmFOYmg4K2Y5alJoTVRFK0hvNklpeVpjdGkwcVJKMHZZLy8vd1RvYUdoMHFObGF6TWRrb3kxdkhiWmQyNkpwVCtpOWVyVnk4aWRsZ0VBb2lnYUFXUUlndkRFYURTR0NZS3dManc4L0FpSzJEUzM1Y3FWZzZ1ckt3SURBK0hsNVlXTEZ5K2lSbzBhS0Zhc0dFYU9IQ2xMTzEyM2JoM1MwOU9sdElpY3g4Z3ZyVllMT3pzNzlPclZDNU1uVHdidy9ER0RLU2twVWdOTHI5ZERGTVY4cGYyWjR0ODA4UXk5Rm95dkY5Q3JWeTlzMzc0ZGl4WXRrc1hCaGcwYkVCY1hoMVdyVnNsbTY4djlwSGZmdm4yeS85K21aVDl5TDNsZ0dzTnNUVnBhR3ViTm13ZVZTbVgxNmRMU3BVdVJrcEppdGNkLzA2Wk5GbS9TRFFZRGxpNWRpbDI3ZGtHbFVtSGd3SUZtNHpUVDB0Snc4K1pOMUs1ZCs1WFMxLzRHR0YvUDhmanhZMmx4KzVJbFMwSVVSV2kxV2t5ZE9sVmFhMjdGaWhYSXlzcksxL0dTa3BMeW5BblR4Y1VGY1hGeEwzU05LU2twV0xseUpYeDhmR1FaSGlxVkN0T25UOGRubjMyRzZkT255eFpCM3JwMUsxeGRYYkY2OVdxcFU1MWVIaHRZcjJEWnNtVklUMDlINmRLbFlXOXZqK1hMbDZOcjE2N1NvTnpZMkZoTW5EZ1JScU1SbXpadGtnSlBGRVhvZERxcG92RHk4b0tmbng5R2pScUY4K2ZQWStMRWlXallzS0YwSHRNTU5ubk5DaE1WRllVSkV5WkFvVkJnL2ZyMVpta1oxNjlmUjlXcVZTMDJ6cEtUazVHY25BeDNkM2VzV0xFQ1BqNCtVdHBXVmxZV3pwOC9Meld3V3JkdWpjbVRKK1BreVpOY0I2Z1FQRXVmZUNJSVFpaUFzd0F1R0F5RzBBc1hMdHd0N0d2TFM1Y3VYZURyNjR1K2Zmdmk1TW1UR0R4NE1MUmFyZGxFS3FZQnZaWlNEYlJhN1hNYlBhbXBxZERyOVNoVnFoUmF0MjZOOVBSMHpKdzVFNElneUJaQWpZdUxnNTJkbmRSd1MwaElrUExiVFEyK3ZNNTEvUGh4Yk4rK0hmSHg4U2hkdWpSVEk5NFNiMnA4V2FMVmFpRUlBa3FXTElsUm8wWmg5dXpacUZ1M0xqNzk5RlA4L3Z2dldMdDJMVDc5OU5QWGxwRmdNQmpRdm4xNzdONjlHNzBqcjkwbkFBQVB5a2xFUVZSNjlZSzN0emY2OXUwcm5YL2J0bTBJQ0FoQW56NTk0T25wYWZFWWxwNUUzNzU5R3pObnprUlVWQlRtekptRGxKUVVMRjY4R00yYk4wZU5HaldnMVdxeGMrZE9hUnJ0L2Z2M1cxMTNpLzVhYjBOODNiaHhBOHVYTDBmbHlwVUJaSGV1bWVxTU9uWHFvR3JWcWdETUZ4ZTJKams1R1VPR0RNR1dMVnVzcHBxN3U3dkxudHlhbmlCYm85ZnJNWDM2ZEdnMEdyUnQyeFovL1BFSE5Cb05uajU5S3YyVUxWc1dJU0VoMkw5L1B6cDE2Z1FnTzVYUnpjM05iRElOZWpsc1lGa1FIUjJOaXhjdklpZ29LTStlYjFkWFYrbDFiR3dzTm0zYWhOS2xTNk5ObXpaWXMyWU45dTdkaTJiTm1pRTJObFkyQU5IVXNCbzhlTENzSjYxU3BVb29XN1lzaGcwYmhtclZxcUZ2Mzc0V1ozaks3ZWpSby9qMjIyL2g3ZTJONmRPbm0xVWVUNTgrUmMrZVBURjU4bVNMYVJlbWRNYXFWYXRpOGVMRmVhNytYYkprU2NURXhFZzUrUFQ2R0kzR2FJVkNzUUhBY1ZFVWI0V0hoeWNEMEQvdmMwVkIxNjVkc1hIalJvd1lNUUo2dlI3dDJyWERwazJic0hidFdvdmxjODZJYVRKcTFDajA3OS9mYkh0S1NncFdyMTZOaUlnSWFXRmhVMk9wYytmT2lJK1B4OVdyVjJVTHFwNCtmUm8vL3ZnalRwMDZCU0E3Qmt3M2RmbHBZRldyVmcyT2pvNm9YNzgrT25mdWpCMDdkcUJXclZxeVJoeTlXZDdrK01vdElpSUMzMzMzSFpZc1dRSTNOemQwNjlZTlo4K2V4Yng1OHhBZEhZMzkrL2VqWWNPR1V2cHJYanAzN2l4N2I2cS9CZzBhOUVKUGdrcVVLSUdSSTBmaWl5Kyt3TjY5ZTdGMTYxWU1IejRjVmF0V2hZZUhCMzc5OVZlMGFOSEM3T20xTlUrZVBNSFdyVnV4WmNzV09EazV3ZC9mSDlXclZ3ZVFQWTVrNU1pUjZOdTNMM2JzMklHVWxCVDQrUGlnWjgrZWJGd1ZramM5dmt6ajZxZE9uUW9QRHc4b2xVcVVLVk1HenM3TzB0T2xwS1FrYWNtZC9EeTlTazVPeHJCaHc1Q1NrcExuV043MzMzOGZodzhmaGthamdZT0RBelp2M293VEowNWc2OWF0RnNzZlBIaFFHdk9mY3oxSUJ3Y0hsQ3haRWlWS2xJQ0xpd3YwZWowV0xWcUV4bzBibzB5Wk1sWTdOdWpsc0lHRjdBb2pJaUpDeXRuZXNHRURTcFlzaWRhdFcxdGNySzFUcDA3UzB5aVRPM2Z1QUFBcVY2Nk1SWXNXSVRRMEZKTW1UVUszYnQwUUZSVWxTNE82Y2VNRzVzK2ZqN0ZqeDhwNjhCMGNIRkM5ZW5VY08zWU12cjYrZVBqdzRYT3ZQU3dzREpNblQwYWZQbjB3ZXZSb2l4V2VhUnAyMDBEbTNJNGZQNDRxVmFvVXpWbVhDQXFGNGcrRHdWRC93b1VMNFlWOUxTL0wzdDRlbzBhTndvd1pNK0RwNlFsbloyY01IRGpRTEcvOTIyKy9oVWFqd2VMRmk4Mk9ZZXF4TXczTXYzejVzbFN4N2RtekJ3MGFOSkNlVE9Yc0pQanFxNjlnTUJqdzMvLytWOXFtMFdpa3FaeFRVbElRRnhjbnJkVmp5cTNQYXlha2loVXI0b3N2dnBEZVQ1dzRFYmR2MzJZRDZ3MzBOc1FYa0YyUHBhZW5JekF3RUpzM2IwYmx5cFZsYTlGODlkVlhDQTRPUmtCQUFCd2NIREJ0MmpTcjA3Zm50SHIxYXRuWXJaczNiMkwwNk5HWU4yK2UxSXNQWk1mUndJRURuM3M4T3pzNzlPN2RHOTI3ZDhmY3VYT3hkKzllYVdGeE56YzNhRFFhMmZseXUzbnpKdmJ1M1lzOWUvYkFZREJJQ3lTYkdsY0FNR2ZPSEl3Yk53NHJWNjZFbTVzYk5tL2UvRUpweGxSdzNwYjRPblRvRUlEc2xOdWhRNGZpazA4K01YdjZPM3o0Y05uN3ZEcklVMUpTcEF5STlldlhTLy9uUlZGRVJrWUdEaHc0Z092WHIwT3RWcU5idDI0d0dBd0lDZ3BDeDQ0ZGtaU1VKTTE4QzJSM29xZW1wa3JiMnJadGl6dDM3c0REd3dNVktsUkE2ZEtsNGVqb2FCYnY0ZUhoV0xod29UU1dtQW9XRzFqSVhrVDQ2TkdqVUt2VjhQSHhRZnYyN2VIdDdRMlZTaVhON3BlVWxDU1Z6M2xqWlJJUkVRRWd1MmY3dSsrK2cxYXJsUUxHTkF1TWllbEdzVWFOR2hhZkZyVnExUW90VzdaODdzQjhBRmkxYWhWcTE2Nk5NV1BHV0MwVEhSME5BTExLRU1oK1hLL1ZhbkhzMkRIWm9wSlV0SncvZi81NllWOURRUWdKQ1lGS3BVSjRlRGkrK2VZYmZQbmxsN0tiSWlBN1AxeXBWRXFOSDB0TWEyYzFiTmdRdlh2M1JvTUdEVkM1Y21Xa3BxYWlRNGNPK09pamoyUVZpU0FJVUtsVXNzNkhwS1FrYVZ6SnNXUEhBRUFhNkcvcXFUVDFkTnZZMk1obUJUMTM3cHpzZWt6cm5uVHAwZ1dSa1pGNXp2WmtTdk13cmE5blRkbXlaYVVwNSttdjliYkUxOG1USjZIVmFuSC8vbjMwNzk4Znc0Y1BoMXF0eHYzNzk3RjkrM2JzMmJNSENvVUNIVHQyeE5HalI5RzllM2QwNzk0ZC9mdjN6M1BSM2ZMbHk4dkdZSmx1eHNxVkt5ZWx3d1A1bjVvNUxTME52LzMyRzM3NTVSZGN2SGdSVGs1TzZOMjdOMDZjT0lFTkd6WmcrL2J0Nk5TcEUvcjE2MmMyTGZXb1VhTnc2dFFwcU5WcWRPellFWU1IRDVZbWFnS3lKNmM1ZCs0Y1RwNDhpU1ZMbHVDSEgzN0F2bjM3TUhUb1VIVHYzaDJ0V3JVcThyUGx2bTNlbHZnYU9IQWdmSHg4MExwMWEyelpzZ1dKaVluUzJsQzJ0cmFvVzdjdVJvOGVqYkpseTBxZk1jV0VYcStYMVQ4UkVSR0lqNDlIK2ZMbHNYcjFha1JHUm1MR2pCbTRjK2VPdEY3YzdObXo0ZUxpZ284Ly9oamx5NWRIbzBhTjRPL3Zqelp0MnVET25UdHdjWEVCa0ozdVBucjBhR2cwR29TRWhHRGR1blVZTkdoUW5tdGVtWGg2ZW1McjFxMnZOQ2J4eVpNbkFDQWJ4MG5aMk1CQ2RncEVvMGFOMExwMWE3TWJPeGNYRjlqYjIyUEpraVc0ZWZPbXhmU0N1TGc0SERod0FQWHIxNWNxcWpsejVsaWR1dE9VcWpSMDZGQ3JqU2dmSHg5ODk5MTNBTEliU0RxZERwY3VYVEtiMWpZOVBSMkppWW5Zdkhrem5KeWN6QUlsSVNFQjI3WnRRNlZLbFZDNWNtVUVCd2NqSXlNRFo4K2VSWVVLRmVEbjV3ZTlYaS9sNEFMWmpUWlQvbkJxYWlxZVBIbUNidDI2U2Z0ZlpFVnZJZ0R3OWZWRllHQ2d0TWp3Z2dVTDBMZHZYN2k2dXFKT25UcW9XTEVpM25ubkhYejQ0WWRRS0JRNGNPQUFSRkdFMFdpRXdXQ0FUcWREWm1ZbW1qZHZqczgrKzB5YXdqYW5GU3RXSUMwdHpXb3Z1cW5EWS9QbXpUaDE2aFJxMTY2TnJLd3NiTm15QlY1ZVhnZ0tDb0pTcWNUaHc0ZGhhMnNyM1R4V3FWSUZ2cjYrV0xKa2lleUdFc2l1T0lPQ2dxRFZhdEdrU1JNc1dyUklTanZNaTJrOGlEVStQajc1WGhlUENNaE84WFoxZGNXVUtWTlF1WEpsSERwMENFZU9IRUZZV0JnVUNnVTZkT2lBWWNPR29WeTVjaGc2ZENnV0xseUlyVnUzWXR1MmJhaFpzeVlhTjI2TTl1M2JTemR1Sm1mT25KSFZpM2Z2WmcrWENROFBsMlZaV0ZzdytQSGp4NGlKaWNHVksxZHc1c3daUkVSRVFLZlR3Y25KQ1Y5KytTWDY5T2tEZTN0N0RCbzBDR2ZPbk1INjlldXhjK2RPN042OUc2MWF0VUwvL3YxUm8wWU5BTmxqT2V2VnE0ZXVYYnRLOFp5ZW5vN1kyRmo4NXovL1FXaG9LTkxUMDFHcVZDbU1IajBhMzM3N0xicDI3WW9WSzFaZ3laSWxXTEprQ1Z4Y1hOQ3VYVHVMZjBPSXJQSHc4SUNIaHdmQ3c4UHg0NDgvNHFPUFBwSTZ6NTJkbldYcnpZV0hoeU1tSmdaMmRuYlFhRFNJakl5VXpZeGJ2WHAxdEd6WkV0OTg4dzBxVnF3b3JVdlZyRmt6dUxtNXdjM05EUlVyVnBRMVdyNysrbXNNR2pRSVE0Y09SVXhNRElZTUdZSzR1RGdNR0RBQWFyVWFHemR1eE9uVHA3RjgrWExzMmJNSDN0N2VxRkNoQW14dGJhRldxNkZXcTZGU3FhQldxNlhPZGROUFJrWUd2THk4OHBVaTZPZm5oK2pvYU5qYjIwTVVSUVFHQmtLcFZPYTVydGJmRlJ0WXlGNlEwUnBiVzF2TW5Uc1hTNWN1eGFaTm0yUUxLWnJZMjl1alNaTW1zdG4zZXZmdWpkYXRXNy8wTmVWTTE5dThlVE1PSHo0TUFHYVZ3dmp4NDdGbzBTTDQrdnJLSGhtYjJOblpvVTZkT2xJdjM3Rmp4M0Rnd0FHVUtsVUs0OGVQeDZGRGh6QjA2RkNwaDNMRWlCRm02NHprdG5EaHdwZit2ZWp2NStqUm8vRHo4OFBubjMrT2YvN3pud0NBRmkxYTRQRGh3d2dMQzhPRkN4ZHc0c1FKcEtXbHdXZzBXcDNLMTliV0Z0MjZkYk00TnVyUFAvOUVRRUFBdW5YclpuWENpUTgvL0JCMTZ0VEJ5cFVyNGVqb2lGNjlldUhldlh0SVRFekV2SG56c0h6NWNrUkVSTURSMFJGVHAwNlZ6dE96WjA5Y3VYSUZBUUVCWnFrVUNvVUNGU3BVd015Wk0rSGk0b0pKa3laQm85Rzh5dGNGQUJ3blFpL3MzWGZmeGE1ZHU2QlFLREJreUJDY1AzOGVqbzZPR0RCZ2dMUU9va21GQ2hXd2VQRmlSRVpHWXQrK2ZUaDY5Q2p1M2JzblRXYVUwNW8xYTh3NkFpdFZxb1NkTzNmS3R1VWM0NWpUMHFWTHBmUjdCd2NIK1BqNHdNZkhCODJiTnplYnNkREx5d3RlWGw0NGQrNGNWcTFhSmEwTE9XUEdEQUJBeTVZdFplVlRVbEp3NjlZdEdBd0dwS1dsb1VlUEhtalJvZ1ZxMWFvbDNaeldxVk1IYTlldXhZMGJOM0RxMUNtRWhJU1lIWWNvdnhJVEUxR3VYRGxNbno3ZGFwbDc5KzdoaHg5K2tPcXlDaFVxeU1iaDI5cmF5dTZqR2pWcTlOeDEyV3JXcklsNTgrWmg3dHk1Y0haMlJvY09IVkNxVkNtVUxsMGFjK2ZPUmJWcTFWQ3RXalhVcjE4Zk8zYnN3Smt6WjVDWW1BaTlYcDludlFwazEyT211dmw1MHRQVGNmejRjZWw0cFV1WHhyQmh3MWhudlFsY3E5ZHI0VnFqWG5Jajc0L0Y4K0VYUkJMRmhJUUU4ZEtsUytLZE8zZGUrVmdHZzBIVTZYUm0yNHF5UzVldml0NGYvMHQwclY0M3c5WGovZno5RlNDTENpTytNakl5eEQxNzlyelVaNDFHbzJnd0dFUzlYaS9xOWZvOHkvMzg4OCtpVnF0OTRYUEV4Y1c5MUxXOUxSaGZCYWVvMUYvMzc5OFhRME5EODR5Wm5ESXlNc1Q0K1BpLzVGcnUzcjByN3RpeFE3eHk1VXErcjhja0xDeE1URTVPenJQTTNyMTd4WFBuenIzS0pmNmxHRjhGcDZqRVYycHFhcjdLNlhRNnMvdXRncGFlbnA3dnNxYTYxR0F3aUVhajhTKzhxdGVuS01jWG4yQzlBY3FWSzFkZ0EzUVZDb1Zacml4elorbXZaSHJ5OURJRVFjaFhmcmdnQ0ZJKy9JdktQVlU4MFp2TzJkbjVoY1lhMmRyYW1vMTNLaWdWS2xTUUZoNStVZm1aUWo3M0xJZEVmN1c4eGdqbmxKOUpaRjVWZnNjK0FyelhlOTM0YlJNUkVSRVJFUlVRTnJDSWlJaUlpSWdLQ0J0WVJFUkVSRVJFQllRTkxDSWlJaUlpb2dMQ0JoWVJFUkVSRVZFQllRT0xpSWlJaUlpb2dMQ0JSVVJFUkVSRVZFRFl3Q0lpSWlJaUlpb2dSWGFoWVlQQmdQaDc5MUdpUlA0V2RLTzMxNTI3ZDZIWDZ3djdNdDRxakM4eVlYd1ZQTVlYbVRDK0NoN2ppMHlLY253VjJRWlc2dE5VekYrMERMYTJ4UXI3VXFpUVpXWm00WEZTVW1GZnhsdUY4VVVtaksrQ3gvZ2lFOFpYd1dOOGtVbFJqcThpMThBeUNNWkVsYWpRR1F4RzNMdC92N0F2aDRvU1FUQ0lldkZoWVYvR200enhSVll4dmw0WjQ0dXNZbnk5TXNZWFdWVUU0MHNvN0F1d1FPbGE5ZjFHVUNpY0MvdENxR2dSRmZxSHQ2NUdoUUV3RlBhMXZNRVlYMlFSNDZ0QU1MN0lJc1pYZ1dCOGtVV01Me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xS1g4ai8zRGpzZTdjOGh2d0FBQUFCSlJVNUVya0pnZ2c9PSIsCgkiVGhlbWUiIDogIiIsCgkiVHlwZSIgOiAiZmxvdyIsCgkiVXNlcklkIiA6ICIzNDg1MDEzMTQiLAoJIlZlcnNpb24iIDogIjE5Igp9Cg=="/>
    </extobj>
    <extobj name="ECB019B1-382A-4266-B25C-5B523AA43C14-3">
      <extobjdata type="ECB019B1-382A-4266-B25C-5B523AA43C14" data="ewoJIkZpbGVJZCIgOiAiMzIwNTI4NzA0Mjk2IiwKCSJHcm91cElkIiA6ICIzMzQ5MzgzNDUiLAoJIkltYWdlIiA6ICJpVkJPUncwS0dnb0FBQUFOU1VoRVVnQUFCUEVBQUFSdUNBWUFBQUN5YmFJT0FBQUFBWE5TUjBJQXJzNGM2UUFBSUFCSlJFRlVlSnpzM1hsOFZOWFpCL0RmYys1c21RU0l5QkxDRm1wWUVrZ3lkNExVSXBhNklTNUZCZTFpUmN2cmlndGRRTzBtcUxocnRTaFc2L1lpVmxFRXFhaTRTN1ZLVk14TUVtQVFpQ3dDSWV3SmhwQmtadTU1LzhqTWRMS1NRQ0NCOS9mOWZQeVlPZmVjYzU5N21DejNtWFBQQV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TZMZ2k3UjBBRVIyYmVnM0k2TzkwT2dlMGR4eEVoMEpyYTlPbU5VVWIyanNPSWlJaUlpS2lsbUlTajRoYUxTM05rNFlFL1NxQWZ1MGRDOUdoRUkyZHdXQm8vSlp2VnhXM2R5eEVSRVJFUkVRdFlXdnZBSWpvR09SQ0dpQ0RsRWh5Z3NzRncyYTBkMFJFTFJJT1d6aHc0QUFzYlNYYmJFWTZBQ2J4aUlpSWlJam9tTUFrSGhFZHNzNmRPdUhteWRjaU0yTndlNGRDMUNMcmlyL0Y0MDgrZzUyN2RyVjNLRVJFUkVSRVJLM0NKQjRSSFRLNzNZN01qTUU0WmNUdzlnNkZxRVdjRGdlY1RrZDdoMEZFUkVSRVJOUnFxcjBESUNJaUlpSWlJaUlpb3VZeGlVZEVSRVJFUkVSRVJOVEJNWWxIUkVSRVJFUkVSRVRVd1RHSlIwUkVSRVJFUkVSRTFNRXhpVWRFUkVSRVJFUkVSTlRCTVlsSFJCUng1NTEzNHBOUFBtbFIzU2VlZUFJdnYveHlxODlSVmxhRzlldlh0N3BkVTBwTFMxdmRwcVNrQk51MmJXdXpHSTdHdUJIUjRjbkp5ZW1kbloyZDJOcDJYcTgzL1ZEYUVSRVJFVkhiWXhLUGlJNUpsbVVoRkFvZDFuLzFmZnp4eHkxT3NPWGw1Y0h2OTdjNjdsdHZ2UlhYWDM5OW15VFIzbnp6VFl3Yk53NkJRS0JWN1I1ODhFRmNlKzIxc0N6cnNHTUFqczY0RVIwTGNuSnllcHVtK2VPMHREUlhlOGNTTHpjM3Q0dFNhb1hOWnB0OUNNMWZOd3lEMzdSRVJFUkVIWUN0dlFNZ0lqb1VkOTk5Tjk1NDQ0M0Q2bVBwMHFWNDk5MTNNV2JNR0NRbko5YzV0bVRKRWd3WU1BQVpHUmw0Ly8zMzBiZHZYMlJrWkJ6VytRRGdUMy82RTY2NDRncTgvUExMbURwMTZrSHJoMElockYyN3R0RmpLU2twY0RxZHVPT09PM0RISFhjMFdpYzFOYlhPdFczY3VCR2ZmLzQ1cGs2ZENxVWEveHluckt3TWp6MzJXS1BIemozM1hKaW1pZGRmZi8yb2podlJzVUJFUENMeVROZXVYWGNsSnlkL1pGbldpMFZGUlg0QXVqM2p5cy9QTC9kNFBIZUt5Tis4WHUrTFBwL3Y0NWEwTTAxek9JQXNBUC93ZUR4cHJUbG5UVTNOcmtBZ1VIRW84UklSRVJGUjQ1akVJNkpqVmtKQ0FtNjk5ZFlHNVZwclBQREFBMGhMUzhNdmZ2R0xKdHU3WEM0OCsreXpxS21wd2VXWFh4NHJyNm1wd2YzMzM0OWYvdktYR0RKa0NPYlBuNC9WcTFkajVzeVpPT09NTXc0YTE5aXhZMUZXVnRiazhWQW9oTmRlZXcydnZmWmFvOGVUazVQeDdydnZBZ0FxS2lvd2NlTEVacy8zN2JmZk5sbm5MMy81Q3k2KytPTFk2OW16WjhPeUxEejAwRU40NktHSEd0Uy80SUlMY04xMTErR05OOTVBYW1vcXVuVHBFb3Q1M2JwMUdEeDRNSEp6YzQvSXVCRWRCMndBZWdIb3BaVEtVa3I5MWpUTmI3VFdzN1hXSCt6ZnY3KzB1TGg0UDRCd1c1ODRMUzNOMWJWcjF3TXRxUHFSMSt0dDlJRFcrbk8vM3o4cStscEVibzM4L3pvUnVhNDE4VGdjamtrQTVyU21EUkVSRVJFMWowazhJanBtT1J3T2pCczNya0g1Zi83ekgxUlhWK09tbTI3Q3lKRWptKzNqekRQUHhLSkZpK29rby9MeThyQi8vMzVjY01FRkVCSE1uajBiTTJiTXdDMjMzSUliYjd3Ui8vTS8vOU5zbnpVMU5SZzJiQmpHamgxYnAzelBuajNZdG0wYk1qSXltcHdGQndCT3A3TkIyWTAzM3Rqb3RUWmw3OTY5RFJLWUgzMzBFWll1WFlxcnI3NGEvZnYzeC9MbHk3RjQ4V0w4OFk5L2hOdnRCZ0QwNmRNblZuL3k1TWs0Nzd6ekFOVE96anZ6ekRNQkFFcXBJekp1Uk1lVGswOCtHWUZBQVB2Mzd4OGlJck8xMXVXZE9uWDZ5dXYxTHRkYSt3RGsrZjMra2lOdzZyOERlTE4rb1dWWlNpa1Yvd3k5SGJWL0I4WVNmK0Z3ZUcvMGE5TTBNN1hXRXdDOElpS3pXaHVFaUh6YjJqWkVSRVJFMUR3bThZam91SERHR1dlZ3Vyb2FBR0xyM2QxeXl5Mk4xcjNxcXF0aUNhVXp6endUOCtmUHg0b1ZLMkxIMzNyckxaaW1pYjU5K3dLb25iRjMzMzMzb1hQbnp0aXhZMGVMNGhrd1lBQXV1ZVNTT21XelpzM0M0c1dMOGN0Zi9oS0RCZzFxMWZVbEppYWlXN2R1cldvVGIrUEdqYmpycnJ0d3lpbW5ZUExreVFDQXlzcEtMRjY4R0dlZGRWYWR4MkpMU2c2ZVZ6aFM0MFowdkxqbm5udXdZOGNPTEZ1MkRPKzk5eDYrL2ZiYkxnRE9CbkFHZ0gwQWRubzhudVZLcVgvNmZMNzNBYlROSXBYQWFwL1A5NjVwbWxORXhQTDVmTE56Y25JR0thVldBQmpuOC9uZUF3Q3YxL3MzcmZVNEVibkI1L085MjBnL2p3R29ySzZ1L2wwZ0VHajlEanBFUkVSRTFPYVl4Q09pNDBKbFpTWE9QdnZzZ3o2Mk9YMzZkQVNEd2RocjB6U1JsWldGbXBvYUFMV1A0bTdldkJsWFhIRkZuWFpLS2Z6NXozOXVkRU9NcG16ZXZCbWJOMitPOWZ1dmYvMExhV2xwMkxWckYzYnQydFZvRzV2TmhoRWpSalFvZitTUlI1cGNwNjRsU2twS2tKU1UxT1RhZWExMUpNZU42SGh3NG9rbjRzUVRUMFJHUmdhdXZQSktyRnExQ2t1V0xNSHk1Y3VOM2J0M24xQlpXWG1DWlZtREFQektOTTJ0QVA2cHRYNGxHQXgrVjExZHZiKzR1TGo2VU04ZDJWampEZ0RQQVlCU0tsdEVIT0Z3ZUVPMFRpZ1V1dGN3akFFQTNqRk44NjkrdjM5YTlKalg2NzBjd0ptV1pmM0o1WEpkNy9WNlo3VGk5THQ5UHQraGYrSkFSRVJFUkUxaUVvK0lqaHMvK01FUGNQcnBwemRieDI2MzEzbHRHQWJtelBudnNrMGlnbm56NXNWMmJnMEdnMWkwYUJIR2p4OFBtODBHbTYzbFB6YVhMRm1DcDU5K3VrN1p2bjM3Y1BQTk56ZlpKaWtwQ1o5ODhrbUQ4dlBPT3crbm5ISktvMjN5OHZJd2VQQmdkTzNhTlZaV1VWR0JlKys5Ti9hNmUvZnV1T2lpaS9ET08rL0V5cUt6Nk9iUG53K1g2NytiYVo1MTFsa0h1YklqTzI1SGc5WWFEa1AzTTAxemRIVjE5WVpBSVBCZDlKaHBtcU1Cd08vM3gvNGhQQjVQbW9qMEY1RWRQcDl2ZGYyNndXRHdtNVVyVjI0SGdFR0RCblZMU2tyS0NJVkNOYUZRYUZWMGNmL2MzTnlUTE12cUE2RE03L2NYQXJYSmxpNWR1bVFvcFRwWFZsYXVXN05tVFFrQVpHZG5KeHFHTWJ5Uk9BYUtTS3JXdXFTZ29HQmQvVGpDNGZEWFJVVkYrd0VnTXpNenhlbDBEcllzYTE5NWVmbnFqUnMzVmtYcTVnQklWa3B0eWMvUC96WlNOOGxtc3cyMTJXeU9pb3FLMVd2WHJ0MEZBTU9HRGV0cHQ5dUgxSS9ENi9WbWFLMTdhSzAzRlJRVWJHeGs3RDVEWk4yM3pNek1mazZuYzRCbFdic0tDd3RYSXpManpPUHhuQ29pTnN1eWlnc0xDN2NDd05DaFE3dmE3ZllNRWJHKy8vNzdWY1hGeGZzaS9mWUhrQ1lpRlQ2Zkx6L1NyOFBwZEdZQVNJNGZ1L1QwZEdlblRwMU9xUi96c0dIRFRyTGI3WDNDNFhCcFVWSFJtdm94SzZVSzh2UHp5K1BIVGtRcVNrdExWNWVVbEZRQ1FFNU96bENsVkxmNFBsSlRVOTA5ZXZRWUtpSnVyWFdQeHQ1dk5wc05PVGs1eU1uSndZRURCN0J5NVVvRUFnRVVGQlFnRUFoZzE2NWR2UUhjSmlKVEhBN0hDb2ZEVVpTVGs3Tk1hNzI4cUtob1pXTjlOaWM1T1hrQ2dDNWE2MWN6TXpOVFJPU0hXdXNhcFZSRlptWm1Db0RvTHQzWE9aM09yMFhrODh6TXpKUndPTHcvTVRHeEoyb2Z5VjFaVVZIeFNHSmlZbi9ETUw1dTZibkQ0WEJOYStNbElpSWlvcGJwV0hkVlJFU3RJQ0oxWHMrWk13Y0xGaXhvdHMyK2ZmdGlYNWVXbG1MQ2hBbXgxMVZWVlhqcXFhZnc3TFBQQWdBbVRKaUFzODgrRzdObXpjS2lSWXR3NzczM1lzQ0FBUzJPYitMRWlaZ3dZUUxLeThzeGFkSWtqQmd4QW4vNHd4OEFBSTg5OWhpY1RpZXV1Njd1V3ZGTnJaVTNaTWdRbkhQT09RM0tkKzNhaGVuVHAwTkVNR05HM2NreThkZTJidDA2ekpzM3I4N3g2T1BIOCtiTnF6T1dCMHZpSGVseE94b0VnTnRoWENJaVdTNlg2eDRBczJQSFJGNkpmTmtycnNrbElqSlZhLzB2QUpQcjF6VU00emNBNWdOQVVsTFNjSzMxazRaaDdCU1JTUUJXQVlCbFdWZUl5TFZhNjJVQUprVHFkamNNWXlhQVhMZmJmUnVBdVpGKzA1cUk0Mm9SdVVKclBSZkFiZlhqRUpHem91ZXoyKzJqUmVSdmhtSGtKeVVsVFFhd09WSjl1b2lNdEN6cmFRQXpJblg3SzZVZTExcDNqOVI5TjNKZG8rUFdRNHZGb2JXZUlpSVhhYTMvQ3VEaCtuR2twNmNQamliZ1hDN1hPQUIvTmd6ajNmVDA5T3VqTTh5VVVzOEI2Q0lpMHdFOEF3QTJteTFIS2ZVa2dHcTMyejBKZ0M5dS9LZHByVmVpOXBGVU9KM09MdEZyaVI4N3Q5dmR2Ykd4czl2dFY0cklOVGFiN1ZVQXY2MGZzMlZaNHdIa3hZK2QxbnBsU2tySzVKS1NrdUxJZUV3RmNHNThIeWtwS2FrQUhnR1FMaUtOUFpaYVIwSkNBazQrK1dTY2ZQTEp1UERDQzFGZVhvNjh2RHg4OE1FSFdMbHlaVUlvRkJxaHRUNVpLZlVMQUx0TTB5eXlMT3UxOHZMeUJkRkU3TUdJeUJnUlVRQ1dSeFAwa2UveHJmRUorM2lSOGxsYTYwUVIwZUZ3ZUVMazMycHQ1RDhpSWlJaWFtZE00aEhSTVNrY0RzTXdqRHBsSTBlT3hHbW5uZFpzdS9qWmFWMjZkTUgwNmRNQjFNNUttemR2SHM0ODgweU1IajBhQU5Ddlh6OWtaR1RncFpkZXdyUnAwekJ4NGtUY2M4ODlzZVBORVJHNDNXNjQzVzQ4L3ZqakNJZkRtRFp0V214ZHUwMmJOaUVoSWFGVjY5eTkvLzc3MEZvM0tNL0t5c0xpeFl1UmtaRVIyMDAyWHA4K2ZYRGVlZWZGTnFtSVdyQmdBZTY3N3o0c1dyU29WV3ZpSGNseE82cTBHRnBybDlhNnp1OUNyWFdETEllSTJDTGxqc2JxS3FWaWIwYkxzZ3lsbEF1QTA3S3MrS3lzWFd2dEVoRkhYRjNSV2pzQnVDekxNdUw2bGNiaWlQYUIyazBKR3NTaHRZNWxZMFZxcnk4U1IzeTVvMzRmbG1VcHd6QWF4S0dVTXBxSXd4RzVsb09PbldWWk5oRnhpVWhqTWJ0RUpQNThLdEl2RE1PSUh6dGJwRHkyNjBzNEhCYWJ6ZWJRV3RlSk9US21qY1VjN2FPcHNZdWRMenAySWxKbjdPS3VPMzdzSlBKdjZnSmcxUDl3b1RsMnV4MXV0eHNKQ1FrTlpnbEgzbk9KcUUxME5wNTVhNXdPaDhOM0dJYnhlT1M2a3BSU0h3SjRTbXZkN0c2eHdXQnd1OFBoR0s2MWZsY3BOY3MwemVaL29EYTAxZS8zRDI1bEd5SWlJaUpxSVNieGlPaVlGQTZIRzl6MERobzBxRUdpcXI2SEg0NU5Ha0pDUWtKc2R0dVNKVXNBQUgzNzlrV1BIajFnbW1hc1hscGFHbDU0NFFYY2M4ODlTRTFOUFdoc05UVTFTRWhJQUFBc1g3NGNiNzMxRm02NjZTYWtwS1MwN09MaVJOZVNNd3dEOTl4elQreDFNQmhFT0J5T1BRYnJjcmt3YTFiakcwaU9HemNPUTRjT3hkYXRXM0haWlpmaDdydnZQbWl5c3psSGF0eU9KZzJnTWhpYW4rZ3dadGJVMUt5dmMwenJpeHZVMS9vVkFGK0l5STdHNnRiVTFId1RMYXVzclB3eU1USHg1K0Z3dUNaK0RUSVJlZDZ5clBlMTFtVnhkWGZZYkxiYmxGS2RxNnFxWXJPZFFxSFFScVZVWTNFOEJXQ3gxcnFrWHZuRjBYYlJzcHFhbW84ZERzZkZsbVh0cTZ5c2pNVnRXZGJ0aUR4T0d5MExoOE1iUk9RNnd6QWNsWldWZ1doNWRYWDFVb2ZEMFNBT0FIL1ZXcjhJWUdOOFlUU080dUxpeXJnNFhuYzRIQVhoY0hoWGNYRnhiRUZLeTdJdWp6NU9HMWZYYjdQWkxoY1JxNktpWW0xY3Y2OEMrQkpBUmR3WWxTbWxiZ2VRSEQ5MkZSVVZPNU9Ua3h2RVhGTlQ4N3pkYm44L0ZBclYyYVFoN3Q5N1ZmMnhBMUN4WThlT3JYSG52RjhwOVd4OEh6dDI3Tmphdlh2M20wWEVEV0NnaUV4c1pMeGltbmljTm5ZNE10dXdFTUN5VUNqMDlZcjQzV09hNFhLNUVnSEFzcXo5UlVWRkd3QnNBQUNQeC9NckFFWTRIRjRvSXNXTnRUMXc0RUI0elpvMTMwZGViZ1lBcjllNzM3S3NWMXR5YmdBUWthc0JwTFcwUGhFUkVSRzFIcE40UkhSTTJyOS9QOXh1ZDUyeTFhdFhZL0hpeGMyMmkyN0VFRy9UcGszSXk4dURZUmo0NUpOUE1HZk9IUHp0YjMvRGozNzBvMWlkeE1URTJDeSt5RnBTMkxObkQ1WXNXWUp0MjdhaGI5KytHRE5tRExUV09IRGdBQklURXdFQUgzendBUURnMldlZmpUMXVDdFEreWlvaU9QWFVVK3ZFNG5hN1kyMkEyclh0Z0lacjVkMSsrKzBJQkFKWXVIQmhzOWNiejdJc1ZGUlVOTmhrNHZ6eno0OTkvZU1mLzdqWk5mdml0ZVc0SFcwaWdtQVltd29LQ3Y1ZC8xZ1RaUnRSTDJIVlZOM0llbktmMWkvMytYekZBT29rVVNLUFIvcnExNDJzbzllZzc4TEN3a1lmYld3c2pzaU9vZzEyRlMwb0tDaG80bnhmdExRUHY5OGZBQkNvWDk1RUhOOEIrSzUrZVdGaDRXZjF5MWF0V3JVSFFJUHl4c1kvRUFqVUFHaHdMWkV4YlJESHFsV3JHb3gvTXpFM2V0Mk5yVTlYVWxKU1dWSlM4aFVBZUR5ZWhsTmhVZnZlLythYmIvRGhoeDlpMmJKbDJMdDNMOHJMeXhFT2h3RUFXdXRTQVBQRDRmQUNFVm12dFM2THJtM1lVZ2tKQ1VrQW9KVGFGMThlZVN3WGhtRjgzRlJidDl0ZENNQVRYOWJFanJWTk1rMXpsSWljMUpvMlJFUkVSTlE2VE9JUjBURnB6NTQ5ZFI0ZFRVdEx3NnBWcStEMysrdlVjYmxjZFpKOTNidDNyL1BvS0ZDYllEdnR0TlB3OWRkZjQ1eHp6c0hPblRzeGJkbzBQUEhFRS9qdXUrL3c3YmZmb3JTMEZOdTNiOGUyYmR1d2UvZnUyR090cTFhdFFrcEtDc2FOR3dlZ2J0SU5BTWFNR1lPVFRtcDRYL3ZpaXkvQzRYRGc1ei8vZVozeStyTUw2L2NYZjIwQXNIVHAwaWJIS0NVbEJSa1pHVTBlajVveVpVcHM1bUN2WHIwT1V2dS8ybkxjaUk0MzMzLy9QZmJ1M1l2UFB2c01iNzc1SnRhdXJjMjlhcTB0QUFkRXBGeHJuUS9nV2IvZi94WWlHMzRjS3N1eXVocUdBYTExZWJRc3NnSEplU0pTcXJXdUZwRUpsbVdGbzhlVlVuMjAxZ3NSV1FQeGNJaElWUk9QTVJNUkVSRlJHMkVTajRpT1NWdTNicTJ6VytzcnI3eUM1NTkvSGtPR0RNSElrU01CQUtlZWVpb3V2dmhpVEpzMkRmLys5NzlSWGw2T0N5KzhzRTQvbjM3NktaWXNXWUk1YytiZzY2OXJOMkNjT25VcVFxRVFFaElTc0hUcFV1emN1Uk1wS1NuSXlzckNtREZqa0pLU2d0bXpaeU10TFExLy9ldGY2MndLc1g1OTdaT1phV20xVDVVTkh6NGN3NGNQYnhEL2tpVkxrSkNRMENDSlY5L0dqYldUajNyMjdGbW5mUDM2OWRpelp3Lys4cGUvTk5xdXFxb0tsMXh5U1l1U2VPZWNjODVCMThTTHp0NkxYbXRianh2UjhlYldXMjlGSUJDSUplSWp5Yld2UkdTNTF0b2ZEb2Z6b3J2eXRnV2wxSkRJLzJPN0ZtdXRwNHZJOXdCT0E3QmNhMzEyUVVIQi9kRW1wbW4rVFVRMjdObXo1NDdEUGI5bFdXVWkwaG0xZjF1R2hnNGQyalV5czVLSWlJaUkyZ2lUZUVSMHpObTBhUlAyN3QyTDlQVDBXTmtYWDN5Qko1NTRBdWVmZjM0c2lSZnZ2ZmZldy92dnY0K3FxcXBZNHF5OHZCeDMzMzAzempqakRHUmxaY1hxR29hQlAvM3BUd0NBUng5OXRORVlubi8rZVJpRzBTQVJ0VzVkN2YzendJRURtMzIwZCsvZXZkaS9mMytqZFJJU0VuRDIyV2NEQU5hc1dRT24wMWxuZDlkMTY5Wmh4NDRkdVBQT08zSEJCUmMwMnYvSWtTUFJ1WFBuSnMvZmxBTUhEc1MrcnE2dXhyeDU4NUNjbkl4bHk1WUJxSjNkZHlUR2plaDQ4OVZYWHdFQXROYkZJdklNZ0kvRDRmQjNSVVZGZXdDRW1tMThDTFRXUTBWa1gzNSsvbmNBa0pPVE13ckF6d0RjNWZQNWlqMGV6eTFLcVNkTjA5eW9sRnBvV2RaY0VURUJuTkhTWFcrYm81VDZEb0RLemMxTkJWQnVXZFpPajhjenJxQ2c0TzNEN1p1SWlJaUlhakdKUjBUSG5PaWFjU05HakFBQWxKYVc0czkvL2pNR0RCaUFQLzd4ajQyMm1UbHpKcXFxcXZEZ2d3OGlGQXJoVjcvNkZTb3JLNkcxeHEyMzN0cG1zZjM3My85Rzc5NjkwYjE3ZDl4NTU1MEhyZDlZbmU3ZHU4ZVNlSjkrK2lreU1qSmdzLzMzeC9Wenp6MEh1OTJPVWFOR05kcG5WVlVWcXF1cmNjSUpKelI1M3VycTZ0Z2p1Yzg4OHd5MmJ0MGFTMEErODh3ekFBQ24wNGxISG5rRWxaVzFleFRrNXVaaTVNaVIyTGx6WjV1UEc5SHhRQ2tWMWxydkZaSHZ0ZFp2V0piMXo4TEN3dVdvM1V2bFNKOTdyTlo2T1FBTUhqeTRrMUpxcm9oczNMTm56d01BVUZCUThLeHBtdjFGNUorV1pVMFZrY0ZhNjNQOGZuOStXNXpmc3F5VlNpbUV3MkZUS2JWS1JKU0lIRGg0U3lJaUlpSnFLU2J4aU9pWVVsMWRqVVdMRmlFdExRMlptWm1vcUtqQWxDbFRFQXdHOGVDREQ4YldkZ3VGUWdpSHc3RVpYemFiRFE4ODhBQnV1dWttUFBMSUkwaElTTUQ0OGVNeGQrNWNkTy9ldlUxaTI3NTlPNzc2Nml0TW1qUUpBSkNmMy9TOThaVlhYb21FaEFRODlkUlRUZGI1K3V1dnNXWExGbHh4eFJXeHNubno1dUdERHo3QVZWZGQxV0J0djZnTkcybzNSSTEvQlBmTk45L0VGMS9VN2x0dzk5MTNvN3k4SEZwcjJHdzI1T1hsb1YrL2ZqanJyTE1hUEg3NzZxdXZvcWFtQnAwNmRjS0pKNTRJb0hiZHZMWWNONkxqUlRnYzlpdWxMdDZ6WjgrWGJURzdyYVd5czdNSEFNZ0ZNQm1BemUxMnZ5UWlmUkUzeXk0M045ZXR0ZDROd0JLUjRRQldXSmJWcWExaXFLbXArZHJwZEZhSXlGZ0FWUUFRRG9mWHRGWC9SRVJFUk1Ra0hoRWRZLzc1ejMraXRMUVVNMmJNd0lFREIzREREVGRnOCtiTm1EMTdOaHdPQjJiT25Jbms1R1I4OTkxM0NBYURkUkpORG9jRER6LzhNSDc5NjEvajRZY2Z4bW1ubmRhcWpSd081cEZISG9GU3FrMDJhd2lGUW5qNDRZZVJtSmlJYzg0NUI2RlFDRTg4OFFUbXpwMkwzTnhjWEhYVlZiRzZjK2JNUVZsWkdkeHVON1RXZU9lZGQrQjBPbUdhWnF4T1dWa1o5dXpaZzBzdnZSVDkrdlZELy83OTBiOS9mL1RxMVF1R1lkUTVkL3lhZUttcHFZM0cxNWJqUm5TOGlLeHgxMmJyM0xXVXpXYWJycld1QnJEUU5NMFhSZVNuQUc3MitYeWZlNzNlVXdEOFZHdDlMUUMzMXZwK0VmbTMxdnF2aG1HOFo1cG1vWWpNRDRWQ0h4VVZGWDBOSU56c3lab1FDQVJxVE5OOEVjQkVBQ2tBdm12TE5mK0lpSWlJaUVrOElqckdwS1NrWU1pUUlUai8vUE5oR0FZdXVPQUM5T3paRTdtNXVTZ3ZMOGRiYjcyRlVDZ0VtODBHMHpRYkpOUTZkKzZNeHg1N0ROdTNiMi96bVdSOSt2VEJsVmRlaWQ2OWV4OTJYeFVWRmRpN2R5OSsrOXZmSWlrcENjOC8venptenAyTFVhTkc0Yjc3N29QVDZZelYzYnAxSzE1Ly9YVUF0UnRQOU8zYkYvZmVleSs2ZHUwYXF6Tng0a1JNbkRqeHNPTWlvZzVIYWExSGFxMW5GUlFVN1BSNFBQOEJVQkFPaC8vWDYvV3VBL0FEcmZVT0VmbW4xdm9odjk4ZnpkSjd2Vjd2UlFCdTFGcmZiYlBaN3ZGNnZiZjZmTDZIRGpXUWNEaDhoMkVZSjJ1dFI0dkkxVzF4Y1VSRVJFUkVSSFFZMG9aNGZwS1c0ZGw3OHFnemRkNlh5L1hSVmxaV2R0VFAyVkxCWUxETit0cTBhVlBzNjVxYUdyMWt5WkptNjRmRFlXMVpWcHVkLzNqazh4ZnFVV2VlcTlPRzVCeElHNXc5dHIyL2w0amFRazVPenFEYzNOd3U5Y3ROMHp6TDYvV09CV0EwMGl3bU16TXp4VFROWHg2c0hoRVJFUkcxTDg3RUk2SmpUcGN1RGU1Vk80ejREU2dPVjc5Ky9XSmYyKzEybkh2dXVjM1dWMHExMmJtSjZOaFJXRmk0dHJGeXY5Ly9ZVXZhQndLQlVnRHoyalFvSWlJaUltcHp2T01qSWlJaUlpSWlJaUxxNEpqRUl5SWlJaUlpSWlJaTZ1RDRPQzBSSGJKZ01JakE2alh0SFFaUmk2MHIvaGJWMVRYdEhRWVJFUkVSRVZHck1ZbEhSSWRzMy9mZjQvRW5uNGJkYm0vdlVJaGFKQlFLWWQvMzM3ZDNHRVJFUkVSRVJLM0dKQjRSdFZxTnRyWTVJTnN0QUdYNzlyVjNPRVN0SmlMN1FrRzlwYjNqSUNJaUlpSWlhaWxwN3dDSTZKaWsrZ3pKR21xRGNXSjdCM0k4c3F0d1dxTEQ5ak1Mc0Irb0NiMFV0SXlON1IzVDhVYXM0TjROYTFldEFHQzFkeXhFUkVSRVJFUXR3U1FlRVZFSFk1cm1hQkY1Uld2dEFuQ1IzKy8vcEwxaklpSWlJaUlpb3ZiRjNXbUppSWlJaUlpSWlJZzZPQ2J4aUlpSWlJaUlpSWlJT2pnbThZaUlpSWlJaUlpSWlEbzRKdkdJaUlpSWlJaUlpSWc2T0NieGlJaUlpSWlJaUlpSU9qZ204WWlJaUlpSWlJaUlpRG80SnZHSWlJaUlpSWlJaUlnNk9DYnhpSWlJaUlpSWlJaUlPamdtOFlpSWlJaUlpSWlJaURvNEp2R0lpSWlJaUlpSWlJZzZPQ2J4aUlpSWlJaUlpSWlJT2pnbThZaUlpSWlJaUlpSWlEbzRKdkdJaUlpSWlJaUlpSWc2T0NieGlJaUlpSWlJaUlpSU9qZ204WWlJaUlpSWlJaUlpRG80SnZHSWlJaUlpSWlJaUlnNk9DYnhpSWlJaUlpSWlJaUlPamdtOFlpSWlJaUlpSWlJaURvNEp2R0lpSWlJaUlpSWlJZzZPQ2J4aUlpSWlJaUlpSWlJT2pnbThZaUlpSWlJaUlpSWlEbzRKdkdJaUlpSWlJaUlpSWc2T0NieGlJaUlpSWlJaUlpSU9qZ204WWlJaUlpSWlJaUlpRG80SnZHSWlJaUlpSWlJaUlnNk9DYnhpSWlJaUlpSWlJaUlPamdtOFlpSWlJaUlpSWlJaURvNEp2R0lpSWlJaUlpSWlJZzZPQ2J4aUlpSWlJaUlpSWlJT2pnbThZaUlpSWlJaUlpSWlEbzRKdkdJaUlpSWlJaUlpSWc2T0NieGlJaUlpSWlJaUlpSU9qZ204WWlJaUlpSWlJaUlpRG80SnZHSWlJaUlpSWlJaUlnNk9DYnhpSWlJaUlpSWlJaUlPamdtOFlpSWlJaUlpSWlJaURvNEp2R0lpSWlJaUlpSWlJZzZPQ2J4aUlpSWlJaUlpSWlJT2poYmV3ZEFSUFQvV1ZaVzFnOE13eml0WHZFUUFBa2lZdGRhai9WNFBHbnhCNVZTbi90OHZ1S2pGeVVSRVJFUkVSRzFOeWJ4aUlqYWtjMW1jNG5JbkthT2k4Z2ZSS1JPV1RBWXpEN2lnUkVSRVJFUkVWR0h3c2RwaVlqYWtkL3ZEMml0Q3dGQWE5MWt2ZWd4eTdKV3JsaXhZc1hSaVk2SWlJaUlpSWc2Q2lieGlJamFtWWc4R2YyNnNVUmVmSm1JL08vUmlZcUlpSWlJaUlnNkVpYnhpSWphMzBkYTY3MzFINXVOSnlMUVd1KzFMR3ZwVVl5TGlJaUlpSWlJT2dnbThZaUkydG0rZmZ0MmlNaVhCNnNuSWw4cXBiWWNqWmlJaUlpSWlJaW9ZMkVTajRpb25SVVhGMWRvcmI4R0VBYnFQajRiOTNVWXdKZCt2My9QVVErUWlJaUlpSWlJMmgyVGVFUkU3YzhDVUtpMTN0ZFVCYTMxZ1hBNFhJUklvbytJaUlpSWlJaitmMkVTajRpb0E2aXVydjVNUkhiVUx4Y1JSTmJLMnhjTUJwY2QvY2lJaUlpSWlJaW9JMkFTajRpb0F3Z0VBcVZhNnkram0xdG9yV1AvUlY1L0dRZ0VTdHN6UmlJaUlpSWlJbW8vVE9JUkVYVWNMeloxUUVTZU9acUJFQkVSRVJFUlVjY2k3UjBBRVJIOWw4ZmoyYXlVNmhPZGdTY2kwRnFYK1AzKzN1MGNHaEVSRVJFUkViVWp6c1FqSXVwQVJHUk9JOFh6am5vZ1JFUkVSRVJFMUtFd2lVZEUxSUU1NU5qVEFBQWdBRWxFUVZTRVFxSDVXdXZLNkd1dGRhWFcrdlgyakltb28rdlRwMDlDZG5aMm45YTJHelpzV00vTXpNeVVJeEVURVJFUkVWRmJZeEtQaUtnRHFhNnUzZ2FnT0c1WDJsVmE2MDN0SEJaUmg5YWpSNCszRE1ONEx6YzMxOTJhZG5hNy9TOU9wM1Byc0dIRCtoNnAySWlJaUlpSTJvcXR2UU1nSXFML3N0bHMrN1RXWHdESUFnQ3R0WC9uenAxNzJ6a3NvZzVOYTMyYmlDeXpMT3MyQUROYTBpWTlQZDBKNERJQUsydzJtK0h4ZU5KYWVqN0RNQ3J5OC9OM0hXSzRSRVJFUkVTSGhFazhJcUlPSkJBSTFIZzhuandBbDRtSVRXdWRWMUpTVW5uUWhrVEhPYS9YK3dXQUh6WlhSMFNtZTczZTZVMGQ5L2w4ZGdBaEFFaEtTcnBLUkxvQzZDb2lHMW9UaTJWWkx3RDRkV3ZhRUJFUkVSRWRMaWJ4aUlnNkdCSDVDc0F1cmJVNzhqVVIxZm9Nd0QzMUN5M0xNcFJTNFhyRlhRQ1UxeXNMQTBCbVpxWkRLWFdiMW5xdGlGeloyaUNVVWp0YjI0YUlpSWlJNkhBeGlVZEUxTUg0L2Y2QWFab3JBSFQyKy8yQjlvNkhxS1BRV20vMysvM3ZlanllczVWU1o0dklIZm41K1pXbWFXN1dXcy94Ky8yM0E0REg0N2xJS2ZVTWdPaytuKzl4UkpKM1VVNm44ellBL1VUa3B6NmY3NHQydUJRaUlpSWlvbFpqRW8rSURrbXZBUm45blU3bmdQYU80M2hWSFF5dmdGS090Q0dlbjdSM0xNY2pyYTFObTlZVXRlb1JTdW80Uk9UM1d1dHVQcC92MWlGRGhwd29JbjBBYkk0ZU53emo3WEE0L0poUzZtSFROSCttbEJxZG41OGZCQUNQeHpOUVJQNEU0SDNMc2lxOFhxOXV6YmxEb1ZCV1VWSFJ5cmE5SWlJaUlpS2lnNVAyRG9DSWpqMXBhWjQwSk9oWEFmUnI3MWlPVjFyWDVoVWlPOVJTR3hPTm5jRmdhUHlXYjFjVnQzY3MxREplci9jTHJmV1dZREQ0Tzd2ZHZsRkVwbFJWVlMxMHVWdy9BdkM2MXZyQzZ1cnFPbytmTzUzT1VTS1NVbFZWdGNDeXJHQW9GS3JvM0xsem50WjZVRGdjenEycHFkbmxkcnQvMUpvNDl1L2YvOG1hTld1K2I5T0xveU9LSHpvZG0wSTEyTHBsZmNHNjlvNkRpSWlvSStGTVBDSnFQUmZTQUJta1JKSVRYQzRZTnFPOUl5SnFrWERZd29FREIyQnBLOWxtTTlJQk1JbDNqSEU0SEdjQlVBQm11MXl1MmRGeUVYbkQ1WEkxMnNibGNqMnV0UzdVV2o4RXdBVHd5Nktpb2pXUncyOGQ2WmlwL2ZRNWFXaTZ6V0Y3Q2REODBPa1lZM1BLbnJTQm5sOXRYRmRRME42eEVCRVJkUlJNNGhIUklldmNxUk51bm53dE1qTUd0M2NvUkMyeXJ2aGJQUDdrTTlpNWExZDdoMEtIUm92SW01WmxuUnhYTmxkRXlyWFdOeCtrYmFXSTdMUXM2MUdsMUE5TTA2eG83Y2xEb1ZEMmloVXIxcmUySGJXZjJtUjk1RU9uaEFRWWhtcnZrT2dnTE10Q1plVUJhTXM2d1RLc1RBQk00aEVSRVVVd2lVZEVoOHh1dHlNell6Qk9HVEc4dlVNaGFoR253d0duMDlIZVlkQ2hTUVN3UHo4L2Z4ZUFYUUNRblozZHh6Q01JVnJyR1ZyckptZFZGaFFVbEFPSXJuMzNlNC9INHdGUTB0SVRpOGdvRWJuS2JyY3pBM1NNNnR5cEUzNC81UVlNVEQrcHZVT2hnOWl5dFFSL25UVWIyN2Z2YU85UWlJaUlPaHdtOFlpSWlLakQwMW9uQWRnWFgyWVl4cytsZHVISXUwVGtycWJhZWp5ZUV3b0tDc3FpcndzS0NnclFpdGs5WHE4M0JPQ3FVQ2pFdFFPT1VYYTdIY015TTJCNnN0czdGRHFJZGNYZm9xbEg0NG1JaVA2L1l4S1BpSWlJT2p3Uk9VRnJYUjU5blp1YmE3Y3M2MllBcFFDNkFiallzcXd0Y2ZWdEFPWURLQzBvS05qWG9NTlcwRnBYaVFnTXcyQm1nWWlJaUlqYURaTjRSRVJFMUtIbDV1YjIwbHAzQVJEYnFWSnIvVDhpMGw5ci9STVJ1VnRyZldOQlFjRzUwZU9tYWM0RWtLcVVPZytBZFpnaGxBR0FaVmxkQVdESWtDRW5mdlBOTjdzUHMwOGlJaUlpb2xiaDJpNUVSRVRVb1ZtV05SUUF3dUh3U3FBMmlRWmdodGI2MzM2Ly94TUFONHJJYU5NMEh3Y2dwbW5lRE9CUElqSWxQei8vbXpZNC8zY0FvSlRxQ3dCdXQvc0QwelR2UDl4K2lZaUlpSWhhZzBtODFoSFROSWVicHBuYTNvRVFVZHNxTHk4L2VDVUF1M2NmMnVTYmRldldJUlFLSFZMYnR2YjU1NS9qOXR0dmIxSGRiNzc1Qm4vODR4K3hmZnYySXh3VlViUEdhcTMzVjFaV3JnS0FoSVNFcHdCMHN5enJKZ0R3K1h4Rld1c0pJbktkYVpwZkFKZ2xJbE44UHQvVGJYRnltODIyQWJXNzI1b0FvTFh1QWFDbUxmcW00OXUrZlEyZjVGNnpaZzIrLy83N1Z2ZTFlZk5tSERod29DM0NJaUlpb21QVWNmMDRyV21hd3dHa05WZm53SUVEUzF2NlNFeGFXcHBUUkpZRHVCUEFIVzBRNGhHVG5wN2V1YXFxS3JobHl4Yit0VWZVQWxPblRrV3ZYcjB3YytiTUp1czgrdWlqZVBmZGQ3Rnc0VUlrSlNXMXVPK1NraEpjZHRsbHVPYWFhM0R0dGRlMlJiaVlQMzgrM243N2JjeWNPUlA5K3ZWclZkdE5temJoZ3c4K2FQWmFvM2J1M0luMzMzOGZWMTExRlhyMjdIbW80UklkRGdWZ3ZJaThWVnhjWEcyYTVtMGljb25XK28rRmhZV3JJblZFUkJJQWxJcklDSzMxWHN1eXF0UFQwNTNGeGNYVmh4dEFmbjUrMERUTnowVmtiSjgrZmY0RUlGVnJ2ZVp3KzZXNnNyT3pmMmdZUnBWU0twQ2ZueDlzNzNnT1YwVkZCU1pNbUlDZi8vem51UHJxcXdFQU5UVTFtREpsQ2dZT0hJakhIMzhjdGZ1eXRNeTBhZE5RWFYyTmYvM3JYNGNjVTJscEtiWnQyM2JJN2JPeXNtQ3pIZGUzRDBSRVJCM2E4ZjViK0NZUnVVaHJ2YkgrQVJFeEFBeHpPcDJuQWZnTUFMS3pzL3NZaHBIU1ZHZGFhMGZreTlSSWdyQXBRYi9mWDNnNGdSK0s5UFIwcDlQcEhPSndPSDRNNE16RXhNU0h0MnpaOHRuUmpvUG9XTE45KzNZVUZCVGcwa3N2YmJiZStQSGo4Y29ycitDRkYxN0FqVGZlMk9MK1gzenhSVGdjRHZ6c1p6ODczRkJqU2t0THNYTGx5aGJQeWxpM2JoMDJiTmlBTVdQRzFDbmZ0bTBiOHZMeWNPNjU1MEpyalZkZWVRVlhYbmtsRElPYmNGTEg0UEY0Sm9ySUFLMzFiNzFlNzNVQTd0ZGFML0Q3L1EvazVPUU1NZ3pqUEszMU5WcnJEQUR6QU13R01FMHA5VXpuenAzdjhucTlMd0g0S0JRSy9hZW9xR2ovb2NaaFdkYXpobUc4MnFOSGo2Y0JTQ2dVeW11Yks2UW93ekN1RkpIekxjdGE1L0Y0WGcySHd3dFdyRml4dDczak9sUlBQUEVFZ3NFZ0xycm9vbGladytIQWJiZmRodHR2dngzRnhjVVlPSEJnaS9vS0JBSW9MaTdHK1BIalVWSlMwcW80a3BPVDRYYTdBUUFMRnk3RWl5KytpQk5QUERGMmZNK2VQYkRiN2VqVXFWT3NyTFMwRkNlY2NBS2NUaWNBSUJRS1lkZXVYWGp2dmZmUXJWdTNWcDJmaUlpSTJzNHhuOFF6VGZObEFPUGppbDcwKy8zWFJGOW9yVC8wKy8yWDFHL244WGlTbFZKMS9qQTBET08zSWpLMXFYUEZmVnA2alloYzAxUTlBTHRSdTFQZVVURm8wS0J1Q1FrSmx4aUdjYVBXT2sxRW5BRHNJdksvUnlzR29tUFpnZ1VMWUJnR1hDNFhsaTFiQmdCSVRVM0ZYWGZkMWFDdTArbEVYbDRlOHZQejY1UmZkZFZWT1BYVVUrSDMrK3M4Y210WkZoWXZYb3lNakF4OC9mWFhMWXBueElnUjZOeTU4MkZjVVVOK3Z4Ly8rTWMvY1BycHA5Y3BmK2VkZC9EY2M4OWg3Tml4S0N3c3hGTlBQUVdmejRmNzc3Ky9WYk1OaVk0VUVSa0Y0RXUvMy85bVRrN095VXFwbDZ1cnF5ZDV2ZDVYQVB3TXdBRVJXUXpnQ3AvUEYvM0duT0QxZW5NQi9CYkFqUUNtR1lheEJNRDVoeHBIWVdIaGE2WnBYaUFpRTdUV0Q2eFlzV0w5WVY0YTFST1pUZGxQUlBxSnlKbEtxYWM5SHM4L3RkYi9ESWZEQlVxcGlxS2lva29BdXIxalBaaTh2RHpNbno4ZlNpbGNlT0dGRFk2SFFpSDgrdGUvYnJUdHdJRURNV2ZPbkRwbEw3endBZ0RnOWRkZngrdXZ2OTZxV0diTW1JRng0OGJGWG1kbVp1TDU1NStQdmI3cHBwc3dhTkFnVEpreUpWWjI2cW1uWXNhTUdUanR0Tk1BMUQ0Q2ZObGxsN1hxdkVSRVJOVDJqdmtrSGdBSGdEZVZVcmRycldkcHJlM3hCMFhraE1abXpXbXRHOXlkaGtLaGV3ekRtTjNVaVN6TGN0cHN0bThBekxJczYyOU4xUXVGUXVIV1hVS3JTRTVPVHFyV3VxZGhHQ01BL0ZKRVJnQndBVUJpWWlJcUt5dVA0T21Kamk4VkZSVll1SEFoUXFFUWZ2LzczOGZLSjArZURJL0hBd0Q0L3Z2dll6TVVvbVgxeTd0MjdRb0FlTzY1NTVDWDEzQ0NqdC92aDkvdmIxRk1MNzc0SWpJek13L3RncHB3MWxsbjRjRUhIOFRTcFV2cmxILzQ0WWM0NDR3ejRIYTc4YU1mL1Fpelo4L0dMYmZjZ2l1dnZCS3paczFxMHhpSURvVlM2amVoVUdnQUFGMVlXUGdWZ0Y4QmdOZnIvYlBXK3UzS3lzcEZhOWFzYWJEQVdDU2hOekV6TTNPeXcrRTR5ekNNTHc4ekZPMzMrNjhBY01WaDlrTUhjY0lKSnlBNU9Sa2JOMjZFVXVweUFKY3JwZFlDV09uMWVyKzBMT3V6bXBxYW9rQWdVTkhlc1RabXk1WXQrTXRmL2dJQStNYy8vZ0c3dmM2ZnBuajAwVWVSbEpTRWE2NXAvUE5nbDh0VjUvWDY5ZXZ4MFVjZlljeVlNWWVVU092VHAwK2QxeFVWRmZqeXkvOStPNVNWbFdIYnRtMTF5aXpMd3RxMWErRndPR0xYUkVSRVJPM3ZlRWppQVVCNWZuNytONlpwTnJaSzhHZ0EvNjVmMk5nYUpKRkhOcHA4YkNNdExjMFZ1VkV2S3lnb2FQQ0k3cEdVa1pIUnkrVnluYXkxUGpXU3RNc1FrWjRBWUxQWjBMOS9mM2k5WG1Sblo3ZDR3WG9pcXAzZG9MWEcwcVZMWTQ4YkFZQmhHQkFSckZ1M0RwTW1UY0tqano2S2swOCt1VTdiaVJNbklpVWxCUTg5OUZDczdONTc3MFZOVGUxNjkvdjI3Y1BFaVJOeHpqbm40SVliYmdBQTdOaXhBL2ZlZXk4bVRacUVuSnljUm1OS1RrNXU2OHRFMTY1ZFlab21GaTllakpFalJ3SUFpb3VMc1diTkd2enVkNytMMVJzeFlnU2VmdnBwM0hiYmJiQXNxODNqSUdxdC9QejhTZ0NyNnBmN2ZMNWlBTVVIYXg5SjlCejZJbUowMUdWa1pPQVBmL2dETm0zYWhDVkxsdURUVHovRi92MzdCd0VZcExXK1FFUjJPWjNPTFRrNU9XOEdnOEc1Z1VEZ3UvYU9PV3IzN3QyWU1tVUt5c3JLQU5UK1BLK2Z4TFBiN1hBNEhJMytyQmVSQmttM0J4OThFQzZYQzFPblRtMlRSMW0zYk5tQ0J4NTRvRTdabWpWcmNQZmRkME1wQmNNdzBLdFhMN3o5OXR0NCsrMjNBU0QyZTQySWlJamExL0dTeEd1VWlDelhXcS93Ky8xL3JYOHNOemZYYlZuV1hKdk50cXYrTWRNMEswUWtzWm11WjNpOTNobU5IYkFzYTFKQlFjR2N4bzYxVm1wcXFydEhqeDVuaThnNEFPZUlTQktBVGlLaUFLQno1ODQ0OTl4emNmNzU1Nk5YcjE1SVRFeUV3K0ZnRW8rb2hUWnMySUM1YytmaSt1dXZiL0x4MWZUMGRKeDAwa200Ly83NzhlcXJyOFlXOUY2NmRDa0NnVUNEV1JIeC9iejAwa3NJaFVLNDl0cHJZemRlRlJVVldMMTZOYlRXYlhJelZsMWQzZXpzMi9qRTVKZ3hZN0JxMVg5eklldldyY01QZnZBRERCOWVkN0x5NE1HRHNXREJBdGhzTm16YXRPbXdZeVFpYWcySHc0SGV2WHVqZCsvZUdEbHlKS3FxcXBDWGw0Y2xTNWFnb0tEQVVWbFptVnBWVlpWcUdNWUl3ekJtZWp5ZXowVGtwWEE0L0Y1bFplWHU0dUxpQ2dCSC9WT0lxcW9xWEgzMTFkaS9mejl1dU9FRy9QM3ZmOGZFaVJNYjFLdXBxWUdJTkRwcjIyYXo0Wk5QUG9tOVhySmtDWll2WDQ0YmI3d1JDeGN1eE5OUHQzekQ1UzVkdXVEamp6K3VVOWEvZjM5Y2V1bWxkVDY4aWJyODhzdVJtWm1KbTIrK3VjR3gzYnQzWTlHaVJWd3ZsWWlJcUowZHQwazgwelRYYUsxN1I3NitVMFMyKzN5K2s3eGU3NjFhNituUkdTYVdaWTMxZXIxMytYeStCNk50UmVRWGxtVWQwdGdZaHVFNzFKaFRVMVBkM2JwMTZ5a2lRMFhrREJINWhZajBBZ0NsRkRwMzdvems1R1JrWldYaGdnc3VhSERqM1FoSC9Jdk16RXhISUJEZ1I2bEVFWW1KaVJnNGNDQ1dMVnVHQlFzVzFEa1duWDBnSXBnNmRTb21UWnFFTjk1NEF4TW1USURXR3YvNHh6K1FsWldGc1dQSE50cjN6cDA3OGVxcnIrTENDeTlFU2txVCsrVWN0a21USmpWNy9Nc3Z2NHdsSGkrOTlGSmNldW1sZVBubGx3RUE1NTU3THM0Kysrell6T1F2dnZnQ1hicDBRVVpHeG5HLys2RFdHZzVEOXpOTmMzUjFkZldHdUprOGhtbWFvd0RBNy9mSDdxUTlIaythaVBRWGtSMCtuMjkxdE53MHpkRUFFQXdHdjFtNWN1VjJvSGFkMHFTa3BJeFFLRlFUQ29WV1JSLzV5ODNOUGNteXJENEF5cUtiSDZXbHBibTZkT21Tb1pUcVhGMWR2U1lRQ0pRQ1FIWjJkcUpoR01NYmlXT2dpS1JxclVzS0NnclcxWThqSEE1L0hkMjhZZkRnd2FsdXQzdWdaVm43eXN2TFYyL2N1TEVxVWpjSFFMSlNha3QrZnY2M1FPMk81bTYzTzhObXN6a3FLaXBXcjEyN2RoY0FEQnMycktmZGJoK2l0UTRWRkJSOEhqMWZUazdPVUtWVU42MzFwdmlaNmRFNDRtUE96TXpzNTNRNkIxaVd0YXV3c0hBMUlza1ZqOGR6cW9qWTRzZHU2TkNoWFoxTzU5QlFLRlJUV1ZtNXVyaTRlRi84MklsSVJYVGR1OHpNVElmVDZjd0FrRnhaV2JsdXpabzFKYzJOM2JCaHcwNnkyKzE5bWhvN3BWUkJmbjUrZWFUdkZLZlRPYmlwc1F1SHc2VkZSVVZySW5XVEhBNUhob2k0OSsvZnZ5bzZka09HRERreElTRmhXUDA0dkY1dmh0YTZSek5qOXhtQWNQelloVUtoUFN0V3JGZ1ZIYnZJTHE0dXk3S0tDd3NMdDBiSHptNjNaNGlJcGJWZVhWQlFVQmJwdHorQXRLYkdMaHdPZjF0VVZMUWw4ajV3ZHVyVTZaU214aTcrdXBzYXUrenM3QjZHWVdTSVNFVnBhZW5xa3BLU3l2ajNUSHdma1E4cmg0cUlPeHdPeDc2djZuTzVYRGo5OU5NeGV2Um9iTnUyRFlGQUFINi9INEZBQUN0WHJvUlNhaFNBVVlaaDdPdlVxZE5YcG1rdXN5eHJlWFYxZFY3VlVWdzl6K1Z5NGRKTEw4V1BmL3hqYk5pd0FRRHc4Y2NmeHphSGlQck5iMzZENU9SazNIbm5uYzMydDNuelp0eDMzMzA0NmFTVGNQbmxsMlBidG0ydFdtcWhzWi9qRjF4d1FiTnRGaTVjaUlVTEZ6WjV2S3lzN0tCeHR4V3ROZXlDbE96czdCOVdWMWR2am42UEF6Q3lzN09IQTBCUlVWSHNHZURzN093K0FIcmJiTGJka1ptNjBmSWZBb0RkYnY4MlB6OS9Gd0JrWldXZFlCaEd1bEtxdXJTMHREajZQczNLeXZxQmlIUzMyV3o3b2ovcjA5UFRuWW1KaWVsYTY2VEt5c3IxeGNYRk80SGFDUUhCWURDcmtUZ0dBT2dSREFaTFY2OWV2YW1ST0ZaRVpoZ2pPenU3QjRBQklsSlJXRmk0RmtBd0VrZVdpTGdOd3lqMSsvMmJnTmpQbW5RQTluMzc5cTFkdjM1OWVTU09ic0ZnOENURE1NSit2eis2K0s3azVPUU0xRnFmQUdCcjlIczhQbzdHeGs1RTlrYmlJQ0tpRHVwNHZrdEwxRnJmQWVCRHBkVHBXdXZiZ05vZFprVmtwV1ZaMXdPQVV1cXB1RjFuQVFDaFVHaXBVcXA3YTA5WVUxTlRGYjBCYXdWbG11WVBBUXdYa1N3QVB3YVFEc0FBZ0o0OWV5STlQUjJabVpuSXpzN0c0TUdENit3bzFod1IrU21BMTZLdkhRN0hEVjZ2dDBzb0ZQcTRxS2pvUDBEc1p2Tkd5N0lxZzhIZ29sV3JWaFVEUUU1T3ppaWwxT2tpc3FXcXF1cTFRQ0JRRWZtai84ZGE2OTVhNjlXUnRZbWlOdzVuQW5BSGc4RTNWNjFhdFFlb3ZWR3hMR3NFZ0owRkJRVkxvbkZrWldYbDJteTJKQUFCdjkrL0U2aTlnZXpVcVpOcFdkYUJZREJZRUUwMkRoMDZOTk51dDU4UUNvV0tWNjVjdVFPMWkxbmJjbkp5ZWdhRFFRUEFudWdOY21abVpoS0FyamFielNvcUtpb0ZFQUlnYVdscHpvMGJOMWJqR0ZnSW00NnVIajE2NE5sbm44V1NKVXV3YU5FaWJOKyt2YzRPc3F0WHI4WjMzOVhtZGthTUdBR3ROZDU3N3oyc1g3OGU2OWF0d3hWWFhJSDMzMzhmUU8yYVEwT0hEbzIxamM2V2FHck5vN2J5czUvOXJObWZDZEZaRS9mY2N3K1dMS245Tmd5RlFnaUZRamoxMUZOajlkNSsrMjBzWExnUW4zNzZLYTY5OWxwTW1qUUpTcWtqR250N0VnQnVoM0dKaUdTNVhLNTdVTHVqS2RMVDB4TkY1SlZJdFY1eFRTNFJrYWxhNjM4Qm1CenJKMUxYTUl6ZkFKZ1BBRWxKU2NPMTFrOGFockZUUkNZaDhpaW9aVmxYaU1pMVd1dGxBQ1pFNm5ZM0RHTW1nRnk3M2Y1YkFLOUcrazFySW82clJlUUtyZlZjQUxmVmowTkV6b3FleisxMm55VWlEeGlHa1orVWxEUVp3T1pJOWVraU10S3lyS2NCeklqVVRUY000M0d0ZGZkSTNYY2oxelZhUkdhSlNEbUFJZEh6R1lZeERjQllyZlZmQVR4Y1A0NzRtRjB1MXpnQWZ6WU00OTMwOVBUcmk0dUxxd0ZBS2ZVY2dDN3hZMmV6MlhLMDFzOGJockhUN1haZkQ4QlhiK3hXQWpnYkFKeE9aNWZvdGJqZDd0c0F6RzF1N094Mis1VWljazFUWTJkWjFuZ0FlWkc2bzBYa2IwMk5uYzFtZXhXMW0yYkFicmYzVjBvOUFpQTlLU2xwVW5UczNHNzN5UUNpRzB6RjR0QmFUeEdSaTVvYXUvVDA5TUhSNUdWMDdHdzIyOUwwOVBSSjBiRXpET054RWVrckl0TUJQQk1kTzZYVWt3Q3F0ZGFUQVN5TGRIMkppRXhyYXV5VVVyRSszRzUzOStiR0x2NjZteG83cGRTUFJPUXByZlhLbEpTVXlTVWxKY1dSbUtjQ09EZStqNVNVbEZRQWp3QklWMHBkajROUVNzVm02STBlUFJwbFpXVW9LU2xCWGw0ZVB2endRMnphdEttejF2b3NBRDh4REtNc0lTR2hSSVgwK3NxZ1BtclR4Nkt6czZOSnZEUE9PS05CbmVoTXZBOC8vTERCc2ZpWmVIUG16SUdJNEtHSEhvTEQ0VUQvL3YzUnYzLy93NDR4R0F5aXFxcXFRWGs0SE1hRUNSTWFuWWtIMUg3d2RUUi9Md2dBdDlOMnZxRndzOXZ0ZmhEQWt3QXdlUEJndDJFWTBmZnBnR2g5cGRRbEl2SWJyZldiQUdLN2RFVHJXcFkxRGNEQ1NOMlRsVktQYWEyMzlPelpjMHBKU1VrQUFPeDIrMlN0OVNWYTZ5OEEvQktvL2I0d0RHT20xdHJzMUtuVExRQVdBSURXdW44VGNWd2xJcjh5RE9ONUFEUHJ4NkcxUGcvQTZramRzMFhrYmhIeG02WjVYZlR2WXB2TmRqK0FUQUN4UHV4MiswQ2wxR01BdW5mcDB1VTZBSjlFcm11MFlSZ1BpOGcrQURrQWtKNmU3akFNWTZyV2VveldlaGFBdjlXUG83R3hFNUgzQVZ6WHduOGlJaUpxQjhkekVnOGlzdEh2OXhkRVpsREV5clhXRlFVRkJRVkE3YU96OWRzWmh2RlRFWm5YMnZNNW5jNVBBUHlrbGMwTUFEOEM4SHNBdmVNUEpDWW1ZdlRvMFpnd1lRTFMwdEphUFROR1JNeDZyeThDTUZvcEZRTHduMGpNM1FEY0lTSzdETU5ZZ2NqNlFrcXBVWkdiZ3k4QXZBT2dvcXFxS3NIbGN0MkEycHVBdndQNEtsSzN0MUpxcHRhNnQxTEtCMkFQQUZpV2RicUlQS0MxWGc0Z2xzU3oyV3dQaU1qUVNDTDFEYUQyQmxKRVhsRktiWEE2blJjQzJBa0FEb2RqQ29DZjJteTJsMUpUVSs4b0tTbXB6TW5KNmFtVWVzSHBkSGF6TE9zdUFLOERnTjF1SHhPNUdhbk15Y201dExDd2NHdG1acWJkNFhEODNqVE5Td0c4NS9mNy93REVaa2o4TDRDK29WRG9paFVyVnF3QWdKeWNuSE9VVXZjRFdPUDMrMzhSamRrMHpkdFFtMXg5MWUvM2Z3Z0F3NFlONjJ1MzI2Y0RLQmVScDZLZitubzhub3RFNUh5dDljcWFtcHJuQW9GQVJaOCtmUks2ZGVzMlJpbVZZbG5XbDlIM1gyWm1ab3JENFRoSEtlVUtCb1B6SStzeUlqczcyNnVVeXJJczY0dDZzeDR5UTZGUXd2NzkrNHVqbjhCbVptWW1HWVl4V0NsVkZUL0xKVE16TStVUWtzci83N2hjTG93ZlB4NnJWNjlHTUJqRTFWZGZIVHUyZVBGaXZQYmFhN0ZaRkVWRlJYWGF6WjgvUC9aNjNMaHhzU1RlN3QyNzhjWWJiMkRRb0VFTkhtV0s3bHk3Yk5teU9ydllBcldQUGpVMXM2OHBGMTEwRVFZUEhuelFldVBHall2TjNuMzAwVWV4ZCs5ZVRKOCtQWFk4TVRFUkR6endBSjU3N2prOCtlU1Q4UHY5ZVBqaGg1dnE3dmlneGRCYXU3VFdkWDY0YXExZDlhdUtpQzFTN21pc3JsSXFsaVN3TE10UVNya0FPQzNMaXIvanRXdXRYU0xpaUtzcldtc25BSmVJR0hIOVNtTnhSUHNBVUdlUnJXaGRyWFhzbDEyOU9HTGxJdUtvMzRkaEdDcXlzN25Mc3F4WUhFb3BJMUszdXJFNFJPU2dZMmRabGsxRVhDTFNXTXl1K0xGVFNpa1JjUUZ3R29iUjJOakZwalNGdzJHeDJXd09yWFdkbUpzWk85dEJ4aTUyUGhHSlhuZWpZeGQvTFpabEthV1VBNEJMYXgzL1BvaGVTMzJPMW80ZDZyM3ZSTVFaNmFQTzJFWEs2bHhMOUxxYkdydjRPQ0x2eHliSHJvbC93enJuaTc1blJLVE8yTVZkZC96WVNlVDdvYzc3b0NXVVVuQTZuYkZkdE9zOTVpa0FuQUE2UWVzRVhmdTZYY3laTTZmQm1uajMzbnN2T25YcTFHU3lMR3JVcUZFWU9YSWtIbnJvb1JadmpCVFZvMGNQTEZxMHFORmo3N3p6RHU2ODg4NUdkeUF2S1NuQmUrKzlWNmNzSEE3andJRURlUFBOTjVHYW10cXFPQTZiYUNjZ3laR2ZrOUY0QkVDREJRVWozeXZKQU9vdmlST3Q2NGlyYXdmUUJVQjVLQlNLZi9PNEFTUkhsckFCQUlSQ0lXVVlSaWNBeWZFZi9JZENJY013ak1ZV3NYVkh6cG5RV0J6eDU0dE1Ma2pXV25lS1hGYzB2azVhNnpwOVJMNUhPa2ZpanYvNTRZakVWdjk5bmhpNWx2cmYwd2NkdTl6YzNHNldaU1ZxcmN1anMzcUppS2hqT042VGVDK2FwamtuOHNkNGVWejVUNkxKT3hGeGFhMGJiSHdSTVU1RVlvL2NSSDV4RjJxdDcxTkt6WTJ2YUZuVzg0Y1ladER2OXorU21wcjZWTGR1M2NiWmJMYkx0ZGJEUmFUVC92MzczZlBuejhlQ0JRdHd5aW1uNE9LTEwwWldWaGFTa3BMZ2REb2IvVFEwR0F4R3Z3eFpsbFVRZjB4cnZSWkEvL2l4MEZvSHRkWWJSV1NQWVJnSDRxcVhBOWdJWUZ0TlRVMFlBR3J2RDNTVmlGUWc3b1pPS1dVQnFCU1Jpc2pYc1hCRXBFSnJIZDh2RVBsRHZ2N05UdlNHS2Y2UEdBQjJFVW5VV25mcDFxMmJsSlNVb0thbXh1Wnl1VktrZG1PUCtEL1VFa1drdDlhNm9xYW14Z2JnLzlpNzgvaW9xdk4vNEovbjNGbXlFY0lpZXdVMUFna2ttWm1nVm91aXJWcXBTMVZxbFZhdFdwZldoYmJhbjF0ZGlyanZvSzFhcVY5eEJ6ZVUwdUxXdW9JV2s1bE1RdGhHQ0RXRUhaSVFoc3pNdmVmNS9aR1pZU1l6Z1FTUUNmQzhYeTllTCtiY2MrOTk1bVNXTzg4OUM4TGhNRG1kemdGRTVHTG1lREpNS1dWSDIrSWdoWlE4LzJGQnRHNVN3TXg4aGxKcXJOYTZCc0NIQUdDejJmb1EwZVVBMWxxV05SczdKbGdmRXkyZlo1cm15d0JhOHZQemV5cWwvZ2hnTEJIZEFzQUhBSGE3dlpDSUhnYlFsNGkrUUhSaEZhWFVlS1hVM1VTVWxCZ21vcGwydTMxMGZuNytHUURtUm8vaE1nempNMlplVWx4Y2ZGU3NaNkxENFpqdThYaE9aK1ludlY3dkh3Q1lvMGFOS25RNEhGNjA5Vks4d3V2MXZnRUFaV1ZsMXhxRzhSQXpMN0VzNjB5LzMxOGZUVHplUmtRL1pPWjNmVDdmZlVCMHlBWHhYUXpWUTFzbTltZW1hV0w5K3ZVQWdHQXdpRWdrZ29hR3R0RTZ1Ymx0TDR2RERqc01yNy8rZW9mSFNLZWxwUVYydXgwclY2N0V0R25UMHRiNTE3LytsZkpENmZEREQrOXlFcSt6U2twS1VGSlNnc1dMRjJQRGhnMncyKzNvMzc4L1Jvd1lnZXpzSGI4enJyamlDb3dZTVFJTEZpeElXU0h4UU1JQWdoRnpWcTdEbUJJT2gxZkV5Z09CUU5EbGNwMlRVcC81TlFCZkV0SDZkdVhuQUVBNEhGNFNLd3NHZzEvbDV1YWViMWxXMkxLc2xiRnlJbnBPYS8wK016Y20xRjF2czlsdVVrcmxKeDdETk0wNnBWUzZPSjRHOEM0ek43UXJQeWUyWDZ5c3RiWDF2ZXpzN0hPMDFzM0JZREFldDliNmRrU0gwOGJLdG03ZHVpd25KK2Nxd3pBY3dXQ3dObFllQ29YKzQzQTR6bUhtcERlN2FacjNLNldtbysxN0lpV09ST0Z3K0MySHcrR3pMR3RqSUJDSWYwbHByUzhrSWx2aTh3Nkh3MTZIdzNHK1pWbmhZREFZSDlJVmF6c0E4UnR2cG1rMktxVnVCMURRMnRxNkxLRThiZHVGdytIbjdIYjcreDIxSFJJV3p3aUh3LzkyT0J3ZHRwMXBtdkViSkpabHJmaDZ2T0VBQUNBQVNVUkJWRlJLWFVkRU9jRmdzQ1pXSGd3Ry81dVRrNU1TQjRCSG1QbkZqdG91RUFqRUo3bU10WjFwbXBzVDI4NDB6YXVVVWxsYTYwQkNYYS9OWnJ1UWlEUVIxU1ljZHlhQXJ6cHF1OFJqdExTMGJDZ29LT2l3N1JLZmQwZHRaNXJtNTlIMmIxbS9mdjNxaFBMN2xWTFRFNCt4ZnYzNjFZY2Njc2gxMURhY3R0Wm1zNTJacHIzaXROYng0YlErbnk4K25EWTJSUW96TjZQdEJ1Tjh5N0srRG9mRDgxdlpjUlFwZGN6T2p2dGQycnAxYTBvU3p6Uk5SQ0lSYk4yYWJqMDJZTW1TSlJnNWNpUk9PdWtrQUVCMmRqWk9QZlhVVHA5ejl1elo4ZSt5amlpbGt1YmUyeG12MTV0MGcydGZZUURCc0RrM1A4dHh0MlZaOFd1NFFDQVE5SGc4RTl2WEQ0ZkRiemlkVGg4enIwa3NKNktKQUdCWlZuV3NUR3U5RU1ERnpMdzlIQTdIMzR1UlNPUnB1OTAreDdLc3piR3k1dWJtRGIxNzk3N2Rack1WYUszanh3aUZRcXR5YzNOVDRpQ2k2VVQwZmlRU3FXdFhQakcyWDZ6TXNxd1BEY09ZYUpwbW8ybWE4ZThHcmZYTlNxbjh4R00wTlRVdDc5bXo1eVJtZGdTRHdhcUV1cDhhaGpHUm1lT2ZFWUZBSUZKV1Z2YUlZUmd2aFVLaHBBV0FZbkdrYXp2THN0WkZqL2tFRVYwQTRINEF0N1N2TDRRUUluTU81Q1JlQU1BVVp2NUthejFjS1hXS3grTzVOWHFYNmpGbWZqbGE3MDhBVWhhM0FBRFRORmY2L2Y3NGo0dlk2clJFdEw2aW9tSkpZbDIzMngzRUhyUm5RME5Ec0tHaDRUVUFyN3ZkN2hHV1pZMGxvdU9WVWk2dDllajU4K2RqL3Z6NUdEQmdBSTQrK21pTUhqMGE1ZVhsR0RKa1NGSVB2WVJKNkRjeTh6T0o1L0Q1ZkZlMlAyOU5UYzAzU09oT0grUDFlcDlDZE5oQ1RDQVFhQ2txS3JwQktaVWJpVVRpRnhxUlNHUTVFWjBiaVVSc3pCeGZJYTY1dVhsV2RuYjJmd3pEU0JxendjeXhDNU40a2pFWURDNHZLQ2lZYUpybXRzU0xtSEE0UE0zcGRNNG1vbWEvM3g4R0FLMzFacTMxL1FCeW9oZGhpSll2Uk52Zk02SzEzaHlOMmZSNFBCK2diWDZoK0cxc3k3SzJFZEh6QVBwR0lwSEVpNzFsQUI1bjV0VUpaU0NpajVsNUxaSlhRbXhrNWpjQU5HcXROeWJVcldIbU41alpSMFNoYUZtWW1SY1JrVTFySFQrMlpWbk5TcW12MFhZSE5YRjFndFhNL0RXaVBSSVQybTRkMm41MHhkdVVpRUxNWEE5Z1hYWjJ0azRzeHg3SXo4ODNpR2c0RVgwZkNUL1FMTXZLY2pnY1J4S1JBZDYvUnlqWDE5ZGp3b1FKU1dWbm50bjJHekp4V0cxWERSMDZGRjk4OFVYYWJYVjFkWmd3WVFLbVRKbUNrMDgrZWJmUHNidGVldWtsMk8xMk1ET21USm1DZnYzNllkcTBhVWsvTWs4NDRRU2NjTUlKQUJBZmNyVnc0VUpVVkZSZzdkcTF1UHp5eStOSnp2MFZFU0ZpWVpYUDUydC9FOGRNVTRibzNHVXBxNUtucXh1ZEUrM1Q5dVhwVmxPTnpyV1dNcGRxTkJtZmN1em9YRVVwOHhXbGl5TTZmMVRLTC9sWVQrQkUwZUdiWDZhSll5MkFsQjY5ZnIrL3BuMVpSM0ZFNXh0TVdUMjBxcXJxOC9abDBla1lPdFYyMFdrWFVwNUxSMjBYblM0aVpUWGJEbUpPKzd6VHRWMzBmUDl0WHg1OUhhUWMyK3YxMWdLb2JWL2VsYmJ6Ky8wcGY2dG8yNlcwYWJyWGJrZHRGMzA5N2xIYitmMys5UURXcHlsUGVjMUVyMzNpYmVmeGVOcFhBZEMyMHJmZjc4Y0hIM3dBbjgrSHhzWkd0TFRzR0VqQmJVUFVYd1B3cVdWWmEveCsveVpFNXhVY05xSTA3VEgzbGZhOTdXS2ZxVmxaV2Fpb3FFaTd6OENCQTVQbWFZMnRLTjVaUHA4UDlmWDFPNjJqdGNhNGNlTTZkVHpMc3JwMC9yMkZpQkRSdEtxeXNuSmV1MDFtbXJJT1g2ZnA2a1pmcHgrMEw0K096S2hPTEt1dnI5OWVYMStmOHA1YnVuVHBWa1NIenlmcTZEMmVMbzZhbXBwdnNXTzRmcHpQNTV2ZnZpdzZBaU1sOHhxZEYzTjF1MkpkVlZXVnR2dG1WOXBPQ0NGRTkzT2dKdkdNTFZ1MkpIWm5XUUxnM2Q2OWU3Y0F1SFR6NXMySjNXcGl5NFlSb25PbXhZYWpHSWJSdytWeXhidWNtNmJwQkFDdGRYWmllZFRlYWtzcjl1VmZXbHI2c3RaNmlGSnFKSUNmS3FYT1dydDJiWjkzMzMwWDgrYk53K0RCZzNINDRZZkhKM3RPWElYeU82SVhMMTY4cG4xaDlNZEF5by9iNk1WR1UvdnluVnlZcEx1b3FBSlFsVmdXdldoNnFYM2Q2dXJxSldqN1d5ZXlLaXNyNXdDWWsrWVk5N1EvUnZTQ0orV2lKeFFLUGVCd09Hd3RMUzN4WG9VK24rOWJsOHQxUlV0TGl3NEVBdHRpNVZ1MmJKbGRVRkF3VDJzZFdicDBhVEQ2UEpxS2k0di83SEE0c3JadTNib2xWcmUxdFhVcGdDdHROcHZoY0RqaUYyRE56YzF2NStibWZtcTMyNU82VzFxV2RZMVNLanNZRE1aN0RtbXRhNVZTWjFxVzFWcGRYUjFQN2tVaWtkdnNkdnMwSWxxTjZJK1pwcWFtMVgzNjlCbFBSRXhFaVltQXR3RlVFVkV3R0F4dUFJRGEydHFReStWNm5way9KNko0RWk4cksydERNR3pPc0pnbTVXY1o3WWVLN0ZjR0R4Nk1tVE5uQWdDbVQ1K09aY3VXNGNFSDI5YTRLU2dvd0RQUFBITkFMZkJRVjFlSER6LzhFT1BIajhlOGVmUHcyR09QNFpKTExzRXR0OXlDYTY2NUJoOTg4QUhXclZ1SHRXdlh4di9GZm5BKy9QRERLQ2dvd0tCQmcvRExYLzV5djAvaUNTRzZMOU0wc1huelpuejc3YmQ0NTUxMzhORkhIeVVtN1V4bWJpYWk5Y3o4TmpQL0xYR0JrTzdDN1hianhSZGZSRkZSVVh6eElBQjQrKzIzOGZqamozZTZGOXp1Y0RxZENJVjJmaDlQS2JYVEJTd1NMVnEwQ05kZmYvM2VDRTNzSjd4ZTcwUkU1d1FVUWdqUnZSd1F2MDZKS00vbGNnMUQyeHdVTFM2WDYxS2wxTE1kMUgyaGQrL2VMN1F2ejgvUEw0bmRKVlpLOVl2V25aOTQ0ZVZ3dEUyRG9aUzZGOEM5N1kvQnpIdjFpaXk2d3VEUzZMOTNvcXZYL3N3d2pGK0hRaUhQeXBVcnMxZXVYR2w4OU5GSEFJQnp6ejBYSlNVbGV6TUVFUlVib3RxT2xXNmVrR2hQaHZZelJsdnA1cWVMVGxLZWNnZTJvd1JvNHZ4NENXWGJrS1pIUlUxTnpXSkVKMDZPaWQ1TlR1bXAwY0ZkM0lqUDU1dmJ2bTVGUlVYVHNKR3VlU0JjUlVydDEwazh1OTJPd3NKQ0FFQ1BIajNnY0RqaWowM1R4TFp0Mnc2WVpKVmxXYmpqamp0dzFGRkhZZmp3NFpnM2J4NE9QZlJRUFBMSUkvanNzOCt3WWNNR3pKMDdGd01IRHNUQWdRTlJWbGFHQVFNR1lOMjZkWGo2NmFmeDBrc3ZvYWlvS05OUFF3aHhFRmkwYUJHdXZQSksxTlhWSVRhOUJUTXZJNklhQUY4eDh4ZWhVS2lxZysvbWpLcXJxOE82ZGV2aWovLzczK1JPbWl0WHJvUnBtdmpxcTYvYTc1cWtyS3hzdDZjMHlNdkx3N1p0MjJDYUptdzJHNXFhbXRDelo4K2tPc3lNWmNzNnR3aHBiSUVuSVlRUVFtVGVBWkhFQTNDK1V1cDhBR0RtR1laaGZLNjEvbTNDOW91STZCaTBMU0poQWZBejg5OFNENUE0ZkpLWlJ4TlJNelAvcUFzeC9HVVA0dStVNkxDVEZ3QzhYRnBhV3FTVXVvQ0lQRVEwR3NEMzNucnJMYnoxMWx2ZmRSaENITkMwMW5qd3dRZmhjcm13ZnYxNkZCU2ttN002dlZtelptSHExS21kcW52NzdiZmp6anZ2VEx1dG9LQUFjK2VtNUUvM3lJd1pNN0I0OFdLODlOSkxTVU80M0c0MzNPNjJOWERlZWVlZGxQMCsrK3d6QUVpWjAwa0lJYjRyVzdac3daWXRiWjNXdGRhdkEzamRzcXdLQUZ1cXE2dWJFRjNBcVR0NjY2MjNPdXpobHJnaTdOVlhYdzJiemRaaGIrOVhYbmxsdDFlaUhUaHdJSmdaR3pkdVJGNWVIbjcwb3gvaHNjY2V3L0hISHgrdnc4ejQ2MS8vbXJSZmMzTXpWcTllblhMREpoZ01RZ2doaEJEZHc0R1N4SnVwdGI0WkFBekRhS21vcU5nSVlJbkw1UnFtbEhvTXdIQUFwd0o0WDJ0OXUxTHF0d0NPRFlmRGY0ak9JWlBJQnVBMEFBdThYdS9YblEyZ3BLVGt0SGFyc0gyWHJHaXZ3ZHRHamh6WngrRndGQ3FsU21Pcno3WmJxRUVJMFVtUlNBUTMzbmdqRml4WWdISGp4bUh4NHNXNDdMTExPcjEvU1VrSnJycnFxcDNXMmJKbEMxNTQ0UVdjY3NvcDhWNS83WDBYQzByVTE5Zmpra3N1d1lnUkl6cWNoMGtJSVRJc2pMWTVmVmNDZUNrY0RyK1U1anF0Vzd2Kyt1dFRocDRHQWdFOC92ampXTGx5SmR4dU4vN3puLzlnL1BqeCtQREREM0h4eFJkajRzU0pTUXNNN2FrampqZ0NRTnNDR1VjY2NRU1lHVmxaV2RCYVEydU4wMDQ3RGFlY2Nrckt6WmtQUHZnQXQ5MTJHNTU3N3JtVXhkUEM0VEFjRGtlOGQ1ODRzTG5kN291SnlHMVoxa2RWVlZYL3lIUThRZ2doZHRqdnY0V1orVEZtRGlmT2gxSmVYbjRFTTE4UDRESm0va2NrRWhsZFUxT3p6dVB4Z0loV0V0RXh6UHlhdytFSXVOM3VKd0g4M2V2MXJnSUF0OXQ5TlJFZEF1RC91aEpIZFhYMWxsM1gydnVXTEZteUNjQW10SzA4OTJ4cGFXay9tODMyQzYzMUx6SVJqeEQ3cS9YcjE2T3VyZzVOVFUyWVBuMDZHaG9hME5yYTJ1RkU2K2tVRlJYdGNzaHBYVjBkWG5qaEJaeHd3Z203WE5oaVo3MGZUTE50c2RCUUtMVExYaEoydXgxWFhYVVYrdmJ0dTlONlFnaVJTYVpwUHFlVWVzb3dqRVVWRlJXUlhlL1JmVm1XaFlVTEYrSzExMTVEUlVVRkxyamdBano0NElONDc3MzM4TmxubitHMjIyN0RhYWVkaHFsVHAyTEdqQms0NDR3ek1INzhlSXdhTlNwcERyM2RVVnhjak96c2JNeWZQeDlPcHhOQTI0SkxEejMwRUdiTm1yWEwvWTg5OXRpZGJwOHpadzRHRFJxMFJ6R0tibTg4Z0F1VVVxMEFKSWtuaEJEZHlINmZ4UFA1ZlBFbElNdkx5M3RxcmQvVVd2OFF3SHdBcDNtOTNwUjU2aW9xS3RZQU9Nbmo4VndPWURJejMrWjJ1My9BekNZUlRXSG1yNzFlN3h2dDk5c2ZSRmZiZWh6QWs0Z3UxQ0dFMkxtV2xoWlVWbGFpWDc5K2VPYVpaekJnd0FCTW5qd1pRNGNPalE4MXpZVEVvVThkdWZUU1MzZFo1MWUvK2hVbVRacTBOMElTUW9qdmpOL3YzL2xFY2QxY2Eyc3JQdm5rRTN6OTlkZjQrT09QWVJnR3pqbm5ITng1NTUzbzFhdFhTdjB4WThiZ3hSZGZ4R2VmZllaWnMyYmhra3N1UVo4K2ZWQmVYbzRUVHp3UnA1NTY2bTdGWWJmYmNmcnBwMlB1M0xuWXRHa1RCZ3dZZ0g3OSttSFNwRWs3N1MzKzczLy9HL2ZjY3cvZWYvOTlHSWJSWWIzOC9QemRpa3ZzVno1QjIvek8wblZmQ0NHNm1mMCtpWmVvb3FLaXllUHhURFZOODArZHVCRFVsWldWZnlzdUxuN2VicmYvb0txcWFvSEg0NW5EekpaUzZpSkVWL1BjajVtWkRrQ0kvVVZlWGg0ZWZmUlJISExJSVRqMDBFUHg2YWVmWXZueTViajc3cnN6R3RlMTExNjdWNDVUV2xxNlY0NGpoQkNpWXc2SEExOSsrU1hzZGpzbVQ1Nk1ZNDQ1WnFmSnNKampqejhleHg5L1BOYXRXNGRQUHZrRTgrZlB4K0RCZy9jb2xxdXV1Z3FMRmkxQ1JVVUY3cmpqRGdCQWRuYjJUb2Z0eGhaeTZ0bXpwd3laUGNoNXZkNm5BVHlkNlRpRUVFS2sybGR6dU8wWGlvdUxCemdjanUvNWZMNkZtWTVGaU81czJFalhpU0M4ZlVpZlBnWFRIcmtmM3o5NlRLWkQydXZtelp1SDAwNDdMZE5oaUwzTTYvTmowaDl2UnYzcWhsWXduMU8zMUQ4djB6RUpJYjQ3dzBhVW5nYWxYajJrVDUrQ1o1NTRGRzZYM05UbzdwWUh2c0dWMS80QnExYjlMNlNoTDF1MXBQcVZUTWNraEJCQ2RCZHlteTFCYlczdFdnQnJNeDJIRUNMekpJRW5oQkJDQ0NHRUVLSTdVYnV1SW9RUVFnZ2hoQkRpWU9CMnUxLzFlRHpzZHJ2dnkzUXNRZ2doa2tsUFBDR0VFRUlJY1VDTFJDS29xVjJNVURpYzZWREVMdFN2YmxzZFhnZ2hoQkNwSklrbmhCQkNDQ0VPYU0xYnQrS3hKNTZTQlJ2MkE1WmxvYW01T2ROaEhOU0k2QzVtZnRxeXJQOWxPaFloaEJESjVFcEdDTEhiSXBFSWFoY3Z6WFFZUW5UYThzQTNDSVdrSjQ0UUJ3dkxSTDFoNTNVYXdKYW1wa3lISTdxQWdCWkV1QzdUY1J5TUtpc3JGd05Zbk9rNGhCQkNwSklrbmhCaXR6VnYzWW9ubnZvYjdIWjdwa01Sb2xOTTAwVHoxcTJaRGtNSXNZOTgrNDIvZHNqSWt2TnNiUFRKZEN5aWE3UVphVnIxVFcxMXB1TVFRZ2dodWhOSjRna2h1aXpNZW8wRHRFNERhSlFoTDN1ZlpoQVJBUXhtTUJSbE9xSUREaEUxbXhHdXozUWNRb2p2bks1ZlVpMkpJQ0c2d08xMm44RE1oMm10cS8xK2YyV200eEZDQ0xHREpQR0VFRjNXc05TL1hIbzJmSGV5SEJqdVZIUWxLYkszbXZvdnJSRXN5M1JNQnh3ZDJmTHRONHRxTXgyR0VFSUkwUTM5VmlsMUFSSGREMENTZUVJSTBZMUlFazhJc1R1a1o4TjN5TzEyTXhFTlp1YXNiSnRhdXFUYSswbW1ZeEpDQ0NIRVFTTUE0RXRtL2piVGdRZ2hoRWdtU1R3aGhCQkNDQ0dFRURIVHROWi90eXhMVm9NUlFvaHVScEo0UWdnaGhCQkNDQ0VBQUY2dmR3T0FEWm1PUXdnaFJDcVY2UUNFRUVJSUlZUVFRZ2doaEJBN0p6M3hoQkJDQ0NHRUVFSUFBTnh1OSswQWZzak1yL2g4dm1jekhZOFFRb2dkcENlZUVFSUlJWVFRUW9pWVlpSTZrWWdPejNRZ1FnZ2hra2xQUENHRUVFSUlJWVFRTVo4QWFBVlFrZWxBaEJCQ0pKTWtuaEJDQ0NHRUVFSUlBSURYNjMwYXdOT1pqa01JSVVRcUdVNHJoQkJDQ0NHRUVFSUlJVVEzSnozeGhCQkNDQ0dFRUVJQUFOeHU5MUFBQmEydHJlc1hMMTY4SnRQeENDR0UyRUY2NGdraGhCQkNDQ0dFaUxrQndPenM3T3lMTWgySUVFS0laSkxFRTBJSUlZUVFRZ2dSVTBCRUE1aTVSNllERVVJSWtVeUcwd29oaEJCQ0NDR0VpSm1tdFg2TGlKWmxPaEFoaEJESkpJa25oQkJDQ0NHRUVBSUE0UFY2dndid2RhYmpFRUlJa1VxRzB3b2hoQkJDQ0NHRUVFSUkwYzFKVHp3aGhCQkNDQ0dFRUFBQXQ5dDlBak1mcHJXdTl2djlsWm1PUndnaHhBN1NFMDhJSVlRUVFnZ2hSTXh2bFZMUEc0WnhYcVlERVVJSWtVeVNlRUlJSVlRUVFnZ2hZb0xNM01qTXJaa09SQWdoUkRJWlRpdUVFRUlJSVlRUUFnRGc5WHAvRGVEWG1ZNURDQ0ZFS3VtSko0UVFRZ2doaEJCQ0NDRkVOeWRKUENHRUVFSUlJWVFRQUlEeThuSjdZV0doRXpKcVN3Z2h1aDFKNGdraGhCQkNDQ0dFQUFCb3JTZmw1K2UvVmxaV05qSFRzUWdoaEVnbWQxZUVFRUlJSVlRUVFzU01BWEMyVW1wSnBnTVJRZ2lSVEpKNFFnZ2hoQkJDQ0NGaVhtWG1LZ0FMTWgySUVFS0laSkxFRTBJSUlZUVFRZ2dCQVBCNnZlOENlRGZUY1FnaGhFZ2xjK0lKSVlRUVFnZ2hoQkJDQ05ITlNVODhJWVFRUWdnaGhCQUFnUEx5OGh3QTlrMmJOb1hxNnVwYU14MlBFRUtJSGFRbm5oQkNDQ0dFRUVJSUFJRFcrdS9NM05pclY2ODdNeDJMRUVLSVpKTEVFMElJSVlRUVFnZ2hoQkNpbTVQaHRFSUlJWVFRUWdnaEFBQmVyM2NpZ0ltWmprTUlJVVFxNllrbmhCQkNDQ0dFRUVJSUlVUTNKMGs4SVlRUVFnZ2hoQkJDQ0NHNk9SbE9LNFFRUWdnaGhCQUNBT0IydXljUTBXalRORC8zKy8wZlpUb2VJWVFRTzBnU1R3Z2hNc2p0ZHA5RlJPK2syMFpFQVBDeHgrTkpLbWZtODd4ZTd4djdJRHdoaEJCQ0hIeCtCdUFDd3pEdUJ5QkpQQ0dFNkVZa2lTZUVFQmxrV2RaSE5wdHRMWUFCbmFuUHpPdERvZEM4N3pnc0lZUVFRaHk4RmpBekFQZ3pIWWdRUW9oa2xPa0FoQkRpWU9kMnV4OG1vaHVZT2RiN0xrWEN0cjlVVmxaZXUwOERGRUlJSVlRUVFnaVJjYkt3aFJCQ1pKaHBtcTh5YzVpSUVMM3puU1NXd0dQbXNHVlpiMllnUkNHRUVFSUlJWVFRR1NaSlBDR0V5TEJJSkZJSG9Mb1RWYXVaZWZsM0hZOFFRZ2doaEJCQ2lPNUhrbmhDQ0pGaHVibTV6VVQwNWE3cUVkR1h3V0J3dzc2SVNRZ2hoQkFISjdmYi9hckg0MkczMjMxZnBtTVJRZ2lSVEpKNFFnaVJZUlVWRlJITHN2ek1IQVNRTktRMjRmK3RXdXV2QTRGQUtBTWhDaUdFRUVJSUlZVElNRm1kVmdnaHVnR3Q5UUtsMUFZQVE5TnRaK2F0bG1WVjdPT3doQkJDQ0hId2VVUnIvUm9SeVJRZVFnalJ6Y2pxdEVJSTBUMlEyKzMrRjRBZnAyeG9XOVJpZ2Rmci9RR0ExSlV2aEJCQ0NDR0VFRUljOEdRNHJSQkNkQStzdFo1SjFPRzlsUmNoQ1R3aGhCQkNDQ0dFT0doSlR6d2hoT2dtQ2dzTDgzdjA2RkVIb0Zlc0xOb0xyN0dwcVduWWloVXJtaklZbmhCQ0NDRU9BbTYzKzFnaU9qUWNEaSt1cWFueFp6b2VJWVFRTzBoUFBDR0U2Q1lDZ1VBemdIK2s2WTMzbmlUd2hCQkNDTEdQVEFMd210MXVuNWpwUUlRUVFpU1RKSjRRUW5RanpQd01NMGNTSGtjc3kzbytrekVKSVlRUTRxRFNBR0FKZ0EyWkRrUUlJVVF5U2VJSklVUTNZcHBtQU1BcUlrSzBSMTVBS2JVa3cyRUpJWVFRNHVEeFNDUVNPUWR0OC9FS0lZVG9SbXlaRGtBSUljUU9temR2M3RxL2YvK3ZBUlJHaTZxYW01dTNaREltSWJxN0lVT0daUGZ1M2J1UDMrK3Y3OHArbzBlUDdxKzFwdHJhMnJYZlZXeENDTEcvOFhxOURXanJqU2VFRUtLYmtaNTRRZ2pSalRRME5BUUJ6R2ZtRUlBSWdQa3lINTRRTzlldlg3OS9HSWJ4WG5sNWVVNVg5clBiN2JjNW5jN1ZvMGVQL3Q1M0Zac1FRZ2doaEJCN2kvVEVFMEtJN21jQkVhMEhrQU5nUWFhREVhSzdZK2FiaUdpKzF2b21BSGQyWnAvQ3drSW5nRjhBcUxiWmJJYkw1UnJXMmZNWmh0RlNVVkd4Y1RmREZVS0liczN0ZHQ5QVJHT1orUzJ2MXl0RGFvVVFvaHVSSko0UVFuUXpYcS8zYTQvSHN3cEFUNi9YKzNXbTR4R2lPL0I0UEY4Q09HWm5kWWpvRG8vSGMwZEgyeXNySyswQVRBREl5OHY3TlJIMUJ0Q2JpRloySlJhdDlRd0FsM1JsSHlHRTJJK01BWEEyMmhhM0VFSUkwWTFJRWs4SXNWc0dIbFkwMU9sMEhwYnBPQTVVWWRPcUJNTTViS1RyeEV6SGNpQmkxcXRXTGZWM0tYRWp1b1hQQWR6VHZsQnJiU2lsckhiRlBRRzBINHB1QVVCeGNiRkRLWFVUTXk4am9sOTFOUWlsbEt6WUtJUTRrSDBOSUF0QWJhWURFVUlJa1l3eUhZQVFZdjh6YkpockdMSjVKb0JETXgzTGdZdUptSWdKT3RPUkhJaUlzU0VTTWMrdC8yWlJJTk94aU03eGVEeGZNbk85MSt2OW1jdmxPa1VwZFFvUi9ibWlvaUxvZHJ1L0JmQzgxK3U5SFFCY0x0ZlpTcWtYQU54UldWbjVCS0xKdXhpMzIzMDdFZDBGNE16S3lzcC83UHRuSTRRUVFnZ2hSTmRKVHp3aFJOZGxZUmhBd3hWUlFYWldGZ3lia2VtSWhPZ1V5OUxZdm4wN05Pc0NtODBvQkNCSnZQMFFFVjNQekgwckt5dHZIRGx5WkI4aUdnTGcyOWgyd3pEbVdwWTFUU24xc052dC9ybFNhbHhGUlVVRUFGd3UxNUZFZEN1QTk3WFdMUjZQaDd0eWJ0TTBTL3grZjgzZWZVWkNDQ0dFRUVMc21pVHhoQkM3TGI5SEQxejMyeXRSWERRaTA2RUkwU25MQTkvZ2lhZWV4WWFOc2liQi9pcTZrdXlwUkRTcHVMaDRRRlpXMXJFQXdNeHJpNHVMQndEQTl1M2JBZUJKcDlQcEk2SUIyN2R2N3pOeTVNaUlhWm90U3FtWnpHeFpsalVwSEE1dnpNbkpPYk1yNXcrRlFxdjIrcE1TM3ltWi9tSC9aSWF4dW42RmIzbW00emdZdWQzdVFaWmw5VEFNWTdQWDY1WHBBNFFRb2h1UkpKNFFZcmZaN1hZVUY0M0E5NDhlaytsUWhPZ1VwOE1CcDlPUjZUREVIbkE0SENjRFVBQ2V6TXJLZWpKV1RrVHZaR1ZscGQwbkt5dnJDV2F1WXVhSEFMZ0JUUFQ3L1V1am0yVTQ3UUZzeUJHakNtME8yOHNBeS9RUCt4bWJrellQTzlMMXk3cmxQbCttWXprSTNXQ3oyWDdDek04Q2VEVFR3UWdoaE5oQmtuaENDQ0dFMkY4d0VjM1JXaCtWVVBZQ0VUVXg4M1c3MkRkSVJCdTAxbzhwcFE1M3U5MHRYVDI1YVpxbDFkWFZLN3E2bjhpY3RtSHowZWtmc3JOaEdDclRJWWxkMEZvakdOd08xcnFYTm5ReEFFbmk3WHVEQUl3RWNFaW1BeEZDQ0pGTWtuaENDQ0dFMkIva0F0aFdVVkd4RWNCR0FDZ3RMUjFpR01aSVpyNlRtVHVjMzlEbjh6VUJpTTE5ZDczTDVYSUJhT2pzaVlsb0xCSDkybTYzU3dab1A1WGZvd2V1bjNRMWppdzhJdE9oaUYyb1g5MkFSNlkraVhYcjFtYzZsSVBaTkdaK0p4S0p5T3EwUWdqUnpVZ1NUd2doaEJEZEhqUG5BV2hPTERNTTQzd2lJZ0IzUlZlYlRjdmxjdlh5K1h5TnNjYytuOCtITHZUdThYZzhKb0JmbTZZcHEvanNwK3gyTzBZWEY4SHRLczEwS0dJWGxnZStRVWRENDhXKzRmVjZGd0JZa09rNGhCQkNwSklrbmhCQ0NDRzZQU0xxeGN4TnNjZmw1ZVYycmZWMUFOWUM2QXZnSEsxMWZVSjlHNEJaQU5iNmZMN21sQU4yQVRPM0VoRU13NURNZ2hCQ0NDR0V5QmhKNGdraGhCQ2lXeXN2THgvSXpEMEJ4RmVxWk9iTGlHZ29NNTlJUkhjejh6VStuMjk4Ykx2YjdaNENZSkJTNmljQTlCNkcwQWdBV3V2ZUFEQnk1TWcrUzVZczJiU0h4eFJDaUc3SjdYYVBZZWJCUkxUYzYvWEtrRm9oaE9oR1pHNlhyaUczMnozRzdYWVB5blFnUW9qdXFicTZHdlgxOWJ1dTJBVjFkWFdZT1hNbUxNdmFLOGVMUkNLN3JOUGEyb3FISDM0WXk1Y3YzMlZkSWI1cld1dFJBR0JaVmczUWxrUURjQ2N6Zit6MWVqOEJjQTBSalhPNzNVK2c3YnY2T2dDM0V0R2tpb3FLSlh2aC9QOERBS1hVOXdBZ0p5Zm5BN2ZiZmYrZUhsY0lJYnFwRzVSU3N3RmNsT2xBaEJCQ0pEdWdlK0s1M2U0eEFJYnRyTTcyN2R2LzA5bTc2Y09HRFhNUzBVSUFrd0g4ZVMrRStKMHBMQ3pNYjIxdGpkVFgxMi9QZEN4Q1pJSnBtbGkyYkZuOHNkUHB4T0dISDQ3Rml4Y24xU3NzTEFRenQ5ODlpZDF1aDFLZHUrZHg1WlZYNHVTVFQ4YVVLVlB3MTcvK0ZkOTg4dzBtVDU2TXZMeThyaitKS0wvZmp3Y2ZmQkJubjMwMkRHUFBwdVQ2NElNUGNQLzk5K1BsbDEvR2dBRURPcXdYaVVUdzZxdXZvcnk4SEVjZWVlUWVuVk9JdmVBMFp0NFdEQVlYQVVCMmR2YlRBUHBxclU4QmdNcktTci9iN1o1QVJPKzQzZTZqQVJ4RlJOZFZWbGIrYlcrYzNHYXpyV1RtSUJHNUFiekF6UDBBaFBmR3NjV0JyYm01R2ZuNStVbGxTNWN1eGFCQmc5Q2pSNDh1SGV2YmI3OUYzNzU5a1oyZHZUZERGRUlJSWNSKzVJQk80Z0c0bG9qT1p1YTY5aHVJeUFBdzJ1bDBIZy9nY3lDK3lsMkh2MnFaMlJIOTc2Qm9nckFqRWEvWFc3VW5nZStPd3NKQ3A5UHBIT2x3T0U0QThLUGMzTnlINit2clA5L1hjUWpSSGJTMHRPQ2lpeTVDWGw0ZVROTkUvLzc5OGVxcnIrS2lpeTVDYm00dWlBZ3RMUzJZTW1VS2JyLzk5cDBlNjRrbm5zQnh4eDNYcWZNNkhBNllwZ2tBS0NrcHdVc3Z2WVJmL2VwWG1EcDFLb1lNR1FJQXFLbXBRWE56NmhSZE9UazVhRnMwczJ2V3JsMmJ0bmNkRWNYUEdUTm16QmlFUWlGTW5Ub1Y5OTEzWDVmUGRlT05OK0tMTDc1SXUrMnV1KzdDajM3MG95NGZVNGhkVUFET0phSi9CQUtCa052dHZvbUlmc2JNdDFSVlZTMksxaUVpeWdhd2xvaU9adVl0V3V0UVlXR2hNeEFJaFBZMGdJcUtpb2piN2Y2Q2lFNGJNbVRJclFBR01mUFNQVDJ1U0ZaYVducU1ZUml0U3FuYWlvcUtYWGNaN3VaYVdsb3dZY0lFbkgvKytiajg4c3NCQU9Gd0dKTW1UY0tSUng2Sko1NTRBbTNyc25UT0gvLzRSNFJDSWN5ZVBYdTNZMXE3ZGkzV3JGbXoyL3VYbEpUQVpqdlFmejRJcjljN0VjREVUTWNoaEJBaTFYNy9MZXgydTE4QmNHNUMwWXRlci9lSzJBTm0vdERyOWY2cy9YNHVsNnRBS2JVbHNjd3dqTjhUMFEwZG5TdmhRdXNLSXJxaW8zb0FOcUZ0a3UxOVl2anc0WDJ6czdOL1poakdOY3c4aklpY0FPeEU5SC83S2dZaHVxTUJBd1pnN3R5NStPcXJyL0RBQXcvRXk5OTY2eTBVRkJUZ21HT093YWhSby9EODg4L0h0MTErK2VVNDk5eHo4Wk9mL0NSZWR0aGhoM1g2bkE2SEl6N3M5ZmpqajhkZi92SVgvUDczdjhjbm4zeUNYLzd5bHdDQXFWT25vckt5TW1YZnd3OC9IUGZlZXk5cWFtcVN5djErUHdCZ3pwdzVTVDN4SEE0SFRqLzlkRngzM1hWWXNXSkZ5dkhzZGp1ZWZmWloxTlltVDJkVFdGZ0lyVFZtenB5WlZIN1NTU2VocC9TOGpnQUFJQUJKUkVGVVg3OStPMzErb1ZBSXVibTUrUG5QZng0djI3eDVNMmJPbkJsUFhncXhON2xjcm91STZEQm0vcjNINDdrS3dQM00vSWJYNjMyZ3JLeHN1R0VZUDJIbUs1aTVDTUNyQUo0RThFZWwxTFA1K2ZsM2VUeWVsd0Y4WkpybVozNi9mOXZ1eHFHMW5tNFl4c3grL2ZyOURRQ1pwaWtyTis1bGhtSDhpb2hPMTFvdmQ3bGNNeTNMZXFPNnVuckxydmZzbnY3eWw3OGdFb25nN0xQUGpwYzVIQTdjZE5OTnVQMzIyeEVJQkRyZDA3bTJ0aGFCUUFEbm5uc3VHaG9hdWhSSFFVRUJjbkp5QUFCdnZ2a21Ybnp4UmZUcDB5ZStmZlBtemJEYjdVazlBOWV1WFl0ZXZYckI2WFFDYU92ZHZuSGpScnozM252bzIzZWZYZUlLSVlRUW9wMzlQb2tId0FGZ2psTHFkbWFleXN6MnhJMUUxQ3RkcnpsbVRobmJacHJtUFlaaFBOblJpYlRXVHB2TnRnVEFWSzMxNHgzVk0wMXo3MHhjbFI2VmxaVU5ZdWIraG1FY0RXQWlFUjBOSUFzQWNuTnpFUXdHdjhQVEMzRmd5YzNOeGRDaFF3RzAvV2d4VFJQSEhuc3NTa3BLNG5XcXFxcXdjT0hDVGgwdkhBNWp4WW9WbUQ1OWVyeHMvUGp4Mkw1OU82WlBuNDR6empnRDk5eHpEMEtoRUQ3OTlGTTgrdWlqbURGakJucjI3QW03M1k3MzMzOGZVNmRPUlZiV2prVXdZMG5CeHg1N0xGNW1taWI2OXUyTDAwOC9IWGZjY1FlQ3dTQzJiTm1DUC8zcFQ3ajQ0b3Z4L2U5L0gwb3BmUG5sbDBsSnlwamx5NWZqODgrVE8rb1dGaGJDNi9VQ2FKc1REd0I4UGgvQzRUQ0lDS2VlZWlvQW9IZnYzdkZlSlFBUUNBUlNFb0pDN0MxRU5CYkFWMTZ2ZDA1WldkbFJTcWxYUXFIUXBSNlA1elVBUHdld25ZamVCWEJ4WldWbFJYUzNDUjZQcHh6QTd3RmNBK0NQaG1IOEU4RHB1eHRIVlZYVjYyNjMrd3dpbXNETUQxUlhWNmRtenNVZWlmYW1QSlNJRGlXaUh5bWwvdVp5dVY1aTVwY3N5L0lwcFZyOGZuOFF3TTduUU9nR0ZpeFlnRm16WmtFcGhaLys5S2NwMjAzVHhDV1hYSkoyM3lPUFBETGxjM3ZHakJrQTJtNUN2ZlhXVzEySzVjNDc3OFJaWjUwVmYxeGNYSXpubm5zdS92amFhNi9GOE9IRE1XblNwSGpaRDM3d0E5eDU1NTA0L3ZqakFiUU5BZjdGTDM3UnBmTUtJWVFRWXU4N0VKSjRBTkJVVVZHeHhPMTJiMDJ6YlJ5QWo5c1hwaHUrRUwzYjIrRWQzMkhEaG1YMTd0MGJBQnA5UGwvS0VOM3ZVbEZSMGNDc3JLeWptUGtIMGFSZEVSSDFCd0NiellhaFE0ZkM0L0dndExSMGwwTURoVGhZYk4yNkZkT21UVXNaT3ZUM3YvODlLVWxXV1ZtSmJkdTJ4UmR4MkxCaEF6Nzc3RE1BUU4rK2ZWRmRYWTMvKzcvT2RXd05oVUxZdG0xYmgvV1BQdnBvbEphV0FnQysrZVlibEphV1l2VG8wVWwxc3JLeWtvYXN2dnZ1dTVnOGVUTCsvZTkveDN0RjNIdnZ2ZkVlZHJHRTQ3dnZ2Z3NBbURCaFFud1k3VkZISFlVcnJyZ0N2Ly85NzlHclZ5L2NlZWVkOGVQVzF0YmkybXV2eGVPUFA0N1MwbEtFdzJHY2ROSkpBQkNmSnpEMkk5Um1zOFdUZUVMc1MwcXAzNW1tZVJnQXJxcXEraStBWHdLQXgrUDVFelBQRFFhRGJ5OWR1alRsK3orYTBMdW91TGo0dHc2SDQyVERNTDdhdzFEWTYvVmVET0RpUFR5TzJJVmV2WHFob0tBQWRYVjFVRXBkQ09CQ3BkUXlBRFVlaitjcnJmWG40WERZWDF0YjI1THBXTk9wcjYvSGJiZmRCZ0I0NXBsbllMY24zVi9HWTQ4OWhyeThQRnh4UmZwQkhZbmZUd0N3WXNVS2ZQVFJSemoxMUZOM0s1SFdmbHFGbHBZV2ZQWFZqcmREWTJNajFxeFprMVNtdGNheVpjdmdjRGppejBrY1BLS0xBeDBINEYydjEvdHFwdU1SUWdpeHc0R1N4RXVMaUJZeWM3WFg2MzJrL2JieTh2SWNyZlVMTnB0dFkvdHRicmU3aFloeWQzTG9PejBlejUzcE5taXRML1g1ZktuZFhuYkRvRUdEY3ZyMTYzY0tFWjBGNE1kRWxBZWdCeEVwQU1qUHo4ZjQ4ZU54K3VtblkrREFnY2pOellYRDRaQWtuaEJSV21zME5qYWlwU1g1ZDE1emMzTzhweGtBM0hmZmZmamYvLzRIbTgyR3JLd3NQUHJvb3dEYWVrcWNjTUlKZU9paGgzRGhoUmQyNnB5WFhYWVp0TlpwZTcrMWorMkxMNzdBeFJmdlhqNWd3NFlOS0Nnb1NDcDc3NzMzTUdUSWtKUWZiSnMyYmNJWFgzeUJXMis5TmFuOHd3OC9SQ1FTUVhGeE1ZQzJZVjZ4NU9HOGVmUHdwei85Q2ZmZWUyODhzU2RFSmxSVVZBUUJMR3BmWGxsWkdRQVEyTlgrMFVUUDdrOGlKdmE1b3FJaTNIenp6VmkxYWhYKytjOS80dE5QUDhXMmJkdUdBeGpPekdjUTBVYW4wMWxmVmxZMkp4S0p2RkJiVy91L1RNY2NzMm5USmt5YU5BbU5qWTBBMm9heXRrL2kyZTEyT0J5T2xNOXdJUDFjcGc4KytDQ3lzckp3d3cwMzdKV2hyUFgxOVVsVFRBQnRQZTN1dnZ0dUtLVmdHQVlHRGh5SXVYUG5ZdTdjdVFEYWVwbUxnOHB4UkhSQmRGNXhTZUlKSVVRM2NzQW04ZHh1OTFKbUhoejkvMlFpV2xkWldYbUV4K081a1pudjBGb0RBTFRXcDNrOG5yc3FLeXNmak8xTFJCZG9yWGVyYlF6RFNKM29xcE1HRFJxVTA3ZHYzLzVFTklxSWZraEVGeERSUUFCUVNpRS9QeDhGQlFVb0tTbkJHV2VjZ1RGamRyYTJCb0Myb2NaeHhjWEZqdHJhV3JrS0V3ZUZ2THc4VEo4K0hTTkhqa1JMU3dzYUdocmdjRGp3L1BQUG82aW9DRGFiRGVlZWUyNzhSOVFWVjF5Uk5FUVVBQjU0NEFGczNKaVM1OStwSGoxNmRLckh3dGRmZjQyTkd6ZmkyR09QalErQmovV3k2NHdwVTZZZzlqa0dBSFYxZGZqeXl5OXg5ZFZYcDlTZE5Xc1d0TmJZdG0zSGRHRGhjQmp2dlBNT0RqdnNzTFNUbE1kNklnb2h4TDdtY0Rnd2VQQmdEQjQ4R01jZGR4eGFXMXV4WU1FQy9QT2YvNFRQNTNNRWc4RkJyYTJ0Z3d6RE9Ob3dqQ2t1bCt0ekluclpzcXozZ3NIZ3BrQWcwQUpBNy9KRWUxbHJheXN1di94eWJOdTJEVmRmZlRYKyt0ZS80cUtMTGtxcEY1dWlZTUdDMUdrVmJUWWJQdm5ray9qamYvN3puMWk0Y0NHdXVlWWF2UG5tbS9qYjN6cS80SExQbmozeDczLy9PNmxzNk5DaE9PKzg4L0NIUC93aHBmNkZGMTZJNHVKaVhIZmRkU25iTm0zYWhMZmZmbnVQVjBnWCs0MDNBU3cxVFZNV3lCTkNpRzdtZ0UzaUFjaGw1ajhEK0ZBcGRSSXozd1MwclRCTFJEVmE2OThBZ0ZMcTZZUlZad0VBcG1uK1J5bDFTRmRQR0E2SFcydHJhOWQyY1RmbGRydVBBVENHaUVvQW5BQ2dFSUFCQVAzNzkwZGhZU0dLaTR0UldscUtFU05HSkUxR3ZETkVkQ2FBMTJPUEhRN0gxUjZQcDZkcG12LzIrLzJmQVcyTFl1VGw1VjJqdFE1R0lwRzNGeTFhRkFDQXNyS3lzVXFwazRpb3ZyVzE5ZlhhMnRxVzR1SmloOVBwUElHWkJ6UHo0dWl3Sm93YU5hcTMzVzcvRVlDY1NDUXlaOUdpUlpzQndPUHhGR210andhd3dlZnovVE1XUjBsSlNibk5ac3NEVU92MWVqY0FRR0ZoWVg2UEhqM2NXdXZ0a1VqRUYwczJqaG8xcXRodXQvY3lUVE5RVTFPekhtM3o0TmpLeXNyNlJ5SVJBOERtMkhDYTR1TGlQQUM5YlRhYjl2djlhd0dZQUdqWXNHSE91cnE2RVBhRE9YVEUzbU96MlZCYlc0dEhIa25waUJzM2V2VG9wTG52QU9EKysrOUhVMVBUYnEzY0NyUU5BMnUvTUVVNjc3enpEZ0RndlBQT2k1Yzk4OHd6QU5wK0NKNTIybW54OGxpdndjUjVsWnhPWi93WUFQRDAwMC9IeTk5Nzd6MEF3Tml4WTdGOSszYTg4c29yS0Nnb3dOU3BVekZzMkRDTUhUc1dyNzMyR2hvYkc5SFkySWdwVTZiZzFsdHZqZjg0MjdadEd6Nyt1RzBXZ3BVclY4THBkSFo2ZGQ3OWhVMUJHUW9sNWVYbEN5b3FLcG9Bb0xTMHRKOWhHRVZFMUxKMjdkckZEUTBOUVFBb0t5c2JwWlRxcTdYZUdGc05kZENnUVRrREJnd29ZdVk4eTdJVysvMys5UUF3Y3VUSVB0bloyYU1Cd092MXhuK0psNWFXampBTVk0QmxXZi96Ky8wclkrVnV0M3NjQUd6ZHV2WEwyQ3FxMFpYU2p6Qk5jM04xZGZWaXRIMld4VmJ1ekFKUTUvVjZWd0Z0aXpRUlVSRXpLd0NMZkQ1Zll6VG13VXFwUXN1eVd2MStmMnlNbksya3BLVElaclAxdGl6ckc3L2ZIOHMyRzI2M2UyeWFtQTh6RE9OUUlscGZXVm01dUgzTTI3ZHZyMW15Wk1tbXhMWmo1bUE0SEY0YysxeU9QZStPMmk0VUNpMk5mVytXbDVmMzFGcTdPbXE3U0NSU1gxTlQ4ODNPMm03RWlCR0Rjbkp5amdUUUdBcUZGc2UrU3p3ZVQzbDBMdHg0MjBXL2QwWXhzNHBFSW90ajMxMnh0bU5tMCtmenhjYTFxN0t5c2lLbFZOOVFLTFF5b2VkWDJyWnp1VnpEaUdob1IyMFhpVVNXMU5UVXJBUGkzOE5GV3V2V2RHMEhvREcyNHYyd1ljT3lldmJzV2FTVXlrOXN1OUxTMGx6RE1NYWtpZU5JSWhyRXpBMCtuMjk1K3pnc3kvbzZ0dGhIck8yMDFzMlJTR1JSck8zY2JuY1pnQUtsVkgxRlJjVTNzYmJMeWNrcHN0bHNqcGFXbHNYTGxpM2JDQUNqUjQvdWI3ZmJSN1pydS9oN2lKbFhKVTVIRW9zak1lWjBzckt5Y05KSkoySGN1SEZZczJZTmFtdHI0ZlY2VVZ0Ymk1cWFHaWlseGdJWWF4aEdjNDhlUGY3cmNybitTMFExMjdkdmY3OTFIMzd6WjJWbDRienp6c01KSjV5QWxTdmIzdWFKMHlERS9PNTN2ME5CUVFFbVQ1NjgwK045KysyM3VPKysrM0RFRVVmZ3dnc3Z4Sm8xYStJOXB6c2ozUTJhTTg0NFk2Zjd2UG5tbTNqenpUYzczTjdZMkxqTHVQY1dab2FkTUtDMHRQU1lVQ2owN2RLbFMyTXJlaGlscGFWakFDRGg4dzJscGFWREFBeTIyV3lib2oxMVkrWEhBSURkYnYrbW9xSmlJd0NVbEpUME1neWpVQ2tWV3J0MmJTRDJlVjlTVW5JNEVSMWlzOW1hWSsvZHdzSkNaMjV1YmlFejV3V0R3UldCUUdBRDBEYXFKeEtKbEtTSjR6QUEvU0tSeU5yRml4ZXZTaE5IZGJTSE1VcExTL3NCT0l5SVdxcXFxcFlCaUVUaktDR2lITU13MXNZK3M0cUxpL01jRGtjaEFIdHpjL095RlN0V05FWGo2QnVKUkk0d0RNUHllcjFmUjA5SFpXVmxSekp6THdDckV6N3Y0M0drYXpzaTJsSlZWYlhNNi9XK0FlQ05ydi9WaEJCQ2ZOY081Q1FlaUtqTzYvWDZvaGZUOFhKbWJ2SDVmRDZnYmVocysvME13emlUaUxyY2RkenBkSDRDNE1RdTdtWUFPQmJBOVFBR0oyN0l6YzNGdUhIak1HSENCQXdiTml6dHhkak9FSkc3M2VPekFZeFRTcGtBUG92RzNCZkFuNGxvbzJFWTFZZ09UVkpLalNXaU93QjhDZUJmQUZwYVcxdXpzN0t5cmdad0NvQy9Bdmh2dE81Z3BkUVVaaDZzbEtvRXNCa0F0TlluRWRFRHpMd1FRRHlKWjdQWkhpQ2lVZEZFNmpzQWtKT1RVMGhFcnltbFZqcWR6cDhDMkFBQURvZGpFb0F6YlRiYnk0TUdEZnB6UTBORHNLeXNyTDlTYW9iVDZleXJ0YjRMd0ZzQVlMZmJUMVZLM1FFZ1dGWldkbDVWVmRYcTR1Sml1OFBodU43dGRwOEg0RDJ2MTNzekVQK2gvWDhBdm1lYTVzWFYxZFhWQUZCV1Z2WmpwZFQ5QUpaNnZkNExZakc3M2U2YjBKWmNuZW4xZWo4RWdOR2pSMy9QYnJmZkFhQ0ppSjZPWFRDNlhLNnppZWgwWnE0Smg4Ti9yNjJ0YlJreVpFaDIzNzU5VDFWS0RkQmFmeFY3L1JVWEZ3OXdPQncvVmtwbFJTS1JXYkZWK0VwTFN6MUtxUkt0OVpkK3YzOXBRaHpGcG1sbWI5dTJMUkM3ZUNzdUxzNHpER09FVXFxMXFxcHFNYUs5RDRxTGl3ZnNSbEw1Z0hMNDRZZnZkQ2pvd0lFRFU4cENvVkRhWVVPMzNISUxQdjMwMDUyZWIrclVxVGpra0VQUTJOaUlTQ1NTTW9RcVpzMmFOZmpnZ3crUWxaV0YxMTU3RGEydHJiamdndmpMRFhhN0hSZGNjQUdlZU9JSm5IWFdXU21yRjg2Wk13ZnIxcTJMUDY2c3JNUUhIM3dBd3pEdzFGTlBnWmtSQ29YdzVwdHZZdHEwYVFpSHc1Z3hZd1ptejU2Tm0yKytHWGZkZFJlZWZmWlpqQmt6QmhkZWVDRnV1ZVVXYk4rK0hWT21USUZoR0pnN2R5NXljM1BSMnRxSzk5NTdEODg4OHd3bVQ1NGNUeXdxcFhiYUR2dURQSWR5Z0hDTDF2cHpBQXNBUUNsMUxCRTl6Y3cxQXdZTStHMURRME1BQUF6RHVBSEFlTU13L2dYZ01nQVlNR0RBSUdhK240aEdLNlVTUDh1T0FoQ2JFREgrQXJQWmJMOEZjTDVTNmtrQTk4VEtpZWkxaFAzcW8zR01KNks3YkRiYmZ3b0xDMzhUQ0FTYW8zRThRVVRmWSthSEFjU3kwOFZFOUJRUk9iWFdsd0dZSHozdVQ0am9Mc013dmdWd05BQVVGaGJtMkd5Mlc0am9wT2huNWJQUjh0eFlISWt4SzZWK1FVVFhNdk5zQUw5TkUvT2xBT1lsdGgwUkJleDIrMjhRSGY0YWU5NGR0WjNkYnY4OWdKa0FvTFV1VGhkSDdCaDJ1LzFaQUhmc3JPMXljbkpPam43dnpIYzZuYjlCOUxza2RyN0V0b3QrN3p4TlJNN29PZjZUMkhaRTFBUmdaTFNON0laaC9CSEFhVmxaV2ZlZ2JRWGNEdHNPd00rSTZJYU8yczR3ak44Qm1BVUFlWGw1WTVqNUthVlVmYnEyWStiNUFDWkU2eDVpR01ZVUFPV0piVWRFd3pxSTQzSWl1cGlaWHdCd1UvczRpT2prMlBsaWJXY1lSb1ZTNnRKWTJ3RzRnNGlPMDFyL0RjQ2RzYll6RE9NSlpqNGtMeS92dDdIWGdXRVk0NGhvYW1MYlJjdi9DT0EwWm40RXdNUHQ0MmdYYzRlVVV2RWVldVBHalVOall5TWFHaHF3WU1FQ2ZQamhoMWkxYWxVK001OE00SWRFdERVN08zdVZNbmxGTU1MN3JQdFliTTY2V0JMdmh6LzhZVXFkV0UrOER6LzhNR1ZiWWsrODU1OS9Ia1NFaHg1NkNBNkhBME9IRG8wdnhMUW5JcEZJMHBRU01aWmxZY0tFQ1dsNzRnRnQxNlg3OHZPZkFPUTRiYWNiQ3RmbDVPUThDT0FwQUJneFlrU09ZUml4MTA1OCtYaWwxTStJNkhmTVBBZEFmSldPV0YydDlSL1Ixc01NU3FtamxGTFRtTG0rZi8vK2t4b2FHbW9Cd0c2My81YVpmOGJNWHdLWUNBQTVPVG1IR0lZeGhabmRQWHIwK0grSUpyZVllV2dIY2Z5YWlINXBHTVp6QUthMGo0T1pmd0pnY2JUdUtVUjBOeEY1M1c3M1ZiR2IyemFiN1g0QXhRRGl4N0RiN1VjcXBhWUJPS1JuejU1WEFmZ2srcnpHR1lieE1CRTFBeWdEZ01MQ1FvZGhHRGN3ODZuTVBCWEE0KzNqU05kMlJQUStnS3M2K1NjU1FnaVJBUWQ2RXU5RnQ5djlQQkVaek55VVVINWlMSGxIUkZuTW5MTHdSZFJaUkJTL2N4M3RzVmZGelBjcHBWNUlyS2kxZmk1bDc4NkplTDNlUndjTkd2UjAzNzU5ejdMWmJCY3k4eGdpNnJGdDI3YWNXYk5tNFkwMzNzRDN2Lzk5bkhQT09TZ3BLVUZlWGg2Y1RtZmFDNmxJSkJMN3I2bTE5aVZ1WStabEFJWW10Z1V6UjVpNWpvZzJHNGF4UGFGNkU0QTZBR3ZDNGJBRkFFb3BadVpXSW1vQkVJcFZWRXBwQUVFaWFvbitQeDRPRWJVd2MrSnhBY0RCekZuTU95NnF0ZGFLbWJNQU9DM0xTbHgxeEU1RXVjemNzMi9mdnRUUTBJQndPR3pMeXNvYUVGM1lJM0h1d2x3aUdzek1MZUZ3MkFZQTRYQ1luRTduQUNKeU1YTThHYWFVc3FOdGNaRENkdk1mRmtUckpnWE16R2NvcGNacXJXc0FmQWdBTnB1dER4RmREbUN0WlZtenNXTnVwakhSOG5tbWFiNE1vQ1UvUDcrblV1cVBBTVlTMFMwQWZBQmd0OXNMaWVoaEFIMko2QXRFRjFaUlNvMVhTdDFOUkVtSllTS2FhYmZiUitmbjU1OEJZRzcwR0M3RE1ENWo1aVhGeGNWSHhYcHhPQnlPNlI2UDUzUm1mdExyOWY0QmdEbHExS2hDaDhQaFJWdlBuaXVpZDFwUlZsWjJyV0VZRHpIekVzdXl6dlQ3L2ZYUnhPTnRSUFJEWm43WDUvUGRCMFR2MWhMZnhWQTl0R1dpTzNPNVhIQzVYRjNlTDkzQ042ZWNjZ3FHRHg4ZWYvelVVMCtocUtnSUo1NjRJMjhmKzNFSkFLdFhyOGF3WWNQU0huLzY5T213TEF0MnV4M2YrOTcza2xhVU5rMFR1Ym01dU9TU1N6QnIxaXdNSERnd2FTSnpac2FNR1ROd3pESEhBR2hidkNNMkQrYjQ4ZU14ZWZKazFOYlc0cUtMTHNLaVJZdnd4UmRmNE1ZYmI4VGhoeCtPUC96aER4ZzhlREFXTGx5SW5Kd2NUSmt5QmYzNjljT3p6ejZMMy8zdWQvanFxNjl3OU5GSFk4YU1HZmp4ajMrTVYxNTVCYi81elcvdzhjY2Y0L2JiYjBkUlVSRWlrUWh5YzNjMlplaCtoTm5PUVB5RFZDbGxNSE5XTkNHVytDSndSTXZqdmJhMTFxU1Vjakp6bGxJcTZiT01pSkpucFc5amozN0dKWDN2UnN1UWVENGlza1hMSGUzS25lMlBFZTJCNTR4K3BxcUV1dkhua2hoenduTkpHMGM3OFRqUzFVMDhYNnp0b2pFbmZqblpkOVoyUkdRa0hGY2h1dEo2TzUxdU82MjFvWlRLSWlLSGFabzdiVHZETU9KdHB4SytVR050aDRUdnVjUTRtSG1YYlpmNE4weFh0OTFyeGxCS1pURnpwOXFPbVowQTJyY2RkZkEzakxWZDBoMkZoTDloU3R1aDNmY3dFVG5hSDhNd0RCVjliV1ZwcmVOeEpMd08wclpkSjE5M25hS1VndFBwUkY1ZVhpeW05bFhzQUhxQU9admI4a0VaOGZ6eno2ZmMwTG4zM252Um8wZVBEcE5sTVdQSGpzVnh4eDJIaHg1NktMNXllR2YxNjljUGI3LzlkdHB0Ly9yWHZ6QjU4dVI0MnlWcWFHaUk5K2FPc1N3TDI3ZHZ4NXc1Y3pCbzBLQXV4YkhIaUowQUZVUmY5N0Y0Q0VES2hJTFJ6OTRDSkY4YklxR3VJNkd1SFVCUEFFMm1hU2ErZUhMUWRpMFlieHpUTkpWaEdEMEFGQ1NPM2pGTjB6QU1JM1ZpdytneEFHU25peVB4Zk5FUlFnWE0zS1BkKzY0SE15Y2RJL3E1a1IrTk8vRzk1SWpHMXY1MW5odDlMdTNmWjd0c3UvTHk4cjVhNjF4bWJvcjE4QlpDQ05FOUhNaEp2QUNBS2N6OGxkWjZ1RkxxRkkvSGMydjBDKzR4Wm40NVd1OVBBTkpPZW1XYTVrcS8zNzhrOWppMk9pMFJyYStvcUZpU1dOZnRkZ2V4QiszWjBOQVFiR2hvZUEzQTYyNjNlNFJsV1dPSjZIaWxsRXRyUFhyKy9QbVlQMzgrQmd3WWdLT1BQaHFqUjQ5R2VYazVoZ3daa3RSRGI5V3FlSy85amN6OFRPSTVmRDdmbGUzUEd4MmFkRmo3Y3EvWCt4U2lkenhqQW9GQVMxRlIwUTFLcWR4SUpCTC9RbzlFSXN1SjZOeElKR0pqNXZqazBzM056Yk95czdQL1l4aEcwdTFlWnI1WktaVWZpVVRpU2NaZ01MaThvS0Jnb21tYTIwelRqQjg3SEE1UGN6cWRzNG1vMmUvM2h3RkFhNzFaYTMwL2dCeXQ5Y0pZM2VqLy93UWdvclhlSEkzWjlIZzhId0N3QU1TdmdDM0wya1pFendQb0c0bEVFcGN1WFFiZ2NXWmVuUmd6RVgzTXpHdVJQSWw2SXpPL0FhQlJhNzB4b1c0Tk03L0J6RDRpQ2tYTHdzeThpSWhzV3V2NHNTM0xhbFpLZlkyMmk2OWd3ckZYTS9QWDJORVRJdFoyNndBVWFLM2piVXBFSVdhdUI3QXVPenRiSjVaakQrVG41eHRFTkp5SXZvK0VTZVV0eThweU9CeEhFcEVCN3I0amxKOTk5dGxkTGk0QkFELy8rYytUSHB1bW1iWUhYZnZlRk04ODh3eUdEeCtPU3krOU5LbjhzTVBhM2s0clY2NU1tOFJidVhJbDNubm5IUngvL1BGWXVIQmh5dmFXbHBiNEQ2c3hZOGJnNDQ4L3hwVlg3bmpyZnZycHA5aTRjU05PT2VVVUFHMUpQQUFvTEN4TU9kYW9VYU13ZS9ic2VJOURJc0w1NTUrUGUrNjVCemZmZkRQNjllc0hvRzBTK2JsejU4SnV0K09WVjE3QmhnMGJjUGJaWitPVlYxNEJBTnh4eHgwNDlkUlRNWFRvVURRMU5hWHR3YmkvYVFucnNFRjZTcmJkaUwrMlRkUDhYQ2wxRG9DVzlldlhyMDRvdjE4cE5kMnlyUGo3ZlAzNjlhdjc5KzkvUGJjTnA2Mk5sUWVEd2YvbTVPU2MwLzU4a1Vqa0NjTXdYcmNzSzJrQ2ZtWStCd0JhV2xyaTczWExzdVlvcFJhYnBybDV4WW9WOFlrTVRkTzhLcHBraVE5SHBMYnBJUzVqWmtWRU5RbkgrSWRTYW9sbFdmSFBpaFVyVm13YlBYcjBYVGFiN1VtdGRmeXpMQkFJQkYwdVYwck1sbVc5YUJqR0owUzBQbDNNd1dBd2ZyNVkyekZ6MExLcytIRGhoT2VkdHUzQzRYRGlkK21pMkxIVHRWMGtFa21hYkRKZDI3VzJ0cjZYbloxOURqTTNKbjZYTVBQMUhCMU9HeXZidW5YcnNyeTh2TXVZV1ptbUdmOGJ4dHFPbWVOM0tRS0JRS1MwdFBSK3BkVDBjRGk4WWxkdHg4eXZBZml5bzdaTGZON0JZUENyM056Yzg3WFdyZW5hanBrYkUrcXV0OWxzTnltbDhoT1BZWnBtWGZTMTJ6Nk9wd0c4eTh3TjdjclBpZTNYdnUyMDFzMkpiYWUxdmgzUjRiU0piWmVUazNPVllSaU9ZREFZYjd0UUtQUWZoOE54VG1MYlJjOXp2MUpxT2hMYVB6R096dEpheDRmVCtueSsrSERhMlB5Z3pOd000TC9NL0Y5bVh0VGEydnBlS3p1T0lxV082Y3A1OXFhdFc3ZW1mS2VZcG9sSUpCTC8vRzV2eVpJbEdEbHlaTHduZVhaMmRwZFdCNTg5ZXpZYUdocDJXa2NwbFRUMzNzNTR2ZDZVT1dQM0JRWVFESnR6ODdNY2QxdVdGYjhSR3dnRWdoNlBaMkw3K3VGdytBMm4wK2xqNXFRbDZZbG9JZ0JZbGxVZEs0dGVNMTdNek52RDRYRDhkUm1KUko2MjIrMXpMTXZhSEN0cmJtN2UwTHQzNzl0dE5sdUIxanArakZBb3RDbzNOemNsRGlLYVRrVHZSeUtSdW5ibEUyUDd4Y29zeS9yUU1JeUpwbWsydG52ZnhhNlY0OGRvYW1wYTNyTm56MG5NN0FnR2cxVUpkVDgxREdNaU04ZnY1QWNDZ1VoWldka2pobUc4RkFxRmtoWUFpc1dScnUwc3kxb1hQV1lGRVIyS3RwN3FCOVo4R2tJSXNaODdVSk40eHBZdFcwNUxlTHdFd0x1OWUvZHVBWERwNXMyYlgwL1lGcHR4bUJDZE15MTZ0eGlHWWZSd3VWenh1MVdtYVRvQlFHdWRuVmdldGJmYTB2SjZ2YlVBYWt0TFMxL1dXZzlSU28wRThGT2wxRmxyMTY3dDgrNjc3MkxldkhrWVBIaHdmTGpndUhIamtKT1RzNWRDNkpCZXZIanhtdmFGMFhsejZ0cVhSNGQ3TnJVdjkvbDg4enVvTzY5OSthSkZpNm9BVkNXV0xWMjZkQ3VBbDlyWHJhNnVYb0sydjNVaXE3S3ljZzZBT1dtT2NVKzd1cWlxcXZJaUlka1hFd3FGSG5BNEhMYVdscFo0cjBLZnovZXR5K1c2b3FXbFJRY0NnZmdQN1MxYnRzd3VLQ2lZcDdXT0xGMjZOQmg5SGszRnhjVi9kamdjV1Z1M2J0MFNxOXZhMnJvVXdKVTJtODF3T0J6eHBFRnpjL1BidWJtNW45cnQ5cVR1bHBabFhhT1V5ZzRHZy9FZmtWcnJXcVhVbVpabHRWWlhWOGQvc0VjaWtkdnNkdnMwSWxxTnRpUW1tcHFhVnZmcDAyYzhFVEVSTFVzNDlOc0Fxb2dvR0F3R053QkFiZTMvWisvTzQ2T3F6ditCZjg2NXN5V0VIZGxFUVlrc0FaS1ppYmhiWEFHdFduSEZWcWxhZHdVVi9YNXRMWmJhMXFWU2Z5S0lDL1pMc2FCRlZLd0wxZ1cxS0lxSXlVd21JU3hHRm9HQXlob2cyOXg3bjk4Zm1SbG1NcE9Rc0UyQXovdjE4aVU1ZDN2dVNXWTc4NXpubE5aNHZkN3BJckpBS1JVYjZQQjRQRDlWMXBvdldhTEd0UEVZOWI5bGJqRXV1T0FDNU9ibTRwRkhIc0dBQVFOdzZhV1hwdHl2YTlldVdMQmdkOTNtblR0MzRxaWptbDBTTTZadjM3NHdEQU1sSlNVcHAvSWVjOHd4R0RWcUZQcjA2Wk55RUcvWHJsMnhUTGZodzRkajlPalJLQzR1eHFCQmcyRGJObDU4OFVWMDc5NGRRNFlNQVFCMDc5NGRzMmJOd3U5Kzk3dVU4YVFhY0pzelowNXNzREhLNlhSaTI3WnRlUDc1NS9Iem4vODhOc0FIMUdXNG5INzY2UURxNmlIMTY5Y1BoenJUaG0yS0NpMWZzanZESUZMWDdzZjYrNFpDb2FRaWg1RXZYcjZwM3g2cERaYVUzZDNBOHhPQ3dXRFN2cEhhUlVtcm80UkNvYTlTSEw4TmtTbTBUVGlIV1ZKU0VxcS9Md0F6VlJ6RnhjVXJBYXlzMzk1QXpDbjdMdFY5TjlSM2tYdlpwNzZMMU14S0dyMklxeE1WRTVtbTNOUytzMVA5SGFDQnZvdlVmVXQ2WFV5MWIrUnZKbW11ZnFyN1hyMTZkVFdBcEFXMElobllTZWVPMU5oYVViKzlPWDBYTGY4UUw5SjNTWCtQa1JJT1NXVWNHdWk3bEhHa1VsRlJnVkFvaEk4KytnakJZREJwMVhHcG0zSThDOEJubG1WdENJVkNteEY1M2V2Vk43Y3BsemhnNm1mYlJhZXhlandlRkJRVXBEeW1XN2R1ZVAzMTNlWEltbHVUTkJnTTduR0JKZHUyWTY4amUySlpWck91djc4b3BSQzIxWnJDd3NMNjd3L05GRzJJMUhWT1dyRTYxYjZSNTZ5UDZyZEh5cXNVeDdldFc3ZXVhdDI2ZFVsLzc1SDNra25uanI2UGIwb2NKU1VsYXdHc3JkOE5QQWRKQUFBZ0FFbEVRVlRleUh2bHBKSFhvcUtpOVFEVzEydTJJKzlwa3pTbjc0aUlxT1U1TEFieGxGSlpYcSszRityUzEzZDZ2ZDRidE5Zdk5yRHZQenQwNlBEUCt1MXQyclFaRkgyVHFiWHVITm4zeS9ocGRTNVhYUWE5MXZwUkFJL1dQNGVJTk8wcnpTYUtGSnRlSHZudnJjanF0VmNZaHZHYm1wb2EvNnBWcXpKV3JWcGxmUHp4eHdDQXl5NjdMS2xJUCswZjBTbXE5VmlwcGhoRVBtVFZMelpqcGFwUEZ5bkdudlRtcmFFQjBQajZlSEZ0dXhDWm5odXZwS1JrS1NJMVY2SWliMFNUVmhwcjRBMWdPQmdNenEyL2IwRkJ3ZlplL2J6dlErRldwWFdMSGNUcjBhTUh0TlpZdjM0OTdycnJMaHh6ekRFSjIxMHVGenAxNnBSMDNQZmZmNCsrZmZ2dTlYVTlIZy82OSsrZk5FQm5XUlpNMDRUYjdjYVlNV09TcGl0RnJWbXpKalpkNlpSVFRzRnh4eDJIU1pNbVllclVxZmpYdi82RnBVdVg0b2tubmtpWU90YTZkZXVVNTFxMmJCbCs5YXRmcGR6MjlOTlBZOHFVS1FsdGwxeHlDZHEwYVlQYmI3ODk1VEhidG0zRHhvMGI5OWcvYytiTUFWRDNuRVJFMUZ5bWFXTExsaTFZdTNZdDNucnJMWHo4OGNmeGczYW1pRlFvcFg0VWtUZEZaR3I4WWhrdGhjL253NHdaTTlDL2YvK0VFZzF2dnZrbUprNmMyT1FzdUwzaGRydFJVOU40TXI3V3V0RUZMT0l0V2JJRVk4ZU8zUitoMFNGQ2E5MGZnSFBMbGkzN05LdURpSWoydjhOaUVBOTF4Y0t2QmdBUmVja3dqQVcyYmNkL0NyMU9LWFV5NmhhUnNBQ0VSR1JxL0FuaXAwK0t5RUNsVklXSW5OdU1HS2JzZVpkOUU4bGUrQ2VBbDNOemMvdHJyVWNxcGZ4S3FZRUFqcGt6WjA3c3d6TVJBYXRYMTMydVM1V2xObmp3NE5pS3JsSGZmLzg5VnE5ZXZWZURlSldWbFZpN2RpMTY5dXlKSVVPR1lNcVVLVmkvZm4yc1J0N0tsU3R4L2ZYWDQ1RkhIa21vbzFmZjh1WExZelh3dE5ZWVBYbzB4bzRkaTNIanh1R2pqejdDdWVlZWkzUFBiZHBUVTVjdVhYRHZ2ZmNtdFQvMjJHTTQ2Nnl6TUhqdzRJVDIzcjE3NDllLy9qVTZkKzZjY3BwWE5HdkU3L2MzZXQzaTRtSVVGaFp5RUkrSTlzcVNKVXR3eXkyM1lQWHExWWpXcUJXUkZaRXA0NHRFNUl1YW1wcWlCcjVnUzZ2VnExY25MRHowOWRkZkoyeGZ0V29WVE5QRW9rV0w2aCthSUM4dkR4N1AzcFVNek1yS3dxNWR1MkNhSmh3T0I3WnYzNDYyYmRzbTdDTWlXTEVpS1VrenBlKy8vMzdQTzlGaEpicDZMaEVSdFR5SHl5RGVxN1p0L3hZQURNUFlHVmsrZnBuWDYrMmx0WDRLUUI4QVF3RjhhTnYyUTFycjJ3R2NXbHRiZSsrU0pVdTIxRHVYQThCd0FBdFRUYjlweUtCQmc0YlhLNFIrSUZtUnJNRngvZnIxNitoeXViSzExcmtxc3Zwc3ZZVWFpSTVZSjU5OE1qNy8vUE9rOW9jZWVpaWhsdVRwcDUrTzQ0OC9IaE1uMWkzZXRtREJBcHh5eWlubzM3OS9MUHZEc2l6ODlOTlAyTEJoQXpaczJBRGJ0ckZvMFNMY2VPT05XTHQyTGJac3FYc3FlZmZkZDNIeHhSZmorZWVmeDh5Wk0vSEFBM1VMUXE1WnN3YlYxZFVKSDZTcXE2dHh5aW1ueEg0dUtTbEJSVVVGK3Zmdkgyc2JNbVFJVGovOWRMei8vdnRvMzc0OXhvOGYzK1Q3YjkrK1BhNjQ0b3FrOXNjZWV3eDVlWGtwdHpWbTd0eTU2TnExSzNyMzd0M29mbHUzYnQybktjbEVkR1RidW5VcnRtNnRxenhoMi9ackFGNnpMS3NBd05iaTR1THRpS3pDM2hMTm1UT253UXkzK0JWaDc3ampEamdjam9UWG9uaXZ2UExLWHE5RTI2MWJONGdJTm0zYWhLeXNMSng3N3JsNDZxbW5jT2FaWjhiMkVSRTgrK3l6Q2NkVlZGUmcvZnIxQ2E5QkFCSVdYeUlpSXFMME91UUg4VVRrS1JHcGpaOUtrWitmMzF0RXhnSzRVVVRlRFlmREEwdEtTbjd3Ky8xUVNxMVNTcDBzSXJOY0xsZVp6K2Q3QnNEL0JRS0JOUURnOC9udVVFb2RCZUFmelltanVMaDQ2NTczMnYrV0xWdTJHY0JtQUlzQXZKaWJtOXZaNFhEODByYnRYKzdoVUtMRG5tRVlLV3RGYnRteUphR3UyMjIzM1laSEgzMFU4K2ZQeHlXWFhJS0ZDeGZpcXF1dXd2ang0M0hpaVNmaXE2Kyt3cGd4WXhMcUFqbWRUamdjRHJSdTNSckRoZzFEang0OWNNd3h4NkJUcDA1d09wMjQ0b29yOE5wcnIrR2NjODdCNE1HRFVWeGNESWZEa1hCZGw4dUZKNTk4TXZiem0yKytpVFp0MnNSV25xMnBxY0hreVpQeHhSZGZvRldyVnRpNmRTdEdqeDZOQng5OE1PVkNGdi81ejM4d2I5NjhXT2JLL3JSczJUTE1uejhmdi8zdGI1Tlc3NDB1N0JtZHZsVmVYcjVQVTVLSjZJaFZpN3FGdVZZQm1GbGJXenN6eFpldExkcllzV09UcHA2V2xaVmg0c1NKV0xWcUZYdytIejc5OUZOY2NNRUZtRGR2SGthTkdvVnJycmtHR1JuN3J6cEY5SXVXWmN1V29YZnYzaEFSZUR3ZTJMWU4yN1l4ZlBod25ILysrVWtMYm56MDBVY1lOMjRjcGsyYkZudGVqNnF0cllYTDVZcGw5OUhoemV2MVRnQndvbTNiNzRWQ29RbnBqb2VJaUhZNzVGK0ZnOEhnRjlGLzUrZm50N1Z0K3czYnRzOUJYYkhxNFlGQUlLbm9TRUZCd1FZQVovdjkvcHNBUEN3aTQzdyszK2tpWWlxbC9pd2kzd1FDZ2RmckgzY29pQlRxblFqZ0dVUVc2aUE2MHMyZVBSc2Vqd2NlandlclZxMUNTVWtKcnJ6eVNnQjFxNzArOWRSVCtQNzc3M0h0dGRmaW5udnV3ZmJ0Mi9IZ2d3L2l0dHR1d3cwMzNJQmYvdktYdVBMS0s5R3paMDhjZSt5eE9QYllZOUcxYTlla0R6bnhSbzhlalZBb2hMdnZ2aHVYWDM0NTNubm5IZVRsNWNVK3FIWHExQW1ublhaYXJHRDVkOTk5aDg4Kyt3d2pSdFF0MXZqV1cyOWgyclJwV0xkdUhVYU9ISW5SbzBmanRkZGV3NVFwVXpCeTVFZ01IandZRjE5OE1ZWU9IUnI3UU9YeitUQnk1RWlzVzdjdWxsVzRQK3pZc1FPLy8vM3YwYU5IRC96aUY3OUkybjdVVVVmQk1BeE1uVG9WOCtmUHgzZmZmWWVycjc1NnYxMmZpSTRNcG1sTzAxby9aeGpHa29LQ2d2Q2VqMmk1TE12QzRzV0xNV3ZXTEJRVUZHRGt5SkY0NG9rbjhNRUhIK0R6enovSHVISGpNSHo0Y0R6OTlOTjQ2YVdYY05GRkYrR0NDeTdBZ0FFRGtyNG9hYTZjbkJ4a1pHVGd5eSsvaE52dEJnRDA3TmtURXlaTXdPelpzL2Q0L0ttbm50cm85bmZlZVNkV3U1VU9UMHFwcTVSU3h5cWwzQUE0aUVkRTFJSWM4b040OFFvS0NyYjcvZjZuVGRQOGZTZ1VhcnpZQ0dBWEZoWk96Y25KbWU1ME9rOHZLaXBhNlBmNzN4RVJTMnQ5SFNLcm1oM0N6SFFIUU5SU3pKZ3hBK1hsZFlzdVptVmw0YkxMTHNQdzRjT3hjZU5HUFBUUVEyalhyaDBtVFpvVVc0RzFYYnQyZU9hWlovRENDeS9nbFZkZXdiQmh3L0EvLy9NL3picG1Sa1lHWG5qaEJVeWVQQmx2di8wMk1qTXpjZWVkZDhhMjUrZm5JejgvUC9iejY2Ky9Eby9IZyt1dXV3NGpSNDdFNnRXcmNjSUpKK0NaWjU2SmZhQzY3cnJyY09hWloyTGF0R240NElNUFlCZ0dMcmpnZ3RnNXVuYnRpclBQUGh0TGx5NXRkSUN4dWViT25Zc3RXN2JnSC8vNFIyeUJuM2l0VzdmRzJMRmo4ZWFiYjJMbHlwVzQrT0tMY2NrbGwreTM2eFBSa2FFSjc5MWF0T3JxYXN5ZlB4L2ZmUE1OL3Z2Zi84SXdESXdZTVFMang0OUgrL2J0ay9ZLzhjUVRNV1BHREh6KytlZVlQWHMycnIvK2VuVHMyQkg1K2ZrNDY2eXpNSFRvMEwyS3crbDA0dWMvL3pubXpwMkx6WnMzbzJ2WHJ1amN1VFBHakJtRFcyKzl0Y0hqUHZua0V6enl5Q1A0OE1NUEV4WlBxcTlObXpaN0ZSY2RVaGFMQ0d6YmJuSnBJU0lpb29NdUp5ZW5xOWZySGJ6blBZbU9iTDM2ZWMvcTFkKzdkZkFaNThyQ1JZdmxVR0ZaVmxMYjk5OS9MK0Z3dU1GanRtN2RlaUJEaXFtcXFwSXZ2L3hTUkVRKysrd3ptVGR2bnRpMjNlRCtHemR1UEdpeGlZaHMzcno1b0YzclFDb01GTWtaNTE0Z3ZmcmxWZlhxbXpzODNZOGxJanF3ZXZYTkhSNTl2U29NRkIzUTV4ZkxzdVNQZi95alBQTElJL0xGRjErSWFacEorOHlaTTBkKzlyT2ZwVHgrNDhhTjh1cXJyOHJkZDk4dEpTVWwreFRMNXMyYjVWZS8rcFVNR1RKRVB2NzQ0eVlkOC83Nzc0dmY3Mi8wTmZGZ1dQRnRtWncxN0dJNXJsOWVkYzkrZzFnZUpnM3k4L09kdlhyMTh1QXdTL2dnSWpvYzhJazVUbWxwNlVZQUc5TWRCeEVkR0tteTA0NDU1cGhHajJuWHJ0MkJDaWVCeCtPSlpkekZGeDl2U0pjdVhRNTBTQWs2ZE9od1VLOUhSSFNvMFZydmNmR2hFU05HeE1vbTFOZWxTeGRjZGRWVnVPcXFxL1k1bGc0ZE9tRG16Sm5OT21iWXNHRVlObXpZUGwrYkRuMlI2ZXlIOUpSMklxTEQxZjZiYjBWRVJFUkVSRVJFUkVRSEJEUHhpSWlJaUlpSUNBRGc5WHEvMDFvZmI5djJnbUF3dU9mcEFVUkVkTkJ3RUkrSTlsbzRIRWJwMHVYcERvT295YjR0K3c0MU5iWHBEb09JRHJKd09JeVMwcVdvcWVYanY2VmJ0NzRjMWRYVjZRN2ppS2FVY2tUKzMvQUtKMFJFbEJZY3hDT2l2VmF4WXdjbVB6Y1ZUcWN6M2FFUU5ZbHBtcWpZc1NQZFlSRFJRVmF4WXdlZW12d2NIQTYrOVczcExNdkM5b3FLZElkeHBCdG4yM1ovMHpTL1RIY2dSRVNVaU85a2lLalphc1hlNElMNndRYXdqVyswNlJDa2xLb3d3N0l1M1hFUTBZRmxtVmhuT09VSEc4RFc3ZHZUSFE0MWd3SjJJaXlyMHgzSGtTZ1FDTXhJZHd4RVJKU2FTbmNBUkhSSTBqMzZEUnJnZ05FeDNZRWNqbHlHT3RiamxNdGh3MUZ0cVZkckxmayszVEVkYnBRZDNycHF4WkppQUhhNll5R2lBNHF2VjRjb01XdTNyeWtyTFFaZ3Bqc1dJaUtpbG9LRGVFUkVMWXpQNXh1aWxKb2xJaDRBbHdZQ2dmbnBqb21JaUlpT0RGNnY5MllBQTJ6Yi9qd1VDcjJSN25pSWlHZzNUcWNsSWlJaUlpS2lxQWUxMXIwQW5BaUFnM2hFUkMySVRuY0FSRVJFUkVSRTFESW9wVGFMU0sxU2FuTzZZeUVpb2tUTXhDTWlJaUlpSWlJQWdHM2JOOXUyM2EybXBtWmx1bU1oSXFKRUhNUWpJaUlpSWlJaUFFQlJVVkVBUUNEZGNSQVJVVEpPcHlVaUlpSWlJaUlpSW1yaG1JbEhSRVJFUkVSRUFBQ2Z6L2MyZ01HMmJmKzdxS2pvOW5USFEwUkV1ekVUajRpSWlJaUlpS0x5bEZKZHRkWjU2UTZFaUlnU01ST1BpSWlJaUlpSW9vb0F1R3piTGtwM0lFUkVsSWlEZUVSRVJFUkVSQVFBQ0FRQ2w2UTdCaUlpU28zVGFZbUlpSWlJaUlpSWlGbzRadUlSRVJFUkVSRVJBTURyOVhwdDIrNWFVMU96YXZueTVjdlRIUThSRWUzR1FUd2lJaUlpSWlJQ0FDaWxubk00SEhtR1lid0g0SXAweDBORVJMdHhFSStJaUlpSWlJZ0FBQ0xTRlVCRzVQOUVSTlNDY0JDUGlJaUlpSWlJQUFBaThwaUlEQlNSejlJZEN4RVJKZUlnSGhFUkVSRVJFUUVBaW9xS3BxWTdCaUlpU28ycjB4SVJFUkVSRVJFUkViVnd6TVFqSWlJaUlpSWlBSURQNTd0T1JQcWJwdmxsU1VuSnUrbU9oNGlJZHVNZ0hoRVJFUkVSRVVYOVJXdDlyTlBwWEFpQWczaEVSQzBJQi9HSWlJaUlpSWdJQUNBaVp1VC9WcnBqSVNLaVJCekVJeUlpSWlJaUlnQkFNQmpzbmU0WWlJZ29OUzVzUVVSRVJFUkVSRVJFMU1KeEVJK0lpSWlJaUlpSWlLaUY0M1JhSWlJaUlpSWlBZ0Q0Zkw3WEFReTJiZnV0b3FLaU1lbU9oNGlJZG1NbUhoRVJFUkVSRVVVTlZrb2RxN1UrTWQyQkVCRlJJbWJpRVJFUkVSRVJVZFRiQUU2MExHdHV1Z01oSXFKRUhNUWpJaUlpSWlJaUFFQWdFQmlkN2hpSWlDZzFUcWNsSWlJaUlpSWlJaUpxNFRpSVIwUkVSRVJFUkVSRTFNSnhPaTBSRVJFUkVSRUJBSHcrM3hxbDFMRWlzakFRQ0p5VzduaUlpR2czWnVJUkVSRVJFUkVSRVJHMWNNekVJeUlpSWlJaUlnQ0ExanJmdHUxV0lySTkzYkVRRVZFaUR1SVJFUkVSRVJFUkFLQ2dvR0FUZ0UzcGpvT0lpSktwZEFkQVJIUWt5ODNON2F1MUhoN2ZwcFRLVmtxTkF1QVVrZjhUa2JKNjJ6OEtCQUtsQnpWUUlpSWlJaUlpU2l0bTRoRVJwWkZoR0laU2FtSkQyNVZTZHltVitIMUxPQnpPUGVDQkVSRVIwUkhKNi9YK1JTbmx0eXpyL1ZBb05DbmQ4UkFSMFc1YzJJS0lLSTBDZ1VDcGlCUUJnSWcwdUY5MG0yM2JKY1hGeGNVSEp6b2lJaUk2MGlpbHJsTktYV0FZeHNoMHgwSkVSSWs0aUVkRWxHWktxZWVpLzA0MWtCZmZwcFQ2eDhHSmlvaUlpSTVRUlNLeXdiYnRVTG9ESVNLaVJKeE9TMFNVZmgrTHlGYWxWUHVHc3ZHVVVoQ1JyYlp0ZjNxUVl5TWlJcUlqaU5aNnBHVlpydTNidDFlbk94WWlJa3JFUVR3aW9qVGJ0V3ZYRDVtWm1Rc0JYTGlIWFJkV1ZWV3RQUmd4RVJFUjBaR3BvS0NnRWtCbHV1TWdJcUprbkU1TFJKUm15NWN2M3dXZ0VJQUZKRTZmamZ1M3BaUmF2R0xGaXEwSFBVQWlJaUlpSWlKS08yYmlFUkdsbjQyNitqTVZBTnFuMmtGRXFpSzFhYXlER2hrUkVSRWRVYnhlNzNLdGRSL2J0ajhOQm9QbnBEc2VJaUxhalpsNFJFUXRRRTFOelFLbDFJLzEyNVZTVUVvQlFFVTRIUDd5NEVkR1JFUkVSeEtsbENmKy8wUkUxSEp3RUkrSXFBVW9MUzNkS0NLTElnTjJFSkhZZjVHZkY1V1dsbTVNWjR4RVJFUjArQk9SWjJ6YmZ0azB6UmZUSFFzUkVTWGlkRm9pb3BaakdvQlJxVFlvcFo0OXlMRVFFUkhSRVNnWURFNUlkd3hFUkpTYVNuY0FSRVMwbTlmclhhdTE3aEhOd0ZOS1FVVEtBNEhBMFdrT2pZaUlpSWlJaU5LSW1YaEVSQzJJVW1vNmdISDFtditWamxpSWlJam95T1B6K2E0UmtiNldaUzBxTGk3K1Q3cmpJU0tpM1ZnVGo0aW9CVEZOYzdhSVZFWi9GcEZLRVptVHpwaUlpSWpveUNFaWY5RmFqemNNNDhGMHgwSkVSSWs0aUVkRTFJTFUxTlJzQUxBaXVpcXRVaW9rSW12U0hSY1JFUkVkR1pSU093Q1lBSGFrT3hZaUlrckU2YlJFUkMySXcrR29FSkd2QWVRQmdJaUVmdnJwcDYxcERvdW9SZXZSbzBkR2h3NGRPb1pDb1hYTk9XN2d3SUZkYk50V1hQbVppQ2pCR011eWV0YlUxSlNtT3hBaUlrckVURHdpb2hha3RMUzBGc0JDQUx1VVVqVUFGcGFYbDFmdTRUQ2lJMXJuenAzZk5RempnL3o4L016bUhPZDBPc2U1M2U3MUF3Y09QT1pBeFVaRWRLZ0pCQUtmRlJVVnpWaTJiRmxCdW1NaElxSkV6TVFqSW1waGxGSmZBOWdrSXBtUmZ4TlJJMFRrQWFYVWw3WnRQd0JnZkZPT3ljN09kZ1A0SllCaWg4TmhlTDNlWGsyOW5tRVlPd3NLQ2pidFpiaEVSRVJFUkh0RnBUc0FJaUpLNXZQNTNnYlFKaEFJbkpYdVdJaGFBci9mL3hXQWsvZmxISVdGaFU3VTFYbUMxK3U5UTJzOVpXL09JeUl2QlFLQjYvY2xGaUtpbHNycjliNmdsRHJKdHUyM2k0cUttdlRGQ0JFUkhSek14Q09pdmRMdHVQNDkzVzczY2VtTzQzQlZhOXBCQUs1ZS9id2N4RHNBUk93MWE1YUhWcVU3RG1xMkJRQWVxZDlvMjdhaHRiYnFOYmNGc0wxZW13VUFPVGs1THEzMUF5S3lRaW4xNitZR29iWCtxYm5IRUJFZEtwUlN3NVZTeDJxdHE5REU3R1lpSWpvNE9JaEhSTTNXcTVlM0Z6enlLaURIcGp1V3c5WE9zQUFBbEVLekJ4aG96elRVVHoxNkQ3aHMzWGRMeXRJZEN6V2RpUHdRQ0FUZTkzcTk1MnV0ejFkSy9iR2dvS0RTNS9PdEZaSHBnVURnSVFEd2VyMlhhcTFmQlBDSHdzTEN5WWdNM2tXNTNlNEhBQnlybExxNHNMRHdxelRjQ2hGUlMxWW1JbTFGNUx0MEIwSkVSSWs0aUVkRXplZEJMMEQxMFVxMXkvQjRZRGlNZEVkRTFDU1daYU9xcWdxMjJPMGNEaU1iQUFmeERrRktxYkVpMHFtd3NQQi8rL1hyMTFFcDFRUEEydWgyd3pEbVdwWTFTV3Y5TjUvUGQ1WFdla2hCUVVFWUFMeGU3d2xLcVFjQmZHamI5azYvM3kvTnViWnBtb05Db1ZESi9yMGpJcUtXSXhBSW5KdnVHSWlJS0RVTzRoSFJYbXZUdWpWRzMzNExjdnIzVFhjb1JFM3liZGwzbVB6Y2kvaHBFOWNrT0ZSRlZwSWRxcFFhazVPVDA5WGo4WndLQUNLeU1TY25weXNBVkZWVkFjQXpicmM3cUpUcVdsVlYxYkZmdjM1aDB6UjNhcTFmRlJITHNxd3h0YlcxbXpJek15OXV6dlZyYW1yVzdQZWJvZ09LNVI4T1RXWXQxcTliR2Z3MjNYRVFFUkcxSkJ6RUk2Szk1blE2a2RPL0wwNDU2Y1IwaDBMVUpHNlhDMjYzSzkxaDBENXd1VnpuQWRBQW52RjRQTTlFMjVWU2IzazhucFRIZUR5ZXlTSlNKQ0lUQVBnQVhCTUtoWlpITnI5N29HT205T25SZTBDMncrVjRtZVVmRGowT3Q5clM2d1R2cjFaL0d3eW1PNVlqVFc1dWJsL2J0anVhcGxtK2JObXkxZW1PaDRpSWR1TWdIaEVSRVIwcVJDbjFqbTNiZytQYS9xbVUyaTRpby9kd2JLVlM2aWZidHAvU1doL3Y4L2wyTnZmaXBtbm1GaGNYcjJ6dWNaUStkZFBtSStVZk1qSmdHRHJkSWRFZTJMYU55c29xaUcyM3R3MDdCd0FIOFE0eXd6QmVOQXpEWnhqR3V3Q3VTWGM4UkVTMEd3ZnhpSWlJNkZEUUNzQ3Vnb0tDVFFBMkFVQnVibTRQd3pENmljaDRFV213dm1Fd0dOd09JRnI3YnF6WDYvVUNLRy9xaFpWU1p5aWxmdU4wT2prQ2RJaHEwN28xeG82NUF5ZGs5MDUzS0xRSDY5YVg0OG1ubjhFUFAveVk3bENPWkQyVlVsbGE2NTdwRG9TSWlCSnhFSStJaUloYVBCSEpBbEFSMzJZWXh0VktLUVhnVDBxcFB6VjByTmZyYlI4TUJyZEZmdzRHZzBFMEk3dkg3L2ViQUg1am1pWlg4VGxFT1oxT0RNenBENTgzTjkyaDBCNThXL1lkR3BvYVR3Zk4zMFFrenpUTlQ5TWRDQkVSSmVJZ0hoRVJFYlY0U3FuMklySTkrbk4rZnI3VHR1M1JBRFlDNkFSZ2hHM2I2K0wyZHdDWURXQmpNQmlzU0RwaE00aEl0VklLaG1Gd1pJR0lEbnVCUUdCeXVtTWdJcUxVT0Mya2VaVFA1enZSNS9OMVQzY2dSTlN5M0hiYmJSZ3paa3l6ajl1MWE5Y0JpQ2I1R3R1MmJVTk5UYzBCdnhiUmdaQ2ZuOThOUUZzQXNaVXFSZVJHcFZSUEVSa0o0Q3NSdVRNWUI4QXZBSFRYV3Q4SXdON0hFTFlCZ0czYkhRQ2dYNzkrSGZmeGZFUkVSRVJFelhaWVorTDVmTDRUQWZScWJKK3FxcXBQbHkxYnRya3A1K3ZWcTVkYktiVVl3TU1BL3JnZlFqd2d2RjV2TzZWVXJtM2IzeFVWRmExUGR6eEVSNExObXpmRDdYWTM2NWdYWG5nQmMrZk94ZFNwVTlHMWE5Y0RFdGVxVmFzd2F0UW9WRlpXNHNVWFg0VGY3ejhnMXlFNmtHemJIcUNVZ21WWkpVQnNFRzI4aVB3M0VBak05L3Y5ZHlxbHZ2TDVmSk1EZ2NBWW44OTNGNEFIbFZLM0Z4UVVMTnNQMS8vZU1BeG9yWThCZ016TXpJOThQdCtIZ1VEZ3QvdDZiaUtpbHNibjg1MXIyM2JQY0RoY1VscGErblc2NHlFaW90ME82MEU4QUhjcHBTNFZrYVNsMFpWU0JvQ0JicmY3VEFBTGdGaUI3QVkvU1l1SUsvTFA3cEVCd29hRUE0RkEwYjRFdmpkeWMzUDlXdXZybEZKRGxWTHRsVkkzQStBZ0hsRUxkZm5sbDJQZXZIbTQ1WlpiWWdONUkwZU94TGZmZnJ2bmd3Rk1uejRkZ3dZTmFuQjdSVVVGN3IzM1hqZ2NEclJ2M3g0UFAvd3dwaytmanZidDIrK3ZXeUE2V0lhTHlLN0t5c29sQUpDUmtmRThnRTYyYlo4UEFJV0ZoU0dmejNlNVV1b3RuODkzRW9EQlNxblJoWVdGVS9mSHhSME94eW9ScVZSSytRRDhVMFE2QTZqZEgrZW13MXRGUlFYYXRHbVQwTFo4K1hKMDc5NGRyVnUzYnRhNTFxNWRpMDZkT2lFakkyTi9oa2lVeWpURE1JN1ZXaThFY0ZxNmd5RWlvdDBPK1VFOG44LzNDb0RMNHBwbUJBS0JtNk0vaU1pOFFDQndSZjNqdkY1dk82MzExdmcyd3pEdVVVcmQxOUMxNm1wbkF3QnVqZ3lRTldRejZ1cnpIRWc2T3pzN3ExV3JWbDJWVXVjcnBlNVFTdVhVMitlUS8vMFNIYzQ2ZGVxRUYxOThFWGZkZFJkZWZmVlYzSDMzM1JnMWFoUzJiZHZXNkhGcjFxekI2NisvM3VnK216WnR3bDEzM1lVZmYvd1J6ejMzSEp4T0oyNisrV2FNSGowYWt5Wk5Rb2NPSGZibnJSQWRTQnJBWlVxcGQ4dkt5bXA4UHQ4RFNxa3JST1IzUlVWRlN5TDdLS1ZVQm9DTlNxbVRSR1NyYmRzMTJkblo3ckt5c24yZVIxNVFVQkQyK1h4ZktLV0c5K2pSNDBFQTNVVmsrYjZlbHhMbDV1YWViQmhHdGRhNnRLQ2dJSnp1ZVBiVnpwMDdjZm5sbCtQcXE2L0dUVGZkQkFDb3JhM0ZtREZqY01JSkoyRHk1TW54N3kzMzZQNzc3MGROVFEzKy9lOS83M1ZNR3pkdXhJWU5HL2I2K0VHREJzSGg0TnRMSWlLaWREa2NYb1ZkQU43UldqOGtJaytMaUROK28xS3FmYXFzdWNncWR3bE0wM3pFTUl4bkdycVFiZHR1aDhPeERNRFR0bTFQYkdnLzB6U3Q1dDFDMC9sOHZ1NjJiWitobE1wVFNnMEdjSkpTcWkwQXRHclZDams1T1ZpOGVQR0J1anpSRVNzY0RtUExsaTBOYnJjc0M2WnA0b2NmZm1od240NGRPOFkrL054eXl5MDQrdWlqTVg3OGVNeVlNU1AyUWU3Q0N5L2NZeXlMRmkxcWRCQnYxYXBWR0QxNk5MWnUzWW9KRXlZZ0x5OFBBUERrazAvaXZ2dnV3NmhSb3pCeDRrUmtaMmZ2OFZwRTZlYjFlcTlUU2gwbkl2ZjQvZjViQVR3dUlxOEhBb0cvNXVYbDlURU00MElSdVZsRStnUDRGNEJuQU55dnRYNnhUWnMyZi9MNy9TOEQrTmcwemM5RG9kQmVGNkcwYmZ2dmhtRzgycmx6NTZrQWxHbWFDL2ZQSFZLVVlSaS9Wa3I5M0xidGI3MWU3NnVXWmIxZVhGeThkYzlIdGt4VHBreEJPQnpHcFpkZUdtdHp1Vng0NElFSDhOQkRENkdzckF3bm5IQkNrODVWV2xxS3NySXlYSGJaWlNndkwyOVdITzNhdFVObVppWUE0STAzM3NDTUdUUFFzZVB1c281YnRteUIwK2xNeUF6Y3VIRWoycmR2SHlzVFlab21ObTNhaEE4KytBQ2RPaDNvNzZrcDNRS0JRTTkweDBCRVJLa2REb040QUxDOW9LQmdtYy9uMjVGaTJ4QUEvNjNmbU9xYno4Z2J4UWJmTFBicTFjc1R5VjdaRmd3R2s2Ym9Ia0RhNS9PZERlQTZBS2RxclRzRGFLT1UwZ0RRdTNkdm5IZmVlVGp6ekRQUnVYTm5EQjA2OUNDR1JuUmtLQ2twaVdWU05LYXhRYmhYWDMwMU5uQldVVkdCdG0zYkFxaDdQcXFxcWtKRlJjTUxhSG84bnRqK0RSRVJ6Sm8xQzVNblQwWkdSZ2FlZi83NWhPbTJwNXh5Q2w1NDRRWGNmZmZkK1BXdmY0MDc3N3dUSTBlT2hOWmM0NGhhTHFYVUdRQVdCUUtCZC9MeThnWnJyVitwcWFtNXdlLzN6d0p3RllBcXBkVGJBRVlWRmhZV1JBNjczTy8zNXdPNEI4Q2RBTzQzRE9NOUFEL2YyemlLaW9wZTgvbDhGeW1sTGhlUnZ4WVhGNi9jeDF1amVpTFpsTWNxcFk1VlNwMnJ0WjdxOVhwbmlzaE15N0tDV3V1ZG9WQ29Fb0NrTzlZOVdiaHdJV2JQbmcydE5YN3hpMThrYlRkTkU5ZGZmMzNLWTA4NDRRUk1uejQ5b2UybGwxNENBTXlaTXdkejVzeHBWaXpqeDQvSEpaZGNFdnM1SnljSDA2Wk5pLzE4MTExM29VK2ZQZ21MTTUxKyt1a1lQMzQ4emp6elRBQjFVNEIvK2N0Zk51dTZSRVJFdFA4ZExvTjRLU21sRm90SWNTQVFlTEwrdHZ6OC9FemJ0di9wY0RnMjFkL204L2wyS3FWYU5YTHE4WDYvZjN5cURiWnQzeEFNQnFlbjJ0WlUyZG5aYnExMWE3ZmIzYzNoY1B3S3dMVktxYU1CUUd1TnpNeE1kT2pRQVNlZGRCSXV2UEJDREJnd2dGTWJpQTZTVWFOR0lUYzNONm45YjMvN0d4d09CKzY1NTU2a2JWOS8vVFZtejU3ZDZIbmZmdnR0UFBIRUV3MXVQK2VjY3pCaHdvUUd0NjlZc1FKLys5dmZVRkJRZ0VHREJ1R1JSeDdCMFVjZm5iVGZ3SUVEOGRKTEwrSEJCeC9FazA4K2lmZmZmeDkzMzMwMzh2UHpHNDJQS0YyMDFuZWJwbmtjQUNrcUt2b2F3SzhBd08vMy8xNUU1bFpXVnI2NWZQbnlwQy94SWdONjErWGs1Tnp1Y3JuT013eGowVDZHSW9GQVlCU0FVZnQ0SHRxRDl1M2JvMTI3ZGxpOWVqVzAxdGNDdUZacnZRSkFpZC92WDJUYjlvTGEydHBRYVducHpuVEhtc3E2ZGVzd2J0dzRBSFVMR0RtZENaTkU4TlJUVHlFckt3czMzNXk2TW92SDQwbjRlZVhLbGZqNDQ0OHhkT2pRdlJwSTY5R2pSOExQTzNmdXhLSkZ1eDhPMjdadHc0WU5HeExhYkFEaEpFRUFBQ0FBU1VSQlZOdkdpaFVyNEhLNVl2ZEVSRVJFNlhmWWp2ejRmTDdsSW5KMDVOOFBLNlYrS0N3czdPMzMrLzlYUlA1ZzJ6WUF3TGJ0NFg2Ly8wK0ZoWVd4VDg5S3FaRzJiZTlWM3hpR1ViaTNNZWZsNVEwQWNJYldlakNBd1FDeWxWS1pBTkNoUXdmazVPVEE3L2NqSnljSE9UazVhTldxc1hIR0JFNnYxenRBS2RYV3NxenZRNkhRS2dBNC92amoyN1p0MnpZSGdNdXlyRytpMDR4eWNuS09kYnZkeDRuSTltQXdHSXllWk5DZ1Fma09oeU9ydHJhMmVNbVNKVnZpenVHMWJidXFxS2lvQUlBVjJYZVF3K0hvb0pSYVgxaFl1QktBM2FOSGo0eWpqanJLS3lKNjU4NmRLOHJLeW42SzNQZlJobUVjYjFsV3phNWR1NG9pOVl1TTNOemNiTU13dWxxV3RURVVDaTBIZ0I0OWVtUjA2TkFoMXpBTVQyVmxaV0gwZzV2UDV6c0tRSTVsV1R0Q29WRHNkNUNYbCtmVFdyZXBxYWxaWGxwYXVoRUErdmJ0Mnpvek05TnZXVmFOYVpvbDBROEJBd1lNeUhhNVhFY0QrQ2tRQ0t3QVlHWm5aN3ZidEdrelVFUmExZFRVckM0dExmMCtzbThIcDlQWlgwVFVUei85VkZoZVhsNEpRT1htNXZZeURPTlkwelMzRkJjWEYwZmo4SHE5ZzVWU21TSlNGQXdHdDBYYTJpbWw4Z0RzQ2dRQzM4VHQ2NjMvdStyZXZYdG1seTVkQm90SU9Cd09MNHYyZitSMzFVc3B0YXU2dXJxNHRMUzBGb0JqMEtCQi9SME9SNGZhMnRyMVM1WXNLWXZzbStWd09BWWFodUd1cWFrcGlONTNYbDdlMFZycmJOdTJLNHFLaWdMUk9ISnpjLzJHWWJRR1VCb0lCSDRDZ096czdEYXRXN2YyVlZaYi9XdlE5RG8raDVNQkF3Ymc3TFBQVG1wLzl0bG40WGE3VTI3YlU0MjdLTGZialNsVHBpUzFUNW8wcWNGanlzdkxNV1hLRkx6Ly92dlFXbVBFaUJHNDhjWWJZUmhHZzFON25VNG5Ibi84Y2J6Kyt1dDQrZVdYY2NzdHQyRFFvRUY0NktHSDBMdDM3eWJGU25Td0ZCUVVWQUpZVXIrOXNMQ3dERURabm82UFBOZnRmUkV4T3VqNjkrK1AzLzcydDFpelpnM2VlKzg5ZlBiWlo5aTFhMWNmQUgxRTVDS2wxQ2EzMjcwdUx5L3ZuWEE0L00vb2EzTkxzSG56Wm93Wk15YjJ2Tit1WGJ1a1FUeW4wd21YeTRWMjdkb2xIYStVU2hwMGUrS0pKK0R4ZUhEZmZmZnRsNm1zNjlhdHcxLy8rdGVFdHVYTGwrTXZmL2tMdE5Zd0RBUGR1blhEM0xsek1YZnVYQUIxdGZ6b3lPSHorZjRwSWljQmVDc1lERDZRN25pSWlHaTN3M1lRRDBBckVma2pnSGxhNjdORjVBR2dib1ZacFZTSmJkdTNBWURXK3ZtNFZXY0JBS1pwZnFxMVBxcTVGNnl0cmEyT0RoUTFneU12TCs4YXJmVVZBSEtWVWwxRXhLT1VVb1poWU5DZ1FUai8vUE54eWltbm9GMjdkaW5mOE8zSmdBRURXaXVsL3FpVU9sa3BOUkhBWHdHZ2RldldmUUU4cjVUcURPQXNBTXNCd09WeVhhYVVlZ0RBMXdCaWMwQWNEc2RmbFZJRFhDN1hkUURtUmMraGxKcWx0VjZWbjU5L1h1VERGZ3pEK0YrbDFIbTJiVS9MenM3K1UxbFpXVTJuVHAyNktLV2VWMHE1VzdWcWRUK0FkeU9uSGlvaWY5QmFiM0E2blpjRDJKQ2ZuKzhXa2RzQlhHMFl4aXNBN2dPQXlEa21LNldPY1RnY3d3RVVBWUNJbkthMWZ0NHdqQ0lBdzZNeEs2WCtvcFR5dTF5dSt3QzhFcm1QNDVWU3N4d094d2FsMUhXSWZEaDB1VnlqbEZJM2k4aTcyZG5aOTVXVmxWVTRuYzRPSXZJNGdINU9wL092cUt1MUJJZkRrYWUxZmc2QW8zMzc5c1BMeTh2TEFHaXQ5VFZLcWRHR1ljeEQzZlRucVArbmxNb09oOE9YQS9nU0FFelR6SEc1WExORVpCbUErSkdmUHlpbFR0VmFUd2J3S0FDMGI5Kyt1MUpxRm9BdERvZmpMZ0NmQW9EVDZid0V3QU1pc3N6dGR2OFN3RS9aMmRtWkRvZmpkMHFwczEwdTE0c0EvaERadDZkaEdNOEM2T1owT3MrTDNyZFM2a0tsMUorVVVvV0ltMnBtR01halNxbTh5R1BsTFFESXpNek1Wa3JOOG5pTWJiVlZjbVNPNGgxQVNpbjRmTDZrOXZvckc4YmJ1blVyUHZ6d1ErVG01dUozdi9zZEhuLzhjVng4OGNWTnV0N1VxVk14WXNRSVRKbzBDVXVYTGtXM2J0MzJPbllpb3YzRjVYTGg2S09QeHRGSEg0M1RUanNOMWRYVldMaHdJZDU3N3owRWcwRlhaV1ZsOStycTZ1NkdZWnhrR01hZnZWN3ZBcVhVeTVabGZWQlpXYm01ckt4c0p3RDdZTWRkWFYyTm0yNjZDYnQyN2NJZGQ5eUJaNTk5RnRkZGQxM1NmclcxdFZCS1llSEM1TEtLRG9jRDgrZlBqLzM4M252dllmSGl4Ymp6emp2eHhodHZZT3JVcGkrNDNMWnRXM3p5eVNjSmJUMTc5c1NWVjE2SmUrKzlOMm4vYTYrOUZqazVPUmc5ZW5UU3RzMmJOK1BOTjkrRVlSaE52ajRkMG9ab3JZOFZrVFBUSFFnUkVTVTZuQWZ4b0pSYUhRZ0VnbDZ2dDFkOERUd1IyUm5OTVBQNWZFbFRNUXpEdUZncDlhL21Ycy90ZHM5SDNXQlljK04wQTJnTElGTkVFdDRkT1oxT1pHUmtJRE16TSttYjNPYUdGeGtjalAzT1JVUXJwZHdpNHJGdE8xWVVTeWxsaUlnSGRZdUd4SE5GOWpYaXp4SFoxeDBPaDFYY09aeVI5bGpRdG0wcnJiVmJSRHc2cmdpWFVzcWhsUElBY051MnJRQWdIQTRyaDhPUjhoeUdZYmhGeE9OME9tUFhFeEZEUkR3aTRvNFBXQ25saXJUSFluWTZuU29hYy94OTI3YnQxRnA3QURpamNVVCs3MVpLSmZWZDVCeEdmQndBbkpGK3JyL0FpbHRFUElaaHhLNW5HRWFzNzFMMWMveDlSMk9PbkNlcDcwVEViVmxXZk16T3lPOHF2dSswMXRvTklPWHZXeW1WOFB1TzlHVkMzOW0yclVYRW93VDc5TWRJRGR1MEtXbUdQMnByYTJOVG11b2JNR0FBcGsyYmhvRURCOFpxZlo1d3dnbTQ4ODQ3Rzd4R1NVa0ovdjczdnlNek14UEhISE1NSmt5WWdGMjdkc1VLbng4SkhCcmEwQmlVbjUrL3NLQ2dZRHNBNU9ibWRqWU1vNzlTYXVmR2pSdVhSakpza1plWE4wQnIzY20yN1UzUjFWQzdkKytlMmJWcjEvNGlrbVZaMXRKUUtQUWpBUFRyMTY5alJrYkdRQUFJQkFLeFQrSzV1Ymw5STVuRnNReGJBUEQ1ZkVNQVlNZU9IVjlGVjFITnpjM3RZUmhHNzBoRzcxSUFacVQ5Wk1Nd1BBQldCd0tCTlVBc283ZC81SGxoU1RUVE41cGhhMWxXZFNnVWlzNlJpMlhwV3BiMVhTZ1VpczZQTTN3KzN4a3BZajdPTUl4amxWSS9GaFlXTHEwZmMxVlZWY215WmNzMngvZWRpRlRXMXRZdWpXYjZSdSs3b2I2THo1TE96ODl2YTl1MnQ2RytDNGZENjBwS1NyNXJyTy82OXUzYlBUTXo4d1FBMjJwcWFwWkdzcFBoOS92ekl3dGF4Zm91a2xrOFFFUjBPQnhlR3Mxd2p2YWRpSmpCWVBDTHlPVjBYbDVlZjYxMXA1cWFtbFZ4bVY4cCt5N3l2cU5uUTMwWERvZVhsWlNVL0FBQWZmcjA2WlNWbGRYZnR1M3FWSDBIWUZzZ0VDZ0M2bXJ6dG0zYnRuLzlEUFBjM054V2htR2NtQ0tPRTVSUzNVV2tQQmdNZmxzL2p2Z3MvR2pmMmJaZEVRNkhsMFQ3enVmejVRRm9wN1ZlVjFCUThGMjA3ekl6TS9zN0hBN1h6cDA3bDY1WXNXSVRBQXdjT0xDTDArbnNWNi92WW84aEVWa1RYMU00R2tkOHpLbDRQQjZjZmZiWkdESmtDRFpzMklEUzBsSUVBZ0dVbHBhaXBLUUVXdXN6QUp4aEdFWkY2OWF0di9aNnZWOHJwVXFxcXFvK3JENkkxZk04SGcrdXZQSksvT3huUDhPcVZYVVA4MDgrK1NTMk9FVFUzWGZmalhidDJ1SGhoeDl1OUh4cjE2N0ZZNDg5aHQ2OWUrUGFhNi9GaGcwYmtKT1QwK1I0VXBWYXVlaWlpeG85NW8wMzNzQWJiN3pSNFBadDI3YnRNZTc5UlVUZzB1cG9uODgzNUZCODNEWDBuTldVeDEzME9hdWh4MTFOVGMyUzZITldBNCs3MkhOV1V4NTMwYjZMUGxlTHlQc2lNdGl5ckkvMitoZElSRVFIeE9FK2lEZkQ1L05Oand4U2JJOXJQeXM2ZUJjWkFFbGErQ0xpRXFWVTdFMXZKR092U0VRZTAxci9NMzVIMjdhbkpSM2ROR1l3R1B3N2dMOUhwdE9lcWJVK1VVUUdtNmFadlhqeDRzekZpeGNuVEtjZE1HQUFjbkp5bXZ5QmU4bVNKVHZ5OHZJZVZFcTF0VzE3VGJSOTU4NmRTOXUwYVhNakFKZldPallWcGJxNituVzMyMTBRMzJjQUVBNkh4em9janF5YW1wcmlldWNZWWR0MlZTZ1VxbzdkVk4xS3Y4OERXRjlXVmhZR2dDMWJ0bXpzMUtuVGpTS2lkKzNhdFR5NnI0aThKeUxMTGN1cXNTeHJNd0NFUXFIcVFZTUdUVFlNNHpYYnRqZEU5OTJ5WmN2R0RoMDYzS3ExOWxSVlZYMFhkNDRGSWpMQ3NxeUV1a2lXWlQyZ3RXNVRXMXNidTE1VlZkVjNHUmtaSXlMWGkzMllOazN6LzV4TzV3Y2k4dFBLbFN0M1JZN2ZER0NzaUxTcXJhMWRGWGZlZ0ZMcVdoRlJtelp0V2g5cHRpM0xtbUVZeHZ6b2ZVVFp0bjJYVWlwVEtWVVNiVk5LbFlqSUNBRDFWMHNjSnlMdExNdUsvVTUrL1BISDlaMDdkeDRoSW1ITHNtSnZUR3RyYStlNDNlNEFnRjJtYVc0RGdKVXJWKzRhT0hEZ254ME94eFRUTkdORmJDTDNlcE5oR083NCs3WXM2MTJ0OVRMYnRoTldWYkFzNjM3RE1GcUxTR20wcmJxNmVvWEQ0UmhSV1dQbmlGS1BnUGFyNnVwcURCczJMT1cyYzg0NXA4SGo0aGV2QU9xbWIwV0xrYWRTV1ZrSkFBa3JFVFpqZXY1aEljdWxYVkQ0blczYkN3QXNCQUN0OWFsS3FlZEZwS1JyMTY2M1J6SnNZUmpHZlFBdU1BempQd0J1QklDdVhidDJGNUhIbFZJRHRkYngyYXFEQWZ3amNwbFlhcVBENGJnZHdOVmE2MmNBeEI0N2tRemI2SEhySW5GY29KVDZrOFBoK0RRN08vdTJzckt5aWtnY2s1VlN4NGpJM3dCRWE3M21LS1dlVTBxNWJkdStFWkZNMzJpR3JXRVlhd0djQkFEeFdicGE2ejhBZURIUzNpb2FSM3pNV3V0ZktxWHVFcEYvQTdnOVJjdzNBSGcvdnUrVVVtVk9wL00yUkRKOW8vZmRVTjg1bmM1N0FMd0tBTFp0NTZTS0kzb09wOU1aeXl4dXFPOHlNelBQVTByOVZVUytkTHZkdHdINENRQ2kxNHZ2dTBobThmTktLWGZrR3AvRzk1MVNhanVBZnBFK2NocUdjVCtBNFI2UDV4RkVzckliNmpzQVZ5aWw3bXVvN3d6RHVCdkFiQURJeXNvNlVVU2UwMXF2UzlWM0l2SWxnTXNqK3g1bEdNYWZBZVRIOTUxU3FsY0RjZHlrbEJvbEl2OEVFSnNTRjkxWEtSWEx5bzcybldFWUJWcnJHNko5aDdyczhOTnMyNTRLWUh5MDd3ekRtQ3dpUjJWbFpkMGUvVHN3REdPSVV1cnArTDZMdE44UFlMaUlQQW5nYi9YanFCZHpnN1RXc1F5OUlVT0dZTnUyYlNndkw4ZkNoUXN4Yjk0OHJGbXpwbzJJbkFmZ0hLWFVqb3lNakRYYWxKV1ZZVGxvNldQUm1uWFJRYnhVejkzUlRMeDU4K1lsYll2UHhKcytmVHFVVXBnd1lRSmNMaGQ2OXV5Sm5qMzNmZEhRY0RpTTZ1cnFwSGJMc25ENTVaZW56TVFENmw0bkR1WkNTQXBBaHR1NFNDazE5bEI4M0RYMG5OV1V4MTMwT2F1aHg1M0Q0YmdSa2Vlc1ZJKzcrT2VzSmo3dXJsQkszV2NZeHZzQWJnZ0dnN2MyOXJzaElxTDBPWndIOGNvQS9GbEVGdG0yM1VkcmZiN2Y3MzlRUkJTQXAwVGs1Y2grdndlUW5Qb0N3RFROVmFGUWFGbjA1K2pxdEVxcEh3c0tDcGJGNyt2eitTcXhqLzBaeVZKWWtwdWIyOG8welk0dWw2c0hnS3NCWExWbHk1YXVDeFlzd01LRkM5RzJiVnUwYTljT3A1OStPczQ3N3p6MDY5ZHZUd3RiaE9Ocm5VV3RYTGx5T3lJZitPSXRYYnAwRFlBMTlkdExTa3ErcWQ4V09VZlNJR2g4UGJpb2RldldWYTFidHk3cGVrVkZSZXNCcksvWGJCVVhGeThEa05EUGtYTjhWZjhja1N5WUgxTzBKOVVvak5UUlM0bzVVanN1b2I1U0pMc2o2YjRqMzM0dXFOY3NrZFVLazFZc2pCUmpUeERKbUVtS0k3NE9ZVlI1ZVhsbGVYbDUwcjZSYjZYcjF3SXlTMHBLUWluMjNZbklZRVc4U0RaT1VzWHE0dUxpZ3ZwdGtjR0UvL2JxNThVUldoSVBEejMwRU1hUFQxN1hwcWFtQmtEZGluNzFXWmJWcEhPN1hDNU1uRGd4cWYzWlo1OXRacFNOaTlacWFteWE3aEZCeENsQTdCT3AxanFhbFJyTENvNXcxYzlXclpkWm5KQ3RHc2tzcmkrYVdaendaQjFwUS96MWxGS09hRFowdlhaMy9YTkVNdkRja1l6alZCbTJzUlNneUxtaTk1SXlqbnBpY2FUYU4vNTYwYjZMeEJ6L0tkL1pXTjhwcFJJeXV3SHNVOS9adG0xb3JUMUtLWmRwbW8zMlhTUXpPbFYyZVBSZWFsTEZJU0o3N0x2NDMyR3FmZXY5elJoYWE0K0lOS252b2xuUzlmcE9OZkE3VE1wb2o0OGo4cDRvSVE0QXNjenV5TDBrWlljYmhxRWpmMXNKMmZseGZ3Y3ArNjZKZjNkTm9yV0cyKzFHVmxaV05LYjZ1emdCdElaSWhxVHhGV3Y2OU9sSk15a2VmZlJSdEc3ZHVzSEJzcWd6empnRHA1MTJHaVpNbUlCQUlPbHRYS002ZCs2TU45OThNK1cyLy96blAzajQ0WWRqZlJldnZMd2NIM3p3UVVLYlpWbW9xcXJDTysrOGcrN2R1emNyam4wbmhnZ08xY2RkeXBpYitMaHpOL2E0aTMvTzJoK1B1MmpmUldlUzVPZm5kN0p0dTVYVTFjZHVXbUZmSWlJNktBN1hRVHhqNjlhdHcrTitYZ2JnN1E0ZE91d0VjTU9XTFZ0ZWk5c1dMVmFpQUFoUTkrS21sSUpoR0syOVhtK3NDSjFwbW00QXNHMDdJNzQ5WXIvMVpTVEZmaGZxQm1lK0JIQ3Z6K2NiSmlJM0F6aDU4K2JOYlRkdjNweXhjdVZLUFdQR0RQVHAwd2NYWG5naGhnd1pndmJ0Misrdk1JZ29oZlBQUHgvWjJkbEo3VE5uem9SaEdMam1tbXVTdGkxWnNpUmx4a1Y5V211Y2ZQTEpTZTJ2dlBMSzNnWGJnTEt5TW5nOG5pTjZFRzluclYxcktQdlBHVTRqdG1DQ2Fab0x0TllqQU96ODhjY2YxOGUxUDY2MS9ydGxXYkV2Zkg3ODhjZjFYYnAwR1J1WlRodkxWcTJzclB3Nk16TnpSUDNyaGNQaHlZWmh2QmFmWVFzQWtXeGM3Tnk1TTVyMUJNdXkzdEZhTHpWTmMwczBLemdTeDYyUkQzdXhhVkdxcnNicmpWSlhIcUVrN2h6dmFxMlhXWllWUzdlSlpPbit5ZUZ3UEdQYmR1d0xpN0t5c2txdjE1c1VjelN6V0NtVjhBVkpOT2JLeXNyWTlhSjlKeUtWOFptK2NmZWRzdTlxYTJ2anY2aFpFajEzcXI0TGg4TUpYemFrNnJ2cTZ1b1BNakl5Um9qSXRtaDJjbVRmc2RIcHRORzJIVHQyck1qS3lycFJSTFJwbXJIZlliVHZSTVNNNjZOd2JtN3U0MXJydjlmVzFxNk1hMC9aZHlJeUM4QlhEZlZkL0gxWFZsWXVhdFdxMWRXMmJWZW42anNSMlJhMzc0OE9oeU9hWVI0N2gybWFxeU4vdS9YamVCN0EyeUpTbmlvTzB6UmovUkh0Tzl1MksrTDd6cmJ0aHhDWlRodmZkNW1abWJjYWh1R3FyS3lNOVYxTlRjMm5McGRyUkh6ZlJhN3p1TmI2NzRqci8vZzRtc3EyN2RoMDJtQXdHSnRPRzEyc1RFUXFBSHd0SWwrTHlKTHE2dW9QcXNVMVdHbWQvTVI2a096WXNTTnBFTTgwVFlURFllellrYlNvTWdCZzJiSmw2TmV2WDJ5aHBJeU1EQXdkT3JUSjEvejN2LytOOHZMeVJ2ZlJXaWZVM210TUlCREFUVGZkMU9Ucjd5OENvS3JHZXJ1VjJ4aDNLRDd1R25yT2FzcmpMdnFjMWREanJyYTJOdmI4bStweEYvK2NoU1k4N3FKOUYzMnV0bTE3c2xKcUpJREhBZnl1L3Y1RVJKUStoM3d1amMvbmUxMHBaZHEyL1Z1bDFMTUFmaFNSQlZyckY1dHpIdE0wQjRWQ29SSUE4UHY5LzR2STRnL05JU0x6QTRGQXMydmlOVWVrVnMrcEFQSUFuQXpnSktWVVd3REl5c3BDVGs0T3Z2NjZMdW5MdHUxTGc4SGdXd2N5SGpveTllcm5QUXNLYng3VnNXTzdTVTgramxOT09qSGRJUjF3NjlhdHc4c3Z2NHhMTDcwVWZmdjJUZHArNVpWWHd1MTJZK2JNbVVuYlFxRVEvdk9mLytBM3YvbE5iR1hCa1NOSHh1clJBY0Nycjc2S1NaTW1KUlVoQjRENzc3OGZIbzhudHUraVJZdHd4eDEzWVByMDZVbFRhVys4OFVhNFhDNDgvL3p6c2JiWnMyZGo3ZHExeU1qSXdFOC8vWVQzM25zUEo1OThNaVpObW9RdFc3WmcwNlpONk5Pbno5NTN6aUVrRUF4aHpQMi94YnIxNWRVUUdiRjZlZWo5ZE1kRVJIWDhmdjgvQUZ4LzFsbG40Y2tubjR5MVYxUlVJQlFLNGFPUFBrSXdHTVMyYmR1d2MrZnVrc2FScVkrekFIeG1XZGFHVUNpMEdZQUZBTDM2NWc2SDF2ODZxbVBIZGk5TS9uL3dlWE1QeXIxOC92bm51T2VlZStEeEpDWTlSYWV4MW0rUDE2MWJON3orK3V0N2ZlMC8vZWxQV0xCZ0FUNzg4TU9VMjk5KysrMEdNL0ZTT2RpWmVOK1dmWWRiN3JvWGE5WjhYMlBEdm5ITnN1TDkrMDBXN1pIWDY5Mmx0YzYwYlh0OU1CanNzZWNqaUlqb1lEbGNNdkd1MWxwZkRRQWk4cEpoR0F0czI3NDlidnQxU3FtVEFSaW9lMU1YRXBHRTViMUVaSDNjdndjcXBTcEU1TnhteERCbEgrSnZzc2pVMDljQi9EczNON2VEWVJqSEFqakh0dTBiZCs3YzJUYzZnRWRFKzFlUEhqM3d3QU1QN0huSEZISnpjNUdidStjUGp0WFYxVGp0dE5OU2JtdXNKdDZlN05xMUMyKzk5UlpNMDBSV1ZoWk9PKzAwM0gvLy9RRHFCaGp2dSs4K3pKdzVFLzM3OTkvcmF4QVI3UyttYVdMTGxpMVl1M1l0M25yckxYejg4Y2Z4ZzNhbWlGUW9wWDRVa1RkRlpHcDgwZjZXd3VmelljYU1HZWpmdjM5czBTRUFlUFBOTnpGeDRzUW1aOEh0RGJmYkhTdngwQkN0ZGFNTFdNUmJzbVFKeG80ZHV6OUNvME9FVW1vVGdHT1ZVdlZMdGhBUlVab2RMb040cjlxMi9Wc0FNQXhqWjBGQndTWUF5N3hlYnkrdDlWTUErZ0FZQ3VCRDI3WWYwbHJmRHVEVTJ0cmFlNk1yTzhWeEFCZ09ZR0VnRUVpcWhkYVFRWU1HRGE5WFErbEFNK1Bxd0gwRDRJbTh2THlUdE5ZM0s2V0dpa2hyclhYVENuRVJVWXZnY3JudzZLT1BwdHpXdVhQbnZUN3ZEVGZjZ0J0dXVDSGx0alZyMWtCcmplT09PMjZ2ejA5RXREOHRXYklFdDl4eUMxYXZYZzJSdXVWbFJXUkZaTXI0SWhINW9xYW1waWk2b21oTHNucjFhdnp3d3creG4rdC91YnBxMVNxWXBvbEZpeGJWUHpSQlhsNWVvOWw2amNuS3lzS3VYYnRnbWlZY0RnZTJiOStPdG0zYkp1d2pJbGl4WWtXVHp2Zjk5eHpIT2RKWWxqVlVhOTFwMjdadDlXdFdFeEZSbWgzeWczZ2k4cFNJMU1aL0M1dWZuOTliUk1ZQ3VGRkUzZzJId3dOTFNrcCs4UHY5VUVxdFVrcWRMQ0t6WEM1WG1jL25ld2JBL3dVQ2dUVUE0UFA1N2xCS0hZWGRxd3MyU1hGeDhkYjllbU43SWJKNHd0ZTlldlh5dEcvZi9tVExzc3IyZUJBUnRRZ0RCZ3pBelRmZkhLdUIxSmhvUmtxcVZRSXpNakpRWGw0T0VVbkkvbWpJNHNXTGNmenh4Ky8xaDBVaW92MXQ2OWF0MkxxMTdtMlZiZHV2QVhqTnNxd0NBRnVMaTR1M0E3RFRHVjlqNXN5WjAyQ0dXL3lLc0hmY2NRY2NEa2VEQzVPOThzb3JlNzBTYmJkdTNTQWkyTFJwRTdLeXNuRHV1ZWZpcWFlZVNsaTFYRVNTRmsycXFLakErdlhyazdLeW95dWEwNUVqRkFvdEI3QTgzWEVRRVZHeVEzNFFMeGdNZmhIOWQzNStmbHZidHQrd2Jmc2MxQzBJTVR3UUNDVE5WeWdvS05nQTRHeS8zMzhUZ0lkRlpKelA1enRkUkV5bDFKOUY1SnRBSUxEM3hValNiUFhxMWRXclY2OCtjUE0waUdpL0d6aHdJQVlPSEpoeTI4Y2ZmNHp2dnZzT0RvY0R0bTNqN2JmZmhtRVk2TkVqdVV6TmdBRUQ4TlZYWCtHKysrNkR6K2RMdFdJamdMb1BrNFdGaFZpNGNPRWVWMGdrSWpwSWFnRnNFcEZWQUdiVzF0Yk9UREZqb2tVYk8zWnMwdFRUc3JJeVRKdzRFYXRXcllMUDU4T25uMzZLQ3k2NEFQUG16Y09vVWFOd3pUWFhJQ01qWTcvRjBMdDNid0IxQzJUMDd0MGJJZ0tQeHdQYnRtSGJOb1lQSDQ3enp6OC9hY0dOano3NkNPUEdqY08wYWRPU3ZpU3FyYTJGeStXS1pmZlI0YzNuODQxU1N2a3N5L3E0cUtqbzNYVEhRMFJFdXgxV3I4SUZCUVhiL1g3LzA2WnAvajRVQ2pVK1R3R3dDd3NMcCtiazVFeDNPcDJuRnhVVkxmVDcvZStJaUtXMXZnNlJnc2hFUk9tMmZ2MTZ2UERDQ3dBQXBSUzZkT21DaHg1NktHbDZGQUQ4K3RlL3hvWU5HN0Jnd1lKR2F5NDVIQTUwNmRJRnQ5NTZLMGFOR25YQVlpY2lhaXJUTktkcHJaOHpER05KUVVGQk9OM3g3QXZMc3JCNDhXTE1talVMQlFVRkdEbHlKSjU0NGdsODhNRUgrUHp6enpGdTNEZ01IejRjVHovOU5GNTY2U1ZjZE5GRnVPQ0NDekJnd0lBbVpWRTNKaWNuQnhrWkdmanl5eS9oZHJzQkFEMTc5c1NFQ1JNd2UvYnNQUjUvNnFtbk5ycjlZQzF3UVdsMVA0QkJBUG9ENENBZUVWRUxjbGdONGdGQVlXSGhPNDFzUzdyZjB0TFNXZ0NmQWtCMWRmWE5McGZybUlLQ2dtVkpCeE1STmVLMTExNXIxdjZ6WnMxcThyNmpSbzNDcUZHallOdDFNOGhTVGFPTmF0V3FGZjc4NXo4M0t4WWlvcGFnQ1YvQXRtalYxZFdZUDM4K3Z2bm1HL3ozdi8rRllSZ1lNV0lFeG84ZmovYnQyeWZ0ZitLSkoyTEdqQm40L1BQUE1YdjJiRngvL2ZYbzJMRWo4dlB6Y2RaWloySG8wS0Y3RllmVDZjVFBmLzV6ekowN0Y1czNiMGJYcmwzUnVYTm5qQmt6QnJmZWVtdUR4MzN5eVNkNDVKRkg4T0dISHphWXhRMEFiZHEwMmF1NDZKRFNQVktXbzFlNkF5RWlva1NIM1NEZXZpZ3RMZDBJWUdPNjR5QWlTcVd4d1RzaUlrb3ZsOHVGcjc3NkNrNm5FdzgvL0RCT1B2bmtSZ2ZEb3M0ODgweWNlZWFaK09HSEh6Qi8vbng4K2VXWE9Qcm9vL2NwbGx0dnZSVkxsaXhCUVVFQi92Q0hQd0NvcTVuYTJMVGRWcTFhQVFEYXRtM0xLYk5IT0JFcEJKQXZJZ3ZUSFFzUkVTWGlLelFSRVJFUjBUN1NXbVA4K1BHTjdqTml4QWlNR0RFaTViWXVYYnJncXF1dXdsVlhYYlhQc1hUbzBBRXpaODVzMWpIRGhnM0RzR0hEOXZuYWRPaXJyYTBkWmR0Mm14MDdkbXhPZHl4RVJKU0lnM2hFUkVSRVJFUUVnTE9UaUloYU1zN05JaUlpSWlJaUlnQ0F6K2Y3bDkvdkY1L1A5MWk2WXlFaW9rVE14Q09pdlJZT2gxRzZkSG02d3lCcXNtL0x2a05OVFcyNnd5Q2lneXdjRHFPa2RDbHFhdm40YituV3JTOUhkWFYxdXNNNG9vbkkwTWdxeVpjRCtGMmF3eUVpb2pnY3hDT2l2VmF4WXdjbVB6Y1ZUcWN6M2FFUU5ZbHBtcWpZc1NQZFlSRFJRVmF4WXdlZW12d2NGMnc0QkZpV2hlMFZGZWtPNDBoWEpTSVFrZTNwRG9TSWlCTHhuUXdSTlZ1dDJCdGNVRC9ZQUxieGpmYitad3VVVWdvUWlFQ2dWYm9qT3V3b3BTck1zS3hMZHh4RWRHQlpKdFlaVHZuQkJyQjFPOGNqRGlVSzJJbXdyRTUzSEVlbzZRRDhTcW4zMHgwSUVSRWw0aWRESXRvYnVrZS9RUU1jTURxbU81RERrY2NwZmR4YTM2STBuTldtUGFVNnJGYWtPNmJEamJMRFcxZXRXRklNd0U1M0xFUjBRUEgxNmhBbFp1MzJOV1dseFFETWRNZENSRVRVVW5BUWo0aW9oZkg1ZkVPVVVyTkV4QVBnMGtBZ01EL2RNUkVSRWRHUndlZnpuYXVVeWpaTk14Z0toUmFsT3g0aUl0cU4wMm1KaUlpSWlJZ0lBQ0FpZjFCSy9VeHIvVElBRHVJUkViVWdPdDBCRUJFUkVSRVJVWXVSSXlJQTRFOTNJRVJFbElpRGVFUkVSRVJFUkFRQUVKRk50bTNiSXJJaDNiRVFFVkVpVHFjbElpSWlJaUtpcVAvUDNwM0hSMVdkZlFEL1BmZE9acktRRU1NdXFCRWk2QkNTdVJNUWQ0c2JsQ3J1ZmEzVVhhdFcrMXBMcTdWV1ZON2F1cTlZcmFWMVI2MTdVU3RVY1ljcUpET1pBQUpHU0JWUnRoQkNDRWxtNWp6dkg1a1pKd3NRMWduSjcvdjUrRW5tM0hQUGVlWm1HT2MrYzViZnFHcUJxcGFsT2hBaUltcUpTVHdpSWlJaUlpSUNBSlNYbDcrUjZoaUlpS2g5VE9JUkVSRVJFUkVSQU1CeG5Oc0JqQVh3ZUNBUWVERFY4UkFSMGZlNEpoNFJFUkVSRVJIRm5Tb2lQbVBNYWFrT2hJaUlXbUlTajRpSWlJaUlpT0o2QTRCbFdmMVNIUWdSRWJYRUpCNFJFUkVSRVJIRi9WZFZtd0JVcGpvUUlpSnFpV3ZpRVJFUkVSRVJFUUFnRUFpTVRIVU1SRVRVUGlieGlJaUlpSWlJQ0FEZzkvc1BVZFcrMFdqMHExQW90RHpWOFJBUjBmYzRuWmFJaUlpSWlJZ0FBTWFZNndHOENPQ1NWTWRDUkVRdE1ZbEhSRVJFUkVSRWNTY0I2RzFaMXNtcERvU0lpRnBpRW8rSWlJaUlpSWlTaWFwR1V4MEVXRHFMTWdBQUlBQkpSRUZVRVJHMXhEWHhpSWlJaUlpSUtPNGhWWFdNTWY5T2RTQkVSTlFTazNoRVJFUkVSRVFFQUFnR2czOUtkUXhFUk5RK0p2R0lpSWlJaUlnSUFPQTR6cGtpVXFpcUh3Y0NnWGRUSFE4UkVYMlBhK0lSRVJFUkVSRlIzS1VBYmpIRy9EalZnUkFSVVVzY2lVZEVSRVJFUkVRQUFGVTlFZ0FzeXhxYjZsaUlpS2dsanNRaklpSWlJaUlpQUlDSXJCY1JBRmlaNmxpSWlLZ2xqc1FqSWlJaUlpSWlBRUFnRURnZzFURVFFVkg3bU1RaklpSWlJaUlpQUVCSlNVa21nTFIxNjlZMVZsVlZOYVE2SGlJaStoNm4weElSRVJFUkVSRUF3Qmd6eVJqeldtNXU3bm1wam9XSWlGcmlTRHdpSWlJaUlpSUNBS2pxaFpabERWWlZONEMvcGpvZUlpTDZIcE40UkVRZG9LcWFvcTdmVDBXbkVsdlJtb2lJaUxxZEhyR1BQVG1wRG9TSWlGcmlkRm9pSWlJaUlpSUNBSWpJVEZWZEF1Q3RWTWRDUkVRdGNhUUZFVkVIcEhBa1hrcHdKQjRSRVJFUkVWSG53dW0wUkVSRVJFUkVCQUFvS1NucGJZekpVdFVOd1dDd0p0WHhFQkhSOXppZGxvaG9MNkNxbURadEdqNzc3TE90MXZ2aWl5OXc5OTEzbzZHaFlROUZSa1JFUkYySk1lWWhFYWtTa2V0VEhRc1JFYlhFa1hoRVJOc2hFb2xnOU9qUm1EUnBFczQ5OTl4RWVTQVFRRk5UMDFiUDdkdTNMdzQ4OE1DdDFtbG9hTURLbFN1eFlzVUtWRlZWWWZueTViamtra3ZRdjM5L1BQTElJL2pwVDMrS1F3ODlkSXZucjFpeEFzODk5eHd1di94eXBLZW5iOStUSXlJaW9tNVBWU2VJQ0ZUMVBBQTNwRG9lSWlMNkhwTjRSRVM3d0EwMzNJRDE2OWZENVdyL2JiV3hzUkVUSmt6QTVNbVRBUUMxdGJWNDhza25VVjFkamVycWFxeGV2UnFyVjY5R1RVM0xXU3R1dHh0SEhIRUUrdmZ2djFQeG5YamlpYWl2cjIvMzJJd1pNNUNYbDdkVDdSTVJFVkhYSUNKckFld3ZJbCtsT2hZaUltcUpTVHdpb2wza3Nzc3V3NldYWHRydXNZc3Z2cmpGWTQvSGcyZWVlUVk5ZXZSQXIxNjlrSmVYaDVxYUdtUmtaR0RTcEVrWU9IQWc5dHR2UC9UcjF3K1daU0VTaWV4VWJQWDE5VGpvb0lOdzFGRkhKY29XTEZpQWp6NzZDTWFZbldxYmlJaUl1cFNMbzlIb0FlRndlRUdxQXlFaW9wYVl4Q01pNm9EVnExY2pFQWdrRWw2TEZ5L0d6Smt6a1pHUmdXT09PUVpBODFUV1R6Lzl0TjN6NitycVdqejJlRHlZTTJjT2JOdE9sTjF3d3cyWVAzOCtUai85OU8yS2JlM2F0U2d0TFFVQUxGcTBDQUF3ZS9ac3BLZW5vMWV2WGhnNWNpUUFvTEN3c0VXUzhZVVhYc0JISDMyMFhYMFJFUkZSMXhZSUJONU5kUXhFUk5RK0p2RzJqemlPVXdKZ1pTQVFXSm5xWUlob3oxbXlaQW1tVEptU2VEeHo1a3k4Kys2N0dEQmdRQ0tKTjNQbVRMejMzbnZ0bmw5Zlg0L0N3c0lXWmNrSnZKM3g1WmRmSm1LTGo5aTc4ODQ3QVFDalJvMUtKUEdJaUlpSXRzVnhuUE5GeElsR28rK1dsNWUva2VwNGFOY3JMaTRlV2w1ZXZqVFZjZXhtdkhlbkxxbExKL0VjeHhrSklIOXJkVFp2M3Z6ZTRzV0wxM1drdmZ6OGZJK0l6QU53SzRCYmRrR0l1NFhQNTh0VjFVSVJXUkVNQnF0U0hROVJWM0QwMFVmamswOCtTV3hzY2MwMTE3VFkyQUlBTHJua2tnNVBwOTJWUm84ZWpVOCsrUVFBY050dHQrR1ZWMTdCMjIrL2plenM3TjNXSnhFUkVYVloxd0R3aTBnQkFDYng5b0RpNHVMaHRtM3Y4QWUzYURUYVdGNWVIdWhJWGNkeGpnSHd2cy9udXlnWURENjVvMzN1YXQzMTNwMW9lM1hwSkI2QXEwWGtORlZ0azhnU0VSdEFvY2ZqT1JyQXh3QlFWRlEweUxidExhNGVyNnJ1MksvN3h0NWt0aVFjQ0FUS2R5YndIVkZZV0Zqa2Nya3VFcEdUUkNSWFZYOERnRWs4b2ozazg4OC94NnV2dnRydXNYWHIxaUUvZjZ1ZlMzYWFxbko2TEJFUkVlMnNBMVFWQUE1S2RTRGRoVzNiZndNd2VrZlB0eXpyR3dDRE9sSTNFQWg4NlBmN1h4T1JCMGFNR1BIUGlvcUs5VHZhN3k3V3JlN2RpWGJVWHAvRWN4eG5Pb0F6a29xZURnUUNsOFVmcU9vN2dVRGdyTmJuK1h5K1hNdXlXcnhoMmJiOVN4R1p0S1crUkNUKzYyVWljdG1XNmdGWUI2QjNSK0xmQ2Rhd1ljT3kwdFBUQjRqSWlTTHljeEh4SmxkUTFiVGRIQU5SdDZXcWVQLzk5N0ZzMmJMRUtMdnk4bko4OVZYN0c3bXRYYnUyeGVQWnMyZGp3WUtXNjBVdlhib1U5ZlgxZVBEQkI5dnREd0FDZ1VDYjR6LzcyYytRbnA2T2VmUG1ZYzJhTlFDQTk5NTdEMzYvSDRNR2RlanpIQkVSRVJFQVFGVVhpSWdEb0RUVnNYUW5xdnJ2YURUNnE5YmxsbVc1TE12cUg0bEVWZ05vYW4zYzVYSk5BbkJpY3BuZjd4OEg0Ri9iNmpNdExhM2E3L2UzZTh3WWMxc3dHUHg5UitQdmlHNTg3MDYweSt6MVNUd0FiZ0F6TE11NlNWVWZhSjI0RXBGOTJzdThxMnFQMW1XUlNPUTIyN2FuYnFralk0ekg1WEl0QnZDQU1lYitMZFdMUkNMUjdYc0tIZWYxZXZ1bnBhVWRJeUxGSXVJSGNMaUk5QVNBakl3TUZCWVdZdDY4ZWJ1cmU2SnVMNTZNZS9qaGgrRnl1WERoaFJjQ2FGNkRyaytmUGhnd1lFQzc1eTFldkJqcDZlbUp4L1BtemNNLy8vblBGblhDNFRDaTBTaGVlT0dGTGZhL1pNa1NmUG5sbHkzS3pqLy9mS1NucCtQbGwxOUdyMTY5c0c3ZE9qejc3TE40K09HSE1YWHFWQngwVVBNWDZVa2Zab2lJaUlqYUZZMUdMemJHOUdwc2JQdzIxYkYwTTdXaFVLak5qc0JGUlVXRmxtWDlTMFNPTGk4dkwydDkzSEdjclUwdnZRTEFmNU1MakRHMlpWa3Q3bGVqMFdpT2JkdTFyYzc5RXJ0ZXQ3cDNKOW9kdWtJU0R3QTJsSmFXTG5ZY1oyTTd4NDRGOEg3cnd2WnVabU5EaWJjNG5EZy9Qejg5THk4UEFHcjI4RnB6bHVNNFl3Q2NKeUtIcVdvL0FEa2lZZ0hBa0NGRGNNSUpKK0RJSTQ5RS8vNzljZEpKSiszQjBJaTZoNisvL2hxUFBmWVlaczJhQlFBWU4yNGNmdk9iMytEdmYvODdqanp5eU8xcTY5NTc3OFgxMTErUDY2Ky92a1g1cEVtVDhNVVhYN1JKN2dGSXJNVjN6am5uNE5wcnIyMXpmUG55NVhqMzNYZnhrNS84Qk5PblQ4ZTk5OTZMU1pNbVlkS2tTWGpsbFZjUWlVVFFvMGVieno5RVJFUkVMVlJVVkN3RHNDelZjWFJUTHEvWDIySlVtRzNidlFEQXNxdzhyOWZiZXZwbzlkWWFpMFFpbjRSQ29RV080endvSW0rV2xaWE45UHY5UHdOd2QyMXQ3YURLeXNwYUFKYmY3NStucXJYUmFQU0tVQ2kwWkpjK283YTYrcjA3MFc3VlZaSjQ3UktSZWFwYUVRZ0U3bWw5cktTa0pOTVk4NVRMNVZyYitwampPSFVpa3JXVnBtLzIrLzAzdDNmQUdITlJNQmg4WWlmQ1JrRkJnY2V5ckd5UHh6UEE1WEw5R01CRklqSVFhSDRENjlHakIvTHk4dUQzK3pGaHdnUU1IejRjTGxlWC9sTVNwZHk4ZWZQdy92dnY0NG9ycnNEVXFWTlJVRkNBakl3TWpCczNEbDZ2dDAzOUo1OThFaHMzYnNUVlYxL2Q1bGg4WkZ4cm16WnRRbVptNWc3Rjk5QkREeUUvUHg5K3Z4L1RwMDlIVGs0T0huNzRZWHozM1hkb2JHeEVKQkpCVGs3T0RyVk5SRVJFM1lmak9NK0p5RG1xZW5zZ0VMZ2gxZkYwSjQ3aitHS2JNYlFoSXE4bnorcUkrV0Y4eVpVdEtTb3FHaTBpdnpER3pJd1hBYWlMSmZBQXdFU2owVXN0eTNyR3R1MXl4M0VtQmdLQmwzZm1lZXlJdmZYZW5XaFA2N0taSDhkeGxxanF3Tmp2dDRySXFyS3lzaUYrdi84NlZaMXNqQUVBR0dQRytmMytLV1ZsWlhmR3p4V1JjNHd4TzNSdGJOdHVNOFM1bzRxTGk0ZkgxcmNiQVdBa2dBSVJ5UVNBdkx3OGVMMWUrSHcrRkJZV3d1djFJaXRyYSs5VjM5dDMzMzB6Ky9idGU3cGxXUVdSU09TalVDZzBHd0M4WHUvK0hvL25iQkhwMGREUThKZEZpeFo5QnpTLzBidGNybkhSYVBTcjh2THl4K1B0K1AzK3l3SDBqMGFqTDVXWGx5K00xUjNrY3JrdVVkWHF4c2JHeHhjdFdsUUhBSTdqbkNVaXc0MHh3V0F3K0NhQWlNL255eFdSUzBRa1hWVm5CZ0tCK2JGMkM0d3hvMVUxSEE2SDM0cTFZZnQ4dnNOaTE2QXFFQWg4QUFDREJnM0s2TldyMXc5RkpMdXVydTZ0eXNyS05RRGc4L255QVJ4cldWWjFXVm5aakhqTWp1UDhVRlg3V3BiMVdWbFoyZWNBTUh6NDhMeTB0TFJUVkhXenFyNGZDb1ZXeDY2L0l5SkZJdkxOeG8wYlA2cXNyR3djTkdoUVJwOCtmWDZncW4xVk5SVGY5YW1vcUtpdmlQeEFSRElBdkI0TUJtdUF4T1lpam9pc0RnUUNpWFVvL0g3L0tjYVlQR1BNdTZGUWFFVzhEY3V5ZnFpcUc4dkx5LzhKSUJLTCtWaFZ6VGZHTEE2RlF2TUJSSWNORzVhZG5wNytReEZKRTVHUEE0SEFmK1BYTGhxTkhnYWdQaHdPejRwZE81ZlA1eHNOb0FEQUY4RmdjRTc4MnZYcDAyZThxdlpvNzlxcDZycnk4dkxFRG1RK24yODhnRDd0WFRzUmFkeTBhZE03UzVjdVhSc3JMM0M3M1FNamtVaDFSVVhGWWdCaHI5ZnJkcnZkWGhISmFXeHNyRnEwYU5GWFNXMGNMQ0pwMFdoMGZpZ1UycFQwZWp4UVZUY0VnOEZnMHQ5d0pJQ3NwcWFtaW9VTEYxWUR3T0RCZzN2MjdOblRwNnIxd1dDd0RFQVVBRWFNR0RIQzVYTGxpY2czWldWbFh3TFEyR3VtUkVTMHJxNXVhZng1RnhjWEQ3UnRlM0EwR20zY3RHbFRlV1ZsWlNNQTIzR2NZUUQ2UktQUjc1Sy9pUnc5ZWpSZWZmVlY1T2JtWXVyVTcwZnVEeGt5QkVPR0RNRUZGMXlBc1dQSEpuYXNmZXV0dDJCWkZzYU1HZFAySCtVV3JGcTFhb2ZXc0pzN2R5NCsrT0FEVEpreXBVVjVyMTY5MEt0WEw2eGN1UklBMExObnorMXVtNGlJaUxvWFZUMWVSS0NxRXdBd2liY0hXWmExeUJnektybE1SSVlBZUY1Vkx3WFFZZ09HalJzM0xzM096ajVoYTIzYXRuMnBxaTYzYmJ2TTYvWDJWMVZIUkNxVFIvV0Z3K0Z2WFM3WHliWnQvMHBFeXIxZWIvK21wcWIxc2MvSHU5M2VlTzlPbENwZE5va0hJRXRWYndId2ptVlpZMVQxZXFCNWx4b1JXV0NNdVFJQUxNdDZOR25uR2dCQUpCSjV6N0tzUHR2YllWTlRVME04RWJZZFhJN2puQTNnSERSL0s3SXZBTGVJd0xadGVMMWVqQnMzRG9jZGRoaHljM09SbTV1N3ZXR2hSNDhlbVNMeVV3RGpMTXU2RGNCc0FFaExTOXRmUkg0Tm9ML2I3WDRkd0hjQVlGbldZUUJ1RVpHUEFTU1NlS3A2aFlqNEFDd0dzREJXUEFqTlczWlhBbmdSUUYycy9Dd0EvMk5aMWhQNStma3pxNnFxSWdCeVJlVFhxdHJER0xNU3dId0FNTWFNdGl6cmJnQ2J3dUh3ZndEVUZSUVV1RVRrUEFBVFZmVmxBQjhBUUY1ZVhyWmxXVGNER055alI0L2pBS3lKdFZGaTIvWlVWYTBBa0VqaUFiaFdSQTQzeGx3UDRQUFk4eHNvSWxORlpCV0E4d0NzanBXZkRPQTZFZm0zeStVS0FHak15OHZManJjaEluY0NDQUNBYmR0REFQd1JRTDl3T1B3WmdCb0FjTGxjWTBWa01vQzVTRnBNVmxWdmlDVm56d2F3SWxZMkpCYkhzcUtpb3BtaFVDZ1NLNzlJUk02MGJmc3ZCUVVGd2NyS3lxamI3ZTVqMi9ZZkFXUVpZNjVFYkcwTFk4eG8yN2J2VTlWdll0ZXpycWlveUpOMDdaNEVNQ2QrN1FCTUVaSDkyN3QySWhJQWtFamlBZmkxaUl4cTc5b0IrTmJ0ZGk4Q3NCWUEzRzczK1NKeW1jdmxlbS80OE9GWEwxeTRzTnJqOGZTTXZUWkswdExTN2dBd05YYU5pbVBQT3cvQUR3QXNpYlZ4aG9oY3I2cHowWExCMjd0RTVHQzMyMzBlZ0hjQUlEczdlNWlJUEsrcWxTVWxKV05MUzB2clkzK1g2MFRrQkdQTTN3Rk1CaER0M2J0M1A4dXluZ0FReWNySytuWFNjenhKVlNkYmx2VnRXbHJhbVFDK0xTa3A4UmhqcmhXUmsyM2JuZzRnc1ZqdXdJRURBVFJQYTIydHBxWUdDeFlzd0psbm50bWl2SzZ1RHA5KyttbUxzZ0VEQm1ELy9mZHYwMFpkWFIyKy92cHJISFBNTVcyT2JVdlBuajNoOVhyeHd4LytFQjk4OEVHYjQ1OS8vamtBNE9DREQ5NXFPL2ZmZnorT1BQSklqQm8xYXF2MWlJaUlxRXRyaW8zdXFrOTFJTjFON0RQdC9PU3lvcUtpQnBmTEJXUE1rdkx5OHZtdHozRWNaNnR0aXNoSkFQWlgxWlhKSS9uUzA5TzN0T2JoMWVucDZYQzczYWNEZUcxN244TU8ybHZ1M1lsU3Jpc244UkFid1JYMCtYejV5ZlBvVmJVdVB0TEhjWnk2MXVmWnRuMktpRHkzdmYxNVBKNFAwSnlVMkM2cTZvbHRUcEVwSWxGdC9yK21BSURMNVVKR1JnWXlNek9SbHJaam04MTZQSjRvZ0ZXcVdpVWlpWFVETE10cVVOV3ZBVFNFdytIRVRrZXFXaHVyMi9wTmJhV3E1Z0xZRkM4UWtjYllOdURmeFBxSld4TnJZNjNMNVZJQU1NWkVST1JyQUptV1pTWFdRRkRWQ0lCTnFyckpzaXhOYXJzQnpVbkJobmlaYmRzS1lKT0kxRVdqMFVSL2xtVkZSS1JPVlZ0LzJOZ2NLdzhuMVRXeHNrM0dtT1NZbTJMbERiRis0djNGMjBoY0kyTk0xTEtzVFNKU1oxbVdTV29qSEt1N3VWVWM5U0pTWjl0MklnTmtXVlkwSGtkYVdscUw1eTBpZGNhWXhEZGZ0bTBiVmQwVSsxWTAwWWFxUmxTMURrQjkvTnFscGFXcHFzYXZYWElidSt6YUFhaXpiVHZSaGpFbXpiS3NkQUNKRjJrMEdoWGJ0ajBpa2k0aWlmY2FWYlZFeEtPcTZjWVlLK2w1MjZxYWp1WUZiNVBGNjlySmJhaHF1b2g0d3VHd0pMV1JGbXNqRVljeFJrVEVBOEJsV1ZaeWZ5NFJTUWZnTWNZSUFJVERZYkZ0dTAwYjIxSlcxdndsWGp6UkY3ZHMyVEw4NmxjdE54azc5OXh6Y2RWVlY3VnA0NjIzM29LcVl2VG8wUjN0TnNIcjllS3V1KzVDMHROcllmNzgrY2pOemNXQkJ4NjQxWFptejU2TjJ0cGFKdkdJaUlpNnR6Y0JIS3FxYjZVNmtPN0s3L2NmWW93WkJnQWlzbi9zNTlFK255KytYbDVWOHN5VkxSRVJCWEJLUFBFbElrY0J1QS9BeGJIQkQxdFR1Y05QWUFmc0xmZnVSS25XMVpONFR6dU84MFFzT2JBaHFmd0g4VGVBMk5UT05vdG54a3dRa1MvaUQySnZmdVdxK2lmTHNwNUtyaGdiK2JNaklyRjUrRTg0anVNMXhvd1NrYU5VOWRCSUpGSVFDQVF5QTRGQWkrbTBJMGFNZ05mcjdmRGFXYkZGUHk5c1hSNmJ6bnBvNi9MWUZOckgyNm4vbzNicUJnQzB5UXdFQW9GZkFQaEZjbGxzR21tYi9zTGg4SnZoY0hpdVpWbTZZTUdDYndHZ3NyS3lhZWpRb1gvSXpNeTh2NjZ1THBFMERBUUMxY1hGeFdlTFNGcDlmWDNpMnlOanpEc0FEdCs4ZVhPTGJkY2JHeHN2ZDd2ZDZYVjFkZFZKL1gwaElvZEhJcEZvUTBQRDZuaTVxdjVGVlYrSVJDS2JGeTVjV0JQdnordjFYdTUydTlNUkcyMEhBSnMyYlNwUFQwOC8yZVZ5MldscGFkL0V5MnRyYXgvUHljbDVyYW1wS1pGNEJJRDYrdnJ6TXpJeTNHdlhybDJWM0VhUEhqME9WOVZ3SUJCSUpQMDJidHg0VTQ4ZVBXNFBoOE8xbFpXVlRRQVFEQVpYRkJZV25teU1rWnFhbXNSYUVPRncrRTFWL1kvYjdZNHNXTEJnRlFDVWxwWnVqbCs3aG9hR1JMSTBFQWhVRnhVVm5XRlpscXU5YTlmWTJOaGl1SHhqWStPbEhvL0gwOTYxTThaRVl0dmNBd0Fpa2NqZjB0TFNaa1lpa2VxRkN4ZHVqSlhWaU1qdkxNdkthV3BxV2g2dkc0MUdBNVpsWFFBZ3piS3NyK0xsRFEwTkwzazhudExrNnh6N3Uxd0RJS3V4c1RIeFFhT3VydTd6bkp5YzAxVzFQaFFLSmE1MWJKZXFSd0Y4QThBQVFIVjE5WGQ1ZVhubmlvaHUyclJwU1ZLN2I2bnFrbWcwMmhpTlJ0Y0JRQ2dVYWlndUxyNUxSSjR3eG5SNFI3WVpNNW9IZno3enpEUHcrWHl3N2VaOFkxRlJFZjcrOTIyL05WUlZWZUhoaHgvR2dRY2VpTU1PTzZ5ajNiYlF2My9yZFk2Yk5UUTBZUGJzMlRqaWlDTzJ1VHR0ZFhVMSt2VFo3aTh5aVlpSXFBc0pCb09YcHpxRzdzNFlNMUZFZm9mWWFNallsL2szeGc1bm9QbGU3ZEl0bmErcVdTSUNFZGxVVmxhVzJOVEJjWnpMUmFSV1JHWVlZOXBPTHdHd2R1M2F4aFVyVnJRZWtMRGI3U1gzN2tRcDE1V1RlSlVBL2s5VlB6WEdETFVzNjBTLzMvODdWUlVBOTZucXM3RjZOeUkySmJDMVNDU3lQQlFLTFk0L2p1OXdJeUtyUzB0TEZ5ZlhkUnluSGp0NVBRT0J3Q0lBaTRxS2lsNktSQ0s5M0c3M0lEUlBLNXhZWFYzZC8rT1BQOGFjT1hNUzAyb1BPK3d3akIwN0ZnY2ZmUEJldmJGRmJCMjMxdCtxYUd5OXRkWi9tMmg1ZWZrM3Jjb1FXMWR0VSt2eTlvWklMMXEwcUFsQW14MktZdXZhMWJRcWpyYlhSbXg5aUs5Ymx5OWJ0bXdEZ0EydHk1Y3NXYkp5QzIyMGlTTzJadHVhVnNXUkJRc1d0T2x2ZTY5ZGZEMitaRnU2ZHA5Ly9ubWJKTmFXcnQzQ2hRc3IwZXJidWxqZFFEdDFxd0Y4MGs1Ly8wVnNtbkN5WUREWVpuSGYySFZ1OHovd2lvcUtOdDhvcmxpeFl2T0tGU3MrYWwwZWV4MjFmaTFGNCtzOWRsUnBhU2srL1BCREhIZmNjU2d0TGNXdmZ2VXJUSjQ4dWNQblYxUlVZTktrU1FpSHc3ajExbHUzT0pwdVI3Mzg4c3RZdTNZdExyeXdUUjQva2RScmJHeEVUVTBOTm0vZWpIMzMzWGVYOWs5RVJFUjdGOGR4amhlUmdrZ2tFZ3lGUXA5dSt3emFIVVJrV1ZsWldVSHJjc2R4UHQ3V3VhcmFRMFFRRG9mam0xZkE2L1c2MFh4dm1hT3FhN2IwbWJOdjM3NFByRml4NHBjN0VmcU8yT3Z1M1lsU3BhdStjTzMxNjllUFMzcThHTUEvOC9MeTZnQmNWRjFkL1dMU3NmTmlQd1dBQWtCc21oNXMyODcyK1h5SlJlZ2lrWWdIQUl3eEdjbmxNYnZzV2lZbFZiNUM4M3BtMXptT00xWlZMMVBWMGV2V3JldTVidDI2akdYTGxsblRwMC9IMEtGRE1YNzhlQnh6ekRHSWJhTk5STHZZRjE5OGdZOC8vaGhmZjkyY1MrM1pzeWUrKys0N1RKNDhHYjE2OWNMTk45K00vLzczdi9qdGIzK0xVMDQ1QlJrWkdjakp5Y0c3Nzc2THRMUTBHR01RalViUjJOaUlvVU9ISWo4L0gwODg4UVQrK3RlL3d1MTI0NTU3N3NIdzRjTjNhY3lmZi80NS92em5QMlA4K1BFWU1tUkltK01EQmd3QUFOeDQ0NDJKc3VMaTRsMGFBeEVSRWUxMWJnQnd2SWc4QVlCSnZMMlFaVmw1cXFycDZlbUpXVG5wNmVrWEFjaEQ4enJvL3pIRzNOcnFuUEVBYmxQVm1kaXo5dXA3ZDZJOXJVdThlRVdrUjJ5SHpVd0FkVDZmN3lMTHN2NjZoYnBQNWVYbFBkVzZQQ2NuWjBRb0ZGb0FBSlpsOVkzVm5aTTgvY3p0Ymw2cXk3S3NQNko1VTRNV1ZMWHRpdks3aG9udGRQb3ZyOWZiMytQeEhBV2dHTUJJVlQxODZkS2xQWmN1WFlySEhuc01oWVdGdXlrRW91NXR6Wm8xbURadEdsd3VGMHBLU25Ec3NjZmk2YWVmUm4xOVBSNTU1QkgwNk5FRHc0Y1B4NHN2dm9nWk0yYmcvZmZmeDFkZmZZV2JiNzRaa1Vna2tjUURnR25UcGdGb1hxdHV5SkFoK01NZi9vREJnd2Z2OHBqLzlyZS9ZZkRnd1MyU2RNbU9PT0lJbkg3NjZTZ3JLNE50MjdqbW1tdVFuNSsveStNZ0lpS2l2WWVxRnFJNVFjSkZjbE1yMCsvM245eTZVRlgzNmNDNUJ3T29LaTB0RFFOQVNVbEptakhtQmhGNXp4anpKeEY1RzhCZHdXQndEZ0RFN2pGL0NlQ3AySDNuYnRNTjd0MkpkcXN1a2NSRDh5Nm8vd01BcXZxa2Jkc2Z4M2J3akR0UFJFWURzQUZFQVlSVTliSGtCbUs3ZThaL0x4U1JXbFU5Zmp0aWVIZ240dSt3Mk5UT2x3Qzg1ampPUGdBT0FIQ2NNZWJpK3ZyNllaOTk5dG1lQ0lPbzJ6bmlpQ1B3eVNjdFp3RmZlZVdWbURoeEluSnljaEpsNmVucE9QdnNzM0gyMldlMzI0NHhKakZsOXA1NzdvSEg0K25RZEhpWHk0WFMwdEp0MWhzelpreWkzdTIzMzQ3Nitub2s3MFNXekxadC9QNzN2OTltbTBSRVJOUjlxT29tTkk5MFdyK3R1clQ3cUdwL0FNKzNjeWdEd054dG5Ec2N3SUtreDc4UmtRTlU5WUpnTVBpQjMrOS9Ec0FyeGNYRng0ZkQ0WFhwNmVuL1Z0WFZrVWhrVDB5ajdUYjM3a1M3UTFkSjRyMWdqUGt0QU5pMlhWZGFXcm9Xd0dLZno1ZHZXZFo5QUlZQ09BbkFMR1BNVFpabFhRbmc4S2FtcG10ajYzTWxjd0VZQjJCdWJPT0hEaGt4WXNTNCtBNlhlMGdrRUFqRTEwNmJEK0RPNHVKaXg3S3NuNHZJU2FxYWJWbFd1NHVWRXRHdWs1ekE2NGprOVVleXNySjJkVGd0dUZ5dTdZNlBpSWlJdWpmTHNuNXZqRG5ZR1BPZlZNZlNYVm1XdFE3QWUyVmxaVzBTVTM2Ly8zbFZYZDNPYVFBQW44K1hLeUtIcXVvVUFDZ3VMbllBM0tLcTB3T0J3QWNBVUZ0YmUwbDJkdmFidG0yL2I5dDJyYXB1amthang4VTJSR3pkM3kwQXNzckt5cTVIYk9PNG5kUWQ3OTJKZHBtOVBvbW5xdmVwYWxNd0dFd3N0bDlTVWpKRVZYK0Y1cTJ6M3dpSHc0VUxGaXhZNWZmN0lTTExSV1MwcWo3dmRyc3JIY2VaQ3VCdmdVRGd2d0RnT003UFJhUVAydG1kZFd2YWU4UGIwMkk3eFY2V241K2Yzck5uejVISjMxQVFFUkVSRVJGdFN5QVFlQzdWTVhSM1pXVmw5d0c0Ynd2SHp0bkc2YWNCU0xNczZ5WEhjZllWa1pkVWRSV0F4Q2k3ckt5czNpS3lETUR4QUhxTHlHdTJiZmNHMENZNUdOc2tZNUxqT0VPajBlaTVzZlhiZHdqdjNZbDJYcGZLUHBlVWxQUTB4cndNNERnMGJ3aHhZL3piQmdEdysvMFJWZjFwSUJCNEhvRGw5L3N2QlhDcnF2WURjS1NxUml6TGVrZFZsd1lDZ2NQUVBIeVhpR2lQY2h6bldCRjVYbFhUQVp5Vy9ENUdSRVJFdERzNWpuTTdnTEVBSGc4RUFnK21PcDd1d08vMy93Zk42NTAzYk8rNUl1SlcxZFdCUUdCUWJPMjdoU0pTWjR3NUxyWk8zQUhSYUhUTXVuWHJLbnIzN24yY1pWbG5xdXBFRVZsbGpMa3Axc2FkQVBvQWVCdkFqR2cwT2pzVUNpMko5K0h6K2E0UmtmdEU1TE53T1B6RFhaRUU0NzA3MFk3WjYwZmlKU3N0TGQzZzkvc2ZpRVFpTjNaZ08zUlRWbGIybU5mcmZTSXRMZTNJOHZMeXVYNi9mNGFxUmkzTE9nOThFeUFpSWlJaW9tNUdWY2RhbHVVenhwd0VnRW04UFVSVkY4UjJCTjVlRTlBOEJSV3Flb0NJN0tlcVp3U0R3VnJIY2VZQ3VCcEF1Ry9mdnRVQTBsWDFjd0MvVzcxNjlaOVhyRml4R1FCS1NrcGVOTVpjQ3VCbkl2Sm4yN2FOMys4L3NxeXM3RDhBRUF3R0gvRDVmR0VBRDltMmZRS0FGOXNMWkh2dzNwMklkcHJYNiszdjgvbTRDeE1ScFpUak9NZjYvZjV2SGNkWjd6ak9zYW1PaDRpSWlMb1B4M0hXK1AxK2RSeG5ZYXBqNlVac0FOWTJhM1ZBY1hIeG9lMlYrM3krQzJMcjQyMlY0emhlbjg4M3ZyMWpmci8va0oyTmIxZmh2VHQxVjExcU9pMFJVVmZBNmJSRVJFU1VLajZmYnlHQWd3RzhHd3dHVDBwMVBFUkU5TDB1TloyV2lJaUlpSWlJZGx3d0dCeWU2aGlJaUtoOVRPSVJFUkVSRVJFUmdPWXBrNnJhTnhxTmZoVUtoWmFuT2g0aUl2cmVMcGwzVDBSRVJFUkVSSHUvYURRNkNjQS9BRnlRNmxpSWlLZ2xKdkdJaUlpSWlJZ0lBR0JaMWttcTJrZEVUazUxTEVSRTFCS1RlRVJFUkVSRVJBUUFVRldYaUFpNENTSVJVYWZETmZHSWlJaUlpSWdvN2pGalRJbUl2SjNxUUlpSXFDVW04WWlJaUlpSWlBZ0FFQXdHYjBsMURFUkUxRDRtOFlpSWlJaUlpQWdBNERqT21TSlNxS29mQndLQmQxTWREeEVSZlk5cjRoRVJFUkVSRVJFQVFGWFBCM0NMTVdaQ3FtTWhJcUtXbU1RaklpSWlJaUtpdURHcUNzdXlUazExSUVSRTFCS1RlRVJFUkVSRVJBUUFFSkgxelp2VFltV3FZeUVpb3BhNEpoNFJFUkVSRVJFQkFBS0J3QUdwam9HSWlOckhKQjRSRVJFUkVSRUJBRXBLU2pJQnBLMWJ0NjZ4cXFxcUlkWHhFQkhSOTVqRUl5SktJY2R4Sm9qSTYrMGRpMDFsZWQvdjk3Y29WOVd6QTRIQVMzc2dQQ0lpSXVwbWpER1RBQnlYbTVzN0hjQmZVeDBQRVJGOWoydmlFUkdsVUgxOS9YdXF1cWFqOVZWMTdjYU5HMmZ0enBpSWlJaW8rMUxWaVNMeUExVTlOOVd4RUJGUlMwemlFUkdsMEpJbFN6WUNlQW9BVkhXTDllTEhST1NGeXNySzJqMFNIQkVSRVhWSCs2Z3FSS1IzcWdNaElxS1dtTVFqSWtveFZYMEJRRmhFMmsza3hUNUlBMEE0RW9tOHVxZmpJeUlpb203bGZRRExBYnlUNmtDSWlLZ2xyb2xIUkpSaURRME55ekl5TWtJaVVySzFlcW9hQXJCRzFRYnBBQUFnQUVsRVFWUmtENFZGUkVSRTNWQXdHUHlmVk1kQVJFVHRZeEtQaUNqRnNyS3lhbFgxUHdDMm1zUVRrZi9VMTlkM2VQMDhJaUlpb3UxVlVsTFMyeGlUcGFvYmdzRmdUYXJqb1U0dG5rK0lwRFFLb202RTAybUppRktzdExRMEhJMUdRNnBhRDdSY0d5L3A5d1pqelB6S3lzckdGSVJJUkVSRTNZUXg1aUVScVJLUjYxTWRDM1Z1eGNYRlAvSDVmQmVtT2c2aTdvUkpQQ0tpVHNBWU14ZkFGa2ZacWVyR2FEUmF1Z2RESWlJaW9tNUlWU2ZFZnA2WDZsaW9jN01zNjJ3QUUxTWRCMUYzd2lRZUVWRW5VRkZSc1FEQTR2aGpWVTNla1JZQUttTjFpSWlJaUhZYkVWa2IrL2xWcW1PaHpxdTR1SGc0Z0JFaTRvMzlUa1I3QU5mRUl5THFITlFZODRKdDIyUGIyNkVXd05NQTJqMUFSRVJFdEF0Tk1zWU1qVVFpODFJZENIVmVsbVVkSXlMOVZOVUdjRFNBaGFtT2lhZzdrRlFIUUVSRXpRb0tDbkt5czdPckFPd1RMeE1ScUdyTmhnMGI4cGN0VzdZaGhlRVJFUkVSRWFHZ29NQ1RuWjM5TUlDTFkwVi9qMGFqMTRSQ29VMnBqSXVvTytCMFdpS2lUcUt5c3JJV3dCdXg2YlBKWmpLQlIwUkVSSHVDNHpqbisvMysrNHFMaTA5T2RTelVPVm1XbFExZ2xNU2dlVnB0YnFyakl1b09tTVFqSXVwRVZQVXZxaHBPZWh5T1JxTlBwREltSWlJaTZqNVU5UmNBZmlraWw2WTZGdXFjUEI3UEFBQUZ0bTNEdG0wQUtCU1JBMUljRmxHM3dDUWVFVkVuRW9sRUtnSDhWMFFTRzFwWWxyVjRHNmNSRVJFUjdSSWljbUJzZmQ2RFV4MExkVTR1bDJ1aWlHU09HREVDanVOQVJESkY1SDlTSFJkUmQ4QWtIaEZSSitMeGVEYUtTQ0QrV0ZVcmFtdHIxNmN5SmlJaUl1bytWSFVaZ0VZQW42YzZGdXFVTEFEbkFjQ0pKNTZJOGVQSHg4dlBCdk1MUkxzZC81RVJFWFVpcGFXbDljYVllUUFpQUtJQTVuTTlQQ0lpSXRwVGpERVhSNlBSSDRYRDRkK2tPaGJxZkJ6SE9VNUU5czNMeThOaGh4Mkd3dzgvSEhsNWVSQ1JBWTdqakUxMWZFUmRuU3ZWQVJBUlVVc2k4aG1BdGFxYUh2dWRpSWlJYUk4SWhVSUxBQ3hJZFJ6VU9hbnFSU0tDd3NKQzVPYm1JaTB0RFlXRmhmand3dzhCNEFvQS8wcHhpRVJkR2tmaUVSRjFNb0ZBNEFNQWxTTHlkZXgzSWlJaW9qM0NjWnpuL0g2L09vN3pwMVRIUXAxTGNYSHhRQkVaYVZrV2ZENGZjbk56a1pXVkJaL1BCOXUySVNJamk0dUxCNlk2VHFLdWpDUHhpR2lIRERqd2tBTThIcytCcVk2anE2cHZpcFlCOE9RZjdQdEJxbVBwaWxUTmYvKzdKTFE4MVhFUUVSRjFRc2NDZ0txT0IzQkRpbU9oenVVb0FIMHpNelBoOVhvVGhWNnZGejE3OXNTNmRldDZXcFoxR0lDWFV4WWhVUmZISkI0UmJiZjhmRjgrMHZVRlFQZFBkU3hkVlVNVUFvVkE5TlJVeDlJVldaQTFnNFlNUDJQRmx3c3JVeDBMRVJGUlo2S3FKdlpyVTBvRG9jN0dFcEVpQURsNWVYbHRrbmk1dWJsWXQyNWRCZ0FmZ05mUnZMNHpFZTFpVE9JUjBmWkxSejRnUXkyUjNJejBkTmd1TzlVUkVYVklOR3F3ZWZObUdEVzVMcGRkQUlCSlBDSWlvaVFpOGg4QW8wUmticXBqb2M2am9LQ2doNGlNRWhIcjBFTVBSVlpXVnVKWVZsWVdqamppQ0N4YnRzeFMxZEZGUlVWNW9WQm9kUXJESmVxeW1NUWpvaDJXazUyTlgxejVNM2dQR1picVVJZzY1SXZLTC9IUUkzL0ZtclZyVXgwS0VSRlJweFFJQk01S2RRelUrV1JsWmZVSGNDZ0FqQjgvdnMzeEUwODhFYzg4OHd3QUhPcHl1ZllEd0NRZTBXN0FKQjRSN2JDMHREUjREeG1Hd3c0ZG1lcFFpRHJFNDNiRDQzR25PZ3dpSXFKT3kzR2M0MFdrSUJLSkJFT2gwS2Vwam9jNkI5dTJUd0xRYzhpUUlSZytmSGliNHdjZmZEQU9PdWdnZlBIRkZ6MEJIQStnZEUvSFNOUWRjSGRhSWlJaUlpSWlBZ0NvNm5VQUhyVXM2OUpVeDBLZGhoaGpyZ2FBc1dQSHd1VnFPeGJJNVhMaGxGTk9BUUNvNnFVQVpJOUdTTlJOTUlsSFJFUkVSRVJFY2NOVjFhaHFTYW9Eb2M2aHFLaklzU3hyV0h6dHV5MDUrdWlqa1pXVkJSRTVxTGk0ZU5RZURKR28yMkFTajRpSWlJaUlpT0lpcW1xSlNFT3FBNkhPd2JLczg0SG1YV2o3OXUyN3hYcjc3TE5QWXRkYXk3Sit1bWVpSStwZXVDWWVFUkVSRVJFUkFRQlU5VllBdzQweEg2YzZGa285bjgrWEt5SW5Bc0M4ZWZOdzBra25kZWc4RVRrMVB6Ly91cXFxS2lhRGlYWWhKdkdJaUlpSWlJZ0lBRkJlWHY1NHFtT2d6a05FaWtWa24rMDlUMVd6OTlsbm45RlZWVlVmN0k2NGlMb3JKdkcyanppT1V3SmdaU0FRV0pucVlJaG8yd0tCQUZhdFdvVng0OGJ0c1Q1WHJWcUZ6WnMzSXo4L2Y1dDFqVEd3ckMydmJCQU9oN0ZwMHlaa1ptYkM3ZDc2cnFyZmZ2c3RIbnp3UWZ6ODV6L0hmdnZ0dDlXNlRVMU51UG5tbXpGaHdnUWNmdmpoYlk0M05EUmc2dFNwT1BYVVUzSFFRUWR0ODNrUUVSRlIxK0E0enUwQXhnSjRQQkFJUEpqcWVDaTFqREdWSW5JWnRqTjNZRmxXTkJxTlZ1Nm1zSWk2clM2ZHhITWNaeVNBcmQ1RmI5NjgrYjNGaXhldjYwaDcrZm41SGhHWkIrQldBTGZzZ2hCM2k5aVE1eUpqekpmbDVlWGZwRG9lb2xTYU5Xc1c1c3laczBlVGVQZmRkeDhDZ1FCbXpweTV6YnEvL2UxdjBkRFFnQWNlZUFBaWJUZnhtang1TW1iTm1vVlhYbmtGQnh4d3dGYmJxcTJ0eGF4WnMzRHV1ZWR1TTRrWGlVUXdhOVlzK0h5K2RwTjQ0WEFZenozM0hFcEtTcGpFSXlJaTZrWlU5VGpMc256R21COEFZQkt2bTR2ZFQvS2VrcWlUNk5KSlBBQlhpOGhwcWxyVitvQ0kyQUFLUFI3UDBRQStCb0Npb3FKQnRtMzMzMUpqcWhvZkJyTnZMRUc0SmVGQUlGQytNNEh2aUtLaUlyOWxXZWVKeUVraXNrL3NHeE8rNFJJbGVldXR0M0RiYmJkMXVQNk5OOTZJOGVQSFkvbnk1WGp0dGRlMldHLzgrUEVZTm13WUFFQlZZZHYyTnR0ZXVYSWwzbnZ2UFZ4NDRZWHRKdkRtejUrUFdiTm13YklzVEpzMkRmLzNmLy9YcGs1MWRUVm16cHlKbi96a0p5M0tWUlhUcDAvSDhjY2ZqLzc5KytPcHA1N0NoQWtUa0p1YnU4MjR0dWE2NjY3REo1OTgwdTZ4S1ZPbTRQampqOStwOW9tSWlDaTFST1RBMk05aHFZNkZPcStpb3FKQ2w4djFLd0R1U0NSeWV5Z1VXcERxbUlpNmc3MCtpZWM0em5RQVp5UVZQUjBJQkM2TFAxRFZkd0tCd0ZtdHovUDVmTG1XWmExUExyTnQrNWNpTW1sTGZTWGRaRjhXUzVCdHlUb0F2VHNTLzA2d0Nnb0tlbVJsWmZVWGtSTkY1T2NpNG0xVlo2Ly8reEx0YXBGSUJBME5EYmp4eGh1UmxaVzF6ZnFGaFlVQWdMVnIxK0w5OTkvZllyMlJJMGUyU09KdGJZcHMzRk5QUFlYczdHeGNjTUVGYlk1dDNMZ1J0OTU2S3h6SHdXbW5uWWFiYjc0Wm8wYU53b1FKRTFyVXE2bXB3ZDEzM3cyZno5ZWl6NHFLQ3R4Nzc3MFlPblFvWEM0WG5uNzZhYnowMGt1NC8vNzdNWGp3NEczR3RpV05qWTNJeXNyQ2ozLzg0MFJaZFhVMVhuamhCVVFpa1IxdWw0aUlpRHFOK3RqUERTbU5nam8xeTdKNkEvaWhxcVpibGpVdDFmRVFkUmRkSWNuakJqRERzcXliVlBVQlZVMUxQaWdpKzdRM2FrNVZlN1F1aTBRaXQ5bTJQWFZMSFJsalBDNlhhekdBQjR3eDkyK3BYaVFTaVc3ZlUrZzR4M0gyTmNZY0ZWdGdkQlNBUTBXa0p3QmtaV1hCNi9WaTNyeDV1NnQ3b3IzR3E2KytpblhyMW1IUm9rV29yYTNGdEduVGtKMmRqWXlNREFEQWNjY2R0MTJqMGthTkdvWFhYMzk5aThlLysrNDd6SjgvSDBCelVpc2NEaWNlSnlzcEtZR0lZTldxVlhqdHRkZHc3YlhYb2tlUEhsaTFhaFg2OWVzSG9Ea0pPSG55Wkt4ZnZ4NFBQL3d3OXQ5L2YzejIyV2Y0d3gvK2dMeThQQngxMUZHSjlnWVBIb3doUTRiZ3RkZGV3eGxuZlA5OXhyLy8vVy8wNjljUEkwZU9oSWpncWFlZXdqWFhYSU1MTDd3UWQ5eHhCNHFMaTl2RVpvekJ2Ly85YndETmErSUJRREFZUkZOVEUwUWtzUnRaWGw0ZUxyMzAwc1I1bFpXVmVPR0ZGenA4TFltSWlLanpDZ1FDVzErL2c2aFpsVEhtSGhGeEFXZ3o4NDJJZG8rdWtNUURnQTJscGFXTEhjZloyTTZ4WXdHMEdUN1QzdFMxaW9xSzlRRFd0emtRazUrZm41Nlhsd2NBTmNGZ2NFKytVVm1PNDR3QmNCNkF3eTNMNmdzZ1IwUXNBQmd5WkFoT09PRUVISDMwMGVqYnQyK0h0LzBtNnNvKy9mUlRWRlZWWWMyYU5haXZyOGM3Nzd5RFBuMzY0TVFUVDB6VW1UdDNMalp0MnJURk52cjE2NGNSSTBaMHFMOS8vZXRmbURxMTVYY0FsMTkrZVp0Nm4zMzJHV3pieGdNUFBJQUREamdBWjUxMUZ0YXNXWVBUVHo4ZEV5ZE94RlZYWFlYYmI3OGRIMzc0SWU2NDR3N3N2Ly8rQUlDYmJyb0pxMWF0d3E5Ly9XdE1tVEtseGIvejQ0OC9IdE9uVDhmSko1OE1vSG0wNGR0dnY0MHp6end6OFY0M1lNQUFUSnMyRGYvN3YvK0xqUnZiZTZ0c1BtL0tsQ2tBbWhPSkFQQ1BmL3dEbG1YQjVYTHh2WVdJaUtnYjhQdjloNmhxMzJnMCtsVW9GRnFlNm5pb2M0cmREOStkNmppSXVwdXVrc1JybDRqTVU5V0tRQ0J3VCt0akpTVWxtY2FZcDF3dTE5cld4eHpIcVJPUnJjMnp1OW52OTkvYzNnRmp6RVhCWVBDSm5RZ2JCUVVGSHN1eXNqMGV6d0NYeXpVUndFOUZaQ0FBV0phRnpNeE01T1hsNGRCREQ4WDQ4ZU14ZlBod3VGeGQrazlKdE4xdXYvMTJBTUFkZDl5Qk9YUG00UG5ubndjQS9QT2YvMHpVZWVDQkIxQlZ0ZVY4L0hISEhkZmhKTjZwcDU2S0k0NDRBZ0J3MTExM1llM2F0YmpqampzU3gxOTg4VVc4K3VxcnNHMGJjK2ZPeGF4WnMvQzN2LzBOdG0zamtVY2VnWWpnakRQT3dOMTMzNDJYWG5vSlYxMTFGVTQ0NFlURStXbHBhYmp2dnZ0dzdiWFg0b1liYnNDWFgzNkp5eTY3REM2WEM4Y2RkeHptelp1SG1wb2FBTUNLRlN0Z2pNRnBwNTNXSXNhY25CeE1tellOTHBjTDlmWDFhTTN0ZGlmV3Uzdjc3YmR4NDQwMzRvOS8vQ1BHakJuVG9XdEFSRVJFZXo5Vi9WOFJPYzJ5cktrQU9yNlFNQkVSN1haZE52UGpPTTRTVlIwWSsvMVdFVmxWVmxZMnhPLzNYNmVxazQweEFBQmp6RGkvM3orbHJLenN6dmk1SW5LT01XYUhybzF0MjJVN0ViTVh3RWdBUndNNEZFQ0JpR1FDemRQWHZGNHYvSDQvdkY0dnZGNXZoOWJ6b3QxajBLQkJHYm01dWIyTk1iSm8wYUp2QVlTQnhNN0FQYVBSNk9aUUtMUTZYdDl4bkgwQnBLMWZ2MzVWVlZWVkE5QThzbk9mZmZicFYxOWZIMTZ5Wk1uS2VGMnYxOXZmNC9GNFZIVkRNQmlzaVJXbmViM2VBWlpsYVUxTnpkb1ZLMVpzQm9EQmd3ZjM5SGc4dVFDYVB2Lzg4OVVBb2dDc29xS2kzclp0WnpRMU5XMWN1SEJoZGF6ZEhpNlhxOUMyYlU5alkyUHBva1dMNmdDZ3VMaDRvR1ZaQmNhWTJ2THk4a0E4anFLaUlyOXQyOWtBRmdVQ2dUVUFVRkJRa0pPZG5lMXNiSWdlRXNHMjEzenI3T0tKdlcySlJDSll1blRwTnV2RjE1OXp1OTNvMGFOSFlvMDhvRG1CRmsrMjMzYmJiZWpac3lkZWZQRkZQUHZzczVnOWV6WXV1K3d5M0hQUFBYanZ2ZmR3L3ZubjQvenp6Mit6eHB6YjdjWjk5OTJIVzIrOUZkT21UVU5wYVNrZWUrd3hISFRRUVpnMmJScVdMRmtDQU1qUHo4Zk1tVE1UL1gzNzdiZW9xS2pBU1NlZDFPR0UvMGNmZmRTaGVrUkVSTlMxcU9vUFZiV2ZxcDRLSnZHSWlEcVZMcHZFQTVDbHFyY0FlTWV5ckRHcWVqM1F2TU9zaUN3d3hsd0JBSlpsUFpxMDZ5d0FJQktKdkdkWlZwL3Q3YkNwcWFsaDBhSkYzMjNuYWE3aTR1S2ZXSloxRm9BaUVlbWxxajFFUkd6YnhvZ1JJM0RpaVNmaXNNTU9RMjV1N2c3dExPbjFlbnU0M2U2Zmk4aEJxdnBtTUJoOERRRDhmbitCcWw0Qm9DZUFtd09Cd0VvQThQbDhQeEtSMHdCVUJnS0J4RkFpeDNFbUE5Z3ZIQTQvdEdEQmdoQUFEQjgrdk1EdGRsK3ZxcXZyNnVxbVZGWldOc2JxL2dKQUVZRFpnVURnUlFBUngzSDZBTGdlUUZva0VubXFvcUtpRkFDS2k0dkhXSloxdHFxdWowYWpkMWRVVkt3Zk5HaFFScDgrZlg0TFlBS0FWd09Cd0JRQUtDd3MzQzh0TGUxUkFQczJOVFZOWExodzRhSllHMk10eTdvZHpRbW5pVWt4UHdWZ2hERm1Tbmw1K2F1eG1MMXV0L3RaRVZrVmlVU3VDWVZDUzJMUCt6Y2ljcTZJdkxOcDA2WXBTNVlzMlZoVVZOVFh0dTBIQVF3eHh2eTV2THo4Y1FESXk4c2I2WEs1N2xkVmU4U0lFV2RVVkZRc0EyQUR1QlRBNVpabHZRZmdaL0U0VlBWeEVSbWNrNVB6VXdDZkFrQk9UazR4Z0djeU16T1hBdmhSdks3YjdiNEh6VW5jdnlBMlJIM0VpQkg3dVZ5dVZ3QTA1ZVhsVFZxeFlzVkhBSkNkblgyT2JkdS9WTlV2aGc0ZGV2SFNwVXZYRGhzMkxNdTI3VDhCT0NZdExlMEp4RDU4cGFXbEhXRGI5cDhCREVoTFN6c0J3RUlBRUpIeElqSkZSTXFTNDdCdCs0OGlVaHo3dC9JNkFHUm1aaGFJeVBQcGFYWk5YWk8yblpQZXlUVTFOZTNRZVRVMU5UanZ2UE8yV2UrdHQ5NUN2Mzc5VUZOVGc4ek16QmJId3VFdzB0S2FsK3c4NjZ5ejhOMTMzeUVuSndmUFAvODhoZ3daZ25QUFBSYzMzSEFESmsyYWhHZWZmUlpQUGZYVUZ2dTUrdXFyVVZSVWhQMzIydzl2di8xMllyZmQrQlRZeXkrL1BER045ZzkvK0FOV3JWcUZ1KzY2QzdObno4YnZmLzk3OU9qUlprblFGalp0MnBUWXhHUDU4dVh3ZUR5SlVZWkVSRVRVNWJsRlJGVFZUblVnMUhuNWZMNGZXSmIxbktxbXErcnB3V0J3eXp2QUVkRXUwNVdUZUJDUnFrQWdFUFQ1ZlBuSmErQ3BhbDB3R0F3Q3pWTm5XNTluMi9ZcEl2TGM5dmJuOFhnK0FQQ0RIWWpUZytaRVdoYUFERWtLTmkwdERSa1pHY2pNekV3a0FMWlhKQkpKVDA5UFB3WEFVYXE2Q3NCckFCQ05SdnZidGowUlFQOUlKUElBZ1Bob01KK0lYR3FNK1JqQUhVbE5uUzRpUHBmTDlScUFFQUM0WEs3K0luSXBnRXEzMi8wbkFJMEFvS3BqTGN2NmthbzI1T2ZudjFwVlZSVnBhbXJxNmZGNEpxcHF1c3ZsK2doQWFhemQ0U0p5RVlBVkl2SUlnUFU1T1RtMmlPd1B3S2VxOFhwUVZROEFyNGpreDBjcHh1U0tpRTlWVzIrUGVaQ0krQ3pMeW9zWGlFaG1yTzRLeTdJeWt1b09qSlZYWm1Sa3hEKzB1QUVNRTVGQ3k3TDZ4U3RhbHBVT1lGOFJjVm1XNVVwcXU2ZUlERkxWRnJzVGkwaS9XTGtuK2JuRXltcGJ4ZHhIUkFhaCtUVVI3ODhsSWdOVnRUSFdkN3pkYkZVZEpDSWIzRzYzRFFEaGNOZ0MwRHZXZGlMcmE0eXhMTXZ5QUVnM3hsaEpiZGlxbWk0aUxaTFpzVmpUa3ovQUdXTXNWVTBIc0dNdnhoVFp1SEVqYnJqaEJsUlZWU1YyVmYzUmozNjBqYk9hL2ZqSFA4WlZWMTJGcDU5K0drRHpoZzlYWG5rbFRqamhCRXljT0xGRjNWNjllZ0ZvM3NuVzYyMjVXWFE0SEliSDAvem52L0RDQ3dFQWI3enhCdXJyNi9INzMvOGUyZG5aZU9paGh5QWlPT2lnZ3hJYlM3VG53QU1QeEtCQmd3QUEzM3p6RFNaUG5nd0FlUDMxMS9IcHA1L2k0b3N2eG43NzdRY0E4SHE5R0RObURQYmRkMS9jZE5OTm1EaHhJaDU4OEVIMDZiUGw3eW5lZlBOTlpHVmxvYUdoQVRObnpzUmYvdklYM0hycnJSZzNiaHdBZEdqblhTSWlJdG83cWVwMEVSa1pqVWJmVEhVc1JFVFVVbGRQNGozdE9NNFRzU1RGaHFUeUg4U1RkeUtTcnFwYit0Wmdnb2g4RVg4UUc3RlhycXAvc2l5cnhUQVpZOHpmZHpETVNEQVluQVpnV21GaFlWRmFXdHIvQXZBQ3lJcEVJZ1h6NXMzTG5EZHZYb3ZwdE1PSEQ0Zlg2MjB6MG1kTFhDNVhnekhtWDVabFZhcHFZcnF2aUt3QzhBS0FuaUtTMk5EREdCT3lMT3NKQUYrMGF1cWZBSUxoY0hoRnF6YWVVTlhWVFUxTjRhUzY3d0JZWTR6NXRLcXFLZ29BdG0zWEFuaEJSTkpVTmJFUW1hcCtEdUJwVlYydnF2RmRCcHFNTWE5WmxsVUZJSkRVYnJXcTNpOGl1ZUZ3ZUdWUytRSUF0NmhxY2hrQVRBUHd0akVtOGJ6RDRmQkt0OXQ5aTRqVU5qWTJKa1pPR21QZXRpeHJ2YW91cXFtcGFRQ0ErdnI2MnB5Y25FZFZ0VzhzcVJtUGVaRXhaaElBMmJoeDQ2cDRFNUZJNURYYnRyOFVrYStUZ3pERzNCcWJacHVZa3htTlJwZmF0bjBsV20ybVlsbld2Y2FZNmRGb3RDSmV0bkhqeGxVNU9UbS9GSkdvcWk1S2FtT215K1ZhcmFvMU5UVTF0UUNRbnA2K1dWV25xdXFycmVvdUIzQ3BiZHVlMk8veDhqY3N5MXBzakdtUlRJeEdvNysyYlRzN3VZMkdob2FsTHBmcjlJYXc4VUtzVGoyOVl0YXNXZmpnZ3cvdzhjY2ZvNjZ1RGxWVlZUajk5Tk1UYThIZGVPT05lUG5sbDdGeDQwWmNjc2tsdU8rKyt6QjgrUEFXbXpkRW8xRU1IandZTHBjcmtaUjc0NDAzRUlsRWNNRUZGMkRvMEtGdCtvMUdvNml1cmtiLy92MWJsQ2VQeEFPYWQ3Qzk5OTU3Y2M0NTV5VFczWXZuNzBlTkd0WGg1emx3NEVBTUhEZ1FqWTJOdVBQTzVsVUI5dHR2UHd3Yk5nejUrZm1KZXNjY2N3eWVmUEpKUFB6d3cramR1L2VXbWtNa0VzR1RUejZKc1dQSFl2cjA2YmppaWl2dy92dnY0NmFiYnNJaGh4eUNjRGpNcWZ4RVJFUmRXSGw1K2E5VEhRTjFmckdSZHdOU0hRZFJkOU9WazNpVkFQNVBWVDgxeGd5MUxPdEV2OS8vTzFVVkFQZXA2ck94ZWpjQ2FMTzVCUUJFSXBIbG9WQm9jZnh4ZkhkYUVWbGRXbHE2T0xtdTR6ajEyTW5ydVdEQmdwRFA1L3YxNXMyYk0yM2Jkcm5kN2tFQS9nZkFqNnVycS90Ly9QSEhtRHQzTG5yMjdJbmMzRndjZWVTUk9PR0VFM0R3d1FkdmRaMnJSWXNXMVEwYU5PaStuSndjRzBCaVBtRXdHUHl5cEtUa2Q1czNiN1lXTFZxVVdPVStMUzN0N2MyYk43OVhXMXNiVFc1bnpabzF0K2ZrNU5pTEZpM2FuTnlHMSt2OVJVMU5qVm01Y21WanZMeW1wdWJSek14TVY2eS9NQUNFUXFFMUpTVWx2d3VId3hJS2hSTERqRUtoMElkRlJVWC9XYnQycmE1Y3VYSnpMT1ltTkUvaGZEMDVodGo2YmcrMGZvN2w1ZVVMRVpzZW1pd1FDUHl0ZFZscy9ibGJXNWVIUXFHM0FieWRYRlpaV1ZtTDVtbXRyZnY3QnNEMFZzVWFteUpjMms3OVYxdVh4YVpldDlrRXBheXM3TzNXWmN1V0xkc0E0Tm5XNVJVVkZSVUFLcExMWXRmdTMrMzBWd2RnYnV2eVVDaTBBc0NLMXVYeDZjN0pZdGZqL2Z5RGZVQW5uMHg3enozM3dPVnlvWGZ2M3NqTnpjVnp6elVQcnYzclgvK0tqSXdNakI4L0huUG16RUZhV2hyR2poMkxZRENJaFFzWFl1ellzUUNhUjdVOS92amplUFRSUjF1ME8yUEdEUGg4UGd3ZE9oU0xGeTlHYVdscGl4RjV5NVl0ZzZvbWRwV05hMnBxZ3R2ZFBOalJHSVBKa3ljak96c2JWMTk5ZFl0NlM1Y3VSV1ZsNVRhZjM1Z3hZNUNSOGYxQTBqZmZmRE94MCs3amp6K09EUnMyNFBISEgyK1JUTXpQejhkZGQ5MEZBRmkvdmpsM1hGbFppVmRmZlJYZmZ2c3R4b3daZzBBZ2dEVnIxdUMwMDA3RDlPbk5ML0hKa3lmanBKTk93Z0VISElBTkd6Wmd3QUIrWGlNaUl1cXFITWM1VTBRS1ZmWGpRQ0R3YnFyaklTS2k3M1hWSko2OWZ2MzZjVW1QRndQNFoxNWVYaDJBaTZxcnExOU1PaFpmNkVvQUtBREVwaGJDdHUxc244K1htSTRZaVVROEFHQ015VWd1ajlrbDF6SzJrVUY4TTRPdkFNd0JjSzNqT0dOVjlUSUFvOWV0VzlkejNicDFHY3VXTGJPZWZ2cHBEQjA2Rk9QSGo4ZXh4eDZMZmZiWnA5MTI0eHNodEdKS1MwdmJiRkZaV2xvYVJpengxcEUyNGhza0pJdHYzdENLdHRjZmdIQW9GR3JUSDlIT2VPU1JSM0RnZ1FmaXpqdnZ4Snc1Y3hMbDMzNzdMZkx5OHRyVVAvYllZL0dQZi93RG9WQUlMNy84TXQ1NDR3MmNmUExKTGRhUCsvTExMekYvL3Z6RXJyT2Zmdm9wcGs2ZGl1T1BQejZSTEpzN3R6bFAybnBYMi9yNmVxU25OOCtFZnVhWlp6QjM3bHpzdDk5K3VQenl5MUZUVTRPYW1ocE1uVG9WSDM3NElmNys5NzhuNnJabWpFRlRVeE5tekppUlNPSTFOamJpeVNlZnhMaHg0ekJqeGd4TW1qUUpVNmRPeFpWWFhvbUhIbm9JNzc3N0xyNzc3cnZFZjZ0V3JjS0dEYzJEazE5NTVSWE1uRGtUQXdZTXdKQWhRL0RvbzQvaVJ6LzZFZnIyN1p2bzA3WnRISG5ra1FDYTF3YzgrT0NEdCtNdlFVUkVSSHVac3dDY0ErQjJBRXppRVJGMUlsMGlpU2NpUFh3K1h6NkFUQUIxUHAvdklzdXkvcnFGdWsvbDVlVzFXVEUrSnlkblJDZ1VXZ0FBbG1YMWpkV2RrN3lXWG53VWpXVlpmd1R3eDladHFPb0h1K0RwdE1jRUFvRi9BZmhYYkNmUnd3RVVxK3BvQUljdVhicTA1OUtsU3pGdDJyUTI2M0FSZFZlREJ3OXV0L3pMTDc5c00wb09BRWFPSElsQmd3Ymhzc3N1UTI1dUx1Ni8vMzRjZmZUUkxlbzgrK3l6R0Rod0lNYU1HUU1BT08yMDAvQ1h2L3dGTDd6d0FxNjU1aG9BelVtOG5Kd2NISExJSVMzT3JhK3ZUNnlKTjNqd1lCeC8vUEhvMjdjdit2VHBnN3k4UFBUdTNSdkRoZzNEaHg5K2lKNDllMkwyN05udHh2L09PKy9nK3V1dmIxSDI4TU1QbzY2dURxZWVlaXBtekppQjlQUjAzSHZ2dlhqb29ZZmc4WGp3ajMvOEEvMzY5VVAvL3YxeHhCRkhvSC8vL3NqTHk4TjExMTJIYTYrOUZqLzk2VThCTkUvNWZlaWhoM0RsbFZlMjIzZE5UUTIrKzMvMjdqMHV5aXIvQS9qbmU1NlpBUVM1S040MXlmQ0dDRE5EYXFhdXVwWG1sbFphV2EzZHJDelRiRTB0L2FtWjFsYVdicGEyYnBjdHk3STBLN3RZNm1acW1wWUdNd3lDb3FoWXFDaUlvRnlHdVp6eis0Tmg0cWFDb3NQbCszNjlmTW1jNXp6UGZCNUVZTDV6THBtWjVYYmRyY29YWDN3QkFCZzVjdVE1K3pIR0dHT3M3bEZLbFM0Y2ZEZUFHYjdNd3VvdXo3cnpvd0RvbEZJcnJWWnIrbmxQWW94ZHRBWlJ4QU13V2dneEdnQ1VVaDlvbXJaTlNsbjJWZWk5Uk5RSEpidUh1Z0hZbEZKdmw3MkFVdXBJbVkramllaTBVdXE2R21SNDh5THlWNXRuR3VkcUFHdGlZbUthYVpwMkJZQy9TaW5INXVmbmQ5MjVjK2ZsaU1GWXZWUmNYSXkwdERSdjBhb3NuVTZIaVJNbll2cjA2WGp5eVNjckZmRDI3Tm1EYjcvOUZ0T25UNGVtbGV6MUVSSVNncUZEaDJMTm1qVjQ5TkZIY2V6WU1mejIyMjhZTVdKRXBTbnVSVVZGM25VcysvZnZqLzc5KzlmS1BWbXRWcXhZc1FMVHBrMHJ0MDVtOCtiTjhkeHp6d0VvbVdwYlVlbmFnR1hYNmRQcjlYajMzWGZSc21WTG5EbHpwdEk1OGZFbE02ek5adk01TXlVbEpTRWhJWUdMZUl3eHhsZzlSRVNuUEp1blZWeHJtckd5SW9ob3FtZlR1MThCY0JHUHNjdWdvUlR4VmtvcHB3T0FwbW41OGZIeDJRRDJHbzNHQ0NIRWF3QzZBQmdDWUlPVWNyWVFZanlBdmc2SFk3Sm5qYld5ZEFCdUJMRERZckg4VnQwQVBYdjJ2RkZLZVRsWENYUFpiTFlUQUU0QStBM0FLN0d4c2IyRkVJOFEwUkNsVkZNaGhQczgxMkNzVWRtK2ZUdnNkbnVWUlNpWHk0WE9uVHVqVjY5ZW1EOS9QanAyN0lnZVBYb0FLQ25BUGY3NDQ1QlNZdCsrZlpnMWF4WnljbktRbloyTnpNeE1GQlFVNFB2dnY4ZjI3ZHNocGNUbzBhTXJYYit3c0xESzZlNE9od09wcWFsSVNrcEM1ODZkYTN4UFI0OGVSV3hzTE82NDR3N3MzMTl4TDVxYXE3Z2hSMWxyMTY1RjY5YXRjZFZWVjUzekdxZE9uVHJuN3JlTU1jWVlxN3VFRU4wQjZITnljb3JQMjVrMVdsTEtiQ0hFT2lMU3U5M3VLdGVZWjR6VnZucGZ4Rk5LdmFhVWNwUWR2aHNYRjNlVlV1b3BBR09WVXQ4Nm5jN28zYnQzSHplYnpTQ2lRMFRVUnluMXFjRmdTRE9aVEVzQS9OZGlzUndHQUpQSjlEZ1J0UUR3ZmsxeUpDVWxuVHAvcjBzck1URnhKNENkRVJFUi9tRmhZWDNjYnZmNVY4ZG5yQkg1NnF1dkVCNGVqcXV2dmhvQVlMZmI0WEE0c0dyVktuend3UWVJam83R0s2KzhnckZqeCtMUlJ4L0Y5T25UY2ZQTk55TWdJQUE5ZXZUQTNyMTdrWlNVaEpZdFc2SmR1M2FJalkxRmVIZzR2dnp5UzJ6Y3VCRTdkbm1UeitzQUFDQUFTVVJCVk96QTlkZGZYMm5YV29mRGdXUEhqaUU2T2hvQThQWFhYOE5pc1NBMU5SVUhEaHlBeStWQ2l4WXRNSFZxelRlRHUvNzY2OUc3ZDI4SUlTNytFM1FPZS9mdXhaWXRXekI5K25TVVhXWUFnUGU1aTR0TGZ0Yy9ldlRvZWFmY01zWVlZNHl4K3N1ekZOV0R2czdCV0dOVDc0dDRWcXYxNTlLUDQrTGlRcVNVbjBzcC80cVNEU0Z1dEZnc2xkYXBpNCtQUHdaZ3NObHNmaGpBWEtYVUxKUEoxRThwNVNLaTU1VlN2MWtzbHRXWDd5NXFWM3A2dWowOVBmMVNyYy9IV0wzdzdydnZ3bUF3WU92V3JRZ0xDOE91WGJ1d2RldFdqQnMzRHBxbUlUYzNGd2tKQ2NqTHk4T2VQWHN3Y3VSSTNILy8vUWdPRHNhU0pVc3dkZXBVekprekJ6Lzg4QU1XTFZxRUpVdVduUFc1WW1KaThOQkREeUVvS0FpVEowOEdBQ3hidGd4SGpoeEJTRWdJckZZckNnc0x2U01BRXhJU3NHL2ZQcGpOWm93ZE94WXhNVEhlalNSU1UxT1JsNWVIWHIxNlZmbGNTcWx5ancwR0E4TER3MnZqVTNaV1o4NmN3Y3laTTlHK2ZYdmNjc3N0bFk2M2FORUNtcWJoN2JmZnhwWXRXM0Rnd0lFcVJ5TXl4aGhqck82VFVrNEI4TmZRME5BVkFLcGNaNXd4eHBodjFQc2lYbG54OGZGNVpyUDVkWmZMTmRObXMvMTZudTR5SVNIaDdhaW9xR1Y2dmI1ZlltTGlEclBaL0kxU3lpMkV1QmNsYStjeHh1cXByNy8rR2tlT0hFRlFVQkFtVFpxRUZpMWFvSHYzN3JqdnZ2c0FBSUdCZ1dqYnRpMzY5T21ES1ZPbWxDdUV0VzdkR3N1V0xjTmJiNzJGUG4zNm5QZTVWcTFhaGNMQ1FyejY2cXZlNmFoNWVYbmVEUjc4L2YweFlzUUlEQnMyREFBd1o4NmNTcVBaeW1yU3BBbm16SmxUNWJHa3BDUjg5TkZIMWZzazFKSzFhOWNpSnljSDc3Ly92bmVEbjdLYU5tMktwNTU2Q2w5KytTVU9IanlJNGNPSFk4U0lFWmMxSTJPTU1jWnF6VjFFRkNXbGRJT0xlSXd4VnFkY3pqWGM2cnlvcUtqV0JvT2hnOVZxM2VYckxJelZaUkhkaklOQStMSkY4K2FoYnl4OEdkZjB2dHJYa1NweHVWeFFTcFhidU1IdGRuczNwUUJLcG4rVzdoaDdNWXFMaTdGOSszYnZyclVWYzJpYWRzNmlYY1grVXNvcWkyVytsSk9UZzJiTm12azZ4a1d6V0cyWU5IVTZNbzRjdFVPcDI5SlRiZXQ4bllreHhoaXJTNHhHNDNFaWFxbVUybTIxV252Nk9nK3JtMkpqWS90cm12YXVVc3BmU2prbU1URnhtNjh6TWRZWU5LaVJlQmNySlNVbEUwQ21yM013eGk1ZXhkMWhBWlFyNEFHb2xRSmU2WFdxS3VDZExjZTUxTFQvNWRJUUNuaU1NY1lZcTVidFNxbXJBZnprNnlDczdpSWlIWUFRQVA2ZWp4bGpsd0gvWjJPTU1jWVlZNHd4QmdEUU5PM09reWRQYXVucDZTNWZaMkYxbDhQaDJLdlg2NThVUW1nT2gyT3ZyL013MWxod0VZOHh4aGhqakRIR1dLbVFzTEN3d05EUTBEeXIxWnJyNnpDc2J2TE1ZbHZsNnh5TU5UWmN4R09NWFRDbjA0bVVQYW0ranNGWXRlMVBPNERpWW9ldll6REdHR04xbHBSeU1SSGRCZUJsQUROOG5ZY3h4dGlmdUlqSEdMdGdwOCtjd2VLbGI1ZmJQSUt4dXN6bGN1SDBtVE8ranNFWVk0elZXVXFwbTRrSVNxa3g0Q0llTzRzdVhicUVCd1VGeFVrcHRjTEN3cDM3OXUzTDluVW14aG9ETHVJeHhtck1vZVF4QStpNEJKQjcrclN2NHpCV1kwUjAydVZVR2I3T3dSaGpqTlUxUkpRRElJaUkvdkIxRmxaM0JRWUdSaW1sL2lPRThBOE1EQndOM2dpRnNjdUNpM2lNc1JvN21tcmIzNzVienp0MFNtdnU2eXdOa1lCc0UrU25qU0lpcmREaC9Ob3B0VU8renRUZ1NPZXBQdzRrcC9nNkJtT01NVmJYRU5HclVzb1l0OXU5MmRkWldOM2xkcnNkbXFabEFmQnp1OTI4Vmdsamx3bjVPZ0JqakxIeVltSmkrdWgwdWpWS0tYOGl1aXNoSVdHOXJ6TXh4aGhqakRGV0tpb3FLa2l2MTNlVVVncTMyMzBvSlNVbDM5ZVpHR3NNZUNRZVk0d3h4aGhqakRFQWdNbGt1bytJVEc2M2UyTmlZdUszdnM3RDZpWlAwUzdaMXprWWEyeTRpTWNZWTR3eHhoaGpEQUFncFJ5dmFkbzFSTlFlQUJmeEdHT3NEdUVpSG1PTU1jWVlZNHd4QUFBUlJTcWxBS0NIcjdPd3VzdHNOa2NxcGU0RG9DT2k5eElTRXRKOG5ZbXh4b0NMZUl3eHhoaGpqREhHU3YwQklBVEFBVjhIWVhXWGxMSzlFT0lScFpTL2xISURBQzdpTVhZWmNCR1BNY1lZWTR3eHhsaXBpVkxLRGtWRlJYdDlIWVRWYWJsS3FlMUVaRkJLNWZvNkRHT05CUmZ4R0dPTU1jWVlZNHdCQUt4VzYzWmZaMkIxbjlWcXRRSVk1ZXNjakRVMnd0Y0JHR09NTWNZWVk0elZEU2FUNlJPejJheE1KdE5MdnM3Q0dHT3NQQjZKeHhoampESEdHR01NQUtDVTZrdEVVRXI5MWRkWldOMFZFUkhoSHh3Y0hDNmxwUHo4L0t6MDlIUzdyek14MWhqd1NEekdHR09NTWNZWVk2VjBudDFwK2JVaU82dmc0T0FvblU3M0g3MWUvOS9nNE9Bb1grZGhyTEhna1hpTU1jWVlZNHd4eGdBQVJKUUV3SStJYkw3T3d1b3VJVVF3Z0RnQS9wNlBHV09YQVJmeEdHT01NY1lZWTR3QkFDd1d5ekJmWjJCMW44UGgyS3ZYNi85QlJKckQ0ZUNkakJtN1RMaUl4eGhqakRIR0dHTU1BR0F5bWE0am9raVh5MlcxMld5Lytqb1BxNXRTVWxJeUFhejBkUTdHR2h0ZTU0QXh4aGhqakRIR0dBQkFLZlVVZ1A4UTBRTyt6c0lZWTZ3OEhvbkhHR09NTWNZWVk2eFV0SlJTRXRIVnZnN0M2aTZqMFJoS1JOMlZVZ0pBc3RWcXpmVjFKc1lhQXg2Snh4aGpqREhHR0dNTUFFQWxCQUMzcjdPd09zMUlSRjhRMGJjQWpMNE93MWhqd1NQeEdHT01NY1lZWTR5VldpQ2xqSkZTYnZKMUVNWVlZK1Z4RVk4eHhoaGpqREhHR0FEQVlyRzg0ZXNNck82eldxMmJBYlR4ZFE3R0doc3U0akhHR0dPTU1jWVlBd0NZVEthWEFRd0Y4RDRYOUJoanJHN2hOZkVZWTR3eHhoaGpqQUVBbEZKOWljaW9sT3JsNnl5TU1jYks0NUY0akRIR0dHT01NY1lBQUVRVTVmbmI3T3Nzck82S2pZM3RJb1FZQzBBdnBYd3JNVEZ4bjY4ek1kWVk4RWc4eGhoampESEdHR09sQ2oxLzUvazBCYXZUaUtndEVkMFBZQ3dSdGZWMUhzWWFDeDZKeHhoampESEdHR01NQUdDeFdEcjZPZ09yKzV4T1o0YkJZSGdIZ003cGRHYjRPZzlqalFVWDhSaGpqREhHR0dPTUFRRE1abk4zcFZSTHQ5djl1ODFtTytUclBLeHVTazVPVGdQd3JLOXpNTmJZOEhSYXhoaGpqREhHR0dNQUFLWFVKQ0w2VkFoeGo2K3pNTVlZSzQrTGVJd3h4aGhqakRIR0FBQktxUnVrbEMwQi9NM1hXUmhqakpYSDAya1pZNHd4eGhoampKVnFRa1JDU3VudjZ5Q3M3aklhallPRUVKOG9wZnlWVXJkWnJkYk52czdFV0dQQVJUekdHR09NTWNZWVk2WFdBTGdhd0xlK0R0SVl0WTZNYk9HUEpsZjVPc2Y1RkR0bGxMK0I5RW9wcmRncG95SWlZK3kremxRZHhXN25zV09IOWh6MmRZN2ExTDVMbDNZNjZkL0IxemthSXBkMG5zdzR1R2UvcjNPVVJiNE93Qmhqckx5WW1KZytPcDF1alZMS240anVTa2hJV08vclRJd3h4aGhqN05KcWRWVk1TMzhkTFNDaUFiN09jbDVLRVltUzVibVVoQVNSOG5XazZpQlNCeHh1MTVRais1SVRmWjJsTnJUdEZIV0Z3YUJmQnRDVnZzN1NNS2tzS2ZIVTcvc1N0L2s2U1NrZWljY1lZNHd4eGhoakRBQmdNcGxHRVZHMFVtcWJ4V0xaNk9zOGpVbUFFRzFCcWhjUkluUTZIWVRnSmV4cmkxSUtUcWNUQ2hTcWtkWVpRSU1vNGhrTWhrNGdtQWdJMWV0MElQNmFxUjFLd2VseVFVclZtZ0FqQUM3aU1jWVlZNHd4eGhpcmMyNEhjQmVBbHdGd0VjOUhIcnIvWGx6VE84N1hNUnFNbzhlT1k5NUw4MkV2ZHZnNnlpVVJITndVanowOEZ0MjdkdloxbEFZaDUxUXVGaTFaaXQvL3lQQjFsRXE0aU1jWVk0d3h4aGhqREFDZ2xMcko4K0hkQUdiNE1rdGpGdFd0Q3dZTzZPZnJHQTNHZ1lPSG9HbWFyMk5jTWdhOUFjYVlhRnpUKzJwZlIya1FqbVVlUjFCUW9LOWpWSW5IV2pMR0dHT01NY1lZQXdBUTBTa2lBb0NqdnM3Q0dHT3NQQjZKeHhoampESEdHR01NQU9CME92c0xJVUxPbkRtVDVlc3NqREhHeXVNaUhtT00rVkIwZEhRSGc4RVFWYlpOU3RsTktXVkF5ZmZvT0xQWlhPNmNvcUtpdlh2MjdEbDhHV015eGhoanJKSHc4L003Q2VDMFVxclkxMWtZWTR5VngwVTh4aGp6SVNMcXBKVDZ0R3liRUVKVFNnVUNnRkpxQmdCWDJlTTZuZTRPQUZ6RVk0d3h4bGl0azFKT0FmRFgwTkRRRlFEZThYVWV4aGhqZitJMThSaGp6SWVTa3BLMkFDZ2dvbEFBb1o2L214S1I4UHdKS251TWlJcVNrcEorOEcxcXhoaGpqRFZnZHhEUklLWFVLRjhIWVl3eFZoNFg4UmhqelBjK3FtNUhwZFJubHpJSVk0d3h4aG8zcFZRcnBSU0lxSjJ2c3pER0dDdVBpM2lNTWVaalVzcmxwZXZPS0tVcUhTOXRVMG81QUh4YXFRTmpqREhHV0MwaG9nU2xWTFpTYXFldnN6REdHQ3VQaTNpTU1lWmpMcGZyR0JIdElxS3o5dkVjMit0MnUvKzRiTUVZWTR3eDF1Z1VGUldOS1M0dXZ2cjMzMzkveXRkWjJPWG5jRGhndDlzditqcjUrZm1WMnFTVTNvOXpjM012K2prWWE0eTRpTWNZWXo2V25KeDhSaW0xdGZSeDJkRjRaVWJoS1FDN0Nnc0xzeTU3UU1ZWVk0dzFHb0dCZ2VUdjc0K09IVHVlL2QxRjFtQjkvZlhYR0RwMEtQYnMyWFBCMTBoUFQ4Znc0Y094WWNNR2I5dVVLVlB3OU5OUEF3Q3lzN014ZlBod3ZQVFNTN1ZTTUdTc01lRWlIbU9NK1o0VFFEeUFNMmZyUUVSMkFQRnBhV25GbHkwVlk0d3h4aG9kS2VWaUlrb25vbWQ4bllWZGZpdFhya1JBUUFBNmQrNThRZWVmUEhrUy8vakhQeEFhR29vK2ZmcDQyOXUyYll1OWUvY0NBTUxEd3pGdjNqeXNXN2NPenp6RFgyYjFqWlFTcTFldnhyWFhYb3ZpNHFwZm1zeWVQUnR4Y1hGVi90bTZkV3VWNTdEcTBmazZBR09NTVVBcFpRTndFa0JUeitPS3g4OG9wWGI0SUJwampESEdHaEdsMUkyZVpUenVBREREeDNIWUpYRHc0RUhzMnJXclVudDJkallPSGp5SXVMZzRmUDc1NTlXNjFxaFJvNkRUbFpRVmNuSnk4TmhqaitIMDZkUDQ0SU1QRUJJUzR1M1h1M2R2ckZpeEFvY1BIMGJIamgweFlNQUFMRjY4R01lUEgwZGlZaUx5OHZMUXRXdFh0R3JWcW5adWt0VTZwUlIrK3VrbnZQMzIyOTZDN05uazV1YUNpREI0OE9CS3g4TER3eTlWeEVhQmkzaU1NVllIV0szV2cyYXpPUmxBUk1VQ0hoRkJLWlZxdFZxVGZaT09NY1lZWTQwRkVaMEdFQXJnaEsrenNFc2pPVGtaYjd6eFJxVjJ1OTBPSVFTU2s1T1JuRnk5WHp0SGpCZ0JuVTZIUTRjT1lkS2tTVGg2OUNqR2p4K1AwNmRQWStuU3Bjakx5ME5lWGg2eXNrcFdoQms3ZGl5Y1RpY0tDZ29xWFd2MjdObTQ5ZFpiTCs3bTJDV1JucDZPOGVQSDQ4U0pFMmpkdWpWQ1EwUFB1YTVoWGw0ZVFrTkQ4ZXFycjE3R2xJMERGL0VZWTZ4dWNMdGNybFU2bmU2bXFnNHFwWmFqWk5vdFk0d3h4dGlsOUs3YjdUWUMrSit2ZzdCTFkvanc0UmcrZkhpNXRoOSsrQUhQUFBNTVpzeVlnWkVqUitMTW1UT1lNMmNPUm80Y2lmNzkrNS96ZW12V3JNR0NCUXNRR0JnSWYzOS9hSnFHSTBlTzRJY2Zma0JJU0FpQ2c0UFJ0bTFiQUlERllzSEVpUlBSb1VNSGhJU0VlUDhFQmdZaUtDam9rdDB6dXppblRwMkN3K0hBdUhIamNPKzk5K0wrKys4L1p4RXZOemNYWVdGaGx6Rmg0OEZGdkpvaGs4a1VCK0NveFdJNTZ1c3dqTEdHeGVWeWZhSFQ2ZDRsSW4zcGFEelBkQlpuVVZIUnB6NE54eGhqakxGR3dXS3hQTy9yRE96eUtpb3F3ci8rOVM5RVIwZmp0dHR1QXdBVUZ4ZGp5NVl0NWRhMU85dTVDeGN1Uk5ldVhURi8vbnpjZmZmZEFJQWhRNFpneUpBaDVmcWVPblVLdDk1Nks1S1RrL0hBQXcrVS9wNExBQmc1Y2lRZWVPQUJqQmd4b3Bidmp0V0dxS2dvYk5pd0FacW1WYXQvYm00dXVuZnZYcTIrZDl4eEJ3NGVQSWh0MjdiaG80OCt3cG8xYTVDYm00dW9xQ2c4L2ZUVDZOeTVNM2J2M28wbFM1Wmc5KzdkME9sMCtNdGYvb0tubjM2NlVSWitHM1FSejJReVhRMGc0bHg5aW9xS051M2R1L2RrZGE0WEVSSGhSMFM3QU13RjhGd3RSTHhrSWlNamcrMTJ1ek1qSTZQSTExa1lZOVdUa3BLU2J6UWFQeFpDUEZDMlhTbTFPalUxOWF5YlhqREdHR09NMVJhVHlYUWZFWm5jYnZmR3hNVEViMzJkaDExNml4WXRRbFpXRnY3MXIzK1ZLNnhWUjBCQUFCWXRXZ1NUeVFRaHF0NDMwK0Z3UUFpQnNMQXd6SjA3RjFPblRzV01HVE13YTlZc0JBVUZJVDgvSDRjUEg0Ykw1YXFOMjJHWGdKK2ZYN1g3dWx3dUZCUVVJQ01qQS9QbXpZT2ZueC9hdDIrUGdRTUhvbjM3OW1jOWIvNzgrVWhJU0lEWmJFWnFhaW9TRWhMdzJHT1A0ZVdYWDhha1NaUFF2WHQzREJvMENMLzg4Z3ZXcmwyTE0yZk80TFhYWHF1TjI2dFhHblFSRDhCRUlycFZLWlZlOFFBUmFRQ2kvZno4QmdEWUJnQXhNVEh0TlUxcmZiYUxLYVVNbmcvYmVncUVaK08wV0N5SkZ4UDhRa1JHUnZyNStmbDFNeGdNZndGd1hXQmc0SUtNakl4dGx6c0hZK3pDRWRFeUFPV0tlRzYzK3hNZnhXR01NY1pZSTZPVUdrZEUvUUMwQWNCRnZBYnU1NTkveHVyVnEzSE5OZGVncUtnSUZvc0ZBSEQ2OUdrQVFFWkdocmV0ckU2ZE9uazNyb2lMaXp2cjlSME9CKzYrKzI0TUhUb1U0OGFOdzZCQmcvRFBmLzRUOCtiTnc0Z1JJekI4K0hDY09GR3kvT0xWVjUvckpUYXJMMHFuMldabVp1S3JyNzd5dHIvMjJtdDQrT0dIOGRoamoxVjVYbnA2dW5kM1pKZkxoVW1USnVIWFgzL0Z4SWtUTVdiTUdEenh4Qk1BU2paZ3VlV1dXL0RUVHo4aE96dTcwVzJVVWUrTGVDYVRhUVdBa1dXYWxsc3Nsa2RLSHlpbGZyQllMTGRYUE05b05JWUtJVTZWYmRNMDdSOUVOT1ZzejFYbVhZbEhpT2lScy9WRHlRNlRsKzBycVV1WEx1RUJBUUczYTVvMlFTa1ZRVVIrQVBSRTlQN2x5c0FZcXgxT3AzT3Z3V0JJSmFLdUFLQ1UyaStFU1BKMUxzWVlZNHcxR3BHZVpUMmlmQjJFWFZwSGp4N0Y3Tm16QVFDLy9QSUxmdm5sbDBwOVZxeFlnUlVyVmxScVg3QmdRWlU3ajBaRVJKUmJDODFnTU9EYWE2L0ZmLy83WHd3ZVBCaWRPM2ZHMEtGREVSMGRqZVhMbCtQSEgzL0VxVk9uY004OTkrQ0tLNjZveGJ0anZoSWFHb3FOR3pjaUtDZ0lVa3BrWm1aaS9mcjFXTFpzR2Q1NTV4MjBiZHUyeW1uVGp6NzZLQUlDQWdBQU9wME9vMGFOd3ErLy9vcWdvQ0NNR3pmTzJ5ODhQQng5Ky9iRnBrMmJrSmFXeGtXOGVzZ0E0QnNoeEd5bDFPdEtLWDNaZzBRVVZ0V29PYVZVcGNuVExwZnJuNXFtTFRuYkUwa3AvWFE2M1Y0QXIwc3BGNTJ0bjh2bGN0ZnNGbXFFWW1OajJ5cWxXbW1hMWh2QTNVVFVHNEEvQUFRR0JxS3dzUEFTUGoxajdGTHk4L003STZYOHViU0lSMFNwRmQ5d1lJeVYxNzU5KzRCbXpabzF0OWxzR1RVNUx6bzZ1cFdVa2xKU1VqSXZWVGJHR0t1SHNnRzBBTURmR3h1d29xSWlQUFhVVXlndUxvYS92ei82OXUyTEo1OTgwbnM4TnpjWER6endBTWFORzRlLy9lMXYzdlpEaHc1aDh1VEozc2RTU2lRbS9qa0o3ZkhISHdlQWNxUDNycm5tR3Z6dmYvOURZbUlpOHZQenZlMURodzdGMEtGRHZZOHpNakxPT2QyUzFRODZuUTZob2FIZXgxZGNjUVVlZWVRUmRPalFBVE5uenNTS0ZTdXFMT0oxNjlhdDNPUFdyVXNtU1hidDJyWFNkTjRXTFZvQVFLT3NmVFNFSWg0QTVNWEh4KzgxbVV4VnJSazFFTURtaW8xVnpmVlBTa282QmVDc0w1WWpJaUw4bXpWckJnQzVWcXUxMGhUZFM2bDc5KzV0L1AzOWV5bWwrbm1LZHQySnFCVlE4cCtrWThlT01Kdk5pSW1KOGI2YndoaXJmK0xqNDR0TUpwTVZnQXNBU1NuM1dLM1cwNzdPeFZoZDFySmx5MitWVXEzajR1SjZ4Y2ZIVi91M09iMWVQd3ZBNDlIUjBSRzdkKy8rNHhKR1pJeXhla05LT1JWQUo3ZmJmZG1YQjJLWGg4dmx3clJwMDdCLy8zN01uei9mdTdOc2h3NGR2SDFLUjBTRmhvYVdhNjlZTkxIYjdYajQ0WWVyOWJ3dnZmVFNPWS9mZWVlZGVPYVpaNnA3RzZ5ZXVlR0dHekJ2M2p3Y1BIZ1FTcWxLTlprbVRacVVlNnpUbFpTckFnTURLMTNMWUNoWjZVeEtlWW5TMWwwTnBZaFhKU0xhcFpSS3NsZ3NDeXNlaTR1TGF5S2wvRkNuMDJWWFBHWXltZktKcVBKWHlwL21tTTNtT1ZVZGtGSSthTFZhbDExRWJLKzJiZHMyYWRteTVRMUVOQUxBVUNJS0F0Q1VpQVFBQkFjSFk5aXdZYmpwcHB2UXBrMGJCQVlHd21Bd2NCR1BzZnBOS2FYK0lLSkNBSG9oUkJvQTVldFFqTlZsU3FsbmlHaTdsUElaQUZYK2ZLNG9NakxTRDhBOUFKSjBPcDFtTkJyUHVSRldXWnFtNWNmSHgxZjYvWUV4eGhvQ204MjJ6dGNaMktYMTNudnZZY2VPSFJnL2ZqeXV2LzU2TEZpdzRJS3YxYVJKRTJ6ZVhHbk1EQURnMkxGam1EVnJGazZjT0lFelo4NWd3WUlGbGRhOXk4ek1oTXZsUXZ2MjdhSFg2NnU4RG1zWU5FMkRuNThmYjJCeWtScHNFYzlrTXFVcXBkcDVQcDVMUk1jVEVoS3VNcHZOVHl1bG5pMnQyRW9wYnpTYnpmTVNFaEplS1QyWGlPNlNVbDdRNTBiVHRJUUx6ZXdwMm5VQmNJTlM2bW9pR2lpRWFBVUFRZ2dFQndjak5EUVVQWHYyeE0wMzMzemVoVCtKcUhuWng3R3hzZTNjYnJjL0VlVjRSaDBpTGk1T1gxeGNmSVdVMGdrZ015VWx4UUVBTVRFeGdWTEtJS1dVTXprNU9SZUFCRUE5ZS9ZTVZVb1puRTVuWVpuZE1rVmNYSnkvMCtra204MVc1T2tMQVBxWW1CaERUazZPNUYxeUdhdSs3T3pzOVMxYXRFZ0JFRnhjWEZ4NUVSTEdHaUd6MmZ3TGdEN242a05FejVyTjVtZlBkandoSVVHUGtsR3VDQW9LZW9pSW1nRm9Sa1NIYXBKRlN2a0JLbXhBd3hoakRZWEpaUHFFaU81U1NyMXNzVmhtK0RvUHEzMTMzWFVYWEM1WHRVZlFuVS9UcGswcnRhMWR1eFlMRml4QXAwNmRzSFRwVXJ6ODhzdFl0R2dSbGk5Zmp1RGdZT1RtNW1MWnNtVll1WElsakVZamxpNWRXaXRaV04yMWYvOStuRDU5R3AwN2Q2N3hMc2pzVHcyMmlBY2dVQ24xSElBZmhCQ0RsVkxQQUNVN3pCTFJiaW5sWXdBZ2hQaFBtVjFuQVFBdWwydVRFS0pGVFovUTRYRFlMMkJkSFdFeW1mb0F1SnFJZWlxbEJnR0lGRUlRQUxScTFRcVJrWkdJaW9wQ1RFd011bmJ0aXViTm01LzdpaDVLcVFjQnZPZDlJaUVXQ2lINlNDa1hBbGdDQU1YRnhWZm85Zm9mQUJ5VFV2NER3RTVQMzFzMFRSc0xJS1ZIang3UEpTY241MFJGUlFWcW1qYWRpSHBybXZaNTZUV2lvcUxhU3ltZjFPbDB6YUtpb3Vha3BLVDhEZ0JHbzNHUUVPS2VGaTFhSE1qSXlIaWhOSWZaYkg0VVFHdTMyNzA2TVRFeEdTalpHVmluMHoya2xNb3BMaTUrUHlVbEpSOEFUQ2JUUUtWVUJJQTBxOVg2S3dCWFZGUlVrRjZ2SDBKRUFVS0lYeE1TRXRJOE9WcnI5ZnBJSVlUNzFLbFRsdlQwZERzQVlUYWJPeW1sMmprY2pxems1T1FVVDErRFRxZnJBcUNnc0xEd2FGcGFXakhnSGFIWndtNjNPL2JzMlhPc05ITlVWRlJycFJUdDJiTW5DNTRYZ0kxZG15dTdkL1R6ODd2UzF6a2FLcWRiV1lqSXIxQWFybzdvWnZSMW5BWkhLWG40Y0txdFJvVWJWaWRzQS9EUGlvMVNTazBJVVhFOTJoQUFlUlhhM0VESnp3QWh4RE5LcVgxRWRIOU5Rd2doc21wNkRtT00xUmRLS1RNUlFTbDFyYSt6c0Vzak9Eall1M1pkYlV0S1NzTHJyNzhPaThXQ0lVT0c0UG5ubjRkT3A4UE1tVE54NTUxM1l1TEVpZWpUcHc4Ky9mUlRHQXdHM0hYWFhiajk5a3I3VUxKNkxDMHREUWFEb2R4R0pjZVBIOGR6enowSEFManR0dHQ4RmExQmFNaEZQQkJSdXNWaXNScU54b2l5bFY2bFZMN1ZhclVDSlZObks1Nm5hZHB3SXZxa3BzL241K2UzQmNDZ0dwNm1BZWdMNENrQTdjcm1EQXdNeE1DQkF6RnExQ2hFUkVSNDU0UlhseEFpdEVKVGF5S0tJS0tRMGdZaTBoTlJoRklxU0NuVnJFejdGVVEwRUlCZmFaSFRZRERvaUNpR2lBWVJrWGVORElQQjBBekFuUURhR3d5RzF3SDg3amtVaFpLUkNyOEE4QmJ4bEZLUEVaRVJ3RjRBeVo3bTlnQ2VBNUFHNERNQStaNitEeExSS0FBZng4VEVXRzAybXd0QU15SEVzMFRVeXJObVJ4b0E2UFg2Z1pxbS9STkFRVkJRME0wQS9vaU1qTlJMS1I4VVFvdzFHQXhmQVhnTUFQejgvRUtVVWt1RkVLMkRnb0x1QUdBRkFMZmJQWmlJRnZuNysrOEI0RjF0MDgvUGJ4RVJHV05qWTE5SVRFejhDQUJpWW1LNmFwcjJLWUJzcGRTMDBxOHBvOUU0Z1lnZUpxS2ZwWlN6ckZacmJtUmtaSEJRVU5CalJOUVp3QmNXaStWN0FEQ2J6WkZTeWdtZXFkSnpMQmJMVWMrMXpUcWRycGZMNVRwbXM5bStMczFoTkJydkVFSTBzOXZ0MzVjV1M2T2lvb0kwVGVzcWhMQW5KaWJ1Z1dja1pJOGVQU0tGRUNGS3FSTzF2ZFpUUklReEF2NXFKYUI0QzZsTHBNQ2hCRUFBNFcvbjc4MXFTb0N5MmwvVlkyVEdnZVEwWDJkaDFhZVVPbTZ4V05ZWmpjWWJoQkEzRU5GejhmSHhoU2FUNlErbDFES0x4VEliQUl4RzQ2MUNpSGNBUEp1UWtMQVludUpkS1Q4L3YyY0FYRUZFd3hNU0VpcHZ4Y2NZWTQxYm9HZDMyaWJuNjhnYWg3THJsKzNidHc4QXltMDA0SGE3c1gzN2RxeFlzUUk3ZCs1RVJFVEpDaFY5Ky9iMXZvWU5EUTNGMHFWTDhjUVRUK0M5OTk3RDBLRkRNV2ZPbkVvYkZyRDY3OENCQTVnNWN5WmlZbUxRc1dOSFpHVmx3V0t4d0c2M1k4aVFJYmpqamp0OEhiRmVhK2hGdk9VbWsya1pFV2xLcWJ3eTdZTktpM2RFNUsrVXFub1NQekNDaVBhWFB2QVVzeEtWVWk4SklUNHMyMUZLK1Y2bHM2dkhhYkZZL3RXMmJkdi9oSWVIajlEcGRHTThVMm1iRmhRVU5GbTFhaFZXcjE2TmE2NjVCcmZkZGh0Njl1eUpvS0FnK1BuNVFRaFIrV0pPWjJuV1lpbGx1WjEySFE3SDQ1cW1CUk9SdDZCejVzeVo5T0RnNEw1Q0NIK24wM21vekhWKzBPdjFoVXFwWTdtNXVhY0JJRDgvdnlnb0tPZ3RwZFI2dDl2dDNXNklpRTRwcGI0RzBMeTR1UGhVbWZaOVNxbVZBTHlmUTQralNxbFFBQVZsK2hZcnBkSUJIUEh6ODNPWGFiY1RVVDRBdTE2dlZ3QWdoRkFBQ2dFVUtLVmNaZnBxU2lsL0luSkpLY3VPejlVcnBmd0JlQmRaY0x2ZHBHbGFVd0R0S296RWJFSkU3WlZTT1JVeXQxQktSUWdodklWT0lVU0FweGlaS2FVc3U5dHhHeUl5S3FVeUN3c0xkUUJnTUJpYUNDR0dBK2l2bERvQTRIdFBqdFpDaURGRUZPNXl1VjRIY05SejdXRUFYdEEwYlF1QXI4czg1N01Bb2cwR3c4M3dGRXYxZXIxUjA3U3RTcW05VVZGUnZVcEhNZXIxK2tWQ2lKdVVVa3NBVEFiZzZ0R2pSNlRCWUxDZ1pEVGhJeGFMWlRVQXhNYkdUdFEwN1ZXbDFGNjMyejNjWnJObFJFVkZCUmtNaHFWRTFGMHA5Ym5WYW4wSktCazFDVklmS29pNFFxZlMvUDBEb09rME1GWWZ1TjBTUlVWRmtFcUc2blJhSkR4dkFyRDZoWWllVWtxRkp5UWtQTjJ0VzdmbVJOUWVnUGRubTZacGE5MXU5eHRDaUFVbWsrbE9JY1RBK1BoNEp3QVlqY2JPUlBSL0FEWklLZlBOWm5PTjFweDB1Vnc5YlRiYjd0cTlJOFlZcXpzOHJ4V2FLYVVPK3pvTHF4dG16NTZOVFpzMndkL2ZIN201dWREcjllalNwUXNBNE5TcFUvajczLytPNDhlUG8yUEhqcGc3ZHk2dXYvNTY5T3ZYejN0K1VWRVJ0bS9manNPSEQyUFpzbVdZT25VcTFxOWZqeE1uVG1EVXFGRVlNR0FBZ29LQ3p2YjBySjdwMnJVcit2YnRpNVNVRkNRbEpTRWdJQURkdW5YRExiZmNndUhEaC9OVTJvdlVrSXQ0YVFDZVYwcjlLcVhzSW9TNHdXdzIvNTlTaWdDOHBwVDYyTk52SmtxMlVhL0U1WElkc3Rsc2Uwc2ZsKzVPUzBRbjR1UGo5NWJ0YXpLWkNuRVJuOCtqUjQ4V0hqMTY5Rk1BbjVsTXBxNXV0N3MvRVEwUVFoaWxsTkhidDIvSDl1M2IwYnAxYS9UdXByeFhMd0FBSUFCSlJFRlUzUnZSMGRHSWk0dEQrL2J0eTQzUU8zeTQ1R2N0RVozQ242UGNBQUNsVTBuTDhrdzVyVFFLWWZmdTNiOEIrSzFzbTJmSzZacUtmUzBXeTJFQUU2cG8veDZlWWxXRjlwc3F0aVVtSmxvQVZKcWE2WFE2NXlpbEZtaWFkdHF6M2g1Mjc5NTlMQ29xNmk1TjAzUU9oOE03cFVrcHRZV0lIbkM3M2U3VHAwOW5lVEk3eldieit3QitMQzR1OWs2UGRibGN1WnFtelZCS1JiamQ3cksvb0ZqZGJ2YzBUZFBLVFpVaW9qZVZVbXVWVXQ3UGlWSXFDOEFpcGRRWnBkU1JNdDIzQTFoRVJIdjkvZjJMQU1CZ01OZzl4ZUpNcFpUM2EwZEttVTFFM3dCb0txVXNPKzNyQ0lCZmxGTGwvczJrbERZaFJENkEzRExaaXBWU0dRQ09Cd1FFbE4yZUo5dlRub3NMM0JpQmlQeUpLQTZla1lvQTRIYTcvUTBHUTJjaTBvTDBBWmcwOFhGRWRlOTZJWmRuN0xMYm4zWUFpNWUrZzZ4czNwT2d2b3FPanU0QVlBZ1JUWXFLaW1ydDcrL2ZGd0NVVXBsUlVWR3RnWklYQ3dDVytQbjVXWW1vZFZGUlVmTnUzYm81WFM1WHZoQmlwVkxLN1hhN0p6a2NqdXdtVFpvTXI4bnpGeGNYODR2YWVvYVhmNmlmWEE0Y3lUaG9yZmhHTUxzTUxCWkxYMTluWUhYTExiZmNnalp0MmtCS0NZUEJnUDc5K3lNOFBCd0FFQllXaHZ2dnZ4OGRPblJBMzc1OVFVVEl5U2taRDdGbHl4YXNXN2NPQ1FrSmNEcWRHRGh3SU1hT0hZc1BQdmdBNjlldng5S2xTekZyMWl4b21vWXVYYnJna1VjZXdjQ0JBMzE1cTZ5YVB2dnNzN01laTRpSXdPTEZpeS82V2wyN2RrVjhmSHlWeHlaUG5vekpreWRYK3prYWtvWmF4Tk5PblRwMVk1bkhld0Y4M2F4WnMzd0FEK2JrNUpUOUtyblg4emZCVStqd2pPYUNwbWxOalVhamQwcXF5K1h5QXdBcFpVRFpkby9hK2x5NkxSWkxDb0NVbUppWWo2V1U3WVVRM1FEY0lvUVlrWm1aMmZ6cnI3L0d1blhyMEs1ZE8zVHExQW1EQncvR3dJRURLMjNKM0JEczNyMzdPSURqRlpwZHBWTkp5MHBNVER5Q2t1SlhXVEloSVdFUGdEMWxHejBiZUZRcU1GcXQxdjJvUEhJUUNRa0pYNXpsK1NwOTU3QmFyZDhCK0s1Q1cxNVVWTlI4ZzhHZ3k4L1A5Mjd5a1pTVXREOHlNdklmUVVGQll2ZnUzYWRMMjArZlB2MWxjSER3Wm9mRFlTOTdIU0thSnFVMFpHZG5lejhuVXNvVUljUnd0OXR0VDBwS3NwZHBueXVFV09RcE5yb0JJQzh2NzBqejVzMkhFWkVpb24xbEx2MGxnRVFpS2l3c0xNenlmSTZLWW1Oalh5U2l6VVNVV3RyUjM5OC9xOURoK3NDdGFGSndzRjlBVlBldXVLYjN1VGRaWWF5dThETVk0T2RuT0g5SFZtY1pESWJyQVFnQVMvejkvYjBqem9ub0szOS8veXJQOGZmM1g2eVVTbFJLdlFyQUJPQnVtODFXK24zdDIwdWRtZmxPKzZ0NlJPb011bzk1K1lmNlIrZEhPUkdkalg5UDMyKzFucjgzcTAwbWsrazZJb3AwdVZ4V204MzJxNi96c0V0djFhcFY1MXk2cVZldlh1alZxOWRaajQ4ZVBicmM0NFNFa3IwZU4yL2VqSjQ5ZStMeHh4L0h3SUVEMGJGalJ3QUFFZUhHRzIvRURUZmNBSnZOaHExYnR5SXRMUTI5ZS9ldWhidGhyR0ZyRUVVOElnb3lHbzBSS0ZtM0lkOW9ORDdvV1F1bnFyNGZObXZXN01PSzdjSEJ3ZDdwTVVLSWxwNisyOHNPOVRRWVNsNzRDU0ZlQlBCaXhXc29wYmJVd3UxNDJXeTJBZ0Nwbmo5ZnRXM2J0a2w0ZVBqdG1xWTlWRnhjYkQ1MDZGREFvVU9IdEkwYk53SUFSbzRjaVo0OWU5Wm1CRlo3Vk9rMDF3cmNhV2xwcHlzMkhqeDRNQStWRjJSSDZacDVaWG0rVGlyOWdtdXpWVjYwUHlNam95Z2pJMk5ieGZhekZFRGRuaEdTbHJLTjhmSHhlUkhkak90QWVKU0VDS2ppbmhoajdGSlJSUFNObExMc0s0a1BpU2hQS2ZYRWVjNHRKS0lzS2VWclFvaE9WYTJKZXo0dWx5c21LU25wWUUzUFk3NVRNbTJldWdpaTBJQ0FBR2hhNWFWSVdOMGlwVVJoWVJHVWxHRlNrMUdvNG5jY2Rta3BwU1lSMFFnaWVnTUFGL0VhZ2VEZzRFcHQ0ZUhoWngwRmRUNkRCdy9HaEFrVGNNTU5ONkJEaHc1bjdhZHBHa3dtRTB3bTB3VTlEMk9OVVlNbzRnRVlMWVFZRFFCS3FRODBUZHNtcFJ4ZjV2aTlSTlFISlp0SXVBSFlsRkp2bDcxQTJlbVFTcWxvSWpxdGxMcXVCaG5ldklqODFlS1pjdnNoU2paNTZDNkV1SXVJekVRVURhRERGMTk4Z1MrK3FEUmdqREhHR0dzSUFnRVV4TWZIWjhPekRFWk1URXg3VGRPNkthWG1LS1hPdXI2aDFXck53NS9MQ2p4bE5CcU44S3hCV2gxRTFKK0lIdExyOVZ3QnFxZUNtemJGVTVNZVIrZklxM3dkaFoxSHhwR2pXUGo2RWh3L2ZzTFhVUnF6YU0rNjB6d3NpbDBRVGRNd2R1eFlYOGRnckVGcUtFVzhsVkxLNlFDZ2FWcSs1eGY4dlVhak1VSUk4UnFBTGdDR29HUVI2OWxDaVBFQStqb2Nqc25KeWNrVk56RFFBYmdSd0E2THhmSWJxcWxuejU0M1Z0aE00Vkp5ZTBZTnp1cldyVnR6ZzhFUUtZU0lJYUpiQVF3a29zRExsSU14eGhpN0xKUlNRUURLalZ6V05HMDBsUXlabjBkRTg4NTJydEZvRExOYXJkNjFSRDI3aVZkN2RJL1piSFlCZU1qbGN2RXVQdldVWHE5SGRGUjNtSXd4dm83Q3ptTi8yZ0djYldvOHV6eUlTQTlBUjd6NlBHT00xVG4xdm9pbmxIcE5LZVd3V3EzcHBXMXhjWEZYS2FXZUFqQldLZld0MCttTTNyMTc5M0d6MlF3aU9rUkVmWlJTbnhvTWhqU1R5YlFFd0g4OW16UEFaREk5VGtRdEFMeGZreHhKU1Vtbnp0K3I5dTNkdS9ja2dKTW9HZXIrVGt4TVRFdWRUbmVQbFBJZVgrUmhqREhHTGdVaUNpdTcwM3hjWEp4ZVN2a0VnRXdBNFFCdWsxSm1sT212QTdBS1FLYlZhcTIwYkVGTktLWHNuclZ5dWJMQUdHdndsRktMQVJoZEx0ZEdYMmRoakRGV1hyMHY0bG10MXA5TFA0Nkxpd3VSVW40dXBmd3JTbllJdmRGaXNWUmFweTQrUHY0WWdNRm1zL2xoQUhPVlVyTk1KbE0vcFpTTGlKNVhTdjFtc1ZoV1g3NjdxRDAybSswRWdFVUFsdUFDZHlSbHJLSDY4c3N2OGZ2dnYrUEpKNTg4YjkrMzNub0xPcDBPRHozMFVJMmZ4KzEybzdpNEdQNysvaENpK3JQdkhBNkhkKzFOQUhBNm5kaTVjeWY2OWV0WDdXdms1T1NnV2JObU5jcGJGYnZkamlWTGx1Q1dXMjVCNTg2ZEwvcDZqRjJNdUxpNE5rcXBFSlRaZUVncE5aYUlPaXFsQmhIUkMwcXBDVmFyZFZqcGNaUEo5RHlBdGtLSXZ3R1FWVnkySm5JQlFFclpEQUM2ZGV2VzNQTW1HbU9NTlRoV3EvVlZYMmRnakRGV3RRYTF0a3Q4Zkh3ZUViM3VkcnY3V2l5Vy9sVVY4TXFRQ1FrSmI5dnQ5bzVTeXVzc0Zzc09JY1N6U2ltM0VPSmVlSGJ6ck1kY3FQLzN3TmhGVzdGaUJkTFRTd2JxV3ExVy9QampqOVU2Yi92MjdmamxsMTh1NkRsLyt1a25EQmd3QUFjUFZuLzllN2ZiamJGangrTEZGLy9jTTJmTm1qV1lOR2tTZnZ1dGVqUDdUNXc0Z1p0dXVnbnZ2MTh5a05odXQ2T3dzUENjZjRxTGk2dThsdFBweENlZmZJS01qSXdxanpOMk9Va3Bld0NBMiszZURaUVUwUURNVVVwdDl2eXNuMEJFQTAwbTAySUFaREtabmdEd2YwUTBLVDQrZm04dFBQL3ZBQ0NFNkFBQVRabzArWi9KWkhyNVlxL0xHR04xa2Nsa2V0bGtNbGxNSnRNa1gyZGhqREZXWHIwZmlWZFJRa0xDTitjNFZ1bCtVMUpTSEFBMkFZRGRibi9FWURCMHFJMWYrQm1yYStMaTRwcTRYSzdveE1URUJKUVVlUnU4a3lkUFl1SENoY2pQejhlNGNlUE8yZGZsY3NIaGNLQkpreWFWamptZFRvd2VQZnFzNTc3NjZxdTQ2cXFMV3l6OTQ0OC94cDQ5ZTNEWFhYZDUyMGFNR0lGMzMzMFhiNzc1cHJjd2R5N3Z2UE1PZERvZGJycnBKZ0RBbzQ4K2l0MjdkNS96bkw1OSsyTEpraVhWenZuMDAwL2o1NTkvcnZMWXZIbnpjTjExTmRrUGlMRnF1MUVwVlZCWVdKZ01BQUVCQWY4QkVDNmx2QUVBRWhJU2JDYVRhUlFSZldVeW1Yb0Q2RVZFVHlRa0pMeDlyb3RXbDA2bk82U1VLaVFpRTRBUGxWSXRBVGhxNDlxc1lUdDkrblNsWFI5VFUxUFJ0bTFiTkczYXRFYlgrdU9QUHhBZUhvNkFBTjRZbmwxYVNxazRJWVRSN1hiSCtqb0xheGhjTGhla2xPVm1uTENHeGVWeUlTc3JDMjNhdEtuMk9mbjUrWmcwYVJJZWVlUVI5TzNidDl5eGpJd012UERDQzVnd1lRSjY5dXlKeE1SRUxGMjZGTTgrK3l6YXRtMWIyL0hybFFaWHhMc1lLU2twbVNoWlc0ZXhCa2RLMlVMVHRGOU5KdE4rQUV1Y1R1ZVgrZm41V2VucDZjVm9vRk92UzR0TmNYRng1KzI3YXRVcUxGeTRFTnUzYjRlZm4xKzVZMElJL08xdmZ3TUFIRGh3QUJzMmJNQ0REejdvWFhnN0pDVGtuTmZPejg5SFVGRFFXWS92M2JzWFM1Y3VSYTlldlhEenpUZDcyLzM4L1BEd3d3L2o1WmRmeGtjZmZZUXhZOGFjOVJwcGFXbFlzMllOcGs2ZGlwWXRXd0lBSmsrZWpHUEhqbUhXckZrWU0yWU1ycjc2YW0vL3dzSkN6SjQ5R3kxYXREaG45b3FLaTRzUkdCaUlPKys4MDl1V2s1T0RsU3RYd3VWcUZMVmhkdmtKQUNPSjZOdTB0TFJpazhuMERCSGRycFNha1ppWW1PenBRMFFVQUNDVGlIb3JwVTVKS1lzakl5UDkwdExTcWg1dVdnUHg4ZkZPazhuME14SGQyTDU5Ky84RDBGWXBsWHF4MTJYbHhjVEU5TkUwelM2RVNJbVBqM2Y2T3MvRnlzL1B4NmhSb3pCNjlHZzgvUEREQUVxV1RaZzBhUkk2ZCs2TXhZc1hveWI3Qmt5ZE9oWEZ4Y1ZZczJiTkJXZkt6TXpFc1dQSEx2ajhuajE3UXFmamx3OE5IUkVaQVVBSWNZMnZzOVJsWGJ0MlhXUXdHQTVuWm1hK2s1V1ZsZS9yUERXMWI5KytTcis3dFdyVkNzMmJOeS9YbHA2ZWpvOC8vaGlqUm8xQ3QyN2RMdWk1WG56eFJYejMzWGNYUE11bElZaUtpaklZRElaZUFJNlVYYysvb1hqc3NjZHc4dVJKZlBiWlo5WCtPZUZ5dVpDWW1JaFRweXB2TDFCUVVJQmR1M1loTjdka1g3S2NuQnpzMnJVTGhZV0Z0WnE3UHVLZndvdzFNa1RVR2NEcmVyMStYbGhZMk9iUTBOQk5SSlJjWEZ5ODIxUEliakMrL2ZaYkFDWEZMQ0tDM1c2SDIrM0d3SUVEdlgwMFRUdnZGRnROMDd3dndONTg4MDIwYk5rU0V5ZE9MTmRudzRZTitQREREN0Z3NGNKeTdkdTNiOGUwYWRPd2ZQbHlkT3JVcWRLMWMzTnpNV1hLRkFRRUJPQzU1NTZyZFB6MjIyL0g1czJiOGNZYmI2QnIxNjdvMWF0WHBUNUtLY3lmUHg4OWUvYkVIWGZjZ2V6c2JMejg4c3NZTjI0Y2V2ZnVEUURvMnJVckJnd1k0RDNuL2ZmZmg1UVM5OTEzbjdkTlNvbi8vZTkvQUVxbTRnSWxVNUFkRGdlSUNFT0dEQUVBTkd2V3pQdjVBRW9LaUN0WHJqekhaNUN4QzJjMEd1OGxvaXVWVXY4d204MlBBbmhaS2JYYVlySE1qNDJON2FKcDJ0K1VVbzhvcGJvRCtBUWxhOEpPRlVLOEV4d2NQTTlzTm44TVlLUEw1ZHBxczlrS0xqU0hsUEpkVGROV3Rtelo4bTBBNUhLNWR0VE9IYkpTbXFiZFQwUTNTU24zRzQzR2xXNjNlN1d2Tmc2ckRXKysrU2FjVGlkdXZmVldiNXZCWU1Benp6eUQyYk5uSXkwdHJkcHJqcWFrcENBdExRMGpSNDdFMGFOSGE1UWpORFRVTzhyODg4OC94L0xseTh1OVNNL0p5WUZlcnk4M01qQXpNeE5oWVdIZU43VmNMaGV5czdPeGZ2MTZoSWVIMStqNVdiMVUraW81NzV5OUdybUFnSUJKUkVUdDJyVmIyTHAxYTB0QlFjRURCdzhlVFBKMXJ1cDY3TEhIa0pkWC9wLzR5U2VmTFBlN29WSUtjK2ZPaGMxbXc5R2pSL0htbTI5ZTdwZ05odDF1RC9Eejgzc0dRSGVUeVdRam9tV25UNS9lVUJ0dk5sNE9QLy84TXh5T3MwOUM2Tnk1TXl3V0M1WXVYWXJvNk9pejlnc0tDcXJ5OVF5clBpN2lNZFlJS2FWQVJDRUFiZ0V3SEVDV3Y3Ly9mcFBKWkpGU2Z1bDBPbi8yVERXdnR5d1dDK0xqNDNIVFRUZkJaRElCQUw3KyttdjgvdnZ2NVFwd05kbDRBZ0IrKysyM2NpUGFTbTNldkJuSGpoMnJOTEl0TGk0T29hR2hlUFhWVjdGMDZkSnl4d29MQy9IVVUwL2grUEhqV0x4NE1WcTNibDNwdWtTRTU1OS9IbmZmZlRlbVRKbUMrZlBuVnhwdS91bW5ueUlsSlFXZmZQSUpoQkJZdUhBaGR1N2NpYWxUcDBLcGtrR1dVdjY1cnIvZGJzZEhIMzJFSVVPRzRNb3JyL1MydTF3dXpKczNEd0M4NTYxYXRRcENDT2gwT204Umo3SExpWWo2QS9qVllyRjhFeHNiMjBzSXNhSzR1UGhCczluOEtZQTdBUlFSMGRjQTdrdElTSWozbkRiS2JEYkhBZmdIZ0FrQXBtcWE5aDJBbXk0MFIySmk0bWNtaytsbUlocWxsSnFmbEpSVS9VVXZXYlY0UmxOZVFVUlhFTkYxUW9pM2pVYmpSMHFwajl4dXQxVUlrVyt6MlFwUkQwYVA3OWl4dy92OTg1WmJicWwwM09WeTRZRUhIcWp5M002ZE8yUFpzbVhsMmo3NDRBTUF3QmRmZklFdnZ2aWlSbG5tekptREVTTkdlQjlIUlVYaHZmZmU4ejZlT0hFaXVuVHBna21UL2x6K3JGKy9mcGd6WjQ3M3paL1UxRlRjYzg4OU5YcGVWbjlaTEphT3ZzNVFUeEFSZ1loSUNHRU9EUTIxeGNiR09wVlNQNXcrZlhxNVVtcno0Y09ITTFHSHYyZU5HVE1HbzBlUFJtcHFLcVpPblZwcEt1Ujc3NzJIZmZ2MlljNmNPWGpoaFJld2ZQbHkzSHZ2dmVlOTdwbzFhNUNVbElRWk0yWlVPU29yS1NrSkgzLzhNV2JQbm8zQXdNQmF1NSs2TERnNG1BQTBKYUpJQUpFQVJqWnQydlM0Mld4ZUxhVmNRVVQ3VDUwNmRTWTlQZDN1NDZoVmV2SEZGNzJqNHM3RzM5OGZuMzc2NlRuN2RPclVDY3VYTDYvTmFJME9GL0VZYTZSS2l6UW9tYXJXU2luVmlvajZhNXIyaEJEaW1ObHMva2hLK1U1MmRuWkdSa2FHRS9Wc0hiM1BQdnNNWVdGaG1ENTl1bmNFZ3RWcVJVNU9EbTY3N2JZTHV1YUpFeWVRbEpTRXYvLzk3K1hhM1c0M3RtL2Zqc0dEQjFjcUN2cjUrV0hDaEFtWVBYczJObTNhaE1HREJ3TUFpb3FLTUduU0pDUW1KbUxxMUttVkNuTmxOV3ZXREV1V0xNSDQ4ZVB4NUpOUDR1bW5uOGJ0dDk4T0FOaS9mejhXTFZxRXVMZzRiTnUyRFZsWldkaXdZUU5tejU2TjFxMWI0L2p4NDk1N0w1MnF1MnJWS3VUbDVWVmFKOUJnTUhpbklLOWJ0dzR6Wjg3RWl5Kys2TTNNbUM4SUlaNTB1VnhYQWxDSmlZazdBZndkQU14bTgweWwxTnJDd3NJdlUxTlR6MVE4ejFQUXV6Y3FLbXE4d1dDNFh0TzBYeTh5aXJKWUxQY0J1Tys4UGRsRkNRc0xRMmhvS05MVDB5R0VHQU5nakJCaUg0RGRaclA1VnlubE5vZkRZVXRKU2FtVDA5Y3lNakl3YTlZc0FDVTduZXYxK25MSFgzdnROUVFGQmVHUlJ4NnA4dnpTcFJwS0hUeDRFQnMzYnNTUUlVTXVxSkRXdm4zN2NvL3o4L1B4NjY5Ly9uZkl6YzNGc1dQSHlyVkpLYkZ2M3o3ditsVzh5VkhqWWphYnV5dWxXcnJkN3Q5dE50c2hYK2VwNjhwK3o5STBUUTlnV0ZoWTJEQXBwUXdORGMyU1VyNmRuWjM5MzJQSGpoMzJkZGFLbWpadGlyWnQyMkxkdW5YUTZYUzQ5dHBydmNkKy9QRkgvUHZmLzhhc1diTXdZc1FJWkdWbFlkR2lSUWdKQ1NuM3hrQkYzMzc3TFY1NDRRVjA2ZElGaFlXRmxkWUZCWUJEaHc1aDQ4YU5PSFRvRUJZdFdsU2pkZFFhZ29pSUNCUVdGaUlySzZ1VlVtcUNFT0pScGRUK3NMQ3dYV0ZoWVQ4QitNMWlzU1Q2T21kWmE5ZXVyYlZyN2QrL0h4czJiUEJ1c1BmRER6L2cwS0ZER0RSb0VMWnQyd1lBeU03T3J2TGN6ejc3RE0yYU5mTSt2dlhXVzlHcVZhdGF5MVlmY0JHUHNkcWhNNWxNMXlxbHJqeC9WNS94em44cHV3WlBtV0tlOTJNaWFnTmdHaEZOYU5teVpYeDRlUGd2VXNvRUFCYWJ6VmJuMTRGU1NtSHk1TWs0Y09BQTNHNDN6cHdwZVgzdmREb2hwZlErTGxYZDBYanIxcTBEQU9qMWV1K0xuUzVkdW1ELy92MDRjK2JNV1l0ZHc0WU53L0xseTdGNDhXSU1HREFBeDQ4Zng1UXBVN0IvLzM2TUh6OGVkOTk5OTNtZnUzUG56bmozM1hjeGZ2eDR2UFRTUzFpM2JoMm1UWnVHNE9CZ2RPalFBVzYzR3p0MzdzVFdyVnN4WU1BQTcvU3RvcUlpQU1DbVRac3dmZnAwNkhRNkpDUWtRQ2xWcmhpNWFkT21jb3NOYjkyNnRWcWZFOFl1dGZqNCtFSUF5UlhiRXhJUzBnQ2tuZTk4VDZIbndoY1JZNWRkOSs3ZE1YMzZkQncrZkJqZmZmY2RmdnJwSnhRVUZIUUIwRVVwZFRNUlpmdjUrV1hFeHNaKzQzUTZQMHhKU2ZuZDE1bExuVHg1RXBNbVRmS09WZ2dORGExVXhOUHI5VEFZREFnTkRhMTBQaEZWS3JxOThzb3I4UGYzeDVRcFUycGxLbXRHUmdibXo1OWZyaTAxTlJVdnZQQUNoQkRRTkExdDJyVEIyclZydlMvYXpqV0ZpalU4U3FsSlJIU3JFR0lKZ0gvNk9rOWRWL1o3MXNhTkc3RjE2MWFjUEhrU21xWUp6NXZrczF1MWFqVzdSWXNXR1U2bjg3RTllL2JVWGpXa2x1ellzUU85ZXZYeWpvcjc4Y2NmTVdQR0ROeDg4ODNlTjc4ZmV1Z2hIRGx5QkhQbnpzVWZmL3lCOGVQSFYvb2QrcHR2dnNIY3VYUFJwVXNYTEYyNnRNb0NIbEN5ZVZ0SVNBaG16SmlCZSsrOUY2Ky8vanA2OU9oeGFXK3lEaGsyYkJodXVPRUdwS1NrWU9QR2pmamxsMTkwUlVWRjNaVlMzUUNNSXFKc285RzREOEFLaDhPeHVxNjlhVFZuemh6ODhNTVAxZTdmcjE4L3ZQTEtLOTdIMmRuWjJMcDFxM2VtVUdwcUtvNGVQWXBPblRyaHd3OC9CRkQrTldwWjMzenpUYm5Yc3YzNzkrY2lIbU9zNW1Kall6c0JXQ3lFaVBGMWxwcXFxcUJYcHBqWEJNQUFJaHFnYVZveGdMMG1reW5lN3BDSEN1dnd1THlUSjAvaXhodHZQT3Z4UVlNR2xYdmNxVk9uODQ3T2M3bGNXTGx5SlpSU2VPcXBwN3p0Q3hZc3dJOC8vb2lnb0NCY2MwM1Y2ejhURVI1OTlGRk1tVElGWDM3NUpWYXZYbzBEQnc1Zzh1VEo1OXlzb3FLSWlBaDgvUEhIZVBIRkY3RnAweVlzWExnUWI3MzFGbGF2WGcwQWVPbWxseEFXRm9abm4zM1dlMDVwRVM4M054ZmJ0bTNEb0VHRE1IcjBhTys2Z0o5Ly9qa09IVG9FVGRPODV4UVVGR0R6NXMwQVN0NHA5ZlB6Sy9mT0xHT01YVW9HZ3dIdDJyVkR1M2J0Y08yMTE4SnV0MlBIamgzNDdydnZZTFZhRFlXRmhXM3RkbnRiVGRONmE1cjJ2TkZvM0VaRUg3dmQ3dldGaFlVbjA5TFM4Z0hJOHo1UkxiUGI3WGo0NFlkUlVGQ0F4eDkvSFAvKzk3K3JuSFpXdXM3b2poMlZsMVhVNlhUWXNtV0w5L0YzMzMySFhidDJZY0tFQ2ZqODg4L3g5dHZWMzNBNUpDU2swcHF2SFR0MnhCMTMzSUhKa3lkWDZqOW16QmhFUlVYaGlTZWVxSFRzNU1tVCtQTExMOHY5ckdBTmwxTHFPcVZVUzZYVWplQWkzbm1kNTNzV0Nnc0xZYmZiSVlSb3I5UHB2bzJOallWUzZuZTczZjVxWGw3ZWQ4ZVBIejhNd08yci9BVUZCYkRaYkpnMmJSb0FZT1hLbFZpd1lBRUdEaHlJMmJObmwrczdjK1pNRUJIZWUrODl4TWZIWTlxMGFlamV2VHNBNE8yMzM4WmJiNzJGYnQyNjRkLy8vdmQ1TjM0Yk9IQWcvdk9mLytDSko1N0F1SEhqTUgvK2ZQVHYzLy9TM0dRZEV4QVFnSTRkTzZKang0NFlObXdZY25KeXNINzllbnovL2ZlVWtaRVJXRkJRRU9oeXVUb0N1TUhmMy85OWs4bjBsVkpxR1JIdEZFTGt4c2ZIRjhHSDA3UWREZ2ZhdEdtRG1UTm5ucmZ2SzYrODRoMXhWNnB2Mzc3bzI3Y3Zjbk56Y2QxMTEySENoQW5lVFFTSERSc0c0T3pMT0h6NDRZZUlqSXlzaGJ1b3Y3aUl4MWd0VUVvMUk2S1d2czV4c1VvTGVtV0xlWjYxUGdEQUQwQXNnSlk2amI0bFY1MWQzZ01oSVNGWXZIaHhwZmJseTVmajRNR0RtRE5uVHJuMkprMmFJQ1VsNVp6WC9QNzc3NUdabVlraFE0Wmc5dXpaY0RnY3VPNjY2MUJZV0lnZmYvd1IxMTkvZmJtUmJCVU5HalFJRHo3NElQcjI3WXZvNkdoa1pXVWhMUzBOL2ZyMXE5RzlmZmJaWjFpd1lBSFdyMStQYTY2NXh2dHZ0bVhMRnF4ZXZScHZ2UEZHdVNIbXBiczlkZTNhRlo5Kytpa0dEUnJrbmJwcnQ5dngybXV2WWVqUW9lVmVtSzFkdXhhQmdZR3cyKzFZdjM0OTNucnJMY3lkTzlkYkdLM3BPb0oxa1U1QWFBSTk0K0xpZHNUSHgrY0JRRXhNVEV0TjA3b1RVWDVtWnVhZW8wZVBGZ0pBYkd4c0R5RkV1SlF5dTNRMzFMWnQyelpwM2JwMWQ2VlVrTnZ0M21PejJVNEFRTGR1M1pvSEJBUkVBNERGWXZHK0VvK0ppZW1xYVZycmlsT1RUQ2JUUUFBNGMrYk1MNlVMRzhmRXhMVFhOTzBxbDh1Vms1U1V0QWVlcWV5ZW5UdjlBYVJiTEpiREFHQTBHa09KcUx0U1NnQkl0bHF0dVo3TTdZUVFrVzYzMjI2ejJYNEZTblpGOC9Qeis0dFNxcDNUNmR5Vm5KeWNBZ0J4Y1hGNnQ5dDlEd0JZcmRZUHltUTJDeUY2dXQzdVEwbEpTVCtWdGh1Tnh2c0J3T1Z5L2JoNzkrNC9QSDJ2RkVMOEJVQ2UwK244S1RrNU9jZlR0eCtBU0tYVTc0bUppWnNBb0ZPblRpRkJRVUYvRVVJMGN6cWRQeWNuSjZjQlFIUjBkQ3VkVG5kanhSeWwxd0NRWXJWYWQxWE1JYVZjWGJwaFJVeE1URmNoeERWS3FjeVRKMC8rbFBILzdOMTNmRlBWL3ovdzF6azNxMjA2QkZyS1JpaXJsRFlwSUFvQ3dvZXBxTGhSRWZTalB4bGZQNENBNEVBUjUwZHh3RWNRRlQ2QUM4V0JBaUlmQkJuaVlMVkpCNVJORVNoUVJpZHBNKzQ5dnorYXhLUkpGMEtUdHUvbjQ4R0Q1dHh6NzMzbnRqbkpmZWVNa3lkTEFDQTVPZmxXUlZFYU1jYk1ydUVwY1hGeDBXRmhZUU00NTVLaUtMK2twYVdkY3RidG9paktkWXd4bThsaytzSjVPaWtwS2FrZlk2eTFMTXVwR1JrWkdaVmRPNFBCWUFDUVZNbTErelV6TS9PSTgvZlNXcTFXOTJPTUZWZHc3YzZrcGFWdGNOYlZhelNhZmdDaVBhOWR0MjdkcnBFazZUWS9jZHpDT2UraEtNb2VzOW5zN3ZtUm5KdzhHd0JzTnRzSG1abVpaNTEvaXowWVk3Y0lJVTVhcmRhVnJtLzlEUWJEV001NVd3QTdVbE5UTjdqK1Jqbm5kM0hPOVhhNy9kdU1qSXo5em1Na01jWkdDaUZLVFNiVEd4N251dzlBWjBWUnRwbk41cTNsNDBoTlRaMkRTdWgwT2d3WU1BRDkrL2ZINmRPbnNXL2ZQcGhNSnV6YnR3K1ptWm5nbk44STRFWkprZ3JEdzhOM0dRd0dFK2Y4aU1WaSthYTBGdCtxZERvZDdybm5IdlRyMXcvSGpwVzl6RGR2M3V5ejR2bmt5Wk1SRlJXRk9YTXFmZG80Y2VJRVhuLzlkYlJ2M3g2alI0L0c2ZE9uRVI4ZlgrMTQvTTFENWJrQ3VqL2ZmdnN0dnYzMjJ3cTM1K2ZuVnhuM2xTS0VnSWF6RmthanNiL1ZhajNtMGVOU01ocU5Od0xlN2F6QllHakxHR3ZER010TlRVM05jcFc3MmxtNzNiN2Y5ZmZlc1dQSEpucTl2b3VpS0tVMm15M0w5ZmZ1YXFzQjVMdmFpclp0MitvaUl5TzdjTTRqckZickFkY2lZSW1KaVdHU0pQWHdFMGNIQVBFQWN2eTFXYklzcjNFdDJPSnFzd0NjTzMvKy9KYnliUlk4MnIyNHVMam84UER3Zm9xaWhBRFk0bXF6RWhJUzJxdFVxaHNyYXJNQXBKbk5ablA1T1B5MVdSNXR0WjR4eG9VUXhxU2twUDJLb21Rd3huN2xuT2RZclZhdTBXaWVCc0JrV2Y2RGM3N2Zack50MXVsMFl4UkZ1UlhBUmNiWWVzNTVRVUZCd1hxOVhqOFBRSHNoUkFaamJKY3N5M3NjRGtlUlRxZGJDa0RER0Z2TEdEdFJWRlQwUlVoSXlBdVNKQTJVWlRtSGMvNExZMnovNmRPbmY0eU5qZjBGUUpnUTRsZEprdEk1NXhsV3F6V0JjLzY0b2lnbFFvanRLcFhxa01WaStTa3NMR3dCWXl4ZUNIRU13SG9oUkdGSlNVbG1TRWpJZk1iWU5jNllVMjAyMjI4YWphWUhZK3hKQUVKUmxDOGxTY28xbVV6L01SZ00zekhHRExJc0grR2NiM1pldzNVR2crRUFZMHlyS01wcXp2bVJpbm9LVmRabUhUeDQwSlhRYUIwYUd2cGVhR2pvZTAyYk5pMWlqQjB1TEN4OEpCQ2ZybmZ0MmdXSHc0RStmZnBnNXN5WjJMUnBFL1I2UFF3R2c5LzJvR1BIamhneVpBZzJiOTZNc1dQSDRzY2ZmOFNISDM2SVZhdFdvV2ZQbm5qcnJiZWcxK3VyZGU3RXhFUjg4TUVIbURoeElxWk9uWXJQUC8rODJnditYQzZoQ09nazFzWm9OUGFYWmZsSWVucjZTUUNJaTR2VGhvZUhYdzhzaitWU0FBQWdBRWxFUVZUNHZxWTU1OGtPaCtONGVucjZEby95Q2wvVC9qNkhDQ0ZhTXNaOEo4QkcyZFE1OTk5L1ArNjk5MTRjUG53WTZlbnB5TXJLUWtaR0JvNGZQdzVabG05bmpOMHVoRGdtaE5oak1CaCtVeFJsaDhWaU1RZXFYNFZXcTBXclZxMnFWWTljV1pURUkrUUtFa0xrQ3lIdThMeEpDUlpHbzdFTlk4eG5PZk9LUG9Bd3hpQ0VzQU00RGVCUFJWRitGMEw4THkwdGJVdmJ6b2Fid05rOVZ6bmt5NlpXcS8zMkhOdXdZUU55Y25MOGJxc3NpV2V4V0xCZ3dRSUFaU3ZWaG9hR3VwTmVGeTVjUUdKaW92dGJJMzhjRGdlbVQ1K08rKzY3enoxTXFrdVhMb2lNalBTNnlmcnZmLytMbUpnWTNIcnJyVDdITUp2TjJMWnRtL3VOY09qUW9lNXRodzhmeHZQUFA0OHhZOGFnVTZkT3lNakl3Tm16WjlHblR4LzNmQktUSjAvR3hJa1RrWm1aNlY0eDZxZWZmc0tsUzVkdzExMTNlY1g2OGNjZlkralFvVml4WWdYR2p4K1ByVnUzNHZubm4wZVhMbDFndDl2cnhRVEVlZzNYZ09FWlJWRitCZkFIQUhET2IyQ01mU0NFeUl5TmpaMlFrNU56R0FBa1Nab0dZTGdrU2VzQi9CTUFZbU5qbXdzaC9zMFlTK0Njandld0dnQkNRME43QWxqbVBJMTdnaGVWU2pVQndIM2xoeVl4eHI3MDJPK2tNNDdoakxHWFZDclZscmk0dVBHSER4OHVkTWJ4SG1Pc2xSRGlMUUN1WlpEakdXT0xuRGNWL3dUd3UvTzROelBHWHBJazZRU0E2NEN5VmRGME90MUVBSVBWYXZWTUFQc0FJQzh2THpReU1uS0I4M2p1bXpwSmttNEhNRld0Vm44RHdKMklZb3d0Y0Q2blVRQk9PT3NtQTFqQUdEdklPWDhZd0VWbjNkRUFSalBHZmdDd0JRREN3OE9iY3M2ZkJwQ29WcXZId3pra1ZwS2tEcTVqZThiQkdIc0l3SU5DaVBjQjdQWW9Yd0FBRG9kakM0Qkx6bVBjQ0dBZVkyeDdvMGFOVEs0UHowS0lweGxqaVVLSTF3Q2tBWUJlcjIvTE9YOU5DS0hsbkQ4QzRCUUFLSW95Z0RIMkJvQjhsSzEyaTdpNE9CWG4vSEVBSTFRcTFXd0FHWlZkT3dBM004YWVxZVRhalFkd0JBRFVhbldpSkVudkF2aXpnbXUzSGNBRzV5RWFjYzZuQ3lGNmVsNDdBQzBydUhZakFJeG5qSDBBd0hQNDFvdk9jMzhQNEt5enJBZUFGeGxqTzV4MWk1M0hlQmpBVFFEbWVjVFJrakUyQlVDc0pFbDdBZXgzWG1jRFkreEY1N1h6SEs4NUNzQkl6dmtjQUo3dmo2NGx1YXVWRmVLY3UzdTc5Ty9mSC9uNStjakp5Y0VmZi95QlRaczI0Zmp4NHhGQ2lFRUFCZ0d3aElTRVRPUU9jZFJpRjdYV2ZjelZhOENWeEJzNGNLQlBIVmRQUEg5RGtUeDc0aTFmdmh5TU1jeWRPeGNhamNiZGErUHZzdHZ0N2hYSVBjbXlqTHZ1dXN0dlR6d0FDQXNMcTlVdmNSaUFFSzAwZ2pFMlZhZlR2WXF5bGFjUkZ4Y1g1bW83NGRIT0FyaWJNVFpOQ1BFOWdBbnU0empyU3BJMEdjQlhBS0RYNjNzSUlSWnh6azg2WDB0N2diL2FhaUhFN3dEdWN0YU5saVRwWlFEZDFXcjFGQUFybmNkdFcwRWNqekhHSGhOQ0xJR2ZOZ3RBS29BOFoweXVObXQzbzBhTjlwUnZzd0FzZEIxRHI5ZTNCVEJIa3FTbVFvajc0V3l6VkNyVjljNWorMjJ6aEJDdkF6RDdpY09uemZKb3F6Y0lJWG95eHJveXhqb0I2TWdZdXhQQUdZMUc4eHZuM0NDRWdFcWw2Z3FBYXpTYTl3Q01jc1lHQU5jREVLR2hvU2NsU1JvR2dDdUswb0V4ZHFja1NiK3FWS28xblBOdXpuTjNBcUNFaG9abWM4NGZCSENOSkVueEFQNEI0SFJNVEV3RzV6elplVjA2b2l6aHRsMmxVdW1jNzhFQVlHU01LVHFkN21uRzJHREdtRW9JMFlZeDFvOHg1Z2dORFgyZU1aYnN2T2F0R1dPalFrSkN2bFVVSlpwejNrNVJGRWlTOUN6S2VqYjl4M2s5TkpJa3RSVkNEQUNRQldBZDU3d2pBSERPSndGUVBFZXorT092elNvc0xNVEdqUnRkYlpickMvTnd4cGd4TWpMU3JDaWkyQ0ZnTDZuRnpNeStmZnVnMStzUkhoNE9uVTZITVdQR0lDc3J5NzJnanNQaFFHRmhJU0lqSTkyZmZ4OTc3REdNR1RNR3YvMzJHNW8wYVlKZXZYcmgwcVZMbURObmpzOFVBbFhwMHFVTFB2endRMnpac3VXcUovQ0FzclpGcDhZOWpMSHBuUE1YQUN3R2dORFEwR2gvcjJuRzJCZ0EvMUtwVk1zQjdQQW9yK3cxN2ZNNUJFQWlnSkRLWXBNa0NaMDZkVUtuVHAxUVVsS0N2THc4bkRoeEFsdTJiTUZQUC8yRWdvS0Nhd0ZjeXptL2xURjJQanc4L0l4ZEZtYUxIYlgrRGZ2Ky9mdTk3a2NxVTFVUFM0ZkRnVFZyMXFCNzkrNW8wYUxGbFFpdlhxTWtIaUVOVUdXSk8rZjJmQ0hFZGdBL0tvcVNVVkpTY3V6QWdRTTV0UmppRmJGcTFTcGtaYm0vakVkNmVqcnk4dkx3NnF2ZUkwTm16cHhaNlhGMjdOaUJ3c0pDcjVWY1hWcTFhb1V4WXlxZjUzN1pzbVhZdm4wNy92R1BmM2lWSnlVbElTa3BDVURabTllQ0JRdGdNQmo4SGs5UkZHemJ0ZzBoSWI3di9lKzg4dzR1WGJxRXp6Nzd6RDJQUkhSME5QcjE2NGZzN0d6bzlYcjA2dFVMQ1FrSm1EZHZIcFlzV1FLYnpZYi8vdmUvNk5LbGk5Y2NKRjk5OVJYT25UdUhrU05IWXNXS0ZRQ0FGMTU0QVVPR0RFR2JObTFRVUZCUWZ5WWZGa0l0OE5lSEhzNjVKSVRRT1JOaW5wL01OYzV5ZDFkTFJWRVk1MXdyaE5CeHppV1BjczRZODU2VnZveGFDS0ZEdWZkZFp4azh6K2U4K2RBQjBKUXIxNVkvaHJNSG5sWUlvWFArN0tycmZpNGV6MDhJSVVvWlk4WE9CTDI3bkRIbU05Y0tZOHdHb0ZnSVVWcXUzSlhjY1EvOUVVSTRPT2ZGQUN5Y2M4V2pyaFZseWFBU1Y1a2tTWW9Rd3NJWUsxWVV4WDJid2ptWEs0aWoxSGtNYTdueVlnQlFxVlNld3lidHp1ZFhJa21TWjBObmNkWjNUK3lsS0lyTU9iL0VHSFBJc2l5WFB3YWNpVUUvY2JpUFVkRzFBMkJ6eHVIMzJpbUs0cjcra2lRNWhCREZqREcvMTA0STRiNTJuSFBoZWk3bHJwM2lMdzRoeEFVQTJjNy9QY3V6bmVld2VaUVZBY2htakozV2FyV2UxK09Ncy81Rno5Z1lZeWNCV0lVUUZzL25KNFRJWm93Vmxnc2xWd2lSTFlUd1d0Yk9GY2ZsNEp4RHE5VzZlM3Q0OWlaMi9tM0tBTUloUklnb3UyY0xpT1hMbC92YzBMNzIybXNJRHcrdk1Gbm1jdU9OTjZKMzc5NllPM2N1VENaVGpjNGJFeE9ENzc3N3p1KzI5ZXZYWTg2Y09YNTd5dVRrNUdERGhnMWVaYklzbzZTa0JHdlhya1h6NXMxckZNZmZKeVFob0JOQytHMDdQWG0ybmY3cWxtdXJKYzY1VGdpaFVSVEY4K1pYN2ErOUYwSm9BZWdZWTVMSGNabS9PQUNvR1dNS0ttaXpQRi9uK0t1OXNmaHJzNFFRWG0yV0pFa1dJVVN4b2lpZTdhL2QyZjc2YmJNOGorRVpSemsyWjNrcEFKak41a2NBd0dnMCtueGdaSXlWbEIreDRTeTNldFJ4SHhkbFE5dTVaN21pS0tYK0VzSkNDQnZuSElxaWVFMzM0ckhkVmM0QVdId3FsTEVyaXFMeXJDL0xza1dsVWdubmZwN0hLZlo4RHA3WFF3aWhFVUlJNTVmYXJyakxQNzlxYzdWWm9hR2gwT2wwUGtQVFhYRklFdE16UmZtcjRhOEZvMGVQeHBvMWEvRFdXMi9oeFJkZjlIbCtKcE1KanozMkdCWXNXT0RURzlnMWxIYlFvRUVZTkdoUWhlZDQ1SkZIL0s3VTdkS3hZMGQwN05qeGJ6eUxtbUhnS3VkcjNkMjJPRi9yL2w3VGtoRENLb1NvOW12YTMrY1FBSmVFRUJyUGRxUXluSFBvZERxRWhZVkJxOVdXLzcxSUFFSUJSRUFJWFcwUHJPM1dyUnVhTm0xYXJXbUJQdm5ra3dwN1pycGVVNisvL2pwc05odWVldW9wOTJpcWl1NVh4NHdaNDc0V1JxUFIzZEdpSWFFa0hpRU5WQVVmanJLRUVHK2VQMzkrcGV1Ym83cnNqei8rd0o0OWU1Q1lXRFpWWVdscEtXUlpSbTV1TGdEZzdObXpPSFRvRUtaUG4xN3BjUVlPSEloNTgrYTVrMW8xc1hQblRuejAwVWU0NmFhYi9QYXdjemwxNmhSa1dVYmJ0bTM5Ym5mTkplRXZpWGZublhmaSt1dXZSOXUyYmRHNmRXczBiOTdjUGJSMzM3NTk3bTgxSjA2Y2lJa1RKK0tiYjc3QnhZc1hjZkxrU1N4ZXZOaDluUHo4Zkh6d3dRZTQ1WlpiRUJQejEraHdTWkxjdzM3ejgvUFJ1WFBuR2w2RjRGTnNVMndTVTE0T1VVdnVCUk1jRHNldm5QTTdBQlRuNXVhZThpai9OK2Q4aVN6TDdtV3ljbk56VHpWdDJuU3Fjeml0dXh1bnhXTFpGUm9hNmpQQm90MXVmMCtTcEs5bFdmYWFnRjhJY1FjQUZCY1huM09WeWJLOGxuT2U1WEE0TGg0OWV0UjlVK1p3T01aeHpuVUEzSWtQeGxpbW9pai9GRUp3eGxpbXh6Ris0Snp2bDJYWm5VUTZmUGh3Y1VKQ3dwTXFsU3FrdUxqNG9tZTV3V0R3V1I3WmJyZS9MMG5TNThYRnhWNDNob3FpM09DOEJya2VaWnNBM0NDRXNOdnRkdmR6S1M0dWZpVTBOSFNlb2lqdW02M1UxTlRqblRwMUdoc1NFcUt4MiszdWE1cVhsMmVLaW9yeWljTjFETHZkN3BVWWNzV1JucDUreGxWbXNWaStDd2tKK2NWbXM1WHUyN2Z2b2tmNTJKQ1FFQTNLZXFxNHl2YnFkTG9SaXFLd3dzSkN6NWhYNnZYNmpUYWJ6ZjJoL1BEaHc3YkV4TVNablBNNWhZV0ZlVlZkT3dCTEZFWDVwcUpyNS9tOHo1dzU4MHRrWk9STkdvM0c0ZS9hMld3MjkrOHdNelB6ZEpjdVhmNmZWcXZWZWg3RGJyY2ZZb3o1eEdFMm0yY0JtRlcrM0dReStYd2pZVGFiUHdmd3VaKzZQaXZ2cEtXbG1RRDA5VlAzV3dBK1k2OVNVMVBIbFMrcktJN0tLSXJpSHBwbU5wdmR3MmxkTndGQ2lFSUF1d0Q4THN2eUhwdk45bnVwMFBSa25QZXF5WG11cEtLaUlwOGtuc1BoZ04xdTkxbGt5V1gvL3YzbzNMbXplN0dra0pBUURCa3lwTnJuL1A3Nzc1R1RVL24zYnB4enI3bjNLdU82Z2E5dEFrQ0pWVjRUcHBWbTJXeTJvNjd5dzRjUFd3d0dnMDg3SzRUNEVzQU94bGh1dWZJN0FNQm1zKzEzbFZrc2xwMWhZV0gzS1lwU0tzdXllNG9EVjF2dG1YQzJXQ3k1S3BWcUp1Yzh3dk1ZRG9jajIvbWVVVDZPRHhSRitjUnV0M3UxOXg2dmYvY3Z4OVZtV2ExV2ExWldsaytiNWRudVdTeVd2YUdob1hmYTdYYXBxS2pJL1J6dGR2dVBqTEZkRmJWWjhHajNQT01vWjRtaUtOOTR0dFVBWUxWYTI2aFVxdDVDaURpVWZVbHo2dHk1YzJzaklpSStZSXgxa0NTcEpXT3N4RzYzYjVJazZTVkprZ1k2SEk1R0twV3FHZWU4SURNejgzOGRPblJJREFrSjZTckxjbnRuZ202M0VPSlh6bm1hYzNoaFQxWTJuSGFuRU1JUUhoNmU3SEE0T3FqVjZpakcyUDdjM053VFVWRlJuYlZhclZFSWtjUVlPOHM1VDdkWUxMczFHazJ5dytIb0FLQ1pXcTArWDFwYXV1SFFvVVB2R2d5R20yUlo3c1FZYXdRZ1B5TWpZMUY4ZlB3M0twVXFuakZtRkVKd3E5VzZQU3NyYTBkaVltS0NvaWpOT09jRE9PZTV6citWWm1xMU9oNUFMeUZFcEJBaXpmazdpQTRORFUxUUZPVnV4dGhoQU85V2x0Q3JxczF5SlN1RkVGQVV4U3FFK01OU2F2L0N3VFZQY3M1cTdjTldaR1FrL3ZXdmYySDI3TmtZTzNhczN5K3QvNjVseTVaaDdkcTEyTDE3ZDlXVnJ6SUJ3R0tYdnd6VDhEMktvcmdYeUNvdUxqNFhGUlhsODVwMk9CeExBSHppK1I0TlZQNmE5dmM1UksxV045Rm9OQitpcktlcVg3SXM0L0RodzhqSXlNRGV2WHVSbnA2T0V5ZE93UFZkb3hEaUdHTnNqNklvZncyblZlbHZBRVBsY3lWY0lidDM3MFpCUVFGaVltSVFFeE1EajVINkZYTGRoMjNhdEFtaG9hSG8zYnMzTEJZTHZ2LytlM3orZWRuSGpvU0VCRXliTmcyTkd6ZEdRVUVCZ0xMRkwxYXRXdVZ6dkZ0dnZkVTlkVkM5NlZoUVE1VEVJNlFCY243Z0tFVlpNdUNJb2lpL3liTDhnMnVlcC9va0xpNE84K2ZQQjFDMmtwTFpiSFkvWHJObVRiWG45dW5WcTFlMWszZ0pDUWw0NDQwM2tKZVhoeGt6WnFCMTY5WjQ2YVdYS3QzbmwxL0tSdHk1M3VqS3MxZ3MwT2wwZnBPdi9yNzVsR1VaVnFzVlpyTVpqei8rdVBzNURCOCtITys4OHc2RUVMamxsbHVRbkp6czNpY3NMQXdSRVJHWU1HR0N6L0dBc2dUZW1UTm4wS2xUcDBxZmkrc045ODQ3NzZ5MFhpQTVGQ2dPd2RJUDdEVzdiMjZjODlybGxxK2JucDZlV2I0c0p5ZkhrcE9UczZkOCtjR0RCOC9EZTdnZ0FNQTVaOWorOHVYK2h0NDc1Mlk1NmFkOFIva3k1eHg0djFmekdJcHJQcWp5NVdhejJhZEhsSE4rbDd6eTVmN3FPdWVrdTFTKzNIazl6cGNydHZ2cjJadWRuZTFxazZwekRMOXhIRGh3b0FpQVQyYkUzL21jY3hDZThGTmVDS0I4VHpMaG12ZXdITC9YenZsN3lmZFQ3bFBYK2JkMHZIeDVCYy9ia1pXVmRicDgzWDM3OXRuZzU5clZGNFdGaFVoUFQ4ZkdqUnRoTnB1Um41K1A0dUsvT2hNNWh6NStDZUFYV1paUHA2ZW5YNEJ6a3ZpMm5RSzczbFQ1M25hdVlhdzZuUTRwS1NsKzkybldySmw3d1NJQU5WNVl5R3cyNCtSSm55YkVpNklvN2dXT3F1TGRVYlgyTU1aZ0UrTGtJZDkyMHVHdjdYUyt2dnk5SG4zcU9sOWZ2NVF2OTlkV085dW0xUEoxbmZQbytSdzdMUzN0b08renVXSnRsczh2MWhsSCtkNTFGYlZaZnVNbzMyWVpqY2IvQWVnSjRIdVR5ZlJvK2ZvNU9UbC93RGtWUlRuZmxDODRkT2hRRnNxR281YjNxL1AvTDh1Vi8xaSs0dG16Wnc4QU9PQ243amJuUHkvTzM3blg3OFk1bCtFWkFGNnJ2VGpmNHpNQmJQU29XNHl5THdSMmVkYjFlSS9mQ2dBR2crRmRQODhMVnFzVnUzZnZycXpOY3YxZnJDaktENFdGaFI5bloyZi9Bc0RTdG9QQndGanR6NHczWk1nUXZQTEtLOWk0Y2FON0dHMzVlQjk3N0RHZno2R3Z2UEtLK3d1SHVvSnhCcXNzc3N1M0xjN1h1ci9QY0VmTGx3RTFmMDBiREFhTGMwU0V6N0h5OC9PeGVmTm05ekRyaXhjdmVxMEtMb1JZcnlqS0Z3QjJNc1p5eldaekFad0xXN1R0YktqcUtWOHg4K2ZQeDlHalJ5dGNkYmd5UlVWRmFOS2tDVmF2WG8wMWE5Ymc3YmZmUm54OFBNNmNPWU03N3JqRDNVbGczTGl5Ny8wT0hEamdONGwzenozMzBNSVdnUTZBRUZLN2hCQm5HR1AvVXhSbEd3QnpibTd1UWRjRS9nMVp5NVl0MGI5Ly95dXk4bDUwZERRYU5XcUVhZE9tSVR3OEhBc1hMcXgwSGpraEJGYXRXb1hvNkdpdm9hMmVpb3FLb05QNTYrRmZ4bWF6SVNNakEzdjI3TUh1M2JzaFNSS0dEaDBLdTkzdU5RL0ZRdzg5aFBYcjF3T0FUODlBdFZxTkpVdVdJQ1lteG04UEVkY05wMmZpejUrTWpBeWtwcVlHZFJLUEVCSzhIQTRITGw2OGlCTW5UbUQxNnRYNCtlZWZQVytBSFVLSVFzWllyaERpT3lIRVIvNXVwQUxOYURUaTAwOC9SWmN1WGJ4dWVyLzc3anZNbXpldjJyM2dMb2RXcS9WWkNiQTh6bm1sQzFoNDJydDNyOWVxN0tSQjZNSVlheVNFNkJMb1FPb0N6elpyM2JwMStQbm5uNUdmWDVZVGRTWEFYRDN1aEJBRmRydjl2WnljbkxmeTh2SUtBaG0zSjQxR2cram9hQlFXRnZwTU0zUGl4QWtzWGJvVVk4ZU85ZW41NURrNlkvZnUzVWhMUy9ONy9JTUhEMElJZ1NWTGxsUjQvcXFtcDZsUGJEWWJ6cDA3aDVTVUZQenl5eS9Zdm4wN0xCWUxSTmtmakkweFZpU0VPQXBndWNWaStjeVpIQXdLL2Z2M3grdXZ2dzZnckpOQlpWLzBjTTdkOTBDdnZ2b3FkdTBxeTRzbkpTVmh3WUlGNk5LbGk4OTBRNlJxbE1RanBJRW9LQ2pJajR5TXZMdWtwR1FyNTd4bzM3NTlkZ1J3YWZKZzREbTNTYjkrL2RDdlg3OHE5emwrL0RoV3JseFo0UnVXb2lqNC9QUFBzV0RCQXJScTFRcnZ2ZmNlWW1QOUxrVGw5dkhISCtQUFAvL0VrMDgrV2VHazRSY3VYUEQ3cmRmKy9mc3hiOTQ4cEtlbncycTFvbG16WnJqaGhodlFyMTgvdlBYV1d6QVlETzQ1Ums2ZVBJbnAwNmREcFZKQnBWSmgyclJwZU9PTk45eXIxUUtvTk5aMTY5WWhOallXN2R1M3IvVDU1T1hsSVRvNnV0STZoQkJTa2IxNzkrTHh4eDlIZG5hMlo0K1ZnODRoNHp1RkVMOVpyZFkwMTRxaXdTUTdPeHRuei83VjRkVjF3K0p5N05neE9Cd083Tnk1czlMakpDVWxWZnJGVFdYMGVqMHVYYm9FaDhNQmxVcUZnb0lDUkVaR2V0VVJRdURnUWI4ZHhuejgrZWVmVlZjaTlZb1FZZ3VBWHZEVHk0MzRxcUROOHZ5L3dHYXpiWFE0SEM4Zk9IQWdQWENSK25MMTlqcDkralRPbnorUGlJZ0kzSGJiYlZpOGVESGk0K1BScDA4Zm1Fd21MRjI2RkgzNzlrVzdkdTJ3ZnYxNjNIR0h6NmhUcEtTazROTlBQL1Y3SHJ2ZERpRUVsaTFiNW5kN2VIaDRnMHJpL2ZEREQrNTVxSjEvSXc2VUxWYTF5emt2K1c3WEN0bkJiTUtFQ2NqTTlCbXc0dGF1WFR0OC9mWFhQdVd1dVJSZHlXNmc3Ry9rNk5HL09qMGVQKzR6U01GZDdua2Yxcmh4WXpScDBxVEdzZGRsbE1RanBJRTRldlJvQWZ6TVZkUVE3ZHExQzJmUG5zWHExYXVoMSt2ZDg4ZDVLaW9xOGp2UHd0R2pSOTBmUUtLam83MXVzbEpTVWpCLy9uenMzYnNYQXdjT3hPelpzeXVjeU5YbG0yKyt3WUlGQzlDMWExZU1HalhLYjUyaW9pS2twYVdoWjgrZVB0dGlZMlBCT2NlRUNSUFF0MjlmOTV4Nml4WXR3c21USi9Ic3M4OENLQnRlTldQR0RCUVhGMlBldkhuUTYvV1lOR2tTSmsyYWhJY2ZmaGlQUHZwb3BUZU0rL2Z2eDdadDIvRDAwMC83REtWd0pSNWRQVDl5Y25LcUhISkxDQ0VWeWN2TFExNWUyVWh1UlZHK0J2QzFMTXNwQVBJeU1qSUtVRFpSZmxCYXRXcFZoVDNjUEZlRW5UaHhvdnNMRlg5V3JGaHgyU3ZSTm12V0RFSUluRDkvSG5xOUh2LzR4ei93N3J2dm9tL2Z2Nll4RkVMZy9mZmY5OXF2c0xBUXAwNmRjdDljdVZnc0RiNnpmb05qTnBzZkRuUU1kVW01Tmd1aXpIbEZVVDYrZVBIaTl6azVPYjhGT01RS2JkNjhHWjk5OWhuc2RqdlVhalVHRFJxRXpNeE1mUERCQjNqeXlTZmRjeUs3L1BycnIzamxsVmVRbFpXRlo1NTV4dXN6NGZqeDR6RisvSGkvNTNucHBaZXdkdTFhL1BaYjBGNktXcFdkWGRhQlhBaHhEc0FhV1phLzRaenZMeWtwdVJCTXZlNnE0K2FiYjhZVFR6emhVNzVzMmJJS3A0M3c1OXk1Yys0VjNpc3pZOFlNcjhkang0N0ZwRW1UcW4yZStvQ1NlSVNRQnNkc051UGpqeitHWHEvSDVNbVRBWlFscWRhc1dZT1FrQkNjUG4wYXg0OGY5enNQMFlBQkEvREtLNis0SHhjWEYyUHQyclg0N3J2dmtKYVdocGlZR0x6MjJtdFZMcmwrNXN3WnZQUE9PL2o1NTU4UkZ4ZUhlZlBtdVcvbVhucnBKVnh6elRVSURRMkZMTXY0K2VlZlVWUlVoTnR1dTgzbk9GRlJVVDQzWXIvKytpdVdMbDJLL3YzN0l5a3BDZSs4OHc1V3JGZ0J2VjZQaFFzWHdtZzBBZ0NXTGwyS2FkT21ZZW5TcGZqZi8vNkhOOTk4MCtmbURTaExJajczM0hObzJiS2wzNVhGb3FPaklVa1NQdnJvSTJ6YnRnMUhqaHpCZmZmZFYrbnpKNFFRUDJ3QXpnc2hqZ0g0ekdhemZiWjM3OTZMVmUwVVRLWk9uZW96OVBUdzRjT1lOMjhlamgwN0JxUFJpQzFidG1ENDhPSFl0R2tUeG93WmcvdnZ2OS92b2tXWHk5VmJldi8rL1dqZnZqMkVFTkRwZEZBVUJZcWlZTml3WVJnOGVMRFBnaHNiTjI3RXJGbXpzSFRwVXA5ZTRUYWJEUnFOeHQyN2p4QUNzTExKNjVoem1Dd1VSVGxqdDlzblpHVmxyVUVRZjluZzZmcnJyNGRHbzBGSVNBZ0dEeDZNRmkxYVlPellzWWlMaS9QNzVmS2dRWVB3NUpOUDR0MTMzNFdpS0hqdXVlY3VhN1hlaGtpU0pLRW9TZ21BTTRxaVpETEdQaXdxS2xycm5PK3l6cnAwNlpMZnhaUTg1NEdzanNhTkcrUEREejkwUHo1eDRvVFhQWmZMN05tenZWWktyMnJFVTMxRTc4S0VrSHByeG93WmZvZTlQdjc0NCs3RkhselVhalZXcmx3Sm9LeG5XYmR1M1h5NjlZOGZQOTdyNXVXRER6N0EwcVZMSWNzeVdyZHVqV25UcHVHdXUrNkNWcXV0TkM2VHlZUng0OFpCbG1XTUhEa1MwNlpOUTJob3FIdjd3WU1IY2VqUUlUZ2NEZ0JsdlNxZWZ2cHByMTRVbGNuTXpFUnNiQ3ptekptRDdkdTM0L1BQUDBmZnZuM3gzSFBQZVExenZmYmFhN0ZpeFFxOC9mYmJPSFRvVUlXcmthMWJ0dzRYTDE3RXNtWEwvUFphREE4UHg5U3BVL0hkZDkvaDZOR2p1UFhXVy8wbUhBa2hwRElPaDJNcDUzeVJKRWw3VTFKUzdJR081KytRWlJtN2QrL0dsMTkraVpTVUZJd2FOUXB2dnZrbU5tellnTzNidDJQV3JGa1lObXdZNXMrZmo0OC8vaGdqUm96QThPSEQwYlZyMTc5OVF4d2ZINCtRa0JEOC92dnY3dmVqTm0zYVlPN2N1ZmpxcTYrcTNOOXppZ1YvMXE1ZDYzVURSZW9mbzlGNGc2SW9yV1JaM3ArWm1SbFV3eitEaWFJb09RQzBpcUo4ZXVUSWtia1dpOFZuNGFGZ0Z4VVY1Ylg2OUt1dnZvb2pSNDVnNmRLbDdzKzhudFBQQU1EbzBhTlJYRnlNeFlzWFE2MVcrOHloUi93cktTa3BVYXZWcndraFRxV25weCtyZW8rNjRkZGZmNjF3aW9oMjdkcTVmN2JiN1Q3dmI2NTdIYUJzUHRjZVBYcTRINGVIaC9zOVpueDhQQzFzRWVnQUNDSGthaWsvTDF0bEs5RzJiOThlZS9ic2dhSW9ZSXo1blp1dWZDKzE0Y09IdzJhem9YLy8va2hNVEt6MmpaZlJhTVQwNmROaE5CclJvVU1IbisyZmZmWVpnTExoVHJJczE3alh3L2p4NHpGcTFDaUVoNGRqOE9EQmFOYXNHUklTRXZ6VzFlbDBlTzY1NTN4NlY0U0hoM3QxZ1I4eVpJaDdPWGQvUm8wYVZlRndZRUlJcVk3MDlQVEtKNG9MY3FXbHBkaTJiUnYyN05tRHJWdTNRcElrM0hISEhaZzllemF1dWVZYW4vbzlldlRBcDU5K2l1M2J0K09ycjc3Q3d3OC9qTWFORzZONzkrNjQ2YWFiTUdUSWtNdUtRNjFXNDVaYmJzRzZkZXR3NGNJRnhNYkdJaVltQnBNbVRYS3YrdWZQNXMyYjhlcXJyK0tubjM2cWRKR255MW1Wa05RdFFvaUZuUE51akxFTkFFWUVPcDVnZGVyVXFTN256NSt2VTBNZksxTlFVSUNkTzNkaXdvUUphTnk0TVJZc1dJQ0lpQWo4K212WlFzS2Vud1BIang4UHE5V0s2NjY3RHVmT25jUElrU01yUGJiZGJvZWlLRDdEYzh1NzY2Njc2dTFDT3M2VjVIK3RzbUlkMHJWclZ3d2RPdFR2TU5nelo4NWc1ODZkV0xKa0NTNWN1SUNOR3plNkY4ZmJ0V3NYZHU3Y2lTTkhqZ0NvT0dGSC9LTWtIaUdFT0RIR2FyUTZiWnMyYlM1N0RvWjc3NzIzV3ZGYzdyQ2xxS2dvOTg4VkpmQThWWFdleWhKNGhCQkN5bFpYM0xGakI5UnFOZWJNbVlOZXZYcFY2ejJsYjkrKzZOdTNMODZlUFl0dDI3Ymg5OTkvUjRzV0xmNVdMT1BHamNQZXZYdVJrcEtDRjE1NEFRQVFFaEpTNmJCZDF3cUNrWkdSTkdTMmdXT01oVFBHVkVJSXVyT3VSSDFLNEFGbHIvMHZ2L3dTT3AwT3hjWEZXTDU4T1lRUUNBME54Wmd4WTlDMGFWT3YrcTRwYVlxTGk2L1lvaFJkdTNhOUlzY2h0YVA4L0hTZXpwOC9qNlZMbDdwNzIzWHIxZzFUcGt3QlVEYVA1UExseTZIUmFOQ3ZYei8wNnRXclZ1S3RMK2dkbWhCQ0NDR0VrTCtKYzQ3WnMyZFhXdWVPTys3d3U2b2pBRFJ0MmhUMzNudHZ0YjdrcVVxalJvM2N2YnFyYStqUW9WWE81MG9hakpkbFdZNTNPQnkvQnpvUWN2VnMzcnpacDh3MXZVdEVSQVQyN05sVHJlUG85ZnBLZS9tUytxTW03eXNKQ1FsWXZYcTEzMjFEaHc3RmtDRkRLaDNGMUtsVEo2OVJRUU1HREtqUlFobjFHU1h4Q0NHRUVFSUlJWVFBQUV3bTB5ZUJqb0VRVXIvUmdpaVh6M2ZTSjBJSUlZUVFRZ2doaEJCQ1NGQ2hubmlFa010bXQ5dXhMK3RBb01NZ3BOb09IVDRDcTlVVzZEQUlJYlhNYnJjamMxOFdyRFo2L1FlN2s2ZHlVRnBhR3Vnd0dqU2owVGhKQ0dFQThMUFpiUDQ4MFBFUVFnajVDeVh4Q0NHWHJiQ29DTzh0K2docXRUclFvUkJTTFE2SEE0VkY5V29lYWtKSU5SUVdGZUhkOXhiUmdnMTFnQ3pMS0Nnc0RIUVlEZDAwem5scklVUm5BSlRFSTRTUUlFS2ZaQWdoTldZVHlta04yRmtGUUQ1OTBDWjFFR09zMEdFWEp3TWRCeUhrNnBJZE9DbXB4VmtGUUY1QlFhRERJVFhBZ0dMWVJYYWc0MmlnTGdHQUVLSTQwSUVRUW9MVGtTTkgwTFp0MjJxdHdsNFZ1OTBPeGxpRlg3VFpiRGJJc2x6cEN1c05DU1h4Q0NFMWxuTWcvVkRMenQzdVVja0RvV3dBQUNBQVNVUkJWQW1wY2FCanFZOVVUTFFLMWZEYkdXUFNKYXU4eWlIWWlVREhWTzhvOXJ3VFIvYnVDM1FZaEpDcjY4U1I5SDMwZmxVM0tRNTd3ZkVqK3pJQ0hVZERaREtaNGdNZEF3a2VwYVdsdUhqeG90OXRVVkZSQ0EwTlJVRkJBUzVkdXVTM1RreE1EUFdDcm1jdVhMaUErKysvSDdmZWVpdWVmLzc1djNXc0V5ZE80TzY3NzhaVFR6MkZ1KysrMjJlNzFXckZ5SkVqMGI1OWV5eFlzT0J2bmF1K29GY1RJZVJ5S0NmM1o5QUg2NnZFYURUMlo0ejFFVUxvd25WOG5zbGsyaGJvbUFnaHBJNmk5eXRDQ1BrYi92ampEMHlmUHQzdnR0bXpaK08yMjI3RDRzV0w4Y1VYWC9pdHMzTGxTc1RGeFYzTkVFa3RXN2R1SFdSWlJsSlNFbkp5Y21xMHIyZFNWd2lCZi8vNzMxQ3BWTkRyOWRpMGFaTlhYWVBCZ0I5KytBRzV1YmtZTm15WXozWUE2Tm16SnlJakl5Ly95ZFJCbE1RamhCQkNDQ0dFRUFJQTZONjllNlRWYXRVcGluSnAzNzU5TktTV0FBQisvdmxuYURRYTkrUEJnd2Q3YmUvV3JSdmVmLzk5OStQang0OWo5T2pSdFJZZnFSMTJ1OTJkc0owelowNk45MSs3ZGkyYU4yOE9BSGovL2ZleFk4Y09SRWRINCsyMzN3Ym5ISXd4ZDkzUm8wZGo4ZUxGME92MVdMOStQVmF2WHUzMU53Z0E4K2JOb3lRZUlZUVFRZ2doaEpDR1NaYmw1V3ExK2pvaHhQY0EvaS9ROFpEZ0VCSVNBcTFXVytGMnpqbENRME85NnBQNlovWHExY2pOemNYa3laTmhOQnBydkgrVEprMEFBRXVXTE1IU3BVc3hlZkprakJrekJrOCsrU1IwT2gxZWV1a2xxTlZxNU9mbjQ4RUhIMFJNVEF5V0wxK08zTnhjUFBiWVk1ZzVjeVlHREJod3BaOVduVUpKUEVJSUlZUVFRZ2doQUFER1dESmpyRG1BbXQraGszb3JQVDNkYTI0N0lZVFg5a3VYTHNGa01ya2Zuemx6cHRaaUk3V2pvS0FBaXhZdFFueDhQQjU2NkNHdlhuTTFrWnFhaW84KytnalRwazNEQXc4OEFBQ1lObTBheG8wYmg1OS8vaG5EaGcxRGVIZzQ3cjc3Ymd3ZVBCaVJrWkdJakl6RXd3OC9qQVVMRnFCbno1N1E2L1ZYOHFuVktaVEVJNFFRUWdnaGhCQUNBRkFVNVd2T2VVOVpsbjhJZEN3a2VFeVpNc1hyc2RWcTlYcDg1TWdSUFBIRUU3VVpFcWxsOCtmUFIzNStQdDU1NXgwOC92ampTRTFOcmZhK0F3Y094Tnk1Y3dFQXljbkpXTE5tRGViUG40OCtmZnE0NnlpS2dwZGZmaGt2di95eXUyekpraVZleHhGQ1lPalFvYmorK3V2eDl0dHYvODFuVkRkUkVvOFFRZ2doaEJCQ0NBQWdMUzNOL3lvR3BFRnEzcnc1YnIvOWRqejc3TE5lUGZHKy8vNTdXQ3dXVEpreUJROCsrQ0I2OU9nQmk4V0NyNzc2Q2s4OTlSUmF0R2lCYjc3NUJvMGIwK0xnOWNGUFAvMkUxYXRYWStUSWtVaEtTc0svL3ZVdkZCUVVWSHQvMXpCYWw5allXRml0VnJScTFRcmp4bzJyVVN5TEZ5LzJTU0kzSkpURUk0UVFRZ2doaEJCQ2lKZkN3a0xJc295Nzc3NGJCdzhlOU5yV3NXTkhmUEhGRjhqS3lrSllXQmpDd3NKZ3Q5dWgxK3Z4OE1NUDQ4MDMzMFR2M3IxeCt2UnB5TExzazhRaGRjdkNoUXZSc1dOSHpKZ3hBd0NRbUpoNFJZNGJGUldGQVFNR3dHcTFRcGJsU3V1cTFXcW8xV3A4KysyM1YrVGNkUlVsOFFnaGhCQkNDQ0dFQUFDTVJtTWJBRkdscGFXNVdWbFpwd01kRHdtY1hidDJZZWJNbVZYV2UraWhoM3pLcGsvL3EwUG5oQWtUOE5oamoxM1IyRWp0R2o1OE9FYU1HSUdCQXdmV2VOK2hRNGZpaFJkZXFMVE9yRm16c0huejVrcnJqQjA3RnBNbVRhcngrZXNiU3VJUlFnZ2hoQkJDQ0hINWhUSFdXcWZUL1FHZ2Q2Q0RJWUZ6MDAwM1lldldyVjVsUWdqczJMRUQ4K2ZQaDA2bnc4c3Z2NHpKa3llamRldldtREZqQnBvM2IrNXpuTXBXdFNWMXcvang0d0dnV2tsZFQvUG16WVBOWnF1eW5tdGhpOHBjYzgwMU5UcDNmVVZKUEVJSUlZUVFRZ2doaEhoUnFWU1FaUm5aMmRrNGVQQWdNakl5c0d2WEx1VGw1V0hFaUJHWVBIa3lJaU1qc1hUcFV2ejczLy9HZ3c4K0NLUFJpQnR1dUFGdDI3WkZzMmJOb05QcG9OVnEvU2IzU04xejIyMjMxYWorZi8vNzN5cUh5UUpsQ2Jyang0OVh1RjJqMFNBdUxxNUc1NjZ2S0lsSENDR0VFRUlJSVFRQXdCZ2JKb1NJa1dYNXowREhRZ0pIQ0lHSEhub0lXVmxaQUFDOVhvK2twQ1E4L1BEREdEeDRzTmNjZDYxYXRjTENoUXVSbFpXRm4zNzZDWnMyYmNMUm8wZGh0OXNCQUxmZmZudVZ3eWxKL2FUUmFLclZFKy9DaFF1WU9IRWl0Rm90R0dOZTJ4d09CeUlpSXJCeDQ4YXJGV2FkUWtrOFVtOEpJVVNBVHIwbEVDZGw1VnM3UWdnaGhCQkNhaWcxTlRVTFFGYWc0eUNCeFJqRDAwOC9qYzJiTjJQbHlwV0lqbzdHNmRPbnNXclZLcXhhdFFwQTJWeDNBd2NPeEtlZmZvbzFhOVo0N2QrOGVYT2NPblVLVTZaTXdiQmh3d0x4RkVnUUNBOFBkNjlpVzFKU0FrbVNvTkZvS3F5L2NPRkNHSTFHcjdKbHk1Wmh4WW9WVnpYT3VvU1NlSVFRUWdnaGhCQkNDUEdTa0pDQXdzSkNmUHp4eHhnOWVyUlg4dVhWVjE5MUoyZk9uejhQbTgzbU5hZlpoUXNYTUcvZVBDUW5KOU5jWmcxWWJHd3NNakl5QUFBN2QrN0VjODg5aDNYcjFpRXFLaXJBa2RWZGxNUWpoQkJDQ0NHRUVBSUFNQmdNYnpER2VpaUtzaTR0TGUyZFFNZERnc09RSVVNUUdocnFmdnpHRzI5NGJZK0tpc0xOTjkvc2Zueml4QW5NbXpldjF1SWp3U2t1TGc0Yk5teEFVVkVSOHZMeVlMVmFvZGZySzZ3L2E5WXNuNFZRQ2dvS3dEbS8ycUhXR1pURUk0UVFRZ2doaEJBQ0FHQ01qV0tNdGVhY2h3Q2dKQjRoNUxKMTc5NGRBUERISDMvZzVNbVRhTkdpQlZTcWl0TlFOOTk4TTFxMWF1VlRydFBwM0QvYmJMWUd2ZUl4SmZGSWcxRmFXb3FMRnkraVVhTkdYbzJBaXhBQ3AwK2ZSbWhvYUsxMzcvMzAwMC9oY0Rqd3lDT1BWRm4zeHg5L1JHcHFLbWJObWxVTGtSRkNDQ0dFa0laRUNKRUJJRVJSbEl4QXgwS0N4K0RCZzcwZWw1YVdlajNldTNjdit2VHBVNXNoa1RvZ0tTa0oxMTU3TFpZdVhlcCs3RStqUm8zdzFsdHZJVGs1R1pHUmtWN2J0bS9manJObnoyTDE2dFU0ZS9Zc3pHWXo3cnJycnFzZWU3Q2lKQjVwTUo1OTlsbWtwS1JnN2RxMWZwTjRXN2R1eGZUcDAvSFdXMjlod0lBQk5UNytTeSs5aE5PblQyUFJva1UxM3Rka01zRm1zMVVyaVhmZ3dBRnMzcnlaa25pRUVFSUlJZVNLWTR3OUlvUUlVeFNsSU5DeGtPRHg5dHR2ZS9WK21qSmxpbnVJSStjYzdkdTN4OU5QUCszZWZ1N2NPVHp6ekRPMUhpY0pQck5temNMTW1UT2gwK253NktPUCtxMmowK2txdkFmZnRXdVhlMkVMU1pJUUh4K1BzV1BIWHJWNGd4MGw4VWlEc0hYclZtemJ0ZzBqUm96QThlUEh2YmFwMVdwMDZ0UUpTNVlzUVpNbVRkQzRjV1AzNUpzdUlTRWhpSXVMcS9RY1I0NGNRWFoyZHJWajJyNTlPNktpb3RDdFd6ZXY4ajE3OXFDNHVCZzMzWFFURGg4K2pBTUhEdUNXVzI2cDluRUpJWVFRUWdpNVhDYVQ2UnlBYzRHT2d3U0gzcjE3SXlVbHhhZDgyN1p0N3A4blQ1Nk15Wk1uKzlRWk1tVElWWTJOMUEwR2d3RWJObXp3S1o4eFl3WVVSYWx5LzJuVHBtSGF0R21RWlJtY2N6REdya2FZZFFZbDhVaTlkL0hpUmJ6NTVwdFFxVlRZdEdrVGZ2cnBKNitKTVpzMWE0WUhIbmdBKy9mdmgwNm53NFFKRTN5TzBhVkxGeXhac3VTS3h2WEREei9BYXJYNlRQaTZiTmt5V0sxVzNIVFRUZGk0Y1NPV0xGbUNZOGVPNGYvKzcvOGFmSU5GQ0NHRUVFSUlJYVR1aTQyTnJWRjlTWkt1VWlSMUN5WHhTTDFXV0ZpSWlSTW53bUt4NE91dnY0YWlLSGo4OGNmeHlpdXY0THJycmdOUXRuTFNBdzg4Z0NGRGh1RDExMS9Ia2lWTGtKdWJpMmVlZWVhcUpzMkdEQm1DcDU5K0d1Zk8vZlZGWjM1K1B2YnMyZVB1ZWo1aHdnU0VoWVZoL3Z6NXlNN094aXV2dkhMVjRpR0VFRUlJSWNSZ01LUXl4b3dBMXBwTXB0c0NIUThoaEpDLzBEcTlwRjZiTVdNRy92enpUOHlkT3hldFc3ZEcyN1p0Y2QxMTErR3BwNTVDUVVIWk5COHJWcXhBUkVTRWV3Nkg3dDI3WTgyYU5WaTRjT0ZWamExUG56N1FhRFJZdDI2ZHUyekRoZzFRcTlWZUU4ZU9HVE1HYytiTVFXNXVMdlhFSTRRUVFnZ2hWeFZqckxIek0yZVRRTWRDQ0NIRUcvWEVJL1hhbENsVFVGUlVoSjQ5ZXdJQXNyT3prWmlZaVB2dXV3OE9od1BaMmRtNDk5NTdNV0RBQU9UbDVTRXZMdy9YWEhNTm5uamlDYlJyMTg0OXgxMUlTQWlhTm0xYXJYTmFMSllLdDNITzNZdHE2SFE2REJreUJDRWhJZTd0MmRuWkdEWnNHTUxDd3J6Mkd6RmlCSVlORzFicGN0eUVFRUlJSVlSY0FmOEIwQXZBRDRFT2hCQkNpRGZLQ0pCNnJYUG56bGkvZmoxV3JWcUZPKys4RXlhVENYUG56c1h1M2J2eHhodHY0S3V2dnFyV2NXNjQ0UVlzV0xDZ3luckZ4Y1hvMjdkdmhkdVRrcExjeTJzRHdPelpzd0VBTzNmdUJBRE1uRGtURG9mRHZYM05talc0OGNZYjBhaFJJMHJnRVVJSUlZU1FxODVrTXIwZDZCZ0lJWVQ0UjFrQlV1L3QyTEVEK2ZuNXVQUE9PNzNLbjNqaUNaOGxyaWRNbUlDa3BDU01Iei9lcTF5ajBWVHJYQnFOcHNKbHN3SHZ5VHZ2dnZ0dW5ENTlHZ0JnczlrQWxBMnhCWUIyN2RwaDBhSkZXTEprQ2ViUG40OFhYbmdCL2Z2M3IxWU1oQkJDQ0NHRUVFSUlxWDhvaVVjYXJMQ3dNSjlocTVJa1FhZlRvVW1UeTVzQ1JLUFI0TEhISHF0VzNVbVRKcUdrcEFURnhjVjQ3YlhYMEtGREJ6enl5Q01BZ1BEd2NPajFlcXhZc1FJdnZ2Z2lwazZkaWtjZmZSUVRKMDY4ckxnSUlZUVFRZ2lwRG9QQjhLQ2lLUEdjODkvTlp2TzZxdmNnaEJCU1d5aUpSeHFza3BJU0RCbzB5S3ZNYXJYaTJMRmorTzY3Nzl4bHJWcTF3cGRmZm5uRno5K3ZYejhBd0NlZmZBSUFhTktrQ1NJaUluREREVGU0NitqMWVzeWRPeGNmZmZRUm1qZHZmc1ZqSUlRUVFnZ2h4Qk5qN0RsSmtyb0lJVFlDb0NSZWdCdzZjaFE3ZHUwSmRCajF4cW1jMDVCbEpkQmhYRFYydXgzN3NnNEVPb3g2NDhMRmk3QmNLZ2wwR0g1UkVvODBPSzRWWG9VUUtDMHR4Ymh4NDVDVWxBUUE3aDV4OTl4ekR3QmcvZnIxTUpsTVZ5MFdXWmF4Y3VWS3FOVnFuRHg1RXRPbVRjTkREejJFQ1JNbWVNVTdidHc0ZDh3Mm13ME9od01iTjI3RW1UTm40SEE0M0QzNENDR0VFRUlJK1R1RUVEYk9PWVFRdGtESDBwQXRXZjRwUHY3OGkwQ0hVVzhvaWdLcjFScm9NSzZhd3FJaXZQT2ZoWkJVVXFCRHFSZUVJbUFwb1NRZUlRRlhXbHJxdFJvc0FIVG8wQUc5ZXZVQ1VMWUtiV3hzclB0eFJrYkdWVTNpclYyN0ZsYXJGVDE3OW9RUUFrODg4UVJtenB5SnlNaEl4TVhGWWZmdTNUaHo1b3o3WDI1dXJudmhpMmVmZlJiUjBkR0lqNCsvYXZFUlFnZ2hoSkFHWjRvc3krMUtTMHZUQXgxSVErTmc0cHdLT0NRZ29rcEtTMUJTR3VpSUtpZUVBQWZqZ3FIT2RIRmpncDNrTWs0R09vNHJ4V0d6bmxKcE5kbUtFTEdYU2l5QkRxZGFPQ0RKUXNpdXpqVkJyb0F4Y1RqUVFYaWlKQjVwVUM1Y3VJREdqUnNIT2d3QXdObXpaL0h1dSsvaWtVY2VRWHA2T213Mkd3WU5Hb1NwVTZlaWNlUEd5TXpNeExadDJ4QWJHNHQyN2RxaGQrL2VhTmFzR2JaczJZSmR1M1poNDhhTnRHSXRJWVFRUWdpNW9zeG04MVlBV3dNZFIwTjA4bUJhVHN2MlhhZXExT3FXZ1k2bE9yU1FlNGZxVkJQeVMvRlFvR09wTHJ0d1hEeDVXTmtmNkRpdWxKTkhzNDYwN054dGpBcFNjTnprVmtPb1JveTJPc1J2ZG9VZkMzUXNWVkVnRi8xcExkb2I2RGc4VVFhQU5DZ1pHUm5vMEtGRG9NTUFBTHowMGtzSUN3dkRxRkdqa0o3KzF4ZWREejc0b1B2bmYvN3puejc3WldWbGdURkdDVHhDQ0NHRUVFTHFGM0h5eU43REFJS3E1MDlGakViakhBQ3hrcjN3NUpFalIrcEV6UFdRY25KL1JrYWdnNml1bGkxYmhxaWpvejlYY2JiVCtZVUJxU0VlNkFBSXVkcnV1dXN1UFBUUVE4ak56VVZxYWlyNjkrOWY1VDVuejU3RnBVdVhjT2pRSVovaHQxZUNFQUk1T1RtWU5Xc1dkRHJkRlQ4K0lZUVFRZ2dobDhOZ01IeHFOQnBQRzQzRzF3TWRDd2xlTFZ1MmJDR0U2QVZBcGRmcnh3UTZIbEkzTkc3Y2VEaGpyRG5udkdmejVzMURBeDFQWFVSZGVVaTlsNWlZQ0FDWVBuMDZZbU5qOFk5Ly9LUEtmU1pPbklqczdHejN6MERaSWhTVlRZYXFLR1ZUUVZnc1ZjOUZvTlZxOGY3Nzc2TlpzMlpWMWlXRUVFSUlJYVMyTU1iNk1jWmloUkJWZi9OTkdxekdqUnMveWhqVEFBQmpiQ0NBVndEUVlpaWtNaExuL0FFQUVFTDBpWW1KaWNuSnlja09kRkIxRFNYeFNJUHcwVWNmWWV2V3JaZy9mejYwV2kwQVFLZlRZZm55NVdqVHBvMVAvWG56NWlFdkx3OVJVVkZvM2JvMUFNQmtNcmxYaWExTTM3NTlxNnp6M252dm9YZnYzalY4Rm9RUVFnZ2hoRnhkUW9oampMSFdxQ05ET2tsQU1NNzVBQUNNTVFiR1dLZHUzYnExeThqSXFEZHp6WkVyTHlrcHFUMWp6T2g4R0NlRXVCWUFKZkZxaUpKNHBONDdmLzQ4dG16WmdsbXpacUZQbno3dWNzNDV1blhyNW5lZlZxMWFvVldyVmw1bExWdTJ4Qk5QUEhGRll2S1hPQ1NFRUVJSUlTVFF6R2J6VFlHT2dRUzNObTNheEFvaHVuQmVOanVYb2lpTkdXTWRBVkFTajFTSU1kWURRQlBuenhwSmttNERzQ1d3VWRVOWRXSk5YMEl1aHhCQ2VQeU1PcktFOVdWajlmMEoxbE1KQ1FtdE5CcE52R2Vab2lqZEdHUFBBTkFJSWVad3pyMG1xeTBwS2RtZmxaVjF2RllESllRUVFnZ2hCRUNuVHAwU1EwTkRVeGxqVWxSVUZQTHo4NkVveWdxejJmeGcxWHVUaHFobHk1WWhUWm8wbWNjNWZ6dzhQQnhGUlVVUVF1VEtzdHd1UFQzOVVxRGpxMHVvSng1cEVDaS9SWUlWWTZ5ZEVPSkx6ekxPdVNTRUNIUCsvSUlRUXZiY3JsS3A3Z0ZBU1R4Q0NDR0VYSEZHb3pHSk1SWXJ5L0t4dExTMGc0R09od1FmclZiN0tBQXBNaklTSTBlT3hQTGx5OEVZdXozUWNaSGcxYmh4NDBhTXNVUUFHRDU4T0xadDI0YXpaOC9HY003N0EvZ3h3T0hWS2JRNkxTR0VCRkJHUnNZMkFKY1lZMUVBb3B6L2h6UEdPR09NTzM5MmIyT01sV1JrWkd3S2FOQ0VFRUlJcWJlRUVCOENXQWZndFVESFFvS1RKRW1qR0dNWU1HQUFicjc1WmtpU0JNWllXSEp5OHNCQXgwYUNWZ3hqek1BWXd5MjMzSUw0K0xLQlNJeXhSMEFqUkd1RWtuaWszbUsxS0NrcDZZYnUzYnVmU1U1T3pqY2FqUU5xODl3dWdiN2U1Ry81ckxvVmhSQmZYODFBQ0NHRUVOTGdYUU5BWW93MUNuUWdKUGdrSmlaZUR5QkdvOUZnMkxCaGlJNk9Sa0pDQWdCQVVSUksvQksvR0dPakFPZzZkdXlJK1BoNGRPdldEU3FWQ2dDU2pFWmo2d0NIVjZkUUVvOFFRZ0pNVVpSUGhSQldvR3oreHZKY1pjNDZYL3BVSUlRUVFnaTVjaFlMSWI2VVpmbVRRQWRDZ2c5amJCWmpERzNidGtYTGxpMFJHaHJxMmFzcXVVMmJOczBDSENJSlFwenord0ZnNU1pUjRKekRZREFnS2lvS0FLSVZSZWtWMk9qcUZrcmlFVUpJZ0RrY2p0TUEwaXZyVU9uY2xpN0w4b25haW9zUVFnZ2hEWS9aYkg3TFpETGRuNUdSc1R6UXNaQ2dFOElZNndjQUJvTUJqUm8xZ2txbGd0Rm9SSGg0T0FDb0lpSWk3Z3hzaUNUWUdBeUdtd0cwaW9pSVFJOGVQUUFBblR0M1JxTkdqY0RLcGd2cUFVQUthSkIxQ0NYeENDRWt3UGJ1M1ZzRVlLZnJzV2R2UEk5ZWVJSXg5cHZGWWpsWDZ3RVNRZ2doaEpBR0x5a3BhUXlBTUsxV2k0U0VCR2kxV2dCQVFrS0NxMWNWVTZsVVEwQnpuQkVQakxIUlFObmZ5VFhYWEFNQTBHcTF1UEhHR3dFQW5QTWVDUWtKVFFJWFlkMUNTVHhDQ0FrOHV4QmlENENpaWlvd3hrcUZFS2JEaHc5YmF6RXVRZ2doaERRd1JxTnhUSEp5OHJ0SlNVa2pBaDBMQ1M2TXNmNk1NUjRXRmdhRHdlQXVqNDZPeHJYWFh1c2FPWkxVb2tXTEZnRUxrZ1NWK1BqNDFnRDZTcElFZzhHQXlNaEk5N1podzRhNWZ1eWxVcWxvWHJ4cW9pUWVJWVFFQVNIRUhpSEVCWS9INVh2a0ZTbUtraEtRNEFnaGhCRFNrTHdNWUFybi9ObEFCMEtDUjVNbVRjSUJkR2VNb1Ztelp2RE0wM0hPTVdKRVdjNlhNZGE4YWRPbUhRTVVKZ2t5YXJXNkI0Q29pSWdJZE8zYUZaei9sWUpxMzc0OTJyVnJCd0NoUWdqNjBxQ2FLSWxIQ0NGQklDMHQ3UUJqYksrL2VmR2NaUWZTMHRJTzFIcGdoQkJDQ0dsb0NnQkFDSkVmNkVCSThJaUppV25OR0xzV0FHNjk5VmFmN2RkZmY3MXJTSzNhNFhEY1ZjdmhrZUFrY2M0VEdHTWhUWm8wUWRldVhYMHEzSGJiYlFBQXp2azlBTlMxSEYrZFJFazhRZ2dKRGc2SHcvRlZSUnVGRUo4Q2NOUmlQSVFRUWdocG1HNFZRaGlzVnV1amdRNkVCQStWU2pVSWdGcXIxZUxtbTIvMjJSNFdGb2FoUTRjQ0FDUkpvc1V0Q0l4R1l5UEdXRzhBVW1KaW9tdnhFeTg5ZXZTQVhxOEhZNnhMdDI3ZGJxajlLT3NlU3VJUlFraVFjRGdjcXdEWVBYdmpPWCsybDVTVWZCbW91QWdoaEJEU2NKaE1wdU1ta3lrdEt5dnJkS0JqSWNGRGtxUW5HV1BvMjdjdndzTEMvTllaUG53NE9PZGdqTVYyN2RvMXZwWkRKRUZHbHVXbVFvanJBYS81Nzd6RXhzWWlLU2tKQUNCSjBzTzFGMTNkUlVrOFFnZ0pFdnYyN1N0V0ZPWHo4dVZDaUc4T0hEaFE0YUlYaEJCQ0NDRlhTdmZ1M1pzWWpjWTJCb01oS3RDeGtPRFFvVU9IZGtLSU5wSWtZZmp3NFJYV2E5bXlKZUxpNGdBQUtwWHF6ZHFLandRbnp2a3d4bGhrbXpadGtKeWM3TGRPZUhnNDR1UGp3VGtINTN4UXUzYnRJdjFXSkc2VXhDT0VrQ0RDR0Z0ZXZreVc1UzhDRVFzaGhCQkNHaDVGVWQ0RHNGMEk4WHlnWXlIQklTUWs1QVhPT1ZxMWFvVU9IVHBVV0UrdjE2TmJ0MjRBQUVtU0J0WldmQ1E0TWNZZUF1QjMrTFdMU3FWQ2ZIeThhNmh0UkdSa1pJOWFDcS9PVWdVNkFFSUlJWCt4MiszN05Sck5VY1pZT3dBUVF1empuR2NFT2k1Q0NDR0VOQmk5R1dPdE9PYzBQeFVCeWhZbkdBRUEyZG5aN29VSXFxSW9paTRoSWVIT3pNek1WVmMxT2hLVXVuYnRtc1FZU3dTQVJZc1dZZEdpUlZYdUk0UUlGMEwwQXZEejFZNnZMcU9lZUlRUUVrUzBXbTBSZ04ydXg0eXhERW1TOGdJWUVpRkJyMlhMbGlHSmlZa3RhN3BmUWtKQzAvajQrTmlyRVJNaGhOUlZRb2l0QUk0b2lySXQwTEdRd0RNWURIMDU1eEUxM1k4eHhsUXExWWlyRVJNSmZocU5aa0pOOTJHTWNjYllqUjA3ZG14eU5XS3FMNmduSGlHRUJKR1VsSlFTbzlGb0JuQW5ZNHdKSWN5cHFhbUZnWTZMa0dBV0V4UHpneEFpdG52MzdqMVRVbElzMWQxUHJWYlBBakF4SVNHaGJXWm01b21yR0NJaGhOUVpqTEhwaXFLRUtZcFNFT2hZU09BVkZCUmtSVVZGalZVVUphVGNwa2pPK1QxQ2lIQUFHNFVRbWVYM3RkdnRxYlVUSlFrMnNpeC96amxmWDc2Y01SWUhvQWVBWE1iWTc0cWlsSmFyVW1DeFdDN1ZTcEIxRkNYeENDRWt1QWpHMkZZaFJLNFFJb1F4dGhXQUNIUlFoQVF6SWNSTTV3ZkJtUUJtVjJlZnVMZzRMWUFIQUdTb1ZDckpZREMwcmU3NUpFa3FUa2xKT1grWjRSSkNTRkF6bVV6bkFKd0xkQndrT0J3N2R1d3NBSi81bVozdm14TTU1eTBWUlhrN0xTM05aMTVuMG5DbHA2ZHY5MWR1TkJySE04WkdDU0cybHBhV3ZyNXYzNzR6dFIxYlhVZEpQRUlJQ1RJT2h5TkRrcVFUQUNJY0RnZk5oMGNJZ09UazVCMEFlbFZXaHpIMlFuSnk4Z3NWYlU5TlRWVURjQUNBWHE5L2xESFdDRUFqeHRpeG1zU2lLTXJIQUI2dXlUNkVFRkpYSkNjbmR4RkN4TWl5L0dkNmVucU4ya2ZTY09UbjU1ZEdSVVZ0RjBJMGttWDViS0RqSVhYR2VTR0VHY0JoUlZIc2dRNm1McUlrSGlIa3NqUzd0a3NiclZaN2JhRGpxSThLYllCZUkweU1NVzJSamZkczI5a1E2SkRxSFNHVTQ4Y1AwSTFKSGZRcmdGZkxGeXFLSW5ITzVYTEZrUURLRHdXVEFTQStQbDdET1o4cGhEaklHQnRiMHlBNDU5UkRoUkJTYndraFZnTG81aHdLVi9HeWtxUkJpNGlJVUFHNGxqSFcxRG1rbHBBcUNTRTJ5YktjS2N1eVpmLysvZm1CanFjdW9pUWVJYVRHMnJZMXRJVk9yQVJFNjBESFVsOWRzZ2tPTUlEUmgrZXJnWU9kYTltKzY1MG5qK3c5SE9oWVNQVUpJYzZhVEtiL0dReUd3Wnp6d1l5eEYxTlNVaXhHby9HRUVHSzV5V1I2SGdBTUJzTkl6dmxpQUMra3BxYStCMmZ5emtXcjFjNEUwSm94ZG10cWF1cU9BRHdWUWdnSlpwR01NUUNJQ25RZ0pIalo3WFpKcDlORkEyZ21TWkkyMFBHUXVzRnNOdWNEb09UZDMwQkpQRUpJemVuUUZtQWRPV05SSVRvZEpKVVU2SWdJcVJaWlZsQlNVZ0pGS0ZFcWxSUUhnSko0ZFJCamJLb1Fva2xxYXVxTXpwMDdOMmFNdFFUZ1hwaENrcVIxc2l6L2gzUCtsdEZvdkpkejNqOGxKY1VPQUFhRG9RTmo3RmtBUHltS1VweWNuRnlqT1NjZERrZTM5UFIwbjhtN0NTR2tIbmtkWmRNWHJBdDBJQ1I0MmUzMlBKVks5VGJuWEcrejJVeUJqb2VRaG9LU2VJU1F5eFlSSG81L1RYZ2M4VjA2QlRvVVFxcmwwT0VqZUcvUllwdzdUMnNTMUZVSkNRbXRBQXhoakUyS2o0K1AxZWwwTndDQUVPSk1mSHg4TEFDVWxKUUF3QUt0Vm10bWpNV1dsSlEwN3R5NXM5M2hjQlJ6emxjS0lXUlpsaWZaYkxiem9hR2h0OWJrL0ZhcjlmZ1ZmMUxrcXFMcEgrb21odzJuVGg0MUh3cDBIQTJSeVdUNkFNQUhnWTZEQkRkSmt2UXFsV29rWTZ5cFRxYzdEb0MrNENKVlNrcEtHaXBKMG5naFJLWVE0bTFuenp4U0E1VEVJNFJjTnJWYWpmZ3VuWEQ5ZFQwQ0hRb2gxYUxWYUtEVmFnSWRCdmtiTkJyTklBQWN3QUtkVHJmQVZjNFlXNjNUNmZ6dW85UHAzaE5DcEFraDVnSXdBcmcvUFQzOWdIUHpEMWM3WmhJNExkdDNqVk5wVkovVDlBOTFqMHJMTHJidFlIZ3crNURaSE9oWUNDRytPT2RxQU8yRkVDMFVSWWtNZER5a2J1Q2NYd3RnSklBb204MjJNTkR4MUVXVXhDT0VFRUpJWFNFWVkyc1ZSZW5wVWZZSlk2eEFDUEd2S3ZhMU1NYk9LWXJ5THVlOG5kRm9MSzdweVIwT1IySkdSc2JSbXU1SEFxZHMyTHh6K29lUUVFZ1NEM1JJcEFxS29zQmlLWUZRbEdzVVNZa0hRRW04V21Zd0dKNWxqRjBueS9JUDZlbnBTd0lkRHdsT0pTVWxWclZhdllreEZnR0FWcWNsMWFJb3lnRkprcFlEMkY5YVdsb1M2SGpxSWtyaUVVSUlJYVF1Q0FOd0tTVWw1VHlBOHdDUW1KallVcEtremtLSTJVS0lDdWMzTkp2TkJRQmNjOTlOTlJnTUJnQTUxVDB4WSt4R3h0aWphcldhTWtCMVZFUjRPS1pPbW9nT2NlMERIUXFwd3NsVE9YaDcvZ0tjUFpzYjZGQWFzakdNc1U2U0pPa0JVQktQK0JVYUdxcVJKT2tteGxnTFJWRitEblE4cEc1SVMwdmJBbUJMb09Pb3l5aUpSLzQvZS9jZEgxV1Y5Z0g4OTV3N0piMUFnQURaSlNvMWtHUW1nQVYxRWRjVkZGZGxiYURndXNvcklpc3ErTnBlRmZ2aXVydWl3R0poRmNXQ0JjU0N5bHB4Rld6SlRDb0JRc2VBMUVoQzJzdzl6L3RIWm1Zbmt3a0pSU1loei9mejhTTno3cm5uUHZka01wTjU1aFFoaEJDaXpXUG1PQUQ3ZzhzTXc3aUNHclpRZkpDSUhtenVYSWZEa1J5ODVvcmI3WGJqRUViMzVPVGtlQUZjNS9WNlpSZWZkc3BxdFdKUXhnQTRIVm1SRGtXMFlGM1plalEzTlY0Y00zc0FnSm4zUkRvUTBYWXBwUmhBTlROWE1iTTMwdkVJMFZGSUVrOElJWVFRYlI0UkpUUHp6LzdIZ3djUHRtcXRid0t3QTBBS2dERmE2MjFCOVMwQTNnQ3d3KzEyNzIvUzRDRmc1bG9pZ21FWWtsa1FRaHozaU9obXJYVWFFYTJOZEN5aTdTb3FLcXJJek15Y0F5Q1dtUXNpSFk5b0h4d09SNUxXdXB2V3VycW9xS2djZ0JucG1Ob2JtUllpaEJDSGFOZXVYZGg5a04xTjkrL2ZqL0x5N3pqVjN3QUFJQUJKUkVGVWNwam1vYjBuMWRmWE4zcnM4WGp3OWRkZnQvcjh6ei8vSEMrOTlOSWhYVk9JOW1EdzRNSGRBU1FDQ094VXljelhFbEV2Wmg0TDRCdG1udUlPQXVBaUFEMlVVdGNDMEVjWVFnVUFhSzA3QVVELy92MDdIMkY3UWdqUlpybGNyaC9jYnZkU2w4dFZFdWxZUk51VmtaR1JiTFZhcDF1dDFnY3RGb3N6MHZHSTlrRXBOZEppc1N5MVdxMFA5KzNiTnpuUzhiUkhrc1FUUW9oRHNIcjFhcHgvL3ZsNDY2MjNtcTB6YWRJa1RKczJEVXExL2lYV05FMWNlKzIxZVBUUlJ3TmxTNWN1eGRTcFUvSEREeiswcW8zYzNGeDg4TUVIcmI2bUVPMkYxbm9nQUppbVdRUUVrbWd6bVBrTGw4dTFBc0FVSWhydWREcG5BeUNuMDNrVGdMdUphR3B1Ym03cFViaitGZ0JRU3YwS0FHSmlZajUyT3Awemo3UmRJWVFRb3IycXE2dGpacTdYV3RkNlBKNGovYkpNZEJETW5BeWdQNEJmV3l3V21SbDZHS1RUaEJDaWxiVFdlT1NSUjJDeFdPQndPRkJZV05qb2VGcGFHdHh1TjlhdVhZdnJycnNPUlVWRlRkcElUMDlIZkh4OGsvSlhYbmtGcTFldnh0aXhZd05sRjE1NEllYlBuNCs1YytmaWhSZGVPS3lZUzB0TGNkMTExNFU5bHA2ZWpsZGVlZVd3MmhYaUdCdkZ6QWVxcTZ1TEFTQTZPdnBwQUNsYTY5OEJRRjVlWG9IVDZieUVpTjV4T3AwbkF4aEtSRGZsNWVVOWV6UXVickZZTmpKek5SRTVBYnpFekYwQjFMZDBuaEQ3OSs5SFFrSkNvN0kxYTlhZ1I0OGVZZDhMRG1icjFxMUlTVWxCZEhUMDBReFJpQ1ljRHNkeUlqcVhtWjl6dTkzWFJ6b2UwVFpwcmV1WjJVVkV5VVFrNnllS1Z2RjRQQjlicmRaeHBtbnVySzZ1cm1qNURCRktrbmhDQ05GS0N4WXN3T3JWcXhFVkZZWHAwNmVEbWRHd3BuNkQ2ZE9uNDhVWFg0VEZZc0Vycjd3U05rSDIrT09QWTlpd1lZM0tTa3RMTVcvZVBBd2RPaFFYWEhCQm9OeHV0MlBpeEltWU9YTW1Ybjc1Wll3ZlAvNlFZOVphbzdhMkZxTkdqY0lKSjV3UUtGKytmRGxxYW1SWGQ5RXVLQUIvSUtMM3k4cks2cHhPNXgxRWRDa3ozNVdmbjEvc3EwTkVGQTFnQnhHZHpNejd0Tloxdlh2M3RwZVZsZFVkYVFDNXVia2VwOVA1TlJHTlNrdEx1eHRBRDJaZWM2VHRpc2F5c3JKT01ReWpWaWxWa3B1YjY0bDBQRWVxcXFvS2wxeHlDYTY0NGdwTW5EZ1JRTU95Q1ZPblRrV2ZQbjB3ZS9ic1J1OGhMYm50dHR0UVYxZUhwVXVYSG5aTU8zYnN3UGJ0MncvNy9Nek1UTWpBaWVNZkVmWDNQVGNIUlRvVzBYWWxKaVpHRTlIdmlDak5ZckVzajNROG9uMG9LaXBhRDJCOXBPTm96K1JkV0FnaFdtSHAwcVdZTzNjdUxyLzhjdHh4eHgxNDVKRkhzSFBuVHZ6OTczOFBmS0I1OU5GSHNXUEhEaXhjdUJBSkNRbTQ4ODQ3Y2ZmZGQ2TnYzNzdOdGx0UlVZSHAwNmNqT2pvYTk5OS9mNVBqbDE1NktiNzQ0Z3M4OWRSVDZOZXZINFlPSGRybytMcDE2N0Jod3dZQXdPYk5tMUZaV1lubHl4ditqdXJUcDArZzNqbm5uSU1SSTBZRUhxOVpzd2JyMTh2N3AyajdIQTdIQkNJNmdabHZ5Y25KbVFSZ0pqTy81WEs1SHN2T3p1NXJHTWI1elB3L3pEd0F3R3NBNWdDNFRTbjFYRUpDd29NNU9UbXZBUGpVNi9YK3A2Q2c0TURoeHFHMW5tOFl4dXRkdTNaOUZnQjV2ZDVWUitjT2haOWhHSDhrb3RGYTYzVU9oK04xMHpUZktpd3MzQmZwdUE3WDNMbHo0ZkY0Y1BIRkZ3ZktiRFliN3JqakR0eDc3NzBvS3l0cjlEcDlNQ1VsSlNncks4TWYvdkFIbEplWEgxSWNTVWxKaUltSkFRQXNYcndZQ3hjdVJPZk8vMTNXY2UvZXZiQmFyWTFHQnU3WXNRUEp5Y213MiswQUFLL1hpOTI3ZDJQNTh1VklTVWs1cE91TDlvZVp2eVdpWHpQelY1R09SYlJkVlZWVkIySmpZejhrb2s3TXZEblM4UWpSVVVnU1R3Z2hXcENYbDRlSEgzNFlaNXh4QnFaUG53NmdJYmwyN2JYWDRybm5uc1BreVpOUlhsNk9Eei84RURmZGRCUDY5dTBMMHpTUm5KeU15Wk1uNDdYWFhrUFhybDJidEZ0ZFhZMXAwNmJocDU5K3d1elpzNUdhbXRxa0RoSGhvWWNld3JoeDR6QjkrblE4OXRoak9PMjAwd0xIUC8zMFV5eGN1QkJBd3dnUFpzYUREejRJQUxqKyt1dWJKUDJFYUcrSTZBd0EzN3BjcnZleXM3T0hLcVZlcmF1cisxTk9UczRpQUpjRHFDR2lkd0ZjblplWGwrczc3Wktjbkp6QkFHNEJNQVhBYllaaGZBQmc5T0hHa1orZi82YlQ2YnlBaUM1aDVzY0tDd3MzSE9HdGlSQyswWlMvSnFKZkU5RnZsVkxQT2h5T2w1bjVaZE0wM1VxcHFvS0NnbW9BSE9sWVc3SnExU3E4OGNZYlVFcmhvb3N1YW5MYzYvWGltbXV1Q1h0dW56NTlzR0RCZ2tabEw3NzRJZ0JneVpJbFdMSmt5U0hGTW1QR0RGeDQ0WVdCeHhrWkdYaisrZWNEai8vODV6K2piOSsrbURwMWFxRHM5Tk5QeDR3Wk0zRG1tV2NDYVBqaTU4b3JyenlrNjRyMnkrMTJYeDdwR0VUYlo3ZmJUYVhVYm1iMk1uTjFwT01SN1lQRDRVZ0hrQTFnZDFWVjFROUhZOFpFUnlOSlBDR0VhSUhENGNEdHQ5K09NV1BHQkViZGJkeTRFZE9uVDhlb1VhT3dhZE1tQU1EZi92WTNkT3ZXTGZENCt1dXZ4OGNmZjR6cTZ1cEFXZmZ1M1dHMzIxRlRVNE9wVTZjaVB6OGZ0OTEyVzZQRVhLaE9uVHBoenB3NW1EeDVNbTYrK1diY2Z2dnR1UFRTU3dFQU45eHdBMjY0NFFZQXdKZ3hZMkMzMjdGbzBhTEF1U1Vsc3JHY2FOK1VVamQ3dmQ0VEFIQitmdjUzQUs0Q2dKeWNuUDlqNW1YVjFkVnZyMW16cGpMMFBGOUNiMEpHUnNaa204MTJqbUVZM3g1aEtPeHl1YTRHY1BVUnRpTmFrSnljaktTa0pHemF0QWxLcWZFQXhpdWwxZ0lveXNuSitWWnIvVlY5ZlgxQlNVbEpWYVJqRFdmYnRtMjQ1NTU3QUFEUFBQTU1yRlpybytOUFBQRUU0dUxpOEQvLzh6OWh6NCtLaW1yMGVNT0dEZmowMDA5eDdybm5IbFlpTFMwdHJkSGpxcW9xZlB2dGYzOGRLaW9xc0gzNzlrWmxXbXVzWGJzV05wc3RjRTlDQ0JITWFyVW1BSmlnbEVvRFVBRGdTTjluUlFkQVJLT0lhQjR6ZjJHejJjWUIyQkhwbU5vYlNlSUpJVVFMbEZJWU9YSWtubnp5U1l3ZlB4NnBxYW1ZTldzV0xyMzBVdFRYMStPU1N5NDU2UG4rRVJSQXc3cDZuVHAxd3ZUcDA3RnUzVHBNbmp3WjQ4YU5hekdHUG4zNllQNzgrWmc4ZVRMKzhwZS80S09QUHNMLy91Ly9vbCsvZmdDQUxWdTJZTXVXTGEyZW1pVkVlNUdibTFzTm9EaTBQQzh2cnd4QVdVdm4reEk5aDcrSW1Eam1CZ3dZZ0R2dnZCT2JOMi9HQng5OGdDKy8vQklIRGh6b0M2QXZNMTlBUkx2dGR2dTI3T3pzOXp3ZXowc2xKU1ZiSWgyejM1NDllekIxNmxSVVZEU3MxWjJVbE5Ra2lXZTFXbUd6MlpDVWxOVGtmQ0pxa25UNzYxLy9HbGlMOVdoTVpkMjJiUnNlZSt5eFJtVnIxcXpCd3c4L0RLVVVETU5BOSs3ZHNXelpNaXhidGd4QXcwaHYwWEU0bmM0TEFRd0E4STF2QjNBaG1xaW9xS2hOU0VoWXFaUktNVTN6cDBqSEkwUkhJVWs4SVk2dVJDSjZ6K2wwZWlNZHlDK0pnZFUvMTNEclYrTStEaHc0Y0FDdnZmWWF6ai8vL0ViVFhoTVRFd05yMFBtdFhMa1NEenp3QUpZc1dZTFkyTmhHeHhJU0VqQmh3Z1NzWDc4ZXQ5NTY2eUZ0VnVIZlRmYlJSeC9GNTU5L2pyLy8vZTk0NXBsblFFUjQvLzMzQS9VV0wxNk0wYU5ITnhuTklZUVE3WUhOWmtQUG5qM1JzMmRQREJzMkRMVzF0VmkxYWhVKytPQUR1TjF1VzNWMWRZL2EydG9laG1HY2JCakdRdzZINHlzaWVzVTB6ZVhWMWRWN3lzcktxZ0RvWXgxM2JXMHRKazZjaUFNSER1REdHMi9FUC8vNVQweVlNS0ZKdmZyNmVoQVJWcTFxdXF5aXhXTEJpaFgvelpsODhNRUgrUDc3N3pGbHloUXNYcndZeno3YitnMlhFeE1UOGRsbm56VXE2OVdyRnk2NzdETGNldXV0VGVxUEh6OGVHUmtadU9tbW01b2MyN05uRDk1KysyMFlodEhxNjR0MjdUNEFnNW41WFFDU3hCTmhKU1FrV0F6RCtEVVJkU2VpMkpiUEVBSnd1VnhQQTNnNjBuRzBaNUxFRStJb0lLSktBQWVvWVN1dnVFakg4MHRqemRIdFlFbWlZNEtJbW95TThDOE8zcWxUcDBZTGhmdmRmLy85MkxWckY4ckt5bkQ2NmFjZjB2WGVmUE5OL08xdmY4UHk1Y3R4NnFtbmdvamc5WHJ4N3J2dm9uUG56dGkzYngvbXpwMkxaY3VXNGFtbm5ncWNwNVE2akxzN2Zsa1VsS0dRT1hqdzRGVzV1YmsvQTBCV1ZsWlh3ekFHRUZIVmpoMDdWcGVYbDFjRFFIWjI5a0NsVklyV2VyZC9OOVFlUFhyRXBLYW1EbURtT05NMFZ4Y1VGT3dFZ1A3OSszZU9qbzRlQkFEQm94ZXlzckw2R1lhUmFwcm1sb0tDZ28zK2NxZlRPUndBS2lzcnYvR3ZDWktWbFpWbUdNWkpYcTkzYjJGaDRXb0FYbC81S1laaFJBSFk1SEs1TmdPQXcrRklJcUlCekt3QUZMdmQ3Z3BmekQyVlVyMU4wNnd0S0Nqd1QyK3haR1ptRHJCWUxKMU0wMXhmVUZEZ254OW5PSjNPTThMRWZJTHZqL09kZVhsNXEwTmpycW1wS1NvdExkMFQzSGZNWEYxZlg3L2FQODNSZjkvTjlWMWRYZDJha3BLU0hRQXdlUERnUksyMW83bSs4M2c4MjN3N21qWGJkLzM2OWVzUkV4UFRCMEJGWFYzZDZwS1Nrbm9BeU1uSkdjek1jY0Y5MTd0Mzc0VDQrUGlCekt3OEhzL3E0dUxpdmNGOXg4eGV0OXY5dGU5eUtqczdlNEJTS3FXdXJtNWowTWl2c0gzbmNEalNpYWhYYzMzbjhYaEtpNHFLZmdLQXZuMzdwc1RGeFEzUVd0ZUc2enNBRlM2WEt4OEEwdFBUb3hJVEV3Y29wUktDK3k0ckt5dldNSXdoWWVMb1EwUTltTG5jN1hhdkM0M0ROTTBmL0p0OStQdE9hNzNmNC9FVSsvdk82WFJtQTBoU1NtM0x6YzFkNysrN21KaVlBUmFMeFZaVlZiVjY3ZHExdXdGZzBLQkIzYXhXYS8rUXZndjhEakh6WnJmYnZTazBqcFpHK2tSRlJXSEVpQkVZUG53NHRtL2ZqcEtTRXJoY0xwU1VsS0NvcUFoS3FUTUFuR0VZeHY3NCtQanZIQTdIZDBSVVZGTlQ4Ky9hWS9oV0ZSVVZoY3N1dXd5LytjMXZzSEZqdzYvNVo1OTlGdGdjd3UvbW0yOUdVbElTSG5qZ2dZTzJ0M1hyVnZ6bEwzL0JTU2VkaFBIangyUDc5dTNJeU1ob2RUemhkcEVOM2dFOW5NV0xGMlB4NHNYTkhxK29xR2d4YnRIK01iUHkvZDNRb2I2d0ZZZEdLV1VCa0FZZ3pmY2VLNFE0QmlTSko4UlI4UFBQUDY5UFNrcTZDMENQU01keUxIaE1TbVNpcGwvamQxQno1ODdGcTYrK0duaXNkY01Ba0ZHalJqV3FOMlBHREp4Nzdya1lNR0FBQmd3WWdNVEV4RVlmc3Y3MXIzK2hhOWV1K1AzdmY5L2tHbTYzR3l0V3JBaDhHQnc1Y21UZzJEdnZ2SVBLeWtxTUdqVUt4Y1hGdVAvKyt6RnAwaVE4OXRoamdiWHpRa2NFZG5SeE5tVUQ0UzZ0OVZjQVZnR0FVdW8wSW5xYW1ZdFNVMU1ubDVlWGx3R0FZUmpUQVp4bkdNYUhBSzRGZ05UVTFCN01QSk9JQmltbGJnRHdEZ0RFeE1RTUJmQ0M3ekxkL2RleldDeVRBVnlobEpvRDRCRi9PUkV0Q2pwdm15K084NGpvUVl2RjhubnYzcjF2S0NzcjIrK0xZellSL1lxWi93Ymc3NzRtTW9ob0hoSFp0ZGJYQWxqcGEvZDhJbnJRTUl5dEFFNEdnTjY5ZThkWUxKYTdpR2lFVXVvK0FNLzV5bVA5Y1FUSHJKUzZrb2orek14TEFVd09FL09mQUh3VTNIZEVWR2ExV20rQWIvcXIvNzZiNnp1cjFYb0xnTmNCUUd1ZEVTNE9meHRXcS9VNU5Jd09hYmJ2WW1KaXppR2l4NWg1cGQxdXZ3SEFMZ0R3WHkrNDcySmlZbnI3WXJiN3J2RjVjTjhSMGM4QSt2djZ5R29ZeG0wQVJrVkZSVDJDaGgxd20rMDdBSmNTMGZUbStzNHdqSnNCdkFFQWNYRnhRNWg1bmxKcVc3aStZK2FWQUM3eDFlMWlHTVpEQUFZSDl4MFJwVGNUeDBRaXVwcVpYd0p3UjJnY1JIU08vM3IrdmpNTUkxY3A5U2QvM3dHNGo0aUdhYTJmQlRERDMzZUdZY3htNWk1eGNYR1QvYzhEd3pDR0U5R1R3WDNuSzc4TndDaG0vanVBdjRYR0VSSnpzNVJTZ1JGNnc0Y1BSMFZGQmNyTHk3RnExU3A4OHNrbjJMeDVjd0l6bndQZ2JDS3FqSTZPM3F5OHZLSGF3OGRzK0poL3pUcC9FdS9zczg5dVVzYy9FdStUVHo1cGNpeDRKTjZDQlF0QVJIajg4Y2RoczluUXExY3Y5T3JWNjRoajlIZzhxSzJ0YlZKdW1pWXV1ZVNTc0NQeGdJYjNrV1A2aFJBekVxT05HNTFPNTF4bWZzRHRkczhDQWduNHpRRGdjcm1TL2RXZFR1ZWRhSGllTDNHNVhOY0ZsZnQzT0w3UjVYSzlCZ0FPaDJPMFVtbytNMi94ZXIwVEN3c0xDd0VnSnlkbkxqTmZTVVJmNWVYbC9SNEFNakl5Zm0yMzIrY0RHTXJNVTl4dTk2dStOazRub3ZkRDQzQTRIUDhnb2o4Qm1PZHl1ZTRPamNNMHpUTUxDZ3FLZk5mN0V6UC9BOEQzcG1tTzkzOGhsSk9UOHlVelp3YTM0WFE2aHhEUnZ3QjBaZWJ4THBmclUxLzVPQUQvQlBDenkrVks5L1dSUFNFaDRWL01QQnJBWXk2WGEyWm9IT0g2am9pVzVlWGxqV2ZtZjJpdHMwelQvT0xRZjNDaW82aXFxdHB1dFZvbldDd1dXMlZsNWRwSXh5TkVSeUZKUENHT2drMmJOdFVDZURQU2NSd3I2ZjBkWjRIUTRaTjREUU12R3o2UXBhU2s0TzY3Ry81V3o4L1B4elBQUElOSEhua0UwZEhSQUlBcFU2YkE2MjA4eXpvN094dloyZGtBR25ZcW5ETm5EaHdPQjY2K3V1bTYrVnByckZpeEl0Q2VYM1YxTmViUG40OExMcmdnc081Uy8vNzlNV2ZPSFBUczJSTkZSVVVBR3FaVmlSRE1WZ1lDbjBpVlVnWXpSL2tTWXNHakQyeStjcHUvUUd0TlNpazdNMGNwcFl5Z2NrVkU0ZVl4VzVrNUNpSHZ1NzR5QkYrUGlDeStjbHRJdVQyMERkOElQRHN6Ui9uKzdhOGJ1SmZnbUlQdUpXd2NJUUp4aEtzYmZEMS8zL2xpRHY2VWJ6MVkzeEdSRWRTdUFuQkVmYWUxTnBSU1VVUms4M3E5QiswN3d6QUNmYWVDTWhQK3ZnTVF1bHVhMWRmUExmWmQ4TTh3WE4yUTU0eWhsSXBpNWxiMUhUUGJBWVQySFRYek0vVDNYYU5GMllKK2hrMzZEb0RkTk0zZ3ZyT0Z0bUVZaHZJOXQ2SzAxb0U0Z3A0SFlmdXVsYys3VmxGS3dXNjNJeTR1emg5VGFCVXJnSGd3UjNNRVJ4TXRXTENneVpwNGp6NzZLT0xqNDV0Tmx2bWRjY1laR0Rac0dCNS8vSEc0WEs1RHVtN1hybDN4OXR0dmh6MzI0WWNmNG9FSEhnajBYYkR5OHZJbVMwU1lwb21hbWhxODk5NTc2TkhqV0g5WFNYWWlTa0xRYTBOaVlpSXhjNU1GQlgydnZVbk1IQk5TbmdRQVd1dmczMGNyZ0NRaXFqQWFQM2xpaUNncGVGU1J6V1pUUkJUdmF6dlFCaEZaL0cySFhDL2FWeDRkVXA0RUFNSFhZMmIvL2NWN3ZWNFZWQjRmMm9acG1oYkRNQktJS0ltSXJFRjFiVXFwSk9iL0RqdjF2ZjdGaHZaZGNCd2haVkVBa2dERUFrQitmdjdMb1hXRUNCVWJHNXVpbEhvWVFHcGlZdUo5QUE1dDYyelJJVG1kem5NQVhBZWdSQ24xbEg5R2pHZzlTZUlKSWNSaHFLMnRiWlJRaTQ2T3hpbW5uQUtnSWJFR0FJTUhEdzVNcC9Vbi9Kcno0NDgvd2pSTnBLZW5oejFlVjFjWHVFNnc1NTkvSG52MzdzV0VDUk1hN1VxYm1aa0pBSUhGMVNXSjExaFZ2YTQzU0Q4VWJUVUNHeVo0dmQ2dmxGSmpBRlR0M0xueng2RHltVXFwK2FacDd2YVg3ZHk1ODhkdTNicE44MDJuRFd3QlhGMWQvVjFNVE15WTBPdDVQSjdaaG1HOGFacG1vd1g0bVhrTUFGUlZWZmxIUGNFMHpmZVVVcXU5WHUvZURSczJIQWlLWTVJdnlSS1lqa2hFUlZycmE1bFpFVkZSVUJ2dks2VktUZE1NRExmWnNHSERnVUdEQmoxb3NWam1hSzBERzBLVWxaVlZPeHlPSmpHYnByblFNSXdWUkxRelhNelYxZFdCNi9uN2pwbXJUZE1NVEJjT3V1K3dmVmRmWDE4YTFIU3h2KzF3ZmVmeGVCcHRqeG11NzJwcmE1ZEhSMGVQWWVZS3I5ZGJFVlIzbW44NnJiK3Nzckp5YlZ4YzNMWE1yTHhlYitCbjZPODdaZzVrM2N2S3lqeFpXVmt6bFZMejYrdnJON1RVZDh5OENNQTN6ZlZkOEgxWFYxZC9HeHNiZTRYV3VqWmMzekZ6UlZEZG5SYUw1UTZsVkVKd0cxNnZkNVB2dVJzYXg5TUEzbVhtOG5CeGVMM2VRSC80KzA1cnZUKzQ3N1RXOThJM25UYTQ3MkppWWlZWmhtR3JycTRPOUYxZFhkM25OcHR0VEhEZithNHpVeWsxSDBIOUh4eEhhMm10QTlOcDNXNTNZRHF0Zi9Rek0rOEg4QjB6ZjhmTXhiVzF0Y3RyMlRhVWxEcmxVSzV6TkZWV1ZqWko0bm05WG5nOEhsUldOdGxVR1FCUVdscUsvdjM3WThTSUVRQWFYdmZQUGZmY1ZsOXo2ZEtsS0M4dlAyZ2RwVlNqdGZjT3h1VnlZZUxFaWEyKy90SENBT3E5L0lXeThNdEVGSmllWFZOVFUyT3oyVzRKcmUvMWVqOVNTdTBqb2tZamdyVFd0d0NBVXVxN29McUZOcHZ0ZjVsNVB4SDlHRlQzVlFCdUlnbzgzNnVxcXZZbUpDVE0wbHFuRXRGM1FYWExpS2hKSEtacHZxbVVLaVdpUnBsWGZ4eUdZUVMvdjN4dEdNWXRTcWtkMGRIUit3UDN6dnc0TTNjSmJzUHI5VzZ5V0N3UEFvaGw1c0EwZmFYVWQxcnJXNGdva0R6ZnRHbVRwMU9uVHYvU1duK2h0VzYwWTZnL2puQjlwNVJhSDNwTWlPYjRrc205aUNpTmlCSWlIWTlvTjNvVDBWaG0vcUttcHVZNUFKTEVPMFNTeEJOQ2lFTlVYMStQeXNwS2RPN2MrYWkxK2VXWFh3SUFzckt5d2g2dnJxNUdWRlJVazJSZ1FrSUN4bzRkMjJRM1E3L1ZxMWNqT1RrWlhidDJiZmJhOWZYMWVQamhoM0g5OWRjMzI4N3h4cXVodlV3RmE0cmRnV1NGYnhyVHp0QzYvbWxQd2NyTHk2dkx5OHQvQ0MzM3JRM1daUHBSWVdGaEtZRFMwSEszMjkya3JtK3R1bTFoeXI4SmMzNEZmRk5vVzlHR3Q2aW9xQ0MwTGdCdnVEZ0tDd3MzQU5nUVd0NU16R0g3THR4OU45ZDN2bnM1b3I1YnMyWk5PWUFtMlF1WHk5WGtlcjVweXEzdE94M3VlWUJtK3M2Mzd0dW1NT1ZONnZxZU0xK0dsb2U3Yjkrbzc3elF1cjUxOUpxMG5aK2Z2eFpBa3lsT2g5SjNicmZiSFZybTY3c216MGZmR24wN1FzdWI2YnV3Y1lTemYvOStGQlFVNE9PUFA0YmI3VVpGUlFXcXFxb0N4MzFUamhjQitOSTB6ZTBGQlFWN0FKZ0FrTjR2L0d2cXNSSTYyczQvalRVcUtncTV1YmxoeituZXZUdmVldXV0d09OaHc0WWQwalhkYmplMmJXdnlFdEtJMWhyRGh3OXZWWHVtYVI3UzlZOFdJa0tOMTNTVkZoVytHbHp1VzYveHlkRDZ2dGZJY0srVFRlcjYxdGVjRTZidXh3QStEaTd6UGQ5ZkQ2MmJuNS8vWXpOeGZBYmdzOUR5Y0hINHB2RVdocW43YW1pWjcvZnJoZEJ5MzdxYnEwT0t6Ynk4dlBkRDZ6WVhSMmpmT1ozTzEzd2ZzbWU2WEs2N3dyVWp4TjY5ZTM5T1NrcWFEU0JPYXgzMmRWNklVQjZQNXdlYnpmWUFNMjhDVU5YaUNhSUpTZUlkb3NHREIvZjNlRHhjVUZDd0p0S3hDQ0Vpd3o5RnRVK2ZQa2VsUFdiR2tpVkwwS1ZMRnd3Y09EQnNuY3JLeXJDN3pWNTQ0WVVIM1lVMk56Y1hUcWZ6b05mZnUzY3ZsaTFiaGxOUFBiWERKUEdFRUcyWDErdkYzcjE3c1hYclZyenp6anY0OU5OUGc1TjJYdC9vcVozTS9EWXpQeHU4V1VaYjRYUTZzWERoUWd3WU1LRFJseTl2di8wMlpzMmExZXBSY0lmRGJyY0hSbTgzUnlsMTBBMHNnaFVYRjJQYXRHbEhJelFoeEhHa1U2ZE9pVVIwRXhHbGFhM0xBVFQ1d2t5SVVFVkZSVDlBbml0SDVMaE80am1kemw0QWhoNnNqbEtxS0RjM3Q4azMvTTFoNWdXR1lkUUNPT3RJNC9zbDllN2RPNkcydHRhemJkdTJta2pISXNUeElEazVHUTg5OUJCNjl1eUpPWFBtSUMwdERTZWVlT0pCejZtc3JBUXpvN3k4SEZyckpsTmgvVjU4OFVWczJiSUZ0OTU2YTdPTGh1L1pzd2NKQ1UxbktpUWxOVm5hSnFDMHRCVHIxNi9IVlZkZGRkQTQ5KzFyV1BPN1M1Y3VCNjBuaEJESFFuRnhNYTYvL25wczJyUUovblcrbUhtdGI4cjR0OHo4ZFYxZFhiNS9KOSsyWk5PbVRmanBwNThDajcvNzdydEd4emR1M0FpdjE0dHZ2LzAyOU5SR3NyT3pEL29GemNIRXhjWGh3SUVEOEhxOXNGZ3MrUG5ubjVzc3FjRE1XTHUyZGV2UWI5bXlwZVZLNG5nelQydjlrZGE2eVNoQklmenE2dXJxN0haN0VZQ2R6THk3eFJPRUVFZkZjWjNFWStZUnZwMm53Zzd2SmFKK1d1dEhBRHdNQUlNSEQwN1VXcmMwdENhV2lLeE9wM1BJd1NydDI3ZXZ5RGZ0NVpqcDNidTMzVzYzOTdmWmJMOEI4TnZZMk5pL2JkdTI3YXRqR1lNUXg2dm82R2ljZi83NUtDMHR4VHZ2dklNNzdyaWp4WE5XclZxRlJ4OTlGQURRdVhQbnNDUGkzbnJyTGN5Wk13Y0RCdzdFMkxGanc3WlRXVm1KL1B4OERCMTYwTzhrbW5qbW1XZlF0V3RYbkgvKytVMk9LYVVDSXpYOGF5ZDE3OTZxRFNLRkVPSVh0Vy9mdnNDWEMxcnJOd0c4YVpwbUxvQjloWVdGUHdQUWtZenZZSllzV2RMc0NMZmdIV0Z2dlBGR1dDeVdSanVVQjN2MTFWY1BleWZhN3QyN2c1bXhlL2R1eE1YRjRiZS8vUzJlZU9JSm5Ibm1tWUU2ekl4Ly92T2ZqYzdidjM4L2Z2enhSd3dZTUtCUnVYK2RWOUZ4dUZ5dUx4Rm1tcjhRd1Nvckt5dnNkdnVUcG1sR0FaRHB0RUljSSswK2llZDBPbThBTUN1b2FMUEw1ZW9YOUxqQzVYSTVtam0zMFRvdnpId21FYjNYbXVzUzBmY0hPNTZRa0pDSlkvUmkxcmR2MzVUbzZPaExEY09Zd3N6cHZoM2pyRVRVWk4wTUljVGgyN1p0RzI2Ly9YWU1IRGdRWThiOGR6MzJjZVBHNFlJTExtaFMvemUvK1EzNjlXdDRPVHJ4eEJNUkUvUGZEZk4yN05pQmYvempIL2owMDAvUnUzZHZ6Sm8xSy9CaDdzRUhIMFJ5Y2pKaVltSmdtaVkrL2ZSVFZGWlc0c0lMTDJ4MXJJc1hMOGFYWDM2SmUrKzl0OG1pNmdDUW1wcUtUejc1Qk5PbVRjUGF0V3VSa3BLQ25qMTd0cnA5SVlUNEJkUUQyTTNNR3dHOFhGOWYvM0p4Y2ZIZVNBZDFLS1pObTlaazZtbFpXUmxtelpxRmpSczN3dWwwNHZQUFA4ZDU1NTJIVHo3NUJGZGZmVFhHalJ2WDdFanR3M0hTU1NjQmFCaU5mZEpKSjRHWkVSVVZCYTAxdE5ZWU5Xb1VmdmU3M3pWNWIvajQ0NDl4enozMzRQbm5uMjh5S3J5K3ZoNDJteTB3dWs4SUlWSlNVcm9SMFhNV2l5Vk5hejBad0lKSXh5VGFQcWZUZVFNUnpXUG1MK3JxNnNiNTF2c1VoNkRkdndzVGtRWEFUMFEwVW10OUZZQUpJVlVzQnhrMTErZ3ZwcDA3ZDM2YWtwSnlRZ3ZYZTV1STZyVFc0WWZNK0ZpdDFoOFBkdndJVUhaMmRnOW03bVlZeHNrQXhoSFJ5ZkJ0SHg4Ykd5dmZtQXJ4Qy9ucXE2K1FrSkNBV2JObU5mcUFrNXFhaXRUVTFDYjFvNktpTUdqUW9DYmxMcGNMa3laTmdtbWF1UGppaXpGOSt2UkdDYjYxYTlkaTNicDE4SG9iTm5qczNyMDc3cnp6emthaktBNm1wcVlHenovL1BDNjc3REpjZlBIRllldGNkZFZWMkxCaEE5YXZYNCtrcENSTW1US2x4UjEwaFJEaWwrVDFlcDlYU3MwekRLTTROemZYRStsNGpvUnBtdmorKysreGFORWk1T2JtWXV6WXNmanJYLytLNWN1WDR6Ly8rUS91dWVjZWpCbzFDazgrK1NSZWZQRkZYSERCQlRqdnZQTXdjT0RBSTM0dHpzaklRSFIwTkZhdVhBbTczUTRBNk5XckZ4NS8vSEc4OGNZYkxaNS8ybW1uSGZUNGUrKzloeDQ5ZWh4UmpLSnRjenFkUTVpNUp4R3RjN2xjSlMyZklUcWltcHFhK3BpWW1OWE12SmVJMnRVWExrSzBaKzAraWVmanljM05MYzNKeWZuSnYzWktrRVNFMmJITnAxRVNiOXUyYlRYYnRtMDc2T0xJT1RrNWRjeGNlNndYVVI0d1lFRDNxS2lvb2N4OHVpOXBONENJdWdHQXhXSkJyMTY5a0pPVGc2eXNMTng3NzczSE1qUWhPb3l4WThmaWlpdXVhUEVEMW9nUkk1cmRkUkJvV1BEOHR0dHVnOVBwRExzNXhzc3Z2d3lnWWJxVGFacXRIdlZ3MjIyM0JmNzl5aXV2SUQ0K3Z0bTZYYnQyeGV6WnMxdlZyaEJDSEFzRkJRVUhYeWl1amF1dHJjV0tGU3Z3d3c4LzRJc3Z2b0JoR0JnelpneG16SmlCNU9Ua0p2V0hEQm1DaFFzWDRqLy8rUS9lZU9NTlhIUE5OZWpjdVRNR0R4Nk1zODQ2QytlZWUrNWh4V0cxV2pGNjlHaEg5T2x3QUFBZ0FFbEVRVlFzVzdZTWUvYnNRV3BxS3JwMjdZcXBVNmRpMHFSSnpaNzMyV2VmNFpGSEhzRy8vLzF2R0liUmJMMXc2N09LNDg1MHBkUllacDRKUUhhbkZXRXBwUmhBSFlBYVpvN01OdGFpM2FtcnEzcytPanI2TmEvWDZ5MHBLWkhSUjRmaGVFbmlOV2NUZ0JkY0x0ZTE0UTdtNU9ROHpzeWhXN0lqSnlmbmZRQ2ptMnVVaUpDVGs5TWtXd2dBelB5aXkrVzY1bkFERHRhalI0K1lybDI3L282SUxnUXdrb2ppQU1RVGtRSWEvb2c2Nzd6ek1IcjBhSFR2M2gyeHNiR3cyV3lTeEJQaUYzUzBScXRkZnZubHJiclc0VTViT3RpR0YwSUlJWTQrbTgyR2I3NzVCbGFyRlE4ODhBQk9PZVdVZ3liRC9NNDg4MHljZWVhWitPbW5uN0JpeFFxc1hMbnlpSmMzbURScEVvcUxpNUdibTR2Nzdyc1BRTVBhcmdlYnRoc2JHd3NBU0V4TWxDbXpvaHhBS1lCZGtRNUV0RjMyaHFHK0RpSktZMmJaSFUyMFNrbEpTVDBhbHM4UWgrbTRmWWQyT3AzekFZeGxaamlkenNzQlFHdWRvNVRxRE9CakFQNGR6eWJuNU9SY2s1ZVg5L3VnMHgvV1dzOC9uT3RxclE5N0M2K01qSXc0cTlWNkZvQStSUFFySWhwTFJOMkJoa1hvRXhJU2tKU1VoTXpNVEZ4d3dRVVlNdVNnZTJzRVU5bloyZDFOMDR4aTVuMys5V1hTMDlPamtwS1NVcjFlcjZHMTN1cjdoVUpXVmxhczFqcU9tVDNCYTlIMDc5Ky9zOFZpc2RUVzFsYVVsWlhWK2R2T3lzcUszcjE3TjVlWGx3Y3k2ZW5wNlZFSkNRbUcxK3YxK05zVlFnZ2hoRGhlS2FVd1k4YU1nOVlaTTJaTW96VlZnM1hyMWcyWFgzNTVxNzdrYVVtblRwMENvN3BiYStUSWtSZzVjdVFSWDFzY0Y1N1NXaStzcTZ2N3FlV3FvcU9xcjYvZmJiUFo3bWJtV0FCZlJ6b2VJVHFLNHphSlIwUlJBTjdYV3M5VVNzVUQrTkppc1NpdjEyc1loaEdsdFI0Q0FFcXBpY3pjUC9qY3ZMeTg3eDBPeDY4TzU3b0ZCUVdIT3MxV09aM09Vd0FNQVpBTllBeUFUdjdSUHQyNmRVUHYzcjJSa1pHQnJLd3M5T3ZYRDUwN2R6NmtDMlJtWmlZYWh2R0VVbW9vZ0RrQS9nNEF5Y25KZ3dEODAycTFkdEZhandTd0ZnQ0lhSXpWYXIwT1FDR0FxZjUyb3FPalp3TG9yWlM2QzhBM0FPQndPRTVTU3QzZHRXdlhuVEV4TWZmNWszdEpTVWszS0tXeWllaFRBSzhEOEF3Y09MQ1R6V2I3RXhxZWQrLzUxOWpJenM0KzJUQ00zekh6L3NyS3loZkx5c3IyQTdBNEhJNVRBUFFHc003dGRxOEVnSDc5K3NYSHhNU2N5OHh4dGJXMTc1ZVdsdTRCQUtmVDJZdVpCMm10dHhjVUZPVDVZODdPem5ZcXBSTHE2dXJXK0JmTjlMV1JRMFQ3YW10clMvMUpSbDk4OFFDcVhTN1hIalRzZm1jTUdEQ2dLd0JiWFYxZHhZWU5HMzQrcE00WFFnZ2hoQkNpSFhHNVhKc0JiSTUwSEtMTml5T2lQd0RvQ3VBbkFPc2lISTlvQnh3T2g0T0lSZ0xZWXBybXV3VUZCUWNpSFZON2M5d204WHgydTkxdXQ4UGhTQXJkWmN2dGRyc0J3T2wwN2dEUUtJbVhrWkhSUlNtMThUQ3ZlYWh6N1F3QXB3R1lSa1NONWs3RXhzWmkrUERodU9TU1M1Q2VubjdZVXh2cTZ1b01xOVhhbllqU3RkYUJSVm0wMWxHR1lmd0tRQ296MndJM1FOU0xpTTdTV29kZWNBZ1JPWHlqR1FFQXpOd053RFZFVkdhejJSNUN3N29JQUhBT2dORktxYXIwOVBTM05tM2E1RUZEY3ZJMlpvNENzQjZBZjZIY2t3SGNBMkJiVEV6TTJ3RDJaMlZsMllsb0FvQ3JtUGxGQUNzQndHYXpkUUh3SUJIOTJtNjNGd0RZQXdDbWFRNnhXQ3hQRTFFdWdGRkI5L0l3RWVYWWJMYnBBRjRGQUl2RmNpSVJMV0xtclVxcFB3SllEUUJXcTNVeWdHc0FmTlN2WDcrNzE2eFpVNW1Sa2RIRmJyYy9RMFI5YkRiYkxBRFBBSURENFJoR1JETUJHTXg4bFcrTlJNUHBkRTRCOENjQS8zRzVYSUVFcU5QcGZBaEFxbW1hZnlzb0tGZ0RBRmxaV2YwTXc3aU5pSDdNeTh1NzMxODNLeXZyUW92RjB0MDBUVmQrZnY1M3Z1c2xFZEVmbU5uMGVyMmZGUlVWYlFXQWpJeU1WSXZGMGtOclhWTlVWTFFPZ0JlQWtaT1RjNExINDBsazVwMyt1bWxwYWRFSkNRbUpzZ09RRUVJSUlZUVE0a2pZYkxZb05IdytUTk5hZDR0MFBLSjlJS0pUaVdnbU0zL2g5WG8vQnlCSnZFTjB2Q2Z4cm5jNm5lSFdwek9jVG1lVjc5OVdBUDhKZHpJelA2eVVlaVc0VEd1OUNNQnVwZFNmUStyZUFPRG13NGpSNDNLNS90R2pSNCtuVTFKU0xyUllMT09aZVFnUnhSODRjQ0RtalRmZXdGdHZ2WVZUVHowVlk4YU1RV1ptSnVMaTRtQzMyeEdhbUFRQWp5ZXdtVnN0RWRVRHdOcTFheXVjVHVjazB6UVRBR3dMVktpdHpiZmI3YU1CMlBidTNicys2RjQrMWxvZkFOQm9oMTFtL2hzemQ5RmFsd1NWN1dMbTE1bDVSMzE5ZmZCT2NsOHljNVhXT20vVHBrMm1yKzg4ekx3VmdCMUJ2NnhLcWYxbytMWnZ1OWUzSGFmVmFtVm1yZ1ZRaGY4bUJtRVloZ1p3Z0lpcXZGNnZEbXJEQzRDWTJSNGNNeEhabURtS21RT0wwbGl0Vm1MbUtDS0tSOFBQM3kvSnQ2WkRaNC9IbzN4MURTTHF5c3hwdnZydzNVdUNZUmlaQUN5bWFVYjVMd2VnT3hFNXROYWh1eE5mU2tUOWZjK25OYjZZdXhQUlJBQkZBQUpKUE1Nd3BnRVlycFNhQ2VBN0FEQk5NOVZpc1R4SlJMVktxUWtBdGdLQTNXNi9ob2dlWXVhaWpJeU04MHBLU25ZNEhJNTRacDV0dFZwSGFhMmZCSEFMQUtTa3BQUWpvdmR5Y25MU3ROWk9meUxiNFhEY3JKU2F4Y3pmdUZ5dXdKWjBUcWZ6ZXlKS00wM3pqL241K2Y4R2dPenM3SUZLcWZtbTFwNzlkU0NQeDRPUzFXc2dSSHV4cm13OTZ1cGtocjhRSFkzSDQwRlJ5V3JVMWN2dmYxdTM3Y2R5MU5iV1JqcU1EczNwZEU0bm9qT1llWW5MNVZvWTZYaEUyN1JyMTY3S3pwMDdMeUNpZUsyMWZDQVFyYUsxM21nWXhsSUFSVGFiVFY3c0Q4UHhuTVFyWitaNXpQeUMxdHB1R01iL0F2aTlZUmhlQUc4eTg2TkF3OVJSSWdvN2RaYUlmc3JOelMwTkxzdkp5YWxsNXFyUWNxZlR1ZnRJRnJ3dkx5K3ZMaTh2WHdUZ1RhZlQyYzgwelRPSTZFeWxsRU5yUFdqbHlwVll1WElsVWxOVGNmTEpKMlBRb0VFWVBIZ3cwdExTR28zUTI3dzVNUEs5UW10ZDZmdTNOOXoyOEd2V3JLa0VrQmRhN2h2OTlWMW91ZHZ0ZmlXMHpEZXFiR3lZdW44TkxWdTlldlZtTkl5NmE4VGxjcjBFNEtYZ3N0emMzSnFzckt4SFRkT2NZN1BaQWxOWTNXNzNqd01HRExoTUtXV3RxNnZiNmkrdnFhbjVMRG82K2tMVE5CdHRPR0thNXIwV2l5V0ptWXY4WlZWVlZSc1NFaExHYWEyTit2cjZjbjg1TTc5am11Wm1aaTZMaW9xcThaVlZtS2I1QkJGMTFscC9FMVIzRTRCNUFGVFFsdXBhYS8yMVlSaXo4TjlSaHY3Nnl3RVVNZk91b0xKZHpQeVdMN0VaWExlRWlPekI1VjZ2dDhacXRYN1B6SFVBS29McTdrZERZdlludTkxdSt1NVB4OFhGN2ZhVkIrcjZrcm8xb2YzZmdsUUFnZEdiekJ4UFJLY2FTdTBnYU95dnJNVHNlYy9DYXJVZXBBa2gyZzZ2MTR2OWxaVXRWeFJDSEZmMlYxYmlpZG56Wk1PR2RzQTBUZnk4ZjMra3cram9oZ0M0R0EyYld3Z1JWcGN1WGVLSjZCb2lTaU9pVWdDckloMlRhUHZ5OC9NL1NVOVBYeEVURTZObDdmekRjN3orSlVONzkrNjlMNlJzZktkT25UNWc1dlg3OXUyN09xajhMNzcvR3dCTUlEQTBHQUNpSFE1SG95MGVmU082ckdIS280N1NycFdtTCtGV2twV1Y5WXJXT2swcDFSL0FSVXFwQzNmczJOSDUzWGZmeFVjZmZZU2VQWHZpeEJOUHhJZ1JJekI4K0hERXhNUWNqZXUzRlZ4UVVMQVR3TTZRY284dkdkaUlMeUc1TXJTOG9LRGdtOUF5MzVwN0g0V1c1K2ZuZndYZ3E1RHpENkJoVGI5R0Nnc0xTd0hjSFZLczgvUHozd2Z3Zm1qOW1wcWFlNk9qbzQzOC9Iei9DRkRrNStldmNUZ2MvMU5UVTlOb1MvYjYrdm9IYlRaYmxHbWFnZVRsNnRXcnl6TXlNcTVSU25GRlJjWHV3QVcxZnNzd2pLOU4wNnd0S0NqWTU3dS9BNW1abVRNTXcwZ0lUaHJ1MnJWclk5ZXVYY2N4YzF4OWZYMlp2OXlYU0hScnJSdjl4V3lhNWlURE1FNDBETVB0TC9ONnZadVVVcmZVZTNVTWc2NWhacTZRUDdSL0VjUU5VL09aRUhZbmJIRmtpR2kvMThQYldxNHBoR2pQVEMrMkdWYitTUVBZOTdNc2E5dWVFRkFGRHgvcVd0UGk2UGdCUUJSQ3ZwUVdJcGpXMm1zWXhvOEFUQ0txYXZFRUlScVkvcGw2NHZBY2xheFRKT1hrNVB5Wm1XOWo1ck9JNkdvQTF4TFJPVGowaFRWdnlzdkxtd01FTmxyNDluRGl5Y3ZMKzhYNnRFZVBIakVwS1NtWEdvWnhIWUFjSW9wR1EvSVJBUENIUC93Qm1abVplT0NCQndCZ2gybWFsL2tTVTBJY2JTcXRmK1pBQzR4RDIyVkZ0SXJOMEwyakxjWjFSTEJVZTh4bjZrMVYxdkpaNGxDUTl1emJ1TGE0RUEwYjJBZ2hqbC95ZnRWT3NiZis1ODFsSllWb1dPOVhDTkgyUkE4Y09QQlVabzZxcmEwdDNyQmh3NVpJQnlSRVIzQmNqTVR6YmNTd0VRQ1llZlArL2Z0M3hzZkhUdzZxY2lvUi9SRU5md1FRR3FhYVBrUkVnYlhXdE5hQmRmR1VVb044YlkwRDBOb1B6OWNTMGVTV3F4MCszNVRibHdDOGtwV1ZOVUFwTlphSWNvaG9FSUJmTFZteUJFdVdMUGtsUXhEQ1QyOHJMU3lNZEJESEs2ZlR5VVNVenN4UnNUWmozVnFYYTBXa1l4SkNpSFpLM3ErRUVPSVg0SEE0dWhIUnMwU1VaclBaSmdOWUVPbVlSTnVYazVQekoyYitCeEY5NWZWNnIvUE52aE9INExoSTRqSHpabVkrQzJnWTF1dWJMdmwwUmtaR25OMXUvejhpdWdMQU5HWWVqWVoxd25vUTBaVmE2MnZ6OC9PTFE5c2pvZ3VZdWNybGNyMkZWbjc3bDVXVnRkcnI5VDU0RkcvcllNeUNnb0lpQVBmMDc5Ky9zODFtNjYyVXlpS2lpd0VNSjZMWVl4U0hFRUlJSVlRUTRqamlkRHA3bUtZWmJ4akdYcGZMdGF2bE0wUkhwTFgyV2l5V0hjeE1rQjFHUlNzeHM1MklrcGc1enV2MU50MnBVN1NvM1NmeHROYkxBV3gwdTkyQk5UTWNEa2NTRVUwQ2NDdUFIVjZ2OS9TQ2dvSThwOU01R2tCdFhWM2RCVkZSVWY4d0RNUGxkRHBmQlRESDVYTDk0RHZYd2N3WEFYZ1doekI4MzdkMjJqRi84U290TGQwRFlBK0Fid0U4bDVXVjFkVmlzVnlwdGI3eVdNY2loQkJDQ0NHRWFQZW1XeXlXODVuNU9RRC9pSFF3b20zYXYzKy9OekV4c1ppSXluMmI3UW5SSXEvWCs3VmhHTGNRMGJibzZHaDUzaHlHZHAvRWM3dmQ2eEMwL3AzVDZYeUtpUDZIbVhjUTBWMTVlWGt2d2JkaGhaOXZGNVEvT3h5T3Q0am9DU0w2M3VsMDNsVlRVL09jVXVvbEFGWDE5ZldQSHRzN09UcDh3MUZuQVpnRHlJTDRRZ2doaEJCQ2lFUFNBMEIvQUYwaUhZaG91NUtTa3FLSTZMZEVsS2ExL2pEUzhZajJvYkN3c0JDQUxITnhCTnA5RWk4VUVjMW41aFV1bDJzcFFwSjNvZHh1OXhjQW5ObloyU004SHMvWDBkSFJOekh6SUFCWEZoVVZiVDBtQWY5eVpCRmdJWVFRUWdnaHhLRjZpcG5mOFhnOHNqdXRhRloxZFhWVlRFek1FaUpLWm1iWmhFMklZK1M0UytMbDVlVVZBQ2dJZDh6bGNwMFRyancvUC85ejN6OW5PUnlPMVc2Mys0TmZLajRoaEJCQ0NDR0VhS3RjTHRjcUFLc2lIWWRvMjZxcnEzVlVWRlNOMXRwV1gxOS8wTUV6UXZnTkdqVG9WemFiTFVOcnZiZSt2ajdmTjB0U0hJTGpMb2wzaEV4SjRBblJzVEJ6VzU5Mi9rV2tBemdZSXFKSXh5Q0VFRUlJSVk2dGxKU1VCQ0s2aW9qU2xGTDVrTVN2YUFXTHhUSVN3R3lsMUpkS3Fhc0IvQlRwbU5vYlNlSUpJWVFRUWdnaGhBQUFPSjNPSWN6Y2s0ald1Vnd1bVZJcnd0cXpaMDk5cDA2ZGZpQ2lqVnJyUFpHT1I3UWJOY3k4QThCZXE5V3FJeDFNZXlSSlBDR0VFRUlJSVlRUWZ0T1ZVbU9aZVNhQXV5SWRqR2lia3BPVEZSR2xFbEUzclhWMHBPTVI3WVBXK21NQTZ3M0QyTzl5dVNvaUhVOTdKRWs4SVlRUVFnZ2hoQkJDdEpySDR6R2lvcUs2QU9odUdJWTkwdkdJOXFHZ29HQW5nSjJSanFNOWs3V01oQkFkMmkrNUp0N3p6eitQZGV2VzRTOS8rVXVUWTA4KytTU0lDRk9uVGozaTY1U1hsNk5Iang1SDNNN2hrRFh4aEJCQ0NDRTZudDY5ZXlmRXhNU01ZZVk0MHpTL0tDa3BLWTUwVEVKMEJESVNUd2doV3JCOCtYSzgvdnJyNk5PbkQrNjZxL1d6U3JadjM0NnlzckltNVRVMU5YanJyYmN3WXNTSUk0NXQ3dHk1V0xod0lSWXZYb3llUFh1MityeE5temFob0NEc1J0N042dHExSzA0OTlkUkREVkVJSVlRUVFoeG5ETU9JTXd6akQwVFV6V0t4YkFVZ1NUelJJb2ZETVV3cGRSbUFzZ01IRHJ5MFpzMmF5a2pIMU41SUVrOElJUTZpb0tBQU0yYk1nTmZyUlVsSkNVYU9ISW1jbkp3amF2UHR0OTlHZFhVMTR1UGo4ZTY3NzRhdE0yellNS1NrcExUWTF1alJvL0hTU3k5aDNyeDVlUGpoaDFzZHc3ZmZmb3UvL3ZXdmlJcUthbFg5dXJvNm5IcnFxWkxFRTBJSUlZUVFVRXBaaWFndk02Y0JTSXAwUEtKOUlLSXNBTGN3OHhlR1lTd0dJRW04UXlSSlBDR0VhRVpwYVNsdXZmVld4TVhGNFovLy9DZnV2LzkrM0hycnJaZy9mejc2OU9seldHM1cxZFZoNGNLRkFJQkZpeFkxVysrWlo1NUJTa29Lbm5qaUNiejg4c3N0dHZ2aGh4L2l3dzgvYlBaNG56NTl3bDV2eFlvVnNGaGFmaXNZUDM1OGkzV0VFRUlJMGY0NW5jN3BSSFNHYVpwTDh2UHpGMFk2SHRFMlZWVlZlU3dXeXdyRE1CSk0wOXdkNlhoRXUxSE96RjhRa1p1STZpTWRUSHNrU1R3aGhBamorKysveDdScDAyQ3hXREJ2M2p6MDdkc1hjK2ZPeGNTSkUzSGRkZGZoc2NjZXcybW5uZGJrdkI5Ly9CRzV1YmtBZ00yYk42T3lzakl3Mm03WXNHRll1blFwZHU3Y2ljek1UTnh6enoyTnpxMnRyY1gwNmROUlhWMk5YcjE2QVFET1AvOThaR1JrTktxM1ljTUduSGppaWMzR3ZudjM3aWFqK0JJU0VnNjlFNFFRUWdqUkVRMEJjTEZTcWpUU2dZaTJLejQrM21LeFdFNGxvcDRBbGtVNkh0RSt1Rnl1ZHdHRW40b2tXa1dTZUVJSUVZU1o4ZkxMTDJQT25Ebm8xS2tUbm5ycXFjQ291K1RrWk15Yk53ODMzWFFUcGs2ZGlodHZ2QkZYWDMwMURNTUluRjlhV29ySEhuc01BT0R4ZUtDMURqeSs0NDQ3OE1JTEwrREVFMDlFWVdFaHRtN2QybWhkdkh2dnZSZTdkKy9HUXc4OWhDNWR1Z0FBK3ZYcmgzNzkrZ1hxckZpeEF2UG56OGVqano2S2tTTkhOb2wveTVZdHVPS0tLM0RUVFRmaHlpdXZQUG9kSklRUVFvamozV0lBYTd4ZTcxZVJEa1MwWFVvcEJsRE56RlhNN0kxMFBFSUlJWVRvQURqSTl1M2JlZEtrU1p5VGs4Ti8vT01mZWVmT25SeE9UVTBOMzNYWFhaeVRrOFBqeG8zajR1TGlzUFd1dmZaYXZ2VFNTd09QSjAyYXhPZWNjdzd2M2J1WFo4eVl3U05Hak9DMWE5ZXlhWm84YytaTXpzbko0Ymx6NTRadHk2K3VybzR2dmZSU1B2UE1NM243OXUxTmprK2ZQcDJIRGgzS2hZV0ZCMjFuMGFKRm5KT1R3eDZQNTZEMS9LNjY2aXFlTW1WS2svSkkvL3lFRUVJSUlVUkV4QTBhTkdoTVptYm1WUU1HRERpOGRXWkVoOU92WDc5NHA5UFphOUNnUWQwQUdDMmVJSnFRa1hoQ2lBNnZwcVlHTDc3NEloWXVYSWphMmxxa3BxYml2UFBPdzRvVks1bzlKeWNuQjVzMmJVSlpXUmttVEppQTAwOC9IWC82MDUvZ2REb0JBRlZWVlNnc0xFUmFXaHBXclZxRjAwNDdEVU9HRE1HRUNST1FuSnlNTysrOEUxdTNic1drU1pPUW1abUpyNzc2Q3RkZWV5MXV2UEhHZzhacXM5bHcvLzMzNDQ5Ly9DTmVmLzExM0h6enpZRmpYMy85TlQ3Ly9ITk1tVElGZ3dZTmF0VzlEeDgrdkZYMS9CdGJDQ0dFRUVJSWtaR1IwY2xtczkwRG9JZGhHTk1Cckl0MFRLTHRpNHFLT29lSWJyZlpiSGtEQnc2OHQ3aTRlRytrWTJwdkpJa25oT2p3SmsrZWpNTENRbVJsWmVIS0s2L0UvZmZmajZlZWVxcFY1LzdyWC8vQzRzV0w4Zjc3N3dOQUlJbjMyV2Vmd1RSTjdObXpCOU9tVGNNdHQ5eUNpUk1uQnM2TGlvckM3My8vZXp6MDBFUDQ2cXV2OE90Zi94cG5uMzEyczlkNS8vMzNvYlVPUEI0NWNpVFMwOU1iN1c3NzNIUFBJVEV4RVowN2QyNnk2KzNKSjUrTTFOVFVKdTNlZnZ2dElLSVc3L1BaWjU5dHNZNFFRZ2doaE9nWWFtdHJZYmZiTFFBc1hxOVhSVG9lMFQ0b3Bib0JPSldaYTVuWkZ1bDQycU9XUDdrSkljUnhqSm01b0tBQU8zYnN3TG5ubm52WTdheGJ0dzdKeWNtQkRTV3V1KzQ2ckZ1M0R0MjZkY09VS1ZOdysrMjM0L0hISDhmdzRjUHgzWGZmWWM2Y09TZ3VMc2F3WWNOdzJtbW40WlZYWHNHT0hUc3dhTkFnakJneEFvTUhEOGFBQVFNQ084Y09IVG9VU3FsVzdTUWJ6c3laTTNIbW1XY0dIbGRXVm1MUG5qMUlUMDl2MWZuYnQyK0hVZ3JkdW5WclZFNnR5UUFLSVlRUW90MXdPcDJ2RWRGWVpwN3Bjcm51aW5ROG9tMUtUMDlQVFV4TW5FRkVuVHdlei9QRnhjWExJeDJUYVBzR0RoeVlZYlBaZmdPZ2ZOZXVYUjl2MjdhdEp0SXh0VGZ5NFVzSTBhSDlFdXU2NWVmbjQvcnJyOGZaWjUrTnNySXl2UG5tbS9qa2swK3dhZE1tTEZ1MkRGdTJiRUYyZGpZbVRacUVVMDQ1QlFEZzlYcXhiTmt5dlBIR0d5Z3RiZGdNYnRhc1dZSEUyOUNoUTNIRkZWZmd0dHR1TzZMWUtpb3FVRkpTRXZaWWZIdzhNak16QVFCcjFxekJuajE3d3RicjFxMGJUanJwSkFDU3hCTkNDQ0dPTjVMRUU2M2hjRGpTaWVoaklrclRXazkydTkwTEloMlRFQjJCVEtjVlFnaWZqUnMzWXZ6NDhZZDgzb0lGQ3dJNzJBTEEzTGx6Y2ZiWlp5TXVMaTVRTm5qd1lEejg4TU00N2JUVE1HUEdERGdjamtadFdDd1dYSFRSUmJqb29vdXdhZE1tZlA3NTV4ZzJiRmpnT0RPM2F0cHJTMHBLU25EVFRUZUZQWmFkblkzbm4zOGVBREIvL254ODl0bG5ZZXRkZE5GRnVPKysrNDQ0RmlHRUVFSzBQUzZYYXh5QWNaR09RN1J0VlZWVkIySmpZejhnb2s1RXRESFM4UWpSVVVnU1R3Z2hmRXpUUkcxdExVYVBIbzMrL2Z1M1dIL3QyclY0NzczM0dxMVY5K1dYWHlJM054Y0xGaXhvdEM1ZGNuSXkvdjN2ZitPaGh4N0NsQ2xURHRydWdBRURNSC8rL0VaeE1UT3NWdXRoM0ZWNEw3endBazQ0NFlUQTQvdnV1dzgvLy94em96cVptWm1ZUFh0Mm83SnJycm5tcU1VZ2hCQkNDQ0hhcCtqb2FDOFJiU1dpbjcxZWIxV2s0eEh0US8vKy9UdEhSMGVuS2FXcWNuTnpOd1B3UmpxbTlrYVNlRUlJRWVMMDAwL0h5SkVqVzZ6M3lTZWY0TDMzM210VTFyMTdkNXgxMWxuSXpNeHNzcm1FeldaRGJXMHRrcEtTY1BYVlY0ZHRjK25TcGFpdHJXMVVWbGxaQ1FDSWpZMDlsTnM0cUppWUdNVEh4d2NlaDF0clR5blZxSTYvVEFnaGhCQkNkR3lHWVNRUzBTUWlTak1NWXdPQTNFakhKTnErNk9qb3k0aG9udGI2aTR5TWpIRWxKU1U3SWgxVGV5TkpQQ0dFT0lyNjlPblQ0bFRUNU9Sa1hISEZGV0dQL2ZEREQ5aStmWHVqc2gwN0d0N2JPblhxZEhTQ0ZFSUlJWVJvaHRQcEhBc2cyelRORlFVRkJSOUZPaDdSTmxWVVZOUW1KQ1NzVkVxbG1LYjVVNlRqRWFLamtDU2VFRUljWlltSmlVZTF2ZFdyVndOQXEzZVNGVUlJSVlRNEFoY1IwVmpETUFCQWtuZ2lySVNFQkl0aEdMOG1vdTVFZFBTbWk0amptc3ZsZWhyQTA1R09vejJUSko0UVFyUng3Ny8vUHVMajR6Rnc0TUNqMW1aZFhSMnFxNnNEajRQWDlRdm05Y295RlVJSUlVUUhzNHFaQWFBZzBvR0l0a3NwWlFHUUJpQ05tZU5hcWkrRU9Eb2tpU2VFRUNIKzcvLytEL2ZjYzArTDlYeC80QjZ5UFh2MjRLV1hYZ3A3Yk11V0xZMDJzRmk1Y2lYY2JqZXV2dnBxMkd5Mnc3cGVPT0hXNU12T3ptNzBPRDgvSDZlY2NrcVRlcG1abVVjdERpR0VFRUswTFM2WDZ5a0FUMFU2RHRHMlZWVlZiYmRhclJNc0ZvdXRzckp5YmFUakVhS2prQ1NlRUVLRXVPeXl5MXFWcUNvdUxzYWlSWXVhUFc0WUJueFRVUnJaczJjUEZpeFlFUGFjQXdjT29FK2ZQb0hIczJmUFJrcEtDaVpNbU5DS3lGdHZ4b3daNk5HalIrRHgwMDgvM1dRMFh1L2V2WEhublhjMkttdHB2VDhoaEJCQ0NISDhpNDJOVFZGSzNROGdOVEV4OFFFQWIwYzZKdEgyWldWbG5Xa1l4cFZFdEhiLy92My9LaXNyMngvcG1Ob2JpblFBUWdnUlNSdzBuSTZaVVY5ZkQ2dlYybVoyWVMwc0xFUmRYUjJHREJrUzZWRENJaUo1SHhGQ0NDR0U2R0FjRGtjNkVYMU1SR2xhNjhsdXR6djhOOVJDQkhFNm5UY1EwVHhtL3FLdXJrNTJwejBNTWhKUENDRjhpQWgydXozU1lUUWlVMWVGRUVJSWNTdzVuYzdYaUdnc004OTB1VngzUlRvZTBUYnQzYnYzNTZTa3BOa0E0clRXUlpHT1I3UVB6RnhBUkxPWXVjdzB6UU9SanFjOWtpU2VFRUlJSVlRUVFnZ2hXcTFUcDA2SlJIU1RieVJlT1lBZkloMlRhUHZjYnZkS0FDc2pIVWQ3SmtrOElVU0gxaGFuZ3pxZHp1RkV0SWlab3dCYzdISzVWa1E2SmlHRUVFSjBHSC9YV2k4aW9uV1JEa1MwWFhWMWRYVjJ1NzBJd0U1bTNoM3BlSVRvS0NTSko0UVFRZ2doaEJBQ0FPQnl1WDZBaktvU0xhaXNyS3l3MisxUG1xWVpCVUNtMHdweGpFZ1NUd2doSWlnN083c3ZFVjBXVXB5dXRZNGxJZ3VBOFE2SDQ0emdnMTZ2ZDBsUlVkSHFZeGVsRUVJSUlZUVEvNVdTa3RLTmlKNnpXQ3hwV3V2SkFHUmpDOUVpMmRqaXlFa1NUd2doSXFpbXBtWnZYRnpjM1FCaWdzdURadmxPREpueFcyTzFXcDg5UnVFSklZUVFvb054T3AyL1llWVR0TmFGQlFVRmVaR09SN1JOTlRVMTlURXhNV3VaZVQrQWZaR09SNGlPUWtVNkFDR0U2TWpXcmwyN201ay84RDltNXJEL0JSMy8yT1Z5N1lwSXNFSUlJWVRvQ0NZcnBSWVloaEU2VTBDSUFLVVVBNmdHVUFuQUcrRndSRHRSVTFQekpqTTdsRklUUzBwS1pDM0Z3eUFqOFlRUUlzS1llUUVSWGVwUDFvWHV0ZUZQNUJHUnFiVitOUkl4Q2lHRUVLTEQyTXpNYmdEYkl4MklhTHZzZHJzZGdJT0kwcGk1UzZUakVlMURhV25wSGdCN0loMUhleVpKUENHRWlMQzZ1cnE4cUtpb2JiNC9nc0xXOFNYMk5tbXR2eittd1FraGhCQ2lvL2s3TXo5dG11YlBrUTVFdEYzMTlmVzdiVGJiM2N3Y0MrRHJTTWNqUkVjaFNUd2hoSWd3SXFva29oOEFwTFZRdFZCclhYRXNZaEpDQ0NGRXgrUmJ0a09XN2hBdGlTT2lQd0RvQ3VBbkFPc2lISTlvQndZT0hKaGh0OXZQQkZDK2MrZk9UN1p0MjFZVDZaamFHMWtUVHdnaElxeWtwT1NBMW5vbE05Y0RDRjBEei85UHI5WjZaWEZ4c1N3Y0xJUVFRZ2doSXNwbXMwVUJHRUpFdzVpNVc2VGpFZTJEeldiN0RZQ25tWGxhUWtKQ1lxVGphWTlrSko0UVFrUWVNL01xSXRvTm9FY3pGU3FaZVJXQThQTnRoUkJDQ0NHT0FxZlRlUytBczVuNVZiZmIvVnlrNHhGdDA4NmRPNnU2ZE9teUNFQ0N4K05aSCtsNFJMdFJ6c3hmRUpHYmlPb2pIVXg3SkVrOElZUm9BdzRjT1BCOVFrTENEZ0E5UW5lazlhMkh0L2ZBZ1FPeUhwNFFRZ2doZm1rWlJIUVdnRzhpSFlob3U3cDI3UnBIUkdPSktJMklYQUQrRSttWVJOdTNhOWV1anhNU0VyNGpvdnJpNG1KWkp1Z3dTQkpQQ0NIYWdMS3lzanFIdy9HNlVpb24zSEd0OWNLeXNySzZZeDJYRUVJSUlUcWNGUUJxQWVSR09oRFJkbW10dllaaC9BakFKS0txU01jajJnZmZHbml5RHQ0Um9FZ0hJSVFRb2tGV1Z0WUpGb3RsUStnT3RVU0UrdnI2M2tWRlJUSlZRUWdoaEJCQ3RBVlJtWm1aSnpOelZHMXRiVWxaV2RtMlNBY2tSRWNnRzFzY29zR0QvNSs5TzQrUHFyejNCLzc1UHVmTWxrdzJJQkFnU2xBMlEwam1UUEM2WEszYWF0VnEzZGRlYjY5dDdYV3BXcGYyZXZzcmFtbXRDN1lDMm1wcld3V1hhbTFWcWxmcmprdmRTV1lTUWdTTUV0bVhBTm1UbVRubitmNyt5RXc2V1lBRUlwTWgzL2ZyNVV2bm1lYzg1M05HU0dhKzh6em5LWjlSV21PVG9CQUFBQ0FBU1VSQlZGbzZQZFU1aEJBSG51cnE2alZhNjMvR2w4OEM2Q3JnTWZOclVzQVRRZ2doaEJERFJTQVFLREJOODA5dXQvdnZmci8veEZUbkVlbkJzcXp6TE1zS1daYjFoeGt6Wm94T2RaNTBkRUF2cDdVc2F4S0F3M2ZYUnlsVlUxRlJzWEtnWXpMeklzTXdPZ0VjdjYvNXZrekZ4Y1VIRzRiUnNuejVjdG5KVW9nMG9wUjZETUF4dlpyL2tZb3NRZ2doaEJoNTRwK2hjanM3TzdkKzhza25tMUtkUnd4UHRtMDdMcGRyR3pPN21GbVdSNHFCR2tORUFXWnVWRXE1VWgwbUhSM1FSVHhtUGtFcDlVZG1ydW52ZVNLYXJyWCtKWURiQUtDOHZEeEhhejExRDhObUVwSExzcXpadSt1MGMrZk9tdnI2K3M2OVM3NTNDZ3NMZmFOSGp6NVdLZlZkQUVHdDlUVUFYdDZmR1lRUSsreDFadDVKUkhrQXdNdzd0ZFpMVXgxS0NDR0VFQ1BHalFDKzZmUDVIZ0F3TDlWaHhQRFUwdEppNStibWZrSkVtK1dlZUdJUWxnSDRHVFBYQTVBL04zc2g3WXQ0bG1WZEFXQkJVdE1Yb1ZBb2VibHJZeWdVQ3V6aTJIRHlZMlkrbG9pZUg4aDVpV2kzdTBSbVoyZlBBdEJ2OFhDb0ZCY1h1NG5JYjVybUpBQm5LYVcrUjBRVGt6SjZ2OHp6Q3lHR1hsdGIyNWFNakl6M0FYd2ozdlIrUjBmSHVsUm1Fa0wwVkZaV05wR1pHNnVycTlzR2Mxd3dHSnhpMi9hbXdSNG5oQkQ3V1M0UkZUQnpWcXFEaU9Fckx5L1BRMFJmSWFKQ3JmVnpxYzRqMGtNb0ZGcUdya0tlMkV0cFg4UWpJaFBBRmlJNldXdjlId0QrczFjWGN6ZXo1bnpKRDdadTNmcjZtREZqSnUvaGZNOFNVVVJyZmRIdStybGNyZzE3eXI2WEtCZ016bURtbzVuNTM0Z29RRVNsQUx3QWtKK2ZqMjNidG4xSnB4WkNmTmxXclZyVkZnZ0V3Z0JPQVFCbURxOWV2VnFXeFFzeFRNUm43Uzhub3I4RCtNNGdEMy9HTUF3dmdHbGZRalFoaEJncXZ3YndaNjMxNTZrT0lvYXY5dmIyMW95TWpHZUlLSStaNjFLZFI0aVJJdTJMZUhHeGlvcUtsY0ZnY0V2dlhSMEI1QUI0Y3hmSDlTamlyVisvdm1QOSt2WDF1enRSTUJpTU1ITm5PQnplYmIraE5tWEtsT3pNek13emxGTC93Y3pUQVl4VlNtVW1uaTh2TDhmSko1OE15N0p3L3Zubjc4OW9Rb2locFpuNUxTSzZqSWc4V3V1M0FEaXBEaVdFNkZKUlVkRVVDQVRtRXRHQ1lERDRhR1ZsNVJzRE9TNytoZUlzQUw4UEJBSkZnemxuTkJwdHFLMnRsU1VuUW9qOUloUUtWUUdvU25VT01ieEZvMUhiNi9VMmFLMWprVWhrdjk1R1NxU3YwdExTc1FBbW02YlpYRmxaV1FjZ2x1cE02ZVpBS2VMdFNqMkFoME9oMEhmN2V6SVlETjdOekovMDAvNS9BRTdiMWFCRWhHQXcyS2RhQ0FETXZEZ1VDbDI2dDRFVGlvcUt2SGw1ZVZtMmJSOW1tdWIzQUp4T1JLTUF3RFJOWkdabW9xQ2dBTi80eGpmdzFhOStGUk1tVE5qWFV3b2hob21XbHBZUGMzTnp0ekJ6ZGt0THk0ZXB6aVBFU0ZOVVZPUWROV3JVUUc3Uy9Yb3dHT3ozQ1daK054UUtkVzlTUTBUL0UvLzM1VVIwK1dEeXVOM3U3d0JZTkpoamhCQkNpQzlUYm01dUxoSDlOeEVWS3FYcUlFc2t4UUFZaG5FS0VkM0Z6TzlabG5WRktCU1NaWVNEZE1BVzhTekwraU9BaTVnWmxtVmRBQUJhNjZCU2FqU0FWd0VnUG12dnltQXdlR2xsWmVVM2t3Ni9UV3Y5eDcwNXI5WjY3VDdFVm1WbFpiT1ZVa2NBbUEzZ2NKZkxOUldBcVpUQ2hBa1RVRkpTZ2tBZ2dPTGlZc3ljT1hNZlRyVm5oeHh5U0U1T1RvNDc2UytXZWRoaGgrVjd2VjUzSkJMWm5wZ1ZNR1hLRkU5V1ZsWUJBSVJDb1M4U3g4K1lNV08weitmejI3YmRuTHhMYm56SEs0UkNvZldJenpDYU1tVktkbFpXVnA3ak9CM1YxZFVOQURUUWRkOGhwWlNwbEdxc3FLaG9Bcm8rWEdWblo0OEJnT2JtNW9iRUJpTHhKVTY1V211N3Fxb3FzWnhabFphV2pqRU13OWZTMHJLenJxNnVPZDV1V0paVjJEdnpRWWNlVnVKenUyZkdOSGN3cVVSZnVJbkhBVUNuN2V4UWhoa0RBTmFPejJPb2JKdWRXQ1NxbTF4dXR3TUFwa0tPWXZZbWo2RWR4L1FZbEVORVprZk1ialJNVndRQUhOdDIrenptZUlPUTIySC82eHRQdDBFSEc4UjVqcU8zUkZsdFRyVDdUSlFCUUhOSGJMbkw1ZElBWUxJOTF1VXl4OXZhYVdxUDZDOWNMaGNEZ0ZkeENTa3lZakc5d1NiVkFBQUVuZVV6alNMSGNleE9oNzhnWmJRRGdNdkFCSk9RcjZGYkk3YjZMSkhaNjZZaWcxUm1KQkpicnczWGRuUmR1TmZuVXRNQklEbXpHRG9hZ08xd0xZaTkycDF0RmMzbzk3YWVJZzB3bkVpczJWMjFjV05GZTZxemlMMXlQNEErOThyVldpdWxsRTVxY3FIclBWVjM0Yzl4bk9UZmU4WE1mQzZBSjRsbzRXQkRFTkZuZ3oxR0NDSDJsbVZacHpMek5BREx3dUh3dTZuT0k0YW43ZHUzUjBlTkdyV01pTlpvcmJlbk9vOUlEMXByUXlubEpTSzNiZHVVNmp6cDZJQXQ0c1UzZGZnL3JmV2RTcWtzQUcrYnBxbHMyellNdy9CcXJXY0RnRkxxTW1hZWtYeHNaV1hseDRGQTRLQzlPVzkxZGZXZ2w5bVdscFlXRXRINVJIUU9FUlVCeUNjaUR3QjRQQjRjZmZUUk9PbWtrekJ6NWt6azV1YkM3L2NQYUZ3aU9nWEEzeE9QTGNzS0FRQXpYeDhPaDk4RWdMS3lzaE9VVXZjUTBScmJ0bjlTWFYyOUt0NTNMb0J6QWJ3TjRLcDQzM0ZLcVFjQUhPYjFlbThDOEF3QVpHWm1sZ0Y0UEg2YTd0MTl2Vjd2L3dBNHgrVnlMUUx3eTZSb3I4WEhPejVSYlBQNy9lY0ErS2xoR0c5UG56Nzl1bFdyVnJVQWdGTHFNUUNGV3V0N0Fkd0hBTm5aMldXR1ljeVAvL2YxQUQ0RUFLMzF0d0ZjcTVSYUQrQUVBSmcrZlhxbVlSaDNBUGlLMysvL0plSXpHY3JLeWdvU09SS1ppNG9DUmI0TVBPYzI2R0REMFowZE5yY2tBdnM4S2g4QUhPSkdoemtHQUc2MzRmV1psR1Zyc2tIY3JNRU9BSGhNeWphVjhoZ09kNC9oY2htbTEwVlppbUN5TXB0aW1xTUE0UFVZYnArTGNnQlFoNk8zSnM1bkdzaDJLZkoyZ3RyZ2NQY04wTjJtR2hzZmJ4dW9xd3B0bUdhRzJ5Uy9Zak1TMDA0VHFHdVNxTWV0OGdHUUE5VUNwMnZiZDRQSTdUS1JZeHFHdHFPNnlRSGJBR0FxOHJzTnlyQWRpa2FJR3dIQU1KUnlHNVJqS0hJNWNMVkUveldHNlRhN1pvVW1aeFpEcXkycXU3WmNKem9peFZIRVBpQldqanZIL2pVMjRsN0lzdWgwOUVsbFplVkxsbVZkUzBTNnNyTHlOMlZsWmRPVVVzc0JuRkZaV2ZreUFBU0R3UVhNZkFZUlhWVlpXZmxTUCtQY0M2QTlFb2xjWDF0YnU3bWY1NFVRWWpqNXRsTHFJbWErRTRBVThVUy84dkx5RkJHTko2SnhXbXZmbm84UUFuQWM1elhETUM1MkhHZUhiZHVOcWM2VGpnN1lJbDVjUXpnY0RnY0NnVnlsVkk4bnd1RndHQUFzeTlvTW9FY1JyN2k0T0Y4cHRXWXZ6em1vYXZLVUtWUHlEY080SFYxRnAxd0FHVVNrQU1EcjllSmIzL29XemozM1hHUm1aaUlqSXdPR1lReG0rTndld1lnQ0FNRE1PVWx0T2ZGMnIxTEtsOVIrTUlEcEFGWWsycFJTSmhHTkJWREl6TjMzNHpNTXd3T2dzUGZKbFZKNThmYmVPUW9Cd0RSTkk2bXZQejd1R0wvZnI1TDZqbytQa2QzcmZCT1MvanZSTnp2ZXQvdURzdC92VjFyck1VUlVTRVRkMVUvVE5BMW03cG5aaXlJQ3hpcUM0VFpkbVM2ZnQvc2FWYXhyRW8wL00zTTBVMWRzMGphVUU0WGJOQXpEN2M1SC9NK1ljaUlnN2NEak5qTmRQay9YR0t5NzJwbVI0Zk9OWW1VbWpSRUJBR1RIWnpNQ0FOa1JLTGJoOVhpeVBJWTc2MTg1dXVwNVdWbitjZkUvSm9BVGhkSXh1QXpUbCtYTzhCRjEvUkdrV0RzSURKL1hrK05WcnE3LzU5cUIwaEVBeXNqMGU4Y2djUzJKTWR4dWI3YlBVL0N2ekZFUU8vQjZQRGxlSTJrTXA3TlBaaUZFVDUyZG5ZakZiRENqTkQrLzJMZHRtOXpUTEIwVkZSVjVBZndNd0o4QVFDbFZTa1J1eDNHNjN5Zll0bjI3WVJpVEFmekRzcXhmaDBLaEh5V2VDd2FEbHdENG10YjYvM205M2l1Q3dlQ3Rnemo5OXNyS3lqRkRkQ2xDQ0RGUTdjemN5TXh5bnpPeFM3Rll6UEI2dldNQUZDUi9KaE5pZDJwcWF0WUJXSmZxSE9uc1FDL2kvYmRsV2YzZG44NndMQ3Z4WWNvRjRKMytEbWJtMjVSU2p5ZTNhYTJmQk5DZ2xMcTZWOThyQVB4d3NBSHI2dXEyQWZoMmNYSHh3VjZ2ZDdiVytnZ0F4eEJSc0xPejAvdlFRdy9oejMvK000cUxpMUZhV29xeXNqSVVGeGRqekpnOXY2Y25vcHBlVFQrTFg4UEtSSVBqT0N1VlVqOEQwQkNOUnJ0bkIyaXRsd0NvMGxwWEo5b2lrY2gyMHpSdlYwcU5pc1ZpN3lmYU96czdQM1c3M1ZmMlByL2pPSThRMFh2TVhKdmNyclcrRWdDaTBlaU9wTEhmY0xsY1Z3TFkwTkhSMGIwY2labm5NTE1mUURpcDcycVh5M1VUQU1SaXNkVko0NzRBWUFNUmRYOVE3dWpvNkhDNzNiOWg1bWRqc2RoSFNlMDcrc3NjY1hTbk1qMlpGNTUzTGs0ODhXdmQ3ZSsvMS9VbFpQSE1tY2pKNmFwSmJ0MnlCWjk5Vm9lTWpFeE1uVFlOR1JrWkFJQ1ZLei9CemgwN2tKOC9GbE9tZGsxTWJHdHR4YWVmcmtaSFJ3ZW1UWitCMGFOSEF3QzJiOStPK3ZvMXlQSm5ZZHIwNmQzbjI3UnBJMXFhV3pCNjlHaU1UdnAvdlhyVktnREFJWWNlQ3RNMHU4ZlkzdENBVEw4ZjQ4ZVBSNkpnWGZmcHA5QmFJMzlzUHZMeVJuWG4yTGhwSXd6RHdQang0K0h6ZFdYZXRuVXJkdTdjQ1YrR0R3Y2RkREFBd0xadGJOeXdBWjJkbmNnZk94WjVlWGtBdWdvVGE3L29Xb0djbkZrSTBkT0RmMXFFTjkrUkNRenBMamMzOTF3QU9jejhsK0xpNGdJaU9vS1pvMHFwMXVMaTRnS2c2K2VsYmR1WGV6eWVaVVQwYm5GeGNZSGpPRzJabVpuajBMVWt0NmExdGZXZXpNek1TWVpoRFBpZVFZN2pSTCtreXhwUnhrOCtiSkxINDVtYzZoeGljT3dvTnF6L1BQeHBxbk9NUktGUTZIc0F2cGZxSEdKNGk4VmlPMTB1MTkzTTdIY2NwekxWZVlRWUtkSitEWEl3R0x3YXdIV1ZsWlZUZ3NIZzFjejhvMUFvVkJRTUJ1Y3hzNGVaSDlaYWV3ekQrREVSZlFqQUJuQ1UxdnAyQUNDaXM0bm9vTXJLeXU3Tkw0cUxpd3U4WHU4bUFOZFVWbGIrcHRmNVBtRG16YUZRNkt6a2RzdXk1aERSTHlvcksvZnBOUzB2TDNkcHJmTUI1RFB6U1VUMEhTSXFqbWRGZG5ZMmNuSnlVRkpTZ3BOUFBobUhIMzQ0UEI1UDd6RUFBRnJyczhMaDhOLzduRVQwcTJoRzRIZ1FQNUdkbFZYdysvdm00OGgvbTUzcVNFS0lOSGJUbkxuNDZ6Tkx3SXhGYmR1ajE4aE12UFNSdExIRk5jeDhPQkY5ZXkrR1djak1tVVIwZ2VNNGgxZFZWYTNlOHlGaXFCVWVPbk9LNlRZZkIzQndxck9Jd2FJZHNQRWY5WitHdzN2dUs0VFkzNHFMaXdzOEhzOThBR01CL0NvVUN2MGoxWm5FOERkcjFxeFpobUY4bFlqV0s2WCtVVkVoOTQwZXJBTjFKaDd0MkxIamxsNXRsNHdhTmVwRlp2NXM1ODZkeVcvRzc0ai8yMEI4R2FiYjdmYkcyM3lCUUtESFVsQm1OZ0M0K21uM0pwWXg3b3VLaW9vWWdJM3hmNm9BL0dybXpKbGxicmY3U21iK2FsTlQwN2ltcHFhTXRXdlhtaSsrK0NMeTgvTng2cW1uNGh2ZitBYkdqaDBMbjA5dVJ5Q0VFRUlNRVhZYzUyZUdZZHdIQU16c1YwcTlCdUIzekx6YjNXSmpzZGdXdDlzOW01bGZVa290dEN6cjJFR2VlME1vRkpMcHp2dklOSTBwQUUxVFJMaytudytHb2ZaOGtFZ3ByVFhhMnp2QVd1ZHBReGNqYVRXRzJEL0t5OHRkVFUxTnFxNnV6a0hYQkFnaCttQm1EeEVGNHJjb3lrOTFIcEVlVE5QOGR5SmF3TXh2ZG5SMHZBdEFpbmlEZEVBVThaalpEQVFDUmN3OENnQ0N3ZUNoQVBxZGZrOUVKNHdhTmVxeTN1MmpSbzNxbm5YSHpHUGp6Zk9VVXZOMk1jN08vdHEvREN0V3JLZ0NjRVVnRU1obDVxT1ZVaVhNZkRpQVk3ZHQyemJ1a1VjZXdTT1BQSUtTa2hKTW5UcDFUOE1KSVlRUVlqZTgzcTU3b21xdDI2cXJxOWNBV0FNQWdVRGdQd0FZanVNOFRVUjEvUjNiMGRIaEpEWm5RdnllTDhGZ3NFMXIvWmVCbnArSUxnTlF0Qy9YSUhyS3pzckNEZGRlaGFsVERrMTFGTEVINnpkc3hLOFgvZ1pidHNqZVdhbWl0YjR4S3l2cnVMS3lzcWVxcXFvZVRuVWVNVHkxdHJiR1ROTjh5ekNNYk1keEdsS2RSNlFIWm00QlVBOWdzOGZqa1UzZjlzSUJVY1Fqb2tsRXRBWUFtUG1MNXVibXJWbFpXY24zT3p1U2lQNExYZDhrRVlCR3JmVXZpQ2lTNktDMTdyNHZubEtxSkQ3V3hRRDZmWlBlais4U1VaOTdyQTJsY0RqY0NPQkZBQzhGQW9GczI3Ykh1MXl1b3dCOG00aU9xNm1wUVUxTjc5dmdDU0dFRUdJd2ZENmZId0NVVXMzSjdVcXBpd0RBTUl3M2RuVnNSa1pHRllCQWN0c3VkcXpkSmN1eWppRWlxVFlOSVpmTGhaTGl3MkFGU2xNZFJlekJwM1dmd2V2MTdybWorREtWRWRFcFNpbVpCU2wyS1Nzcnl6Uk44MGdpbWdqZ2hWVG5FZWtoSEE0L0R1RHhQWFlVdTNSQUZQR1krUXRtUGg0QXROWjJYVjFkTTREZkZSY1grejBlejArSjZFSUFOekR6YVFEV0E1aEFSTi9TV24rM3FxcHFSZS94aU9oMFptNE5oVUovd3dDbmtKZVdsbjVpMi9iUGgvQ3lka2ZIQzNxTkFENEI4RkJwYVdtaFlSam5BTGlFaUNZemM5YnVoeEJDQ0NGRWY3VFdvd3pEQURNM0pkcUN3ZUJoelB3Tkl0ck16QkVpT2xkcjNmME5zbEtxa0ptZkJqQ29nbDEvaUtpVG1hV0tJWVJJbFNlWXVRckErM3ZzS1VZc3BSU2pheWZqVm1hV1pkZEM3Q2RwWDhUVFdyOE1ZRTA0SEs1UHRBVUNnVndpdWh6QTlRQTIyN2I5NzlYVjFaV1daWjBHb0RNU2laenU5WHJ2TVF3alpGbldud0g4SmhRS0xZc2ZHMkRtTXdFOGlFSGNBNks2dXJvTlFOdFFYdHRnVkZkWHJ3ZHdiM2w1K1FPTzQ4d2tvcU9JU0hiMEVrSUlJUVpKS1RVai91L3UzNlBNZkFzUnRRQTRGc0RIekh4U09CeStNM0dJWlZrTGlHak5qaDA3ZnJhdjU5ZGFOeEpSTnJyZXA5a3paODRjdFdMRmloMTdPazRJSVlaQ0tCUjZEc0J6cWM0aGhyZWFtcHFkSlNVbGR4TlJobTNic2p1dEdKRGk0bUszeitmenhXSXh1N3E2dWgwQXB6cFR1a243SWw0NEhQNFVTZmUvc3l6clhpTDZQak52SnFLZlZGWldQb0w0aGhVSnRiVzFVUUJYQndLQnZ4SFJmQ0w2MkxLc24zUjBkUHhCS2ZVSWdOWm9OSHI3L3IyU29SSGZHQ09NcmsweDVDK0VFSEdiTm0xQ1FVRUJobUlEbXFIVzFOUUVaa1pXVmhZTXcwaDFIQ0ZHUEdhZVNVVE5GUlVWYXdHZ3JLenNHQUFYQVBoNVpXVmxYU0FRK0xGUzZnSExzdXFWVWs5cnJSOGhJZ3ZBVit2cjZ6djM5ZnhLcWJVQVZIbDUrUVFBVFZycmJZRkE0SXh3T0N6TGxZUVFRZ3dMSlNVbGVTNlg2eWNBeHB1bStXUHM0cDcwUWlSenU5MG5hcTJ2VVVwVno1bzE2ODdseTVmdnQ3MEdEaFJwWDhUcmpZait5TXh2aFVLaEplaFZ2T3N0SEE2L0NjQXFLeXM3SVJhTHZldnorYTVoNWhJQTM2cXBxVm0zWHdKL2VhU0FKMFRjdSsrK2krdXZ2eDV6NTg3RnFhZWVPdURqV2xwYXNIVHAwa0dkeXpBTW5IYmFhUVB1LytLTEwrTG1tMjlHWm1ZbVhucnBKV1JrWkF6cWZFS0lvYWVVT29XWlB3YUE2ZE9uWnltbEhpR2kraDA3ZHR3RkFPRncrSStXWlUwaW9zZTAxamNTMFhSbVBqa1VDbFVNeGZtMTFqVktLVGlPWXltbFZoQ1JJcUtPb1JoYjdGL056YzNJenM3dTBiWnExU3BNbURBQldWbUR1L1BKdW5Yck1HYk1HUGg4dnFHTUtFUWY1ZVhsWTdUV21jemNGTCtGanhCOTJMWnR1Rnl1UEFCamJOdVdIMHhpUUlqb1lDSTZCWURYY1J4UHF2T2tvd091aUZkWldWa05vTHEvNTBLaDBJbjl0VmRWVlNVK3BTOElCQUtmaE1QaEY3K3NmRUtJL2Uvd3d3L0grUEhqY2YvOTkrT2trMDZDYVE3c1I5K1dMVnN3ZCs1Y3VOMXVLS1gyMk4rMmJSRFJnSXQ0SzFhc3dDOSs4UXNjZE5CQldMOStQVzYrK1diY2ZmZmRBenFYRU9MTFVWcGFPaGxBT1lBckFaZ1pHUm1QRTlGQlNKcGxWMTVlbnNITTJ3Rm9JcG9OWUxuV2VzanVSUnVOUnBkNVBKN1crSnZjVGdCd0hHZlZVSTAvWEpXV2xoNEJJR2JiZGsxODFVUmFhMjF0eGJubm5vc0xMN3dRbDExMkdRQWdHbzNpMm11dnhkU3BVM0hmZmZjTmFuYjRqMzcwSTBRaUVTeFpzbVN2TTIzZXZCbWJObTNhNitObnpabzE0TitoSW4xcHJlOGpvb3NBM0FuZ0o2bk9JNGFuenM3T1RvL0g4eG9SamRKYWIweDFIcEVlYk50KzF6Q002NGxvZldOalkvT2VqeEM5eVcvaG5od3A0QW1SZnQ1NTV4MWNkOTExQStwN3hCRkg3UGI1Tjk5OHM4L3NpQVVMRnV6eE9BQ1lQMzgrL3ZLWHZ3d29SemdjeG5YWFhZZHg0OGJoNFljZnh1dXZ2NDQ3N3JnRFAvLzV6ekZuemh6NWtDUkVpcGltZVFzelJ3QThiVm5XbzBUMFRRRFhWRlpXdmhzTUJvOEU4RTFtL204QUdjeDhKeEc5eWN5L05nempaY3V5cW9qb0tkdTJYNit1cmw2R1Bhd0kySlhhMnRxb1pWbVBBdmhQQUFVQTFsWlZWVzBZcW1zY3JnekQrQzhpT3Mwd2pQcEFJUENZYmRzdnBmUEtpTi8rOXJlSXhXSTQ2Nnl6dXR2Y2JqZHV1dWttM0h6enphaXJxOFBVcVZNSE5GWnRiUzNxNnVwd3pqbm5ZT1BHd1gxV3pzM043WjdsL2ZUVFQrUFJSeC9GNk5HanU1L2ZzV01IWEM1WGo5OTltemR2Umw1ZUhqeWVya2tTdG0yam9hRUJMNy84TXNhTUdUT284d3NoRGt5NXVibGVJanFSaUFwZEx0Yy9VcDFIcElmbHk1Y3ZCN0E4MVRuU21YeEtGRUtrdlJrelp1RDIyM3ZleG5MRGhnMFlNMlpNOXdlUTNob2FHdnI5SUxJL2xpbTk4Y1libURObkRzYU1HWVBmL3ZhM3lNdkx3M25ubllmR3hrWTg4TUFEMkxKbEMrYk5temZvcFZaQ2lIMm1tUGxvWmw0WURvZTNCUUtCZHdDRUhjZDVPQmdNZmdyZ0VHYmVTa1NQTWZQZG9WQW9VVTBKQm9QQnN3RDhnSmx2TTAzemw4Rmc4SDhxS3l2djN0c2dqdVA4ekRDTXc1bjVPQ0s2YkNndWJyZ2pJaCtBZytOTGJiN2lkcnRoV2RaYnpQeWcxdnB0QUR2VDVTYlk3Ny8vUHA1NjZpa29wWERtbVdmMmVkNjJiVng2NmFYOUhqdDE2bFFzV3JTb1I5dml4WXNCQU04ODh3eWVlZWFaUVdXNTlkWmJjY1laWjNRL0xpNHV4a01QUGRUOStPcXJyOGEwYWROdzdiWFhkcmY5KzcvL08yNjk5VlljZSt5eEFMcVdBSC9yVzk4YTFIbEYrZ3FGUWhjRHVEalZPY1R3MXRyYTJ1YjMrMThBTUlxSTFxUTZqeEFqaFJUeGhCQnBMejgvSHllZmZITDM0MjNidHVHMjIyN0RLYWVjZ3AvKzlLZDkrdHUyamZQT093OVRwMDdGM1hmdjlXZnNRV3R2YjhjOTk5eURaNTk5Rm9jZGRoZ1dMbHpZWXpiRVpaZGRobEdqUnVHT08rN0F4UmRmakovKzlLYzQ2cWlqOWxzK0lRUzAxdnFicG1sdUFZQndPSHgvNGduTHNpNG5Jak1VQ3IyS3ZqUHN1TEt5OGxrQXp4WVhGeGQ0UEo0VFFxSFFVL3NTcExxNmVpdUF3L2RsakhTVm5aMk5pUk1uWXVYS2xRQndIQkVkUjBSYkFMd2JDQVNXQVhnckdvMVcxOWJXdHFZMmFmL1dyMStQT1hQbUFBQisvL3ZmdytWeTlYaCsvdno1OFB2OStQNzN2OS92OFY2dnQ4Zmp6ei8vSEsrLy9qcSsvdld2NzFVaHJiQ3dzTWZqMXRaV2ZQamhoOTJQR3hzYnNXblRwaDV0V211c1hyMGFicmU3KzVxRUVDS1p6K2V6QWF3SDBHemI5ckQ4ZVN5R0g5bWRkdDlKRVU4SWNjREp6OC9IaVNlZWlHZWVlUVpISDMwMFRqamhoQjdQLy9XdmY4VzZkZXR3L3Zubjc3ZE1TNWN1eFQzMzNJT05HemZpakRQT3dFMDMzZFRuZ3hvQW5IUE9PWmc0Y1NKdXVlVVdYSDMxMVRqbGxGTnd4UlZYNEtDRER0cHZXWVVZeWFxcXFsYjMxeDRLaFY0YnlQRzF0YldiQVR3eHBLRkdtTW1USitPT08rN0FwazJiOFBycnIrTzExMTdEMXExYnh3RTRCOERwQUJxOFh1L21ZREQ0anRaNlVUZ2NEcWM0Y3JmdDI3ZmoybXV2UldOajExNEF1Ym01ZllwNExwY0xicmNidWJtNWZZNG5vajVGdDNuejVzSHI5ZUxHRzI4Y2txV3M2OWV2eDExMzNkV2piZFdxVmJqdHR0dWdsSUpoR0JnL2ZqeGVlT0VGdlBCQzE0YkkwV2phMzZKUUNESEVETVBJSWFMTGlhalFNSXpQQVF6SjVrN2l3T2J4ZUw3THpBOFlodkZtY1hIeHhmSDNUV0lRcElnbmhEZ2cvZWhIUDhKNzc3MkhoeDkrdUVjUnI2R2hBYi83M2U5dzFGRkhEWGhHdzNYWFhUZW9qUzJTaFVJaExGeTRFTXVYTDRmZjc4ZjExMStQazA0NkNVMU5UV2hxYXVwM25LS2lJdHgzMzMzNHd4LytnSmRlZWdtdnZQSUtUanp4Uk15Wk13ZVptWmtEeWl5RUVPbktORTJNR3pjTzQ4YU5ReUFRd05WWFg0MzMzbnNQTDc3NElxcXFxdHh0YlcwVElwSElCR1lPS3FWK2FGbFdOWUEvT1k3enZNdmwybEZSVWRFQ1FPL3YzSjJkbmJqc3NzdlExdGFHcTY2NkN2ZmZmei8rOHovL3MwKy9hRFFLSXNMNzc3L2Y1em5UTlBIV1cyOTFQMzd4eFJmeDhjY2Y0d2MvK0FHZWZ2cHBQUGpnZ3dQT2s1T1RnemZlZUtOSDI2UkprM0QrK2Vmait1dXY3OVAva2tzdVFYRnhNYTY1NXBvK3oyM2Z2aDNQUHZzc0RNTVk4UGxGK3JJczY5dEVaRG1PODNwVlZkWC9wVHFQR0o2MmI5OGV6Y3ZMcXdLd0FjQ09WT2NSWXFTUUlwNFE0b0R4L3Z2dlk5dTJiZDJQanp2dU9CUVZGZUc1NTU3cmJudjExVmZSMnRxSzh2SnlQUC84OHoyT1ArU1FRMUJTVXRKbjNJc3V1Z2lUSjAvZTQvbGZlZVVWTEZ1MnJFZmJpaFVyc0h6NWNweCsrdW5kTSt2bXo1OC9vT3RadG13WmxpMWJoZ1VMRnNDMmJTbmdwYkd4WTgxakNndXREcVZVdUtLaW9na0E0c3N1cHhOUjYrYk5tei9adUhGak93Q1VsWlhOVkVxTmNSeG5jM1YxOWFwNFg3L2I3VDZNaURJY3gva2t2dFFTTTJiTUdPM3orVW9BSUJRS2RYL3lEd2FEaHpIeldNZHgxbFpYVjNmZnA4YXlyT1BpZmYrSitKTFE0dUxpZ3owZXoyVGJ0bmNzWDc1OEJlTEZqOUxTMGlNTXcvQnFyZXNTbXlyTW5EbHpsTXZsT295SWRFdEx5NHE2dXJwbUFDZ3ZMOC9SV3VkMmRuWkdQL25razhUV2wwWkpTY2tZbDh2bGJXOXYzN0ZxMWFxV1JMdGxXWVh4SEY4a3NzMmFOU3ZQTk0zc2pvNk8xcFVyVjI1UHlqd0pBRnBhV2piWDFkVkZFcStIeCtNWkhUL2ZOZ0EyQUpTVWxJeHp1VnplNURHS2k0dmRIbzluREFEWGxpMWJ0aVZlNTlMUzBrekRNTWIwempGdDJyUXhtWm1abWN6Y0ZBNkhHM3ZuQ0lWQ2F4RmYrbkhJSVlmazVPVGs1QUpvRDRWQ0RZbjJrcEtTZzF3dWwwcSs3c0xDUWw5dWJ1NFl3ekIwVzF0YlErSmFFdGM5a05ldXZMemNwYldlc0t2WExocU50cXhZc2FMN2c5VHVYcnRJSkJLcHJhMXRTTHgydzVuSDQ4RUpKNXlBNDQ0N0RsdTJiRUZOVFExV3IxNk42dXBxMU5iV29yMjl2UlRBUXNNd2ZzSE1GWlpsdlFPZ21wa3JHanYyWHkzUDYvWGkvUFBQeDFlKzhoV3NXZFAxMSs2Tk45N29jMi9XSC83d2g4ak56Y1hjdVhOM085NjZkZXR3eHgxMzROQkREOFVsbDF5Q1RaczJvYmk0ZU1CNSt0c2c2ZlRUVDkvdE1VOC8vVFNlZnZycFhUN2YyTmk0eDl4RGhabmhJaFNVbHBZZUVZbEUxcTFhdFNweEQwcWp0TFIwTmdCVVYxZDNyd0V1TFMwdEJERFJOTTN0bFpXVmRVbnRSd0NBeStYNnJLS2lvZ0hvK2p0akdNWVVBTnZDNGZBR0FMRkV1MUlxbzZPakk3SjY5ZXFHeFBrc3l4cWx0WFp2MjdadForSm5TSEZ4c2R2bGN1VURRUExHTTRGQUlKZVpNMXRhV2xvLy8veno3bS9yeXNyS0pzYjdiazJjcjdTME5KT0ljcFZTMFZBb3RCMy8rdms3bG9oY3lXTVVGeGU3QVl6eWVEeXFwYVZsZStMdjlKZmtWQUFYS2FVNkFVZ1JUL1FyTHk5UEdZWXhtb2dLbU5tZDZqd2lQWVJDb2Q4QitGMnFjNlF6S2VJSklRNFlpeGN2eHJKbHkzYTVtVVdDMSt2RkgvLzR4ejd0RjF4d1FZOGkzcVJKay9EMDAwK2pvS0NnMzZXdnZSMTc3TEZvYnU2NVUvckZGMThNeTdJd2MrWk1kZVN2ckFBQUlBQkpSRUZVMkhiWForVnZmT01iK1ByWHY3N0xjWllzV1lLUFB2b0lSSVRERHo4Y2p6MzJHRG83Ty9kNGZqRjh1ZDNHSWlKaXJmVTVBTjRIQUpmTGRSd1JMV0RtbW9LQ2dpczNidHhZQndDR1lkd0k0RlRUTlA4QzRMcDQzMGxLcVhzQVRGRktYUUhnN3dDUWtaRnhPSUNINDZjWm56Z2ZNMTlMUkdjcHBYNEQ0SmVKZGlKNkVnQ21USmt5UFZHQTgzcTlad0Q0cVdtYVM2ZE1tZktkeEFkRHd6RHVJNktEaU9nV0FIOEFBTk0weTVSU0R3Q0laR1JrZkFkQUpRQm9yYjhONEZxdjExc0w0RXdBS0M4dnoyUG1YelB6RVJrWkdiY2d2c1Mwckt5c0FFQmlhV3IzMXB3dWwrc3FacjdVNi9VK0ErQ21wSmZ2TlFESXpNejhEd0FmeFROL25abnY4bnE5bjVTVmxWMlorQUR0ZHJ0L3pjeEgrSHkrcHdIOGI3enZvUURtTS9PaDQ4YU51M0xqeG8ydnhhL2xaR1pPckNuc3p1SDMrK2N3ODJsRWRCK0FlM3ZubUQ1OWVqQlJWTXZOemIySW1YOEU0TlhpNHVMcmFtdHJvL0VjUzVnNTIrZnozUVpnTVFDTUhUdDJOb0FGek56czkvdXZCeER1ZGQxN2ZPMlllUXFBeExjU2ZWNDd0OXY5QklCYkJ2TGFlVHllY0ZsWjJYV0oxODZ5ckQ4QW1BM2d1VkFvZENzQWxKYVdUamNNNHg0aUd1MDR6aytxcXFxV0FrQXdHUHdtTS84Y0FFS2hrSlU0V1NBUXVJZUlUZ0R3Ky9pYmRNVEhEdlh1R3d3R3Y4UE0xekx6MG1nMCtyK0oxMjUzbEZJWVAzNDh4bzhmanhOT09BRk5UVTFvYkd6RUs2KzhndGRlZXcxZmZQRkZOak9mUUVUSE1uT0xVbXByaG92cjIyemViKzkzRXpPOEUwVzhyMzcxcTMzNkpHYml2ZlphM3hYYXlUUHhGaTFhQkNMQzNYZmZEYmZialVtVEptSFNwRW43bkRFV2kvWDdPOFZ4SEp4Nzdybjl6c1FEZ016TXpBSE5TaDhxQkNERFk1NW1LRnlUa1pFeEQ4QURBREI5K3ZRTXd6Q2VqSGZyL29aTktYVWVFZjJRbVo4SDBMMUxSNkt2MXZwSEFKNk85ejFjS1hVdmdMclMwdEliRTErWW1LWjVIWUF6TWpNemx3SDRQZ0JZbGpVT3dCMUtxZEp4NDhiZHVuSGp4dWNBd092MXptTG14SnVKN2ovYlNxa2ZNUE41MmRuWmp3UDRWVkw3L3dGQVdWblpoWWxsKzRaaG5Bcmdwd0NxWjh5WWNVUGl5d2ZETU80Rk1EMTVETU13cHB1bWVTY1JqZmI3L1RjQWVBOEFnc0hneWN6OHYwVFVXbGxaK1UyZys4dUxtd0Vjdzh5THcrRnc5MDRwbG1VdEJZQlFLTlM5VENFUUNGeEtSUDhGNEoraFVPaG1BRzhCNklRc2p4UzdvWlF5QVJRQ0tHUm1mNnJ6Q0RGU1NCRlBDSEZBbVRKbENwNTg4c2s5ZDl3TnJUVSsrT0NEN3NjYk4yN3M4ZnhSUngwRklzTG16WnZ4K2VlZjl6bCt3NFlOOFBsOHNDd0xobUZnNXN5WlBaNmZOR2xTOTQ1Ly9Ybjc3YmZoOS8vcnZSQVI3WmRkYzhXWHlzUE1ZT2J1VDhCRVpEQ3psNGc4V3V2a2RkanVlSHYzamJTMDFrb3A1UWJnVlVvWnllMUUxRitGMmMzTVh2VDZQUjl2NjBGcmJjYkg2UEV0T2hGNTRqbTZ6NmVVVXZFMkdJYVJmQzNaNkhvajN6MkRMaEtKR0c2M081K0lDclhXM2ROSVRkTTBtTG5uVGIrNjVCSlJJUkhsOWNwUkNBQ0dZWFJYNTVrNU05NitQZjRoSWlFLzNqNHFxYzNGekFYeDl1Uy9TQm1Kc1pNeDh5Z2lLbVRtN1A1eStQMys3dXZXV21jcHBRb0JqSWxHbzhuL0R5Y1FVUzRSWlNYMTlTcWxKaEJScHRZNitiWE9UVnhMb21GWHJ4MEFWMytaRTJNdzg0QmZPMmJlMk91MW0wSkVBY1NMaXdDZ2xQSUJLQVpRUUVRNVNkY3lTaWtWNkIxQ0tUVVpRQUJBUWE4Y2Zmb3k4emdpQ2hCUmZYdDcrNkFyUTBRRXQ5dU56TXhNZUwzZUhzczhtZGtFa01uTWZoQXkwRlVQU29sRml4YjF1U2ZlN2JmZmpxeXNyRjBXeXhLT09lWVlISDMwMGJqNzdyc1JDb1VHZGQ2eFk4ZmkyV2VmN2ZlNWYvempINWc3ZDI2UDN6TUpHemR1eE1zdnY5eWp6WEVjZEhSMDRQbm5uOGVFQ1JNR2xXT2ZFWHNBeW1YbTdqL0RqdU1RZ0Q0M0ZJei9ITXNGMEh2YWVxS3ZPNm12QzBBT2dQR21hWHFTMnNjRG1BRmdhOUx4TGdCRlJEU0RtWE9TMmpPSWFFYnZIUEdmTnpPSWFGeXZmRE1Bd0RBTWIxTGZYS1hVREdadU5wT21UaEpSRVlBZVl5aWxmRVIwS0RPUFM3NUdyWFdCVXVwNFp1NmVPZHplM3E2OFhtOEpnT09KNkYvcnM3dkdQcjUzWnFWVUVZRGpBVFFDTWxOR0RFeHJhK3Ntdjk5L3Z0YmEzZGJXSnJ2VENyR2ZTQkZQQ0hGQUdZcFpBckZZYkxjZnJqNzg4TVB1MlJMejVzM3J0MDloWVNIKy92ZS83OVg1R3hzYmtaT1RzK2VPSW0xRUl2YTMzRzZqQThDS1JGczBHbjNEN1hhZkRhQjE2OWF0M1V1eGJOdStVeW4xUjl1MnUyLzA2empPR3FYVU5mSGx0TFdKOXZiMjlvOHlNakxPN3VlVXYyYm1SeDNIV1p2Y3lNeG5BMEJkWFYxN1VvNW4zRzUzMkxidEhYVjFkYkdrSEpjcnBieGE2N3FrdmlIVE5DOGhJdDNhMnRxOUFZVFcrZ1VBRzRpb2V5bG5ZMk5qODZoUm8rWXJwWjdRV25mZi9LdWpvMk9IMisyK3NuZGd4M0grU2tRcm1Ma3V1VjFyZldYODNKOG01WGpmNVhKZHFiWGVZZHQyZC9ITHR1MzVTcWtua3NlSVJDTHJUZE9jUzBRNTBXaTBLcW45QTVmTDFTZUhiZHQvTWd6akRTUVZzM3JsNkVqSy9ES0FCcTMxMnJxNk9qdXA3NDBBM0VUMFVhS05tV3UxMWpjU1VUVDV3MDdpdWdmeTJrVWlrZlg5WlU2TTRUak9xb0crZGdDMlJhUFI3dGVPbVJjUjBadGE2M0JTMzgxdXQzc0JFZmtkeDFtWmFDZWlNSUNmOWM0QjRFa0FZYTMxVzczYSsvVFZXdi9UTUl5ZkFWaFpYMTgvb0NXOVd1dGRMYWROWEVNekVWVXc4eklBOVFCZWJJL3lERklxWlJ1TnRMUzA5Q25pMmJhTldDeUdscGFXZm85WnVYSWxac3lZMFgwL1Y1L1B0OXZaMjcwdFdiS2t6NWRQdlNtbGV0eDdiM2RDb1JBdXUreXlBWjkvcURDQTlxajlRcmJYZlZ2eW4rMjZ1cnIyWURCNGNlLyswV2owYng2UEo4ek1tNUxiaWVoaUFIQWNaM21pVFd2OU1ZQnZFNUd2cmEydCs4Vmk1cjlvcmF2UmRZOHZBRUI3ZS91T2pJeU0reHpIS1lnZmgvaDRud1A0Y1ovY3pFOXJyVmVoMTg4UXgzRitEQUFkSFIzSjUzdmZjWndmSzZVMjc5aXhveVdwNzN3QStjbGpPSTd6aFZMcWRnQVowV2cwK2U5NkxZQUZBTHAvTnRYWDE5dDVlWG5QRTFFOWdBL1EwNExlbWVOOUZqRHo4bjZlRTZKZm1abVpZNGpvVGlJcXlNek1uQXVnLzI4T2hFZ1N2MTNMV2N6OGVUUWFmV0s0N2pRL25LWHNtMGtoaHB1aUdZSGpRZnhFZGxaV3dlL3ZtNDhqLzIxMnFpT0pRZnJlOTc0SDI3YXhlUEhpZlJvbkVvbmc2S09QeGc5LytFT2NmZmEvNmlQUFB2c3NGaTVjMkYzRSs4dGYvb0o1OCtiaDlkZGY3ekVMWk9IQ2hmajQ0NC83RlBGczI4WVJSeHlCSzYrOGNyY2ZpTTQ5OTF4TW5EZ1I5OTU3N3k3N2lPSHZwamx6OGRkbmxvQVppOXEyUjYvWnRrM2VwQWl4TzhGZzhHRUFsNWFYbC9mWXdDRWFqZUtqano3Q3E2KytpcXFxS3V6Y3VSTnRiVzFnWmdCZEJWSUFqd0w0Unl3VzIxeFRVOU9BK0QwZmk2YVhuZ0tsbnNnZlBUcjM5L2ZkQXl0UXVsK3U1WjEzM3NGMTExM1g1MVlNaVdXc3U3dEZ3L2p4NC9HM3YvMXRyOC85ODUvL0hQLzg1ei94eWl1djlQdjhjODg5dDh1WmVQM1ozelB4UHEzN0RQOTk5Zlg0NG91MUVRMzkzUzlXTHYvemwzNVNJY1NnQlFLQklpSjZOVDVyL01ya1pkdEM3SXBsV1ZjUTBRUE0vR1lrRXBIZGFmZUN6TVFUUWh3d1dscGFNSHIwNkNFYnorUHhJQ3NycThmai92ajkvaDQzRU84OTYySlBmdldyWDhFMFRiaGNMcXhldlJyMTlmVTQ4OHd6QVFDZmZmWVpzck96a1orZnZ4ZFhJSVFRNmNkeEhEUTJOcUtob1FFdnYvd3lYbnp4Uld6ZTNQMGUzMmJtWm5UdGhQaFdMQmI3WFUxTnpiSmRqNVlhbG1YaDBVY2Z4V0dISGRaajEvSm5uMzBXQ3hZc0dQQXN1TDNoOFhnUWlleCt6d09sMUc0M3NFaTJZc1VLM0hERERVTVJUUWh4QUdsb2FHZ2VQWHIwL1FEOHRtMnYyT01CUWdEUVdxOHlER01SZ0pXZG5aMGRlenhBOUNGRlBDSEVBV1BMbGkyWU5tMWFxbU1NMnJwMTYxQlpXUW10TlhKemMzSEJCUmZnZ2dzdUFOQzFMR3JKa2lWNCsrMjNlM3dRRkVLSUE5WG5uMytPcTYrK0dxdFdyWUxXWGJ2TE12TVdJbnBYYTcwTXdOdlJhTFJxT0M3QnFhK3Z4NVl0VzdvZmYvVFJSejJlWDdObURXemJ4b2NmZnRqNzBCN0t5c29HdEtGU2YveCtQOXJhMm1EYk5relRSRk5UVTU5Yk5EQXpWcTlldllzUmVscTdkdTJlT3draFJwd3hZOFprRTlGVjhmdlpyZ1B3OFI0UEVpTmVmSk9zcGFuT2tjNmtpQ2VFT0NDc1c3Y09yYTJ0S0NvcVNuV1VRVnU0Y09FdW42dXZyOGVVS1ZPa2dDZUVHREdhbTV1N2QvcG01dmUwMW9zZHgzbUhpRFl2WDc2OENZQk9iY0pkZSthWlozWTV3eTE1UjlpcnJyb0twbW4ybU1XZDdNOS8vdk5lNzBRN2Z2eDRNRE1hR2hyZzkvdnh0YTk5RGZQbnorK3hvUkl6NC83NzcrOXhYSE56TXpaczJJREREanVzUjN2aW5vTkNDSkVzRW9sRVBCNVBEWUN0ek55UTZqeENqQlJTeEJOQ0hCQ2VmLzU1QU1DUlJ4NDVaR1BHWXJFZUgxNWlzVmkvL2JUV3NPMS8zWmM5Y1orbTNnekRnTXZsU2w0V3Rsc2RIUjJvcWFuQnFhZWVPb2pVUWdpUnRxSUFHcGg1UFlDSG85SG9ZeXRXck5peHA0T0dreHR1dUtIUDB0TzZ1am9zV0xBQWE5YXNnV1ZaV0xwMEtVNDk5VlM4OXRwcitQYTN2NDJMTDc1NFNIY2dQL1RRUXdGMGJaQng2S0dIZ3BuaDlYcWh0WWJXR3FlY2NncE9PdW1rUHJkK2VQWFZWekZuemh3ODlOQkRmVGFKaWthamNMdmQzYlA3aEJDaW82TmpwOXZ0dmtOcjdiRnQrOU05SHlHRUdBcnlXMWdJa2ZhMmJkdUd2LzN0YnlndUxrWkpTY21RalR0Ly9uek1uejkvai8yT091cW9QbTJGaFlWOTJvZ0lNMmZPeFBQUFB3K1h5NFdERGpwb2wyTTJOemZqOWRkZlIzTnpzeFR4aEJBamdtM2JEd0g0dlczYk5iVzF0ZEZVNTlrWGp1UGc0NDgveHBOUFBvbUtpZ3BjZE5GRm1EZHZIbDUrK1dXODg4NDdtRE5uRGs0NTVSUXNYTGdRaXhjdnh1bW5uNDVUVHowVk0yZk8zT2VaMThYRnhmRDVmSGp2dmZlNjcrVTZhZElrM0gzMzNYanFxYWYyZUh4L3Y5T1M3YThOTG9RUXcxdHVibTRCRVQxT1JJVktxU3NCeU1ZV1lvOWtZNHQ5SjBVOElVVGFlK1NSUjlEUzBvTHJycnR1U01lOTZLS0xjTUlKSjNRL1hycDBLWjU4OHNrKy9SNTg4TUVlc3hZZWYveHhmUHBwLzE5STNuenp6Ymo5OXR2eDNIUFA5VmhhMVp2SDQwRlJVUkh1dXVzdXpKbzFheCt1UWdnaDBrTjFkZlh1YnhRM3pIVjJkdUt0dDk3Q3NtWEw4T2FiYjhJd0RKeDk5dG00OWRaYmtaZVgxNmYvN05tejhlaWpqK0tkZDk3QlUwODloVXN2dlJTalI0OUdlWGs1amovK2VIejk2MS9mcXh3dWx3dW5uWFlhWG5qaEJXemZ2aDBGQlFVWU8zWXNycjMyV2x4KytlVzdQTzZOTjk3QUwzLzVTN3p5eWlzOWRsenZMVHM3ZTY5eUNTRU9MQjBkSGRHTWpJelY4YzJHZHFZNmp4QWpoUlR4aEJCcDc3TExMc1BreVpOUlhsNCtKT041UEI1VVZGVDBhWjg5ZXpaKy9PTWZkeisrOE1JTGNlR0ZGL2JwWjFuV0xzY3VLaXJDZ3c4K09DUTVoUkJDREI5dXR4c2ZmUEFCWEM0WDVzNmRpeU9PT0dLM3hiQ0VZNDg5RnNjZWV5eTJiTm1DdDk1NkMrKzk5eDRtVHB5NFQxa3V2L3h5ckZpeEFoVVZGYmpsbGxzQUFENmZiN2ZMZGpNek13RUFPVGs1c21SV0NMRkhTaWtHMEE2Z0JZQzloKzVDQUFDWStTVm1QZ3RBUXpRYWxlTHZYcERmMEVLSXRKZVRrNE56emprbjFUR0VFRUtNWUVvcDNIcnJyYnZ0Yy9iWlorUHNzOC91OTdseDQ4YjEySjE4WDR3YU5RcVBQZmJZb0k0NStlU1RjZkxKSisvenVZVVFJNE9uYTcxK2dJZ0ttVGsvMVhsRWVnaUh3L1VBNmxPZEk1MUpFVThJSVlRUVFnZ2hoQkFERm8xR0c5eHU5LzlqNWt3QTc2WTZqeEFqaFJUeGhCQkNDQ0dFRUVJSU1SaCtBR2NDeUZkS2JRWWdPOVNLUFNvcEtUblU3WGJQZGh4bmExTlQwL3YxOWZXN3ZrbTQ2SmNVOFlUb3hiRWQxSDZ5S3RVeGhCQnBidHUyYmFtT0lJU0lpOFZpcUtuOUJKRm9XbTk2T3lLczM3Qnh0eHMvQ1NHR0I3ZmI3U1dpSTRpb1VHdjlSS3J6aVBUZ2NybE9BdkNBVXVyTmpJeU1pd0hJN3JTREpFVThJWHJwNk96RWZRODhDSmZMdGNlK3pBd3dBOVQxcitRZFNvVVFJMXRMYTJ1cUl3Z2g0cHBiV2pEL3ZnZGt3NFkwNERnT21wcWJVeDFEQ0xFSFc3ZHViYzNQejM4U1FIWXNGdnNzMVhsRTJtaGc1akNBT3ExMUxOVmgwcEc4a3hFaUxzcDZrNXRvazJiMk5nN3d6YU5pS0s4YlhnV29UcHM3YkNiblM0NHBoQmdtV0RNbzhkOEFTRkYvdlJqQW1tM2JhanYyWHpJaFJJSmpZNzNoNGkwYXdNNm1wbFRIRVlOQVFDdGlMRGMvRjJLWUdqdDJySitJTGlLaVFpSUtBWGduMVpuRThNZk1yem1PVStNNFR2dktsU3NiVTUwbkhVa1JUNGk0amF1cVB6MTR5c3hMbE9rYU85QmpURU5QOFJqR3pVUjBzT000ODJ5TmYzNlpHWVVRdzRmTGNBN0pjTG0rQldKWGU5UmViR3Z6ODk1OXRJYnRxTWduQUtUQUwwUUtyUHVzdXJad3hxenpUVFpHcHpxTEdCeHR4NXErK0t4MmVhcHpDQ0g2cDdXMkRjUFlBTUFoSWxsK0lBWWtIQTQzQXBEaTNUN29iOXFBRUdLQUFvRkFRQ24xQklBWld1dXp3K0h3a2xSbkVrTHNINEZBNEhpbDFCUE03R1htczhQaDhKdXB6aVNFRUVJSXNaOTRaODJhOVcvTTdPM3M3S3l0cTZ0Ym4rcEFRb3dFTWhOUENDR0VFRUlJSVlRUUF4WUlCQXFJNkU5RVZHaWE1cFVBRnFVNmt4ait5c3JLVGpZTTR3cG1ybUhtWDhkbjVvbEJrQ0tlRUVMRWxaYVdIbUdhNWhKbTloTFJSWldWbFMrbk9wTVFRZ2doaEJERGpXM2Jqc3ZsMnNuTVBpS1NMYVhGZ0NpbEpnTTRDMEJ1TkJyOWJhcnpwQ01wNGdraGhCQkNDQ0dFRUdMQVdscGE3TnpjM09WRXRCNUFTNnJ6aVBTZ3RWNWxHTVlpQUNzN096dGw0N2U5SUVVOElZUVFRZ2doaEJCQ0RGaGVYcDZIaUw1Q1JJVmE2K2RTblVla2g2cXFxcVVBbHFZNlJ6cVRJcDRRUWdnaGhCQkNDQ0VHckwyOXZUVWpJK01aSXNwajVycFU1eEZpcEpBaW5oQkNDQ0dFRUVJSUlRWXNHbzNhWHErM1FXc2RpMFFpY2s4OE1TQXpac3dZN2ZQNUNtT3hXR3ROVGMwWEFPeFVaMG8zS3RVQmhCQkNDQ0dFRUVJSWtUNXljM056RGNQNGI5TTBiL1Q1ZkNXcHppUFNRMFpHeG9sRTlLVEw1YnBsMnJScHVhbk9rNDZraUNlRUVFSUlJWVFRUW9nQmEyaG9pREh6Q3NkeEtwaTVLZFY1UkhwZzVqd0FNd0FjYkpxbXJBemRDL0tpQ1NHRUVFSUlJWVFRWXNCR2pScEZBSEtWVXFOanNaZ3IxWGxFZW9qRllxKzZYSzZMSGNmWjJ0N2UzcGpxUE9sSWluaENDQ0dFRUVJSUlZUVlzRmdzWm5pOTNqRUFDZ3pEOEtRNmowZ1BOVFUxbndINExOVTUwcGtVOFlRUVFnZ2hoQkJDQ0RGZ1d1c2RXdXM3SGNmSll1YUtWT2NSWXFTUUlwNFFRZ2doaEJCQ0NDRUd6RENNVEtYVWFVcXBzUURxQWRTbU9wTVkvZ0tCUUJHQU1nQU5yYTJ0eStycTZpS3B6cFJ1WkdNTElZUVFRZ2doaEJCQ0RKamI3ZllDbUUxRVJ6UHp1RlRuRWVtQmlFNVJTaTBob3R2Y2JuZGVxdk9rSTVtSko0UVFRZ2doaEJCQ2lBRnJiMitQK1h5K2R3RGtNUE9PVk9jUllxU1FJcDRRUWdnaGhCQkNDQ0VHekRSTlF5a1ZKS0tKV3V0blVwMUhwSWRRS1BRN0FMOUxkWTUwSnN0cGhSQkNDQ0dFRUVJSU1XQktLUWJRenN5dHpHeW5PbzhRSTRVVThZUVFRZ2doaEJCQ0NERmdOVFUxMngzSCtYa3NGcnNoRW9sOG1PbzhRb3dVc3B4V0NDR0VFRUlJSVlRUUExWlNVakxhTUl5Zkc0WXgzdVZ5L1JoZE85UUtzVnVXWlowSTRIc0FhcFZTOTFaVVZEU2xPbE82a1psNFFnZ2hoQkJDQ0NHRUdERGJ0ZzBBZVFERzJMYnRTM1Vla1RhbUVORkZBTDdhMGRFaGYyNzJnc3pFRTBJSUlZUVFRZ2doeElCMWRuWjJlcjNlTndEa0VkR21WT2NSNlNFV2l5MXp1OTF6bWJrZVFHdXE4NlFqS2VJSklZUVFRZ2doaEJCaXdISnpjNzFFOUZVaUtnVHdZcXJ6aVBSUVUxT3pETUN5Vk9kSVoxTEVFMElJSVlRUVFnZ2h4SUMxdHJhMitmMytGd0NNSXFJMXFjNGp4RWdoUlR3aGhCQkNDQ0dFRUVJTW1OWTZTa1NyQUdUSFlyR2RxYzRqeEVnaFJUd2hoQkJDQ0NHRUVFSU1XSFoyZGg2QUc0aW8wRFROTFFDcVU1MUpESCtXWlYxQlJBOHc4NXVSU09UaTJ0cmF6YW5PbEc2a2lDZUVFRUlJSVlRUVFvZ0IyNzU5ZXpRdkw2OEt3QVlBTzFLZFI0aVJRb3A0UWdnaGhCRGlnRlU0YmRwRVUzc1BTbldPQTVHdFk5dlhmLzdKcDZuT0lZVFkvL0x5OHBSaEdLT0pxSUNaM2FuT0k5SkRKQko1eU9melBXSGJ0bDFiVzl1ZTZqenBTSXA0UWdnaGhCRGlnRFRoa09LRFRlVmFCRVdUVTUzbFFHVEN2ZTNnYVdVM3JGMWQ5YzlVWnhGQzdGOUtLUk5BSVlCQ1p2YW5PbzlJRDdXMXRWRUEwVlRuU0dkU3hCTkNDQ0dFRUFja3Q5dDlDQWdXQWJrdTB3UXBsZXBJQndabXhHd2JXbk1CQVFFQVVzUVRZb1JwYlczZDVQZjd6OWRhdTl2YTJtUjNXaUgyRXluaUNTR0VFRUtJQTFwMmRoYXV1T3k3T0d6NjFGUkhPU0RzMk5tSUJiOTVBR3ZYclU5MUZDRkVpc1NYMHY2U2lNYjUvZjVmQVBoN3FqT0o0UzhRQ0FTSTZHUUFheDNIZWE2NnVyb3QxWm5TalJUeGhCQkNDQ0hFQWMzdGNpTlFXb0lqLzIxMnFxTWNFRFp0M2dLL1B6UFZNWVFRS2VUeitkd0FwaEZSSVRQbnBUcVBTQTlFZENRUjNjbk1iOXEydlJTQUZQRUdTWXA0UWdnaGhCQkNDQ0dFR0xDR2hvYm0wYU5IM3cvQWI5djJpbFRuRWVsQmE3M0dNSXdsQUdyY2JuZG5xdk9rSXluaUNTR0VFRUlJSWNSdUZCWVcrdkx6OHc5M0hHZExkWFgxNXdCaXFjNGtSQ3FOR1RNbW00aXVJcUpDSWxvSDRPTlVaeExEWDFWVjFXdEZSVVZ2WldSazZQZ21GMktRcElnbmhCQkNDQ0dFRUxzeGF0U29MQUQvYXhqR2pHQXd1TnB4bkw5MGRuYitiZFdxVlMycHppWkVLa1Fpa1lqSDQ2a0JzSldaRzFLZFI2UU5wNzYrM2tsMWlIUW1SVHdoeEloVVdsbzZGc0RrNURiRE1HWUNjQkdSb2JXZVVWcGEycGo4dkczYlg5VFcxbTdlbnptRkVFSUlrWHEyYlN2VE5MUFE5ZDVoc21FWUoyZG1aajRVQ0FRZVkrYkhsRktWTzNmdWJLbXZyNWZsWVdKRTZPam8yT2wydSsvUVdudHMyLzQwMVhtRUdDbWtpQ2VFR0pFY3h4bmpkcnVmVEc0aklqZUFIQUNrbFBwZkl1cnhScHlaendBZ1JUd2hoQkJpQkpzOGVUSWN4OEhhdFd1aGxMb0V3Q1VBVnVibDVYMmNsNWRYeGN6dmE2MnIwbW5YeGJLeXNtbFZWVldyVTUzalMwYVdaWlVEMkJnS2hUYW1Pa3k2eTgzTkxTQ2l4NG1vVUNsMUpZQkZxYzRraHI5Z01QZ2RacjZIaVA1cDIvYjNxcXVydDZZNlU3cVJJcDRRWWtSYXNXSkZyV1ZaSUtJaVpnWVI5ZTVTUUVSSVBNZk1hNWN2WDc0OEZWbUZFRUlJTVh4ODdXdGZ3eGxubklFMWE5YmdwWmRld3R0dnY0MjJ0cllaUkRTRG1TOGtvZ2JETU5hV2xaVXRpY1ZpVDlUVzFxNGQ3RG5LeXNwbUdvYVJ0YmNaSGNlSlZGVlZoUWJTMTdLc3J3QjRNeEFJZkNjY0RpL2UyM01PTmN1eVpnTW8ybDJmam82T3BTdFhydHcra1BHS2lvbzhSUFF4Z0xrQWZqWUVFVWMwWm80QitCeEFHek0zcFRxUFNBL003Q0dpWEdiMjI3YXRVcDBuSFVrUlR3Z3hrajJNcmpkeUEvSG5Mek9JRUVJSUlkS0QxK3ZGeElrVE1YSGlSQnh6ekRGb2FtckNtMisraVpkZmZobWZmdnFwdTcyOWZVSm5aK2NFd3pDT05BempUc3V5M21MbTM5cTIvVUZuWjJkVFhWMWRLd0M5dTNNWWh2RW5BRWZzYlVhbDFBWUFoUVBwR3dxRjNnNEdnMHVJYU9Hc1diT2VXNzU4K2M2OVBlOFF1NXFJem1MbSt0NVBFSkVCb01UajhSd0w0SjhBVUZwYVdtZ1lSc0d1Qm1ObWQvdy9KOFFMaExzU0M0VkNWZnNTZkNTSVJxUGE2L1UyQS9BUWtXeFFJQWJFY1p5bFNxbExsVktibTV1YnBmaTdGNlNJSjRRWXNXemJmc28wemY4SHdOUGZiTHlrV1hodHpQeE1hbElLSVlSSVo4M056Y2pPenQ2bk1XemJobTNiOEhxOTNXM0p2N2VpMFNoaXNSZ3lNelAzNlR5RHhjd3dEUlJZbG5VY00zOFJEb2U3aXkyV1pSMEhBS0ZRNksxRVd5QVFLR0xtNlVxcGpsQW85QzRBSjk3M1ltWjJLNlUrcXF5cy9BUUF5c3JLSmlxbHZnSWcydExTOG5aZFhkMjIrQmlIQXloV1N1Mm9yS3g4SHVqYU9YYjA2TkZmSWFJQ3JmVUgxZFhWcXdDZ3ZMdzhoNW12QTRES3lzcnVMKzJDd2VESkFJN1VXb2ZENGZEZms5cHZqVi9Yb2xBbzlBVUFsSmFXbHBpbWVhN1dPc3JNT2YzTTNFZE9UZzdPUFBOTW5INzY2ZGk4ZVROcWEydFJVVkdCMnRwYTFOYldBc0J4UkhTY3krWGE2WEs1S2l6TGVvK1pQNHpGWWgrc1dMRml4MjVlMzFjZHg3bWhkN3RTeWxSS0ZkaTJ2UlZBbitLSmFabzNBamdwdVMwWURKNEM0Qis3T2xlQ3krWGFFUXdHKzMxT2EvM0xjRGc4WjA5akRJWmxXWDhHY0U1UzA2T2hVT2o3aVFmTS9Gb29GRHF2OTNHQlFDQlhLZFdqMkdnWXhuVkVkT091enBYMC8rNzdSUFQ5WGZVRHNCM0FtSUhrSDhrOEhvOEhRSUNJQ3BrNVA5VjVSSHFJLzN4ZWxlb2M2VXlLZUVLSUVTc1dpMjB6VGJPU2lJNWk1bDMySTZLVkFEYnN2MlJDQ0NFT0JMWnQ0OElMTDhUczJiUHhpMS84WXEvSHVldXV1N0JpeFFvc1hyd1lMcGNMeTVjdngrV1hYNDdGaXhkajZ0U3B1UC8rKy9IcXE2OWk3dHk1bUQxN2R4T01oaFlCeUhBYlh5T2k3ekh6cndIOHF2czVvc1I5WjhjbkhYS2VVdXJIQUY2Zk1tWEtoM1YxZFlrZEN1Y1JVYTdXK2lZQW53Q0FVdW93QVBNQU5QbjkvdThBMkJZZjkxd0FQMkRtYWdEUEExMDd4eXFsZmdqOGYvYk9QRDZxOHVyanYvUGNlMmNtS3hEQ2FxaFJBNEdRWmU3RXJWZ1gzSmU2YTkxYUt4V3BGVjVSYTExS1ZiUytMZGIyRlNvcW9sV3FhS0dpSXJSV3F3Sld4RFd6SkNFc1JnZ1NXVU1JSVdTYnVjOTUvOGlkNmMxa0FtR05nZWY3K2ZpUk9jOTV6bk9lZXlmMzNqbjNQTS9CcVpxbTNRSDdCNktVc2pjUlJaZE5PalB2endkd2h4QmlGb0MzSFBLbzdoSUE2d0JBMDdSOEFKT0pxQktBQzd0QjA3UllodDVwcDUyR3VybzZiTnk0RVI5ODhBSGVmZmRkYk51MnJRK0Fzd0djUVVUYlhTN1h0ejZmNzBNcDVheGdNQmhNWUxLK3RMUzBQRjVZV0ZpWUw0VDRGeEdkR2dxRi9QSHRwbW51Ym5ucHJkRzVSWkZTYWtLSWR0VWlMY3RLMXpTdFBxN3YxN3V4dTYrNEFDd1VRanpBek5PWTJYQTJFbEdmUkZsenpKd2FMNHRFSXYrcmFkcjB6Z2FTVXJwMVhWOEpZSnFVY21wbmVwRklSRlhPN0FLdHJhMDFMcGZyMTh5Y0F1RGo3dlpIb1RoU1VFRThoZUlJNDZpY3dpeURjRlJYOVZ0MzFaUnQyTENoTVNiSXkzTmxoM1d6cS8ycnZpcjl6UGs1YTFqUlVUcHpsNVozQUtLbDZxdjJEN1Zad3dzS2RJdVN1OUk3UWxSZHZUclVMdmlXUGJRd3RqU2xNV3pwbWk0cmhhQ1RBQWpndjFrTnpBeXRiWmNHQmxDeGRldlc3WWZUM1BmRTdzNTd4QksxMVd1Q2EyQm5VQ2dVQ29VaU1Zc1dMY0tXTFZ0UVdGaTR6elptejU2Tk45NTRBL2ZjY3c4TW95MitrWjJkalphV0ZxeGN1UkpEaHc3RnozNzJNNnhmdng2LytNVXY4TUlMTDZDZ29PQkFUYUVyYU16c0lhSjJ2eXVZMlJPdmFPdm9STlFTSjk4RlFMZjMyQUlBU0NrdFRkTjJNWE9qbE5KNXYya2xvZ1ptanQyak5FMWpBRTIyM0draklvVG9zQlNUbVd1WlJrNDlBQUFnQUVsRVFWUUJWQkZSVFp5OENnQXN5NG9WdGlLaVhiWjhJeEYxK2ZsSkNBR1B4NFBVMUZSNFBCNEkwVzdySjBMYkVzUTBlMStvM2YwbTAvUHk4dHBsaFdtYTF0Y2VJeU12THk5KytXaW5tWDBBRUlsRVBpNHRMUzAzVGZQUFJQUlB2OS8vcnMvbkd3ZmdqL1gxOVZtVmxaWDFBSVRQNS91Q21lc3R5N28xbXRsNEVObFJVbEt5MGpUTm5RbmFUa2RiVUxVZGlUSWk3V1hBblM0RnpzN085bVJrWkFCQW5UTnJWTEhQcEFLNEZFQS9JY1FtQUtwQ3JXS1A1T2ZuRDNHNVhIbFN5dHJXMXRaUVJVV0ZXb3E5bDZnZ25rSnhCSkYxM01nY1hhZnBBT1YydFkrUmtuRWhzR0ZGekViRTZBZU41dXl1VHh6SE9EL29SRmRCMEIxZDZVakUxUUJPYmQ5Zm13SU5lVjNwcnpPbUFwaldUcWlKbU85Q0U5Z1Y1bVFoNEhnUy9HOUdYcW9MMEFVMU0vT3k2dXJxcHF4aFJVY2RMblBmRTdzNzc0YkczMlpuZTM5Y1ZhVWVnQlVLaFFJQUZpeFlnS2FtcGc3eStmUG5Bd0FhR3hzeGQrN2NQZHJKemMyRjErdU5mZjc3My8rT0o1NTRBdGRlZXkydXVlYWFtRHd0TFEwalJvekFKNTk4Z29zdnZoanA2ZWw0NUpGSHNHREJBaGlHZ2M4Ly94eFNTcHg4OHNrSFlIYWR3d0FhVzZ6MzBqemlIZ0R0N2duTWZIa0hmZVk1VXNvbDRYQjRYV1ZsWmV5SFczTno4N2t1bDBzME5EVEVBbERidG0zN05EMDkvVnhkMTJWalkrUFdxTHkxdFhXcVlSZ3ZORFUxeGZvSEFvSGF2THk4OFM2WHk5UFUxQlRMUWd1RlF0OGk3bDVzNi84V1FJZlV5RUFnMEVIWFhySzdNQzh2YjZESDQza053TEdkSFEvTHNtTExhZjErZjJ3NXJaUXlPdi9OQU1vQWRHazVMUUNZcHVtMWl6RjBnSWplY2k2eHRybGdkNnNMQUtDd3NQQWtJdm9mS2VXN1VSR0FCanVBQndEU3NxeXhRb2pabXFhRlROTzhJUkFJdkw1Ym93Y0JJdnFDbWNzQ2djQ2Y0dHVLaTR1VHBaUXY2YnBlRTk5bW1tWURFZTF1YmZsRDBhWFQ4VWdweHdTRFFWVmx0UXU0WEM0UEVaMUVSRmxTeXI5MXR6K0tub0d1NitjQmVGSUk4UjhoeEkwQU5uZTNUejBORmNSVEtJNGdkTVBJQW5FUm1BY1FZUmVESW52cUkzV2h0ZnRzV1FLYTNudWZuUkRzQWFoci9abmlsM0dBd0dsTVhleFBIYk1BUUlqclMwSXlNeVY0cGNzQW1IbG5KQkw1R0RnYzU5NDVpYzQ3YVZvbU01S1pxRGM4eUViY0R6YUZRcUU0VW5ueHhSZXhaY3VXZHJMb1BuWnV0eHN6Wjg3c2twM3JyNzhlWHE4WHpJenAwNmRqMXF4WjBIVWRkOTExRjE1NjZTWFUxdFppeDQ0ZHFLdXJ3OWF0Vy9IVlYxL2gzSFBQeFk0ZE94Q0p0TCtsOSsvZkgvLzYxeDYzUU5zdmlBZ1JpWTNCWUxCRHBsUW5zaW9rdUhja3F0NWFYVjNkQktDRDNBNTZ4UWUrcklxS2lrMTc0L3VCcEw2K0hrdVhMc1hpeFl1eGV2VnExTlhWb2FHaElkYk96TXNBL0NVY0RuOGloTmhXV2xxNkRWM01aaGRDVkVncFQzREtpT2c0QUhPWWVTeUFkZ1VZZHU3Y3VUb3RMZTNzM2RuVU5HMHNNNi9WTk0yZmw1YzNrSmxOSXFwMFp2V0Z3K0dOdXE3L1VOTzB1NGdvbEplWE43QzF0WFY3WldWbHkrNXNIeWhNMDF6RnpFZlovMzZZaURiNy9mN2pmRDdmUGN6OFlEUXdLcVU4MytmelBlTDMrLzhRN1V0RTEwb3A5K2wzcnFacEhaWW5LeEt6YytmT3h0VFUxTGVJS0QwY0R1OTFCV2JGRVVzVE0yOENVR3NZeG00TC9DZ1NvNEo0Q3NVUkNCRjJXWkorS3lCTDk2VGJoSloyKzZhSWxyb2E2Qm5YN2V2WWtkYkk2N3F1ZGFuaVY5amlEbWtOa3EzN2lFV1hkZ2lQUkt6S0RrSXBPL2llN0tKZkMycWY5UVlBbWlBQThKZVZsWlVCaCtmY095UFJlYmYwek44S3dmY0NVT1hnRlFxRndzR2JiNzdaN3JObFdiamhoaHZRMk5pSTExNTdEVzYzRy9QbXpVTW9GTnJqM25oYnRtekJRdzg5aE04Ly94eFpXVm5Zdkhrek5FM0RoeDkraU9ibVpxU25weU05UFIybm5YWWEvdkdQZjJEdzRNR1lPSEVpZXZYcUZmc3ZPVGtaOXJKQnhVR2d0YlVWdGJXMVdMZHVIUll1WElnUFB2Z2dGclN6bC9QdUJMQUp3RHhtZm5GL2xtNldsSlEwQXZqU0tTc3NMR3pXZFIxU3lsV2hVT2pMK0Q2bXVmdWRQNGpvWEFEZlkrWU56a3crajhlenNaTXVFendlRDF3dTErVUE1dS90SFBhUkZHYWVET0I5SWNSb1pyNFhhS3N3UzBUbFVzcGJBVUFJTWNOUmRSWUFFSWxFRmdzaDlyclFRbXRyYTNOM0JvTjdHbWxwYWNsRWRDa1JaUm1Hc2F5Ny9WSDBES1NVN3dINFd0TzAra0FnVU5mZC92UkVWQkJQb1RnQ1lWQkVFRDZ2V2xuYTRTMzVubWg3TTE3OXpyNk9YZjMxOGtvQUhRTk1YV1RkeXZMOWVraW9XbFhhd1hldjE1c21oRGcxZnZrSkVVRktPVHY2K1hDY2UxZXBycTV1eWg2ZStUbmFxdUIxelBKVEtCUUtSWXpYWG5zTlgzMzFGYVpObTRhMkFvN0FxbFdyOFBISGU5NzcvYTIzM2tJb0ZNS2tTWk1ncGNRZi85aFdLK0l2Zi9sTEI5M2V2WHZqNVpkZnh0RkhINDM4L1B5WS9JMDMzc0RycjcrT1diTm14ZmJSVXh3NDNudnZQYno3N3J0WXQ2N2QrNjZWVXNvdjdTV2dYMG9wUTZXbHBic08xSmcrbjIrRWxESVhBSWpvZS9iL1QvVjZ2ZEg5OHFvNktZN1JEaUppQUJkSEExOUU5QU1BVHdENEdUT1g3YUg3UGovRDdBdEVWQlVJQklKZXJ6ZmJ1V0NDbVJ1aWN6Vk5zeUcrbjZacEZ4UFJYaS92ZEx2ZEh3STRZMzk4UHBLUVVrWTBUZnNXZ0VWRUhjNkRRcEdJMHRMU0xRQzI3RkZSMFNrcWlLZFFIRUZVclF3dVFmc3FjUW9Bd1dEd05aL1BWMDlFNmRGQW52Mnd1RE1ZREw3U3JjNHBGQXFGb2tkUlhWMk42ZE9uWS9UbzBmakJEMzZ3MS8wdnYveHluSFBPT2NqT3pzYThlZk1TNmpRMk5pSTVPUm5qeG8zREYxOThnUWtUSnVEUlJ4K05qYmQyN1ZyVTFOU29BTjVCWXUzYXRiRi9TeWxmQS9DYWxQTExscGFXbWxXclZqWEF1Y0h1QVVKS2VRTVIvUnBBSXdBdzh5NGltbVEzSndGNEVjRFl6dm96Y3dvUmdZaDIrZjMrV0dhZ2Faby9KNko2SWxvb3BVeTR6VXBOVFUyTHZiejVrRUpFTDV1bU9ZdUlOR2JlNFpDZkVRM2VFWkdIbVR0N0tYMEpFY1dLTGRpQnl4QXovMTRJOFpKVFVVcjV3c0dZdytGTWFXbHB6Y2lSSXlkcG11YXVyYTA5Mk1WUEZBcUZqUXJpS1JRS0JRQXA1VUloeEExT0dUTy8yWm0rUXFGUUtCVHhXSmFGQng1NEFFMU5UVGo3N0xNUkNBUmliZHUyYllObFdlMWtVWktUazVHYjIxWnpLak16RTVtWm1SMTBvaXhZc0FEVHAwL0gzLy8rZC9UdTNSdlRwMC9IM1hmZmpZa1RKK0xFRTAvRUNTZWNnTGZmZnZ1Z0Y3VTQwaEJDTURNM29TMkRwQkxBN0owN2Q3N2lLQVp4MENHaU5YNi9QeWRlYnBybTBqMzFaZVpVSWtJNEhJNzVtNWVYNXdKd0JZQjBadDRhVjBFM1J2LysvYWRWVjFkM3FURFhBYVFTd0crWitUTXA1VEFoeERrK24rL1h6RXdBbm1EbTZFdldTUUE2RkxjQWdFZ2tzcmEwdEhSbDlITzBPaTBSYlNrcEtWbnAxRFZOc3hIcXQvRmU0ZlY2QnhMUkxDTEt5c3pNL0VWMWRiVXFDS0xZSTE2dmQ1UVE0bW9BbGJ0MjdYcHAxYXBWaWFwU0szYUR1bEIxZ1p5Y25QUzB0TFJoalkyTnE5U1hUS0U0UEpGU3prNFF4UHRIZC9talVDZ1VpcDdIMUtsVFVWcmF0dDNzcEVtVEV1cU1IZHN4V1dybzBLR1lNNmRqQWZIMDlIUWNkOXh4N1dRbm4zd3lIbi84Y1R6MjJHUDQvZTkvajlUVVZEenp6RE40KysyMzhlYWJiK0tsbDE1Q3IxNjljUFBOTngrQUdTbWkxTlhWMWZmcjErL1JTQ1N5cGF5c2JPV2VlM3kzRUVKa01ETjdQSjdZYnhtUHh6TUdRQWJhOXUvN1ZFcjVjRnlmQ3dIOEx6Ty9pME9MdG4zNzl2TWRuMWNDV0pDUmtkRUFZRXh0YmUxcmpyYWYyUDhuMkJtUXpPd2hJbWlhbHViMWVtTkZ2U0tSaUJzQXBKUkpUcm1OK2wyOGwwUWlFY3N3ak8zTW5FUkV6ZDN0ajZKblFFU0ZBTzVnNWlXYXByMk90ajFFRlh2QllYbXhNazN6QWdDZGxoVW5JdW4zKzkvb3FyMzA5UFJSQVA2VmxKUTBHc0JlN3lGMktNakx5MHV0cUtob0JyREhhcU1LaFNJaGZnQmxSRlJnZi81YVN0bGhzMmlGUXFGUUtCTHg5dHR2NDlWWFgwWHYzcjFSVjFlSG1UTm5vbi8vL3JIMlo1NTVCc3VXTGNQTEw3L2NydC92ZnZjN2JOKytQZlo1dzRZTjJMeDVNd0NnWDc5K3VQdnV1enRrNzQwZVBScTF0Ylh0NUlNSEQ4YjQ4ZU5qbjZNVmEzWDlzSHpjUCtSVVYxYzNWVmRYLzZlYjNVajIrWHcvakJjeWM1OHU5QjBPb0txa3BDUU1BTVhGeFlhVThuNGlXaXlsL0QwUnZRUGc4V0F3dUF3QTh2THlCcnJkN2pzQXZCUUlCQTVxbVdNaVN2VjZ2ZGtBa2dFMGVMM2VNVUtJNXpyUmZTa2pJK09sZUhsNmVucEJhV2xwT1FBSUlmcmJ1c3VjZSttNVhHMzFMNFFRdndQd3UzZ2J6UHpoQVpqT0VVTmRYWjNzMjdmdlNpSEVKc3V5R3J2YkgwV1BZUU16THlHaUlCRzFkcmN6UFpIRDlhNytETnJtbGlpMXVoZUFJWERNM2VmempXRG1Ub04rekR5VWlDQ0V5RTIwZVdxVVNDUlNXMVpXdG1ZLy9ONWJqTUxDd2dKTjAwWVQwU241K2ZtL0tpOHYvL29RanEvb1lSeVZVNWpsMHNVRnpLeUZMZjdIdDVXbDFkM3QwM2VGK3ZyNitqNTkrbndjRGVKSktVdGJXbG9TTHM5UUtCUkhMT1QxZW5PQ3dlQlhlMWI5TDNsNWVhNmtwS1JqNDVkdktRNGZQdjMwVXp6ODhNTVlPWElrTHJ6d1FqeisrT01ZTkdnUUJnOGVITk5KU1VtQkVBSkRoZ3hwMXpjcEthbGRFRy91M0xtWVBYczJ1c0lubjN5eTIvWVBQdmdBdlh2SEp4d3BlaXJNUEJCQXg1VE50ajN4ZHZ0bFlPYVJBTW9kbjM5RlJFY3o4MCtEd2VDSFBwL3Zid0RlS0NvcU9pc2NEbS96ZUR6dk1mT1dTQ1J5S0piUlhpT0V1TWIyNjYrYXBpMlZVdjdDMGY0VElqb0pnQWJBQWxES3pET2RCcGo1VzhlLzg0bW9ucG5QMmdzZm50b1AvNDlJTWpNekRTTDZQaEZsQ1NHNm5DQ2pPTElKQkFJTEFDem9iajk2TWowMmlHZWFaalVBNTRZaHR3UUNnZGlyVFNLYTR2ZjdwOGYzODNxOWx4RlIvQzdCTHhOUmNSZUduZUY4bXhPUHJ1dXZBN2lxQzNiMmk3eTh2SUdHWVZ3bmhMZ0p3SEZFNUFKZ0dJYng4Sjc2S281c0RGM2tNUEVqSVBJWVJDc0JxQ0NlVFZWVlZYT2ZQbjFDekJ5bXRqLzBDbnR6YW9WQ29RQUFtS2I1R3lLNnp6VE5Fd0tCUUVWWCs3bmQ3b3VaZVo3WDYvMnhLcFp6K0xGcjF5N2NlKys5eU1qSXdQLzkzLy9obzQ4KzJpOTd0OTEyVzhJbHR3QXdaODRjekp3NUV5a3BLY2pPenNhVFR6N1pycDJaVVZKU2d1T1BQeDRBa0pxYXVsKytLTDQ3Q0NHMkFWanM5L3M3QktaOFB0OGNadTYwMnFQWDYrMU5SQ2N5OHlNQVVGUlVaQUtZek15dkJnS0JEd0dndnI3KzVyUzB0SDlxbXJaRTA3UjZabTZ5TE92TXNyS3k3ZkgyZkQ3ZlpBQXBmci8vWGdEeUFFeHZycFR5UGdEUU5LMmhwS1NrQnNCS3I5ZWJMWVI0QXNBd0FPY0MrTGVVOGdFaHhDOEFmTCsxdGZYTzVjdVgxOGJaMGdHY0QrQ1RRQ0RRNVJVVkJRVUY1MHNwTy8raHAraEFZMk5qUTNKeThodEUxSWVaRDJubFlvWGlTS2JIQnZHSXlBUGdBYnVTMGlmTXJNV3BmTTgwemVNVGREMHVYa0JFRjF1VzVkN05jS2NMSVdZeDgzWE0vT2x1ZkRwZ1plUWRpS0tpb2tGQ2lFRkVkREtBYTVqNUJDSnlBNERiN1VaTFM4dEJHRmFoT1BLd0xDdWdhVm9OTTN1WStUODRDTlhsZWpLcXVySGlTRWNJOFdjcDVjL1FsdkYvZWxmN0VkRVlBR0VoUkptOVpLeExTQ2tqcGFVcVkvcTdUa3BLQ3U2NDR3Nk1HREZpdHdVcHVvcmI3WWJiM2Y2eGRQUG16WGpzc2Nld2JOa3lQUERBQXhnNmRDaHV1dWttL1BPZi84UzExMTRMb0Mwcjc4a25uOFNxVmF2dy9QUFB3elROL2ZaRjhkM0I3L2MvQWVDSlR0cXUzVVAzeXdBWVFvaDVwbWtPSnFKNXpMd1pRQ3pMTGlVbEpaT0kxZ0E0QzBBbUVjM1hOQzBUYllVODJtRVh5ZmlsYVpyRExNdTZ2clMwZEo5L0F6SHpFOHpjR2d3R1l4VnppNHVMajJQbXV3RDhqSm4vRVE2SDg4dkx5emY3ZkQ0UTBWb2lPb21aNTdoY3JrclROS2NEK0VzZ0VGZ0hBS1pwM2taRS9kQldyYmZMSkFwV0tuYlAxcTFidzFsWldlc0IxRFUyTnFvWDM0b3VrWnVibTVhY25Kd1JEb2VieTh2TGE5Q1dYYXZZQzNwc0VNOW1ZMGxKeVVxZnoyY3h0Lyt0emN3VEFkd1czNEdJNG9OOUtDa3AyYmk3UVh3KzMzRGI1aWJuRGVZZ1FxWnBEcEpTbmtSRW80am9CQUI1QVBvQkFCRWhOemNYUHA4UHc0WU53OE1QcXdROGhlSkFVRnBhNmpkTjh5c0E2ZUZ3K0R1NS82VkNvVGk0bUtZNWhZanVUZFRHekxBejhyTjlQbCtuUVg1bVBpY1FDTHdQQUVWRlJTT1orVUk3d3pmVVdmWEhSQkRST2dCZER2b3B1by9MTDcvOG9OaHRiR3pFbkRsejhNSUxMNENaOGR4eno2R2dvRzNyMW5Ianh1R1BmL3dqNnV2cjhlbW5ueUlVQ3VINDQ0L0hsQ2xUWWpxS25nMFJYYmE3clh4MjA4OFZ6Y3l6OTc3N05ZQ0FaVm1iaUdnWmdJRlN5dEhidG0xcjhIcTlGd2tocm1UbUd3QnNsbExlWk52NEE0QnkwelRmQWJEUXNxeEZwYVdscXdBZ0VBamM3ZlY2MXhQUkU3cXVmMUJRVUhEQnZnYkJnc0hneDlGL0Z4Y1g5NUpTdmk2bFBCUEFNZ0RuUnpNRm5kaS8zVWI3Zkw2eEFCNW01dCtZcG5rS00wZUk2TGZNL0dVZ0VJaGZlYVU0d0J4OTlORjlpR2dpRVdXbHBLUnNCQkRzYnA4VTMzMDhIcy9aUkhTUHkrWHlqeHc1OG9FRTJiU0tQZERUZzNpZDhUWVJMZkQ3L2UvRU4zaTkzaE9FRUhmSHkwM1RQSjZJdnRpZFVTSEVZcC9QbDdCTlNubk0vZ2I0Y25KeTBwT1RrMGRwbW5ZOWdMTTBUVXUxMzNRSkFPalRwdzh1dnZoaWpCNDlHa09HREVGS1Nnb013MUJCUEVXUFlmQngrVU5jaHQ0aEcvYTdSSXNsdnhBTVY2TjBqY29lN3UxdWR4TFMwdEt5ZHVQYUZldTYydytGNGpDbUhzQTE4VUlwcFNhRWlIOWozQXZBRHFlZ3Fha3BWbTFBMDdRSG1Ebk16SmNSMFY3OXlKVlNxbFQ3d3hCSE1CZ3RMUzFZdDI1ZGgyV3ZtemR2eHZ6NTh6Rm56aHcwTmphaWYvLytrRksyQzg3OTdHYy9RMzE5UFo1OTlsbWtwS1NvN0x2REVHWXVKNkpaKzlEMUVyUXRRUVV6SDAxRVE1ajVpbUF3V0crYTVpY0FKZ0FJOSsvZnZ4YUFoNWxYQVBqMWxpMWJucTZ1cm00Q2dPTGk0dGVrbEdNQmpDT2lwelZOa3o2Zjd4Uy8zLzhwQUFTRHdXbGVyemNNNEVsTjA4NEc4Rm9pUi9hR2twS1NIVDZmYjFva0VwbFVXbHI2MlI3VXBkL3ZuNW1YbHpmTE1JeFRRcUhRSno2ZmJ5RXpXMEtJbjBCbDl4eDBhbXBxd3BtWm1jdWxsSnNSZHg5VUtEcERDREVBd01uTTNNek1ydTcycHlkeVdBWHhDZ29LanRWMXZSUUFtUGxHKzBGbVhpQVF1TW0rcUkrMjIyQy8xVG9uRUFoOFlzc3FtWG1mWDZOcW10YnBQaFNkVVZ4YzNDc2NEaCt2YVpvTHdJVUFyaVdpVE5zZTB0TFNrSkdSQVovUGgzUE9PU2UydjhrZUVLWnBEZ3lIdzBtTmpZMDFhOWFzaVY1UTlmejgvS01OdzJnS0JBSWJvc3E1dWJscGhtRWtOemMzTjFWV1Z0Wkg1Zm41K1FPSXFMV3NyR3dIL3J2WGhWNVlXT2l1cjYrM3FxcXFXbUF2TmN6S3lrcVNVdEtHRFJ0VVZTSkZweHlWVTVobDZQUVNpSWQzdHkrN282a1ZBbUFDNGVydTlxVXozQjdYTjluWjNtdXFxZzVKWnJCQ2NTUVM5dnY5NytUbDVRMzBlRHlQUkNLUlA1V1dscTR5VGZNVlpzNEtCQUtuQTBCeGNmSDNtTG1VbWVjdzgzM0JZTERPYWNRMHpkUFFGZ3o4MDhHdTdxam9PYXhmdng1WFhYVVZVbEpTME5yYWl1Ym1abHgzM1hXeDloZGVlQUhQUFBNTWhCQzQ0SUlMTUc3Y09NeWJOdy92dnZ0dVRPZnJyNy9HNHNXTGNjRUZGMkRRb0VHWU5tMGE3cnp6VGx4NjZhVzQ4TUlMa1p1YjJ4MVRVeHhBL0g3L0tXaDcxdDZYUGVlbU91eFVGaFVWblI0S2hUNEhnRUFnY0hPMHpldjEzc3JNcGFGUUtCQnZvS1NrcEJIQW53SDgyVFROUEdiT0RnUUM3YllWQ2dhRFQvdDh2c1dCUUdERlB2aVlFTC9mdjNBM2JSMSt1MVpVVkxRQ1dBd0F6YzNOdDdoY3JpR3FpTkNob1hmdjNnSkFIeUZFMzliVzF0MXRUYVZReExBc2E3RVFZb3lVY2xOOWZiMEsvdTREaDFVUXp6QU1BU0JGU2prYVFCMFIvY3JlT3cvTW5FUkVzNlNVendPQUVPSkx5N0ppUzJ1RHdXRGQ4T0hEUC9KNFBHbjdNSFNkZmFQcmtwdGVyL2RFSWlxVVVwNmthZHJGQUhwSHMrMEdEUnFFbkp3YzVPZm5JeTh2RDhPSEQwZEdSa2FYSGNuSnlVa0Y4Q2ZETUU1T1MwdjdMWUFYQUtDb3FHaUFFT0o5QUJzQW5CTFZUMHBLdXBHSXJuSzVYQXZnMkdmRE1JdzVSRlNYbjU5L2UzbDUrWHJieHFtYXB0M1lwMCtmbFVLSUdkRUFZYjkrL2U0RE1IakFnQUd6b3ludlhxODNtNGl1QktBejg5eG9scUpwbXFjVDBSbk1YQjRJQkY0SDJxcjJHWVl4bW9nR2hzUGhMNVl2WDE0QkFJV0ZoU2xDaUtzQWJBZ0dnKzlGZmN2UHp6L09NSXdzWnQ3Z3JCQm9tdWJwQU9xRUVCVWxKU1Zob1BNMTl5TkdqQmdVRG9jamxaV1ZXN3Q4Y0JYN2hRRmtnVENjUUFPVGtwS2c2eDFXdGl2MmdCV3gwTlRjRE1uc2dRZlpBQTVwRUU5Vk4xWWNhYmpkN3A4QytMR21hWk5zVVJHQTBtaDdTVW5KTjZacDNncmdhU0hFcFQ2ZjcxUy8zMThKQURrNU9XNEF6ekR6VmlIRWIzZTMvTFlUL2lkUmdTNUZ6MmZJa0NHNDZhYWJJS1VFTTJQZ3dJRzQ1SkpMWXUzbm4zOCtJcEVJcnJ6eVN2VHQyeGRBVy9HTXhzWkdUSmt5QlV1WExzWEdqUnZoZHJ0eHdna240TnBycjhYbzBhTXhZOFlNdlBycXE1ZzllemI2OXUwTG44K0hSeDk5RkxwK1dEM3VIMGtjc0V5eWFBQXZubUF3K05ldTlMY0wrU1FzNXVQMyt3OVlBRzkvcWFpbzJBUmdVM2Y3Y2FSZ1daWXdES012Z0lHNnJodmQ3WStpWjJBdnkxL1YzWDcwWkE3THU3cW1hZVVsSlNVMVBwOXZLNENCVWJtOXAxMFFBQkl0aTAxS1N2cGZJdnI1UGd6NU1JREpYVkVjUEhpd1FVUm5BWmhnYjdvYW8xZXZYamp6ekROeDJXV1g0ZWlqajRhbTdYMlFJelUxVlFBWVNFVFpSSlFlbFFzaGRDTEtSdHplT2tLSUhBQm5NSE83TjFaRWRBWUFHSVl4R2NCNld6Y1h3RTBBbG5nOG5yL2l2Mm5UbHhDUkYyMlZUcVA3Vm1RVDBkM003QUh3R2V4Z2cyMTNNb0RsQUY0SGdPYm01aVMzMnowUndLbUdZZHdMK3lFaEVvbjBkYnZkMHdFMEFoZ1E5YzB3ako4UzBTM00vQktBMkw1RlJEUUhRQ3N6bnc5Z0JRQWtKeWYvRU1BakxwZnJzK0xpNGp2c2FsZndlRHd6a3BLU2h2bDh2cWwrdi85Wm9HMUpOWURmRTVHYm1lK0tWclR5K1h3L2wxTCtoSWcrQ2dRQzl3TnQyWWVabVpuamllajdVc3JrNkI1SHc0Y1A3K3Z4ZUI0bW90V0JRT0RQVWQrOFh1OG9JVVJCSkJLcEtDMHQvY2dodjRXWjEyM2J0dTJqNlBLRm5KeWNma2xKU2Q4VFF1d01oVUpyQUVRQUlEOC9md1FSdFpTVmxhMUpjT3A3RE1sSlNaandpM0h3RnVaM3R5czlqb29WcS9Ea016TlJWMSsvWitXRGdLcHVyRGdDK1JrenY5blMwcUlWRmhabUVWRXVNLzhqTHk4djltelIwdEt5eE8xMm53dmdtdWJtNW9hOHZMeUJGUlVWbTlQUzBxWVNVWjZVOHNmMkVyR0w5MlpnS1dYNUFaK040cEJ3MFVVWFlmVG8wVWhQVDAvWVRrUzQ3YllPMnpiSEdEeDRNTWFORzlkTzV2ZjdVVjlmajMvLys5ODQvZlRUY2NZWlorQ2trMDZDeCtNQkFBd1lNQUFQUGZRUXhvOGZqNDgvL2hnZmZmUVJUam5sRkJYQVV5Z1VCdzBwWmEyVWNvcGxXV25NWE5MZC9pZ1VSd3FINVoxZFNsbGxMNlYxQVhqRDBmU0FhWnIzMmY5T0dDRmo1am9oeFBlZE1zdXlmaUNFZUU1S2VibW1hU3ZqOVBmcUlYdkRoZzJOR3pac2VLU3dzUEJQUkhTNUVHSU1nSHdpU3R1eFkwZlNLNis4Z3JsejUrSzAwMDdEWlpkZGh1SERoeU10TFEyR1ljVDJUM0d5WThlT3FCKzdwSlNSVUNpMGMrVElrZU0xVFV1UFJDS3hMSjJkTzNkdVNrNU8vcjRRb3QxT3grRndlTDZtYWV1a2xLVk91WlR5VGlMS0FoQmJHaFNKUkNwMVhaOExvS0s1dWJuSm9mNnVsSEt0VTFkSzJVeEU2NG5JYlZsV3MwTmVSMFJWYUF2TUFRQ0VFQXlnaVlnYW1Ea2NsZXU2TG0xWi9GcDUzUTRPdG52alk4dlNpTWh3eUZLRUVGa0ExclMwdE1UT09SRU5ZT1pqaWNnWjVFMFZRdVRibFVtZG05TU1GRUtjd3N4SEFiZ2ZBREl6TTkxRWRKR2RWYmc1cXBpVWxKUktST1B0ajdFZ25oRGlhZ0IzYUpvMkE4QkhEdmxNQU9qWHI1KzN1cm82QkFCcGFXbFhFdEV6ekx3a0x5L3ZPdnV0SWd6RGVKV0l2RDZmYjdMZjczOFlBTHhlN3hsQ2lML1pQbDhlREFhWEFJRFA1M3VJbWU5bTV2ZUN3ZUFWQUpDWGw1ZXFHWmdJVU4vbUNMZUdyWTdmcDBPQnBtc1lrVHNVSjUvWXBlWGhpamdNUTczb1ZDZ09CWVdGaGNjUTBUQUF3endlei9WUk9SSGQ2L0Y0RWhhKzhIZzhkd05BZm41K0hoSGR5c3pQQm9QQlZ3REE3L2YvNDVBNHJ1aDJYQzRYWEs2TzIveE1talFKa3laTlN0Qmp6OXh6enozWXVuVXJ6ajMzM04wRzVqSXpNM0hwcFpmaTBrc3YzYWR4RkFxRm9xc1locEVzaEJndGhNaGs1a3Awa3EycFVEZ1pQbng0MzZTa3BDd2hSRU5KU2NrNjJBa3JpcTV6V0FYeGlLaVZtVmNSMFMxU3lwMUVkQTR6RHpSTjh6Zk1YQ0tFbUMrbFhHcXJ2OExNSFpiQUVwRVZ2NCtDeitlTFpxOVZKV2piSjEvdFV1eXpBY3dwS0NnWW9ldjZEd0NjQnFBd0VvbmtMVnEwQ0lzV0xjS3h4eDZMazA4K0dZV0ZoUmcyYkJpeXNyTGFaZWhWVjhjU1liWkdJcEVXQUZaME9hcVR5c3JLRmdDZjJ2L0ZLQ3NyK3hEL3paNkxFUXdHcDhiTHlzckszZ2Z3ZnJ3OEVBamNGeThyTFMzOUZNQ0pDZXhPQXpCdHhJZ1JSenQ4YXlncUtybzlFb2trTlRVMWJYWFkyRFJ5NU1oVGRWMGY0clFSaVVSZU1nempQd0MraVROL1BZQitEUTBOc1QzL21Qa1R5N0orQmVEYjJ0cmFuVkc1WlZsUENDR09BUkRiQTBRSVVjM016d0hRaFJET0RLTlBBVHdOSUJiMTBqU3RsWmsvbEZLR0FZeHc2RFlDZUJOMkplRW9Vc3AxUW9oUGlXaHRuTStmQWVnTklPelFiUkJDVkJQUlZyZmJIVnRLUVVTYm1iazJVVEEzRVVTVUNpQzJ3N1hMNWRJQnloYUNqQlpMcW91bFFxRlFkQTQzTmpadVNFdExPeUVxSUtLSkFLNk1SQ0tqTlUzYjdUSzM4dkx5MWFacHZnQmczcjVVbG1UbThWMWQ1cVk0TWpqaGhCUDJyS1JRS0JTSEVGM1hrd0NjUmtSWnpQeG1kL3VqNkJra0pTVmRUVVRQU0NuYkphd291czVoRmNRRHNMRzJ0dFpaVG5KbFJrYkdLQUFmQU1pdXJhM2Q3R2dyMW5VOWZuOGFEek9UMSt2dDdSUXljd29SUVFpUkZ0OTJBSWlVbFpXVkFTakx5Y2w1SlNrcGFiQ3U2eU1CWEFIZ2tqVnIxcVN1V2JNR0N4Y3VSTDkrL1pDYm00dlJvMGRqMUtoUlNFcEtPc0N1SERwV3JHaFhXVk9HUXFGdkU2aEZsaTlmWGdtZzBpa3NLeXRiQ2FERGhyV0pOZzBQaFVMTDBiWjBOMTQrTjE1bTcyUDBZQUw1dXdEZXo4bkpTWW5LU2twS212THk4djZvNjdvcGhIak80Y08ya1NOSGppV2lGS2VOY0RqOGttRVk4NXVibTNjNjVWTEthNGtvZWV2V3JiSGdYa3RMeTc4OEhrOTVhMnRydy9MbHkyT1ZEQ09SeUVRaFJEb0FaeEdWSUROZndjekNPVTltbmdYZ2N5bGxMTk93b2FHaHlaMlU5bVlrTEkrMUpKTWpKcWxRS0JTSy81TEN6THZzbDE5ZlJvV21hWjVFUkI4SklWWXhKOTdlVHRPMFhkRTlXUU9Cd00xNWVYa0RYUzdYaEwwWU8xTUk4VGd6cTVSYmhVS2hVSHluYVd4c0RDY2xKWDBFb0JjejEzYTNQd3JGa1VKUEQrSmxlcjNlYkR1QUFXWitNU01qNDRaRWlrUlVsZTJtalZVQUFDQUFTVVJCVktCQXhEWUFtWTdQL1lrb2c0aTJ4eXZhL0NlNjk5bkJ3SzRPVzQrMkFOWHJlWGw1cVlaaDNDQ0UrT1hPblR1UDJybHpwM3ZObWpYYXYvNzFMN2pkYmx4NTVaV3ErdGlodzNKVzd3WEFGUlVWRFY2dmQ2ZTlIRGlLWEw1OGVTMkFkamV5UkRJQWlCYjhjTEp5NWNwdGFQdHV0c1BlQkRTK2Z4MkFUK0xsZ1VCZ0hRQm5vQlNWbFpVdDN4dFd0RWdJWEErUVIwcFcyWGdLaFVJUmg1M0YzRzdqU1ovUFZ3eGdLSUNoUW9qT25oRmdXZGJsQU9aSFA5dHZsMmQxZGV6Q3dzSXNJY1RqUWdoVitVZWhVQ2dVMzJsMFhkZUVFRDRpT2twSytjYWVleWdVUUNBUW1BRmdSbmY3MFpQcDZVRzhKNFFRVHdDQS9WYjhCV1plYW45MjI5VnBCNkJ0bmhhQWVjeThKTnFabVozN3VvR0lSZ0pZek16M2ROVUJJdnAwejFyN1JrVkZSUU9BWndjUEh2eHl2Mzc5ZkVLSWl3QVVBOGh2YVdrWjlPcXJyeDZzb1JXSEtkK3NEaTBGTUx5Ny9WQW9GSXJ2S3N5Y1FVUTc0bVIzbzIzZjF5UWkrcTJVOHAvT2RpSEVnOHc4V3RPMHovWm5iTU13bXBrWlVrclAvdGhSS0JRS2hlSmdZeWN5TkRKekE3TktEbEFvRGhVOVBZaDNwNVJ5UGdDMHRyYlcyRUd2UlQ2ZjcxUWllZ3JBRmlubHZVS0kyY3c4RHNBMEl2TDcvZjcvUTl3R2lqNmZyeERBOTVqNW1XaFYwcTZRbjU5L2xKUnkxd0djVXdmc1loaExBWHhjV0ZqWVR3Z3hsSWhNWnI0Y3dDbEU1RDZZNHlzVVBaMXdPSXd0VzdiZ3FLT09PbUEyVzFwYXdNeXh5b0FLaGVLd1lUaUFqNk1mZkQ3ZkNHYitFWUNIN2Z2dGVNdXluaTRySzlzT0FLWnBuczNNbHhIUnpTVWxKUnYzWitDbXBxWjZ0OXZOUkpRQkFBVUZCWDNLeXNycUFDUmV2NnM0WW1scGFZR3U2KzMyU1ZZb0ZJcERTWGw1K2JiQ3dzSkhwSlJKa1Vna3NPY2VDb1hpUU5DVGczaTNNTE0vR0F6R2xnd1dGUlg5UU5PMGU1bjVYQUNQdGJTMFBHb1l4b2tBME5MUzhyYXU2OHQxWFgvTk5NMmJpZWhQUkRTM3BLUWsrclo5TW9DSWxQTGx2WEdpdkx4ODg1NjFEaGhjV2xxNkJXMTdvbjBNWUhwdWJ1N2c1T1RrbnpIekR3K2hId3BGajRHWk1XYk1HT3pZc1FOejVzeEJTa3JLbmp0MWdZa1RKeUlqSXdPLys5M3ZEb2c5aFVMUi9XUm5aM3VJNkZobWZ0WVdFWUNwQU9vaWtjaVRMcGVyUlVwNXRhN3IvOGpKeWJrZ05UVzFnSWptQVhqVjcvZS91TC9qVjFSVXRQcDh2azBBaGdDQVlSZ1ArbnkrNy92OS9wUDMxN2JpNExKOSszWnMzTmcraGl1RXdQRGhIWlBmWDNycEpiUzB0T0NXVzI3WnA3RTJiOTZNQ3krOEVCTW1UTUNZTVdQMnlZWkNvVkRzTC9uNStYMDFUWHRRMDdSQm1xYmRCNkRETmtFS1JUeUZoWVduYXBwMlBSR3RycSt2LzB2Y2xsV0tMdEJqZzNoK3Z6OVdBY2ZuOHhVejg4dEVOSXlaNTBZaWtSRmxaV1ZyQUtDb3FDaldwN1MwOUxQYzNOeVJLU2twRHdLWUtxVjhwTGk0T0plWnJ3Vnd1WlR5aVU0S0xIeG5XYlZxMVFZQWp4WVhGejhXREFaM1d5MVBvVGdTSVNMODZFYy93c01QUDR3bm4zd1M5OTNYb1poeVFpS1JDQm9hT2k4cWVmWFZWMlBtekpuNDVwdHZrSjZlbmxESDVYSWhPVGw1bi94V0tCU0hub3lNakxNQjZGTEt6d0hBNS9PTkIzQXVNNDl6Wk42ZEEyQnBlbnI2eHdDT1plWUZnVURncHdmS0IyWXV4MzhyaS9jRDBIcWdiSC9YeWN2TCs1NnU2ODMyQzhzZXhiLy8vVy84NFE5L2FDZnplRHo0K09PUDI4aysrZVFUVEpzMkRVU0U0NDgvSHFacFFxRlFLSG9pa1VoRU13eWpINENCVWtyMXdLdm9FcHFtalNTaVc1bDVpY3ZsK2h2aTlpRlc3SmtlRzhSejR2ZjcvVjZ2OXdrQS83WTM5TytVVmF0VzdRVHdxK0xpNHNjQUhBMGd6TXlQRUZGSlRVM05wRVBoNzhFZ1dnMVBvZGdkMlVPOVhtajhBQUV1dHVpQnFxK0N3ZTcyNlZCdzhjVVg0NDAzM3NEaXhZc3hZY0lFcEthbTdyRlBTVWtKYnJ2dHRqM3FYWDc1NVoyMlhYREJCWGowMFVmM3lsZUZRdEY5TVBOVlJMUXhGQW90ODNxOVp3QjRuSm4vRlF3R24zZW85U09pdFFCT3RmdDhYVnhjM0tla3BLVG1RUGhBUkVzQVBHS2E1bUFBeDlsQnZTTUNqOGZ6RTJZK3p6VE5BSUFQV2xwYTNxbW9xT2d4UVV3aEJONTY2eTBBd0VNUFBZVHQyOXZYUUttcHFjRWpqenlDSC83d2g5aXhZd2NlZXVnaC9QV3ZmMFdmUG4xMmEzZkhqaDM0OWE5L2paLy8vT2NvTEN6czBDNmx4RzkvKzF1TUhqMGFwNTEyMm9HYmtFS2hVT3lHNXVibVpvL0hzd2hBSHlMYXIrMGtGRWNPekZ4S1JGT1p1ZEt5cklPNkxkbmh5bUVSeEFQQXdXRHd1VVFOb1ZCb0tkcVd3N1REZnRpdUFRRFROQzhqb3ErcXE2dWI0dlVVaXNNS0RiMUJHTVVnRHpUMDdtNTNEaVFMRml6QSt2WHJPMjBmUEhnd1JvNGNpYi8rOWErZDZnd2FOQWhYWEhGRk85bUxMNzRZeTZhVFVtTHg0c1VZTldvVWtwS1MydWx0Mzc0ZEpTVWxPUHZzczJPeXRMUzBmWm5LZHhZcE9TSUVkZ0JvVWRXTkZZY2JQcDh2QjhEMVVzcnBQcC9QWk9hRnpMdytFb25jWUpwbUpvQUxpT2dHQU9jQytJeVp6d1p3RmhIZHpjeDMrWHkrdWN6ODczQTR2R2gvdHRxd0xPdXZtcVpOQnZBa2dFSWltbmxBSnRnenlDU2lVOUVXSUwzZDdYYlhtNmI1Q29CbmhSQmYyUzhzdjlNdkxRY1BIb3h3T0l3VksxYmcybXV2amNtYm01dnh5MS8rRWg2UEIvZmRkeCthbTV0eDdiWFhZdno0OFhqMjJXYzd2Vi9zM0xrVDQ4ZVB4NG9WSzNEZWVlY2xET0kxTkRSZzllclZXTGh3SVc2Ly9YYmNlT09OQjIxK0NvVkNFYVYzNzk0ZUlqcVRpTElBdk4zZC9paDZCc0ZnY0JtQVpkM3RSMC9tY0FuaTdSZUJRT0NUN3ZaQm9WRHNINHNXTGNJWFgzeXhYemFLaW9vNkJQR09PZVlZdExTMEFHajdFVFp6NWt5TUdqVUt2WHYzUm5KeU1ob2FHc0RNV0x0MkxXYk5taFhMek5NMERabVptZnZsejNjTlZkMVljVGdqcFR4SkNORWNpVVFlYzd2ZEZqTXZ0aXpyTmszVHJrTmJRQTNNL0I4QVZ3Y0NnWGwydHc5TTA1d3VwWnhJUkQ4bG9wdGNMdGZHNHVMaUVZNDlkL2VLVUNqMHJjL251eFBBRkdaZXRuMzc5cjhkbUJuMkhGd3VGOUxTMGxCYlc1dk96TDlnNXB1bGxFSFRORDlsNXFWU3l0TFMwdEt2RVZlazdMdENLQlJDVTFNVFRqLzlkQURBcmwyN2NPZWRkMkx0MnJWNC92bm5rWlNVaEtTa0pFeWZQaDFqeDQ3RmpUZmVpRC8rOFk4NDdyamoydG1wcTZ2RDdiZmZqaFVyVnVEQkJ4L0VKWmRja25DODlQUjBQUGZjYzdqbm5uc3diZG8wckZ1M0R2ZmZmejkwWFQzbUt4U0tnMGREUThPdTFOVFVmd0xJc0RQVUZRckZJVURkM1JVS3hXSEIxS2xUOTdwUFUxTVRwSlI3TEhaeDNubm50ZnQ4MDAwM0FRREdqUnVINTU5L0hsTEtXTnVGRjE0SUFPalZxeGNXTFZxMDF6NHBGSXJ1SVJnTXZ1TDFlbGM3c3VndUFZQ2NuSnkvcEtlbmkwZ2tNciswdExRNnZsOGdFTmdBNEY0QXYvYjVmS09ZdWNudjkrOVRBQytLMys5L0NzQlQrMk9qSnpObzBDQTgrT0NEV0xWcUZSWXRXb1N5c2pKWFMwdkxpUUJPSktJeFJMVEc1L090c2l6clhXYitkNkx6MHAwc1c3WU1tWm1aeU0vUHg2Wk5tM0QzM1hkajdkcTFtRDU5T29ZTkd4YlRHenAwS0o1KyttbE1uRGdSTjk1NEkyNisrV2JjY01NTmNMdmRXTDkrUGY3bmYvNEgxZFhWZVBEQkIzSHBwWmZ1ZHN6azVHUk1uVG9Wa3lkUHh2ejU4MUZUVTRQSEhudE1WVkJYS0JRSERTbGxLeEd0QXBBZURvZTM3N0dEUXFFNElLZ2dua0toT0t4WXNXSUZKaytlakR2dnZCTW5uN3o3Z280TEZ5N0UxS2xUOGRCREQzVUkxRG41N0xQUFVGVlZoWWtUSjJMVHBrMTQ0SUVIY01ZWlp5QTlQUjAvLy9uUE1XUEdETHo3N3J2NDl0dHZNV3pZTUV5ZVBCazVPVGtIZW1vS2hlSWdFd3dHTzZUelZsWld0Z0NZM29YdWx0L3YvK2pBZTNYazRYYTc0ZlY2NGZWNmNjMDExMkRMbGkzNHozLytnMWRlZVFYZmZQTk5HaEVWQVNqU05PMUhBR0NhNWlJcDVSOUNvZEFIK0E1azV5MWJ0Z3lublhZYXZ2enlTOXh6enoyb3I2L0htV2VlaWRXclYyUDE2dFVkOUMrKytHSjgrdW1uZU9xcHA3QjE2MVpjZWVXVkdEZHVIQm9iRy9IWVk0L2hyTFBPNnRLNHVxN2prVWNlZ1dFWVdMQmdBU1pQbm93cFU2WWM2T2twRkFvRkFDQTlQYjBQZ0x1SUtFdlg5YzBBU3J2Yko4VjNIOU0wYnlXaVo1aDVTVXRMeTNVVkZSV2J1dHVubm9ZSzRpa1Vpc09LZnYzNm9hcXFDdlBtemR0akVPK2RkOTVCUzBzTGNuTnpkNnNYREFZeGFkSWszSEhISGZqTmIzNkRqei8rR004OTl4eGVmUEZGeko0OUc1OTk5aG51dXVzdS9PcFh2OEw5OTkrUENSTW00TGJiYnNORkYxMEVUZE1PNVBRVUNvWGlpS04vLy82NDZxcXJjTmxsbDZHeXNoTHZ2ZmNleXN2THNYbnpabno3N2JlUVVwNnBhZHFacG1tdUIvQVdNMy9LekJYaGNQaXJScmxIOHdlVTV1Wm1yRjI3Rm1lZWVTWXlNakxRcjE4L2pCa3pCaSsvL0RLQ2RpMnArdnA2RUZGc0h6eVh5NFg1OCtkajVzeVp1T1NTUzlDdlh6OE1IejRjWThlT2hjL24yNnZ4aFJCNDhNRUgwYnQzNzkwV1hsSW9GSXI5WmR1MmJhMFpHUmxsQURaSktWVW1ua0p4aUZCQlBJVkNjVmlSbVptSjAwOC9IWXNYTDhhV0xWdlF2My8vaEhvYk4yNUVLQlJDVVZFUnNyT3pPN1ZYV1ZtSjIyKy9IWk1tVFlydGIzVDc3YmRqNTg2ZG1EWnRHcjcrK21zODlkUlRxS3FxQWdDTUhEa1NmL2pESDNELy9mZGp4NDRkK01sUGZuTGdKOWxORERtdU1GOHo2QzRDWEpFd1Qxbi9kZWwzb21wbVVWSFJzSEE0dktHaW9xSUJBSEp5Y3RLVGs1TUhBVUJwYWVrcWg5NVJ6SnphM055OGJmWHExYkZLb29XRmhibnh1c09HRGN2MGVEeDlpYWdoRkFwOUc2L2IyTmdZcThMR3pHRG1yTUxDd21NYUd4czMySmxieU12TEc2anJlcTg0RzRiWDZ6MUtTdWx1YUdqWXRHYk5taDBBa0pXVmxaU1JrZkc5ZUQraU5ob2JHMnNyS3l1M0p2QTV0aTlZUVVGQkh5THFEMkJYYVducEJnRFNsaDlMUkFZemJ5a3JLOXR1OSs4dmhEaGVDR0dGdytIUEhmSjhJY1J4QUhZRWc4RWw5dkYwcDZhbUhnOGdFMEFvR0F4V1JZOXphbXJxYUFBSUJvTnZSWDB6VGJPSW1iT0pxQ29RQ0lTaWNxL1hleWtBTkRRMExLNnNyS3kzWmRrQWlnRFVORFEwZkJrOWRuWmwyRjVTeXE5TFM5dStad1VGQlgwTXd6aFJTcWxKS2I4c0xTM2RFcDJmcG1rRkFCcUR3ZUI3MGVOc211Ynh6TndmUUVVd0dQektsdXRlci9laUJEN25NZk5RWnY0bUZBb0ZIUEo3QVNBY0RyOWFYbDYrSGdEeTgvTkhHSVp4aVpSeVN5UVNlV3Y1OHVXMUFGQlVWSFNGRUdJb001Y0ZnOEczSGNmNUVpTHF5OHh2UlAwb0xDek0xelR0SWdBSUJBS1BPYzdySlpxbWpaQlNmbXdYNW1ybmgxTzNxS2pvQjBLSVU2U1VYNFZDb1RmaWRTM0wrbWYwMkhtOTNxRkVkQWt6NzVCU0xvZ2VPNi9YZXlFUkZRRDRKaEFJL0EwQWpqMzIyRjVwYVdsWENDSDZSeUtSdDh2S3lzcnNlUTh4RE9QNmVEOU0wN3laaUg3QXpQOTA3QlVJbjgvM0lnQTBOamJldlhMbHltMjJ6K2RxbW5ZZE01ZHQzcng1eG9ZTkd4cHQzY2NCWkRMemlVUWRhcEhGMEhVZHc0Y1B4L0RodzFGZlg0L3E2bXFzWExrU1gzNzVKYjc4OGt0czI3WnRDSUFKQU1ZUjBUcVB4eFBrVnJtMUtRTFJxZEVEak1mandhMjMzb3BubjMwVzU1MTNIdWJPblFzaWFsZHM0dFpiYjRYYjdjYTBhZFBhOVIwL2ZuenMzMDgvL1hTblkyUmtaT0Q1NTUvSDRNR0RFN1lURVNaT25MaWZNK2txakhTUDlpUDdlL0JudjkvL0lnRGs1ZVdsdXQzdWp3QWdFQWlZVVczVE5HOEhNQWJBZ2tBZzhKQkRIckI5SCt2Myswc0FvS2lvNkR3aHhCUWlXaVdsdkM5NjdmRjZ2ZjlIUktPZE5nb0xDM04xWGY4OU14OGpwYndyRkFvdHRuWFBJS0luRXZneEJjQjVBSjROQkFJejR2MXc2dnA4dmpITWZEc3pMMjV0YmIwdldqSFo1L1A5aDVuVGlPaEJ2OSsvMFBaNXRLWnB2MmZtYlpabDNSVzlubnU5M3J2dHdqaGZCZ0tCVyt5eEJnT1lBcUFBd0VPQlFHQ0JiYmVZbVo5UDRQUERBQzVoNWxlQ3dlQWY0MzBXUWx4WVVsS3lFUUFLQ2dyTzFuWDlHbVplVlZOVDgxUzBlSjlwbXI5SFd3R1pCVkdmQ3dzTGN6Vk51d1VBTE10Nkx1cXp6K2U3bUprdkFWQVRDQVR1QjlydVZabVptZU9KS0RjU2ljd3RLeXQ3SHdDR0R4L2VOeWtwYVlydDh5MVIzNHFLaXE0UlFwd3RwVndXQ29WZWRQajhIQUJJS1I4UGhVS3JBU0EvUDMrVVlSaGptSGxOYzNQenpPaDF3ejUydWN6OGNUQVluR1hyRGpFTTR6WUF2Wmg1WnRDT2tIdTkzbEZFTkFaQVl5QVFpUDRSNkY2dmR4d1JtWkZJNUkyeXNySi94ZnZoOU5tK0RsOHNwZndpRkFyTmpOZGw1cWNjNDNtSmFEeUFUZUZ3ZUdiMFB1SDFlbThpb2xPWU9SQU1CcDhHMnU3bmJyZDdISUFodHM5ZjJNZG9tQkRpVndtTzNSZ2h4Q2dwNWIvaXJ2SFBBY0RXclZ0dmo1NVh4L2t1cjZtcG1SbC92Z0hNQ1FRQ0g5aDJSd29oeGdFSVJ5S1JwOHZLeXRZNHp4V0E5WUZBNEJFZ2RwOGZaNS92MldWbFpSODZqditEekp4Q1JIMklxSjhRd2lncUt2cXhFT0owS2VXSG9WQm9kcnpQNFhENGtlZ3hLaWdvT0YzWDlSOHo4NXFHaG9hbm9zOEZwbWsrQ0dDSWxQTDlVQ2cwMTlZOVZ0ZjFXd0FrU3lsbmhrS2g1YmJ1V1FDdVRYQyt4eE5SdnZOOFoyVmxKZlhyMSsvUENjNzNTYnF1ZTVtNU1ucU1BTURuOC8zYy9vNitHNzMyNU9mbkgrZHl1YzVtNWhwbS9pQVlETmJaeCs1Y1RkT09rVkt1aWo0N2ViM2Uza0tJOHdEMGJtMXRmYis4dlB4clc1NXR5K0gzKzU5MUhLT3ppQ2ludGJXMXBMeTgvTXQ0UDVxYm0xK01YbnU4WHE5WENIR1NaVmxWb1ZEb2ZRQ1dyWHNUQUxkbFdZc2RmMWRERE1NNGw1bWJwSlR2Tys3L280UVFCUUEyUks4RnVibTVhVWxKU1djSklRWkVJcEVsMFd2QjhPSEQreVluSjE4VjczTmhZZUdwdXE3blNTbkw3R0lWOFQ2L0VuMDJMeWdvS0RBTVl4U0FEYTJ0cmY4MERNTXJoR2lvcUtpSVBZOHJ1czRoZTZoUktCU0tROFdWVjE0SktTWGVmUFBOVG5VV0xsd0lBSjFtS2tUM3VSczJiQmplZXVzdFhIVFJSVEFNQXovOTZVK1JscGFHdkx3ODNIbm5uWGorK2VlUm1abUp3WU1IWSt6WXNRQ0F3c0pDekowN0Z6ZmNjTU1CbmxuM29oa2lFNFFMQVBwaFJxcjRpOC9uWTYvWGUwZTB2Ymk0dUpmUDUyT2Z6OGZPZnFacC90Nld2K2lVUjNWTjB6dzlLdk42dlRmWnNrQkJRY0Z3aCs2YjhUYThYcS9YNS9PdDBEUXQ1SEs1WW1XQlUxTlRMOWQxZmFXdTZ5dmIrYTlwMDNWZFg1bWFtanJCS1Ura201cWFPa0hYOVpXYXBrMVBwSnVhbXVyODRoaENpTC9vdXY1MmFtcnFpS2pRNC9IOFB0NkcxK3M5aW9qZTFIVjlaWHA2ZXN4R3YzNzlUa3prUjlSR1dscmFYWW44TUUzektNZjhmbXFQOTV6WDYwMTM2SDVneTI5MHlIeEU5QXFBV1VTVTY1RGZMSVNZSC8zUkN3QXVsNnNQRVQxcXk4K1B5dFBTMG80UlFzd1hRc3hIZTI2MVpiYzZoVkhkdExTMFk2SXlJanJmdHZ1b3krWHE0NUEvSVlTWXIrdjZ6UTVacnUzdks3cXV4OUtUTkUyNzJMWVIrN0hsOVhwVEFEeG95NitNeW91TGkxTTY4ZmtuUW9qNW1xYmQ3aFFTMFJRaW1tSVl4ckZSbVdFWVJVUTBSUWh4dXhBaTlwWkEwN1NmMlBLckhYTWVMSVQ0SlJGTkFURFNJUytPMm5hT3AybmFkVVEwUmRPMHM1M3lUblRQdG5WL2traFhDRkhzRUkrMHorRXZoUkN4eUk4UTRtcmI3cmlvTEQwOXZZOFE0bmJiZHN5R1lSakhKdktEaUg0QTRDWUF6dkZneTI1S1NrcEtkZWptMmZKeit2ZnY3NHJLbWZrcUFEZlo3VjBpUFQwZGVYbDV1T0tLSy9EOTczOGZnd1lOUWpRQVNFUXVJaHJLekpjS3dna01QcVFwMFRmZWVDTUdEaHlJR1RObXhIdzZrTlRXMW1MczJMR3grMWgzUWlDQXVDOFJlWmw1UUZTZWxKU2tFWkdYaUx4eFhRYlo4dSsxczJQck1uUHMreUtFNkdQTGNpM0w4ampreDhUYkVFSWtBUmhoeTNzNVRQZnF4SStqYmZuQVJINDRaY3c4Z0lpOFFvaGpHaHNiaFVOZVFFUmVLV1dHbzM4dnRMMll5TE45aXZwM2xHMDN4OUhmUlVSRDdUbG1PT1NwaWZ3Z291L1pmaHdWSi9mYWZzVCtwalJOeXllaXNVUjBVV1ptcHR1aGZpMFJqUVVRdTRZS0lRWVIwUTFFZElNUVlwQkQxMmZyeHNvc1oyWm11b25vSWlJYXEybGFmbFNlbEpTVWFvODMxdW1icG1rbjI3cW54Zms4bG9qR09zZlRkWDJZTGJ2RTQvR2tPWFF2c3VXbk8zVDcybk1aQThENUpuYW83VVBzZnBlZG5hMExJYzRob3JHNnJoY2w4c01wcysrUFk0VVFvenZSUGRvaHpyYmxWOWsrUlkvcDZiYU5jeHpIb2plQXkyMzk0eHk2Z3pvNWRxZlpOazVJNU1lQUFRTVNuZS96RTUxdlpzNTM2QTRCY0tOOXpwMzNzSk50SDJMUEppNlhLemw2L0hWZGp6M2ZHSWFSWVk5M0hZQXNBRWN6YzZvUTRoVGI1MU1TK1d3WVJ1eDdydXY2aU9qNWRybGN5UTcxeSszdnpNbU8vdjNSOWoyODBmWWZBTURNK1luT054R2RIMysrQnd3WTRPcmtPRjhHWUFhQWRuSmJOZ050ZjgvUmVaOWd5MzVqV2RaQWg0MWZBSmdoaFBocFZHYTNUd1l3dys0WHBjaGgyOGxZQUROY0x0Y1BFL21SbEpRVXU1N1l6Mkl6TkUyN05UczcyM0FjanljQXpDQ2k3MGRsTHBkckpCRk5KNkwvQlJCN2xyR2ZWV1l3Yyt6NU1pa3BxYThRNGw1N0x0OTN5TE1TK2F4cDJ2VzI3dFZvend3QU05eHVkMStIN2xuUjhhU1U0VUFnRUNvcEtmbk9GcWo2cnFNeThSUUt4V0hIaVNlZWlLeXNMTHp4eGh1NCtlYWJPMVRvWTJhODlkWmJTRTlQeDdubm5wdlFSbk56TTRDMllOK1RUejdacm0zdTNMbWRqdjNpaS8rTlUwMllNQUhYWFhmZHZrNUQwVVdZdVlhSVdxS2ZpYWlGbVR1ODJXUG1lZ0Exek53WTN6OWVWMHJaU0VRMUFPb1Q2ZHBqeE1RQWRqRHpkaWxseEtIYkFLQ2RqVWdrWWhtR1VXZjczT3pRRGR1NjhUNUhiU1QwT1J3T1M0ZXN5WDQ3WE4vUTBCQ1RFMUd0L1hEZEZKVlpsdFVnaEZnTm9GWFR0SmhjU3JsRkNMR1NIRlhtSXBGSXhPMTJmd05nSlJGdGQ4aGJETU5vRjNTMC9kaE1SQ3VaZVhOYzA4cG9QNGR2MjIzNU41RklKT0tRcndYZ2tWSnVpY3BzUHlzQnVDekxha2hnSTVZeDJkVFVaS1drcEt3SHNKS1p0MFhsRFEwTk1pVWxwWVBQQUxiYXVodmo1RXZ0T2UySTAxM0t6RjlabGhVN0w4eThnb2d5cFpUUnJEOElJUm9BbEFDb2tWTEcvQ0NpTFZIYlRxaHRnL0NselB4TklqK2NNUE0zUkxTVW1WY2swclhIQUFCSUtiY1IwVElpMm1qN0ZKVi9KWVJZQ3FBc0ttdHRiVzEydVZ3Qkltb2dvdGc1Wk9ZZFJKVElEejhSOVFaUUVkY1VEWlRHanBFUTRtdGJIcEJTaGgzei9qZUEvbWpMU0dwZm9qV09YYnQyNGR0dnYwVlZWUlUrK3VnamZQVFJSOWk1YzJlMHVRbEFGVE5YQVBnUXdPdTd3aGhHUkoyLzBUa0lhSnFHQ3k2NEFDKzk5QktlZWVZWnpKNDl1MTE3YTJzckFPQ1VVOXI5enNXeHh4NkxsMTkrK1pENWVTQmdab1FqL0lXaGliOUxLV1BmangwN2RqU25wNmRQVHREbGZRRE5Vc3BnbkR5cVd4VVZXSlpWcnV2NlpDTGExTkxTNHJ3K3pnRVFkTnBvYlczZDVQRjRwZ1BJdEN3cjlqY3VwVndwaEVqa3h6d0FLNldVSDNiaVJ3d3A1VkpOMHlZRFdGbFZWZVg4d1RrRmdJZUlZbjVZbHJWU0NQRW9NemUwdHJZNjkzbDZCMEFkTTFjNVpIWE0vRHdSdlFQQWVUeXFPdkZqdmhDaUNzQ25pWHdXUXRSRkJmYmZ3Q3dBSzdkczJkSWFsUlBSUEFDWnptTm5XZFltSWNUYzZMOGQ0d1dGRUxQc2V5RUFZTXVXTGEwREJneDRCLy85T3dNQU5EVTFOU1FuSjgrSzk1bVpQeWVpV2N3Y2YrMllGVDhlTTFjQ21NWE1YemMyTmpZNGRLUGp4V3kwdHJiV2VqeWVlV2pMMkhaZUx5dlI5ckluZHQycHFxcXkrdlRwczRpSTZwaTVETzNwNEhOMDNnQStTNlRydkQ1TEtiOFJRc3hpNW8ydHJhMjFqcmtzSlNJd3N6OHFpMFFpTzNSZFh3QWdhRmxXN0I1cldkWW1YZGNUSGJ1bDlrdUFra1IrYk42OHVkV2hHejNmWlluT054elg1M0E0L0sxaEdLOENDRXNwdHpwc2ZFNUVzd0RFNXRmYzNOemtkcnZmQVZBbHBWemxzRkhyY3JsbUFSRE0vSVNVMHJWcjE2NjFhV2xwRW9BSHdDZUpmQTZIdzdGakpLVmNwV25hTEdiK3VybTV1Y21odXdCQWtKay9kK2h1MVhWOUhvRGtjRGo4clVPM0FvblA5M3NBTmpuUDkrYk5tMXY3OSsrZjZEaXZBYkFFY2Zjd1psNWkvelAyL2Jjc2E0dW1hVXNBVk1iZC84c0I5SWI5bkdQck51cTYvam1BVFpabHhlN0hhSHNPWFlLT1ZERHprcmhyUk13UDV6T1MvUjFjQXFBOE9UblorYnkzMUg3ZWkvMWRXWlpWcTJuYWZ3RFVhcHJtZkthdFpPWWx6dXRYYTJ0cnM4Zmo4VE56czVReVprTUkwU0NsN09BekVhMjJmYTVNNUhNNEhHNTI2RlpIeHlPaTFuaGJpcjFEQmZFVUNzVmhCeEhod2dzdnhNeVpNL0hoaHg5MjJCUjgyYkpsMkxScEUzNzg0eC9EN1hZbnROSFUxQVRETURCNjlHZ2NjMHhiNGxBNEhNYWYvdlFuU0NseDc3MzM3bkcvdTZPUFBucTM3VDBWSnVZV0MzLzNrSHlhaUp5RkFCcWxsRGZGNjF1Vzlab1FZaVhhSHE1alJIVWprVWpzb1VjSXNWUktlWk1Rb25iWHJsMGJIVGIrVEVUem5UYkM0ZkEzaG1IY0QyQ1hsRExrc1BzUk0zZFl4eXlsbk1yTWY3TXNxNTBmbG1WMTBBMkh3MjlvbWxicURHSTRkWW1vaklpRzJ2KzJwSlNQQWZpc3BhVmxYVlEzRW9uTUpLSi9PbTNVMWRYVlpHWm1UcEpTcGhOUjdPSHkvOW03OC9pb3lydDkvTmQ5enBtWkxFTklRb0FBdytJaklJVEZES0JXVVVGcTFRY1Z0Q3JXRGI5MW9WSmI3UThYc0ZTcXhhMVd0R2g5QU1VTmxFVUVzUW91b0VBRkZZRWtKQ0ViQWNLK0pHU1paSkxaenJsL2Z5U1pUbFlDaEp6QVhPL1h5NWVaKzl6bm5Hc3lta3crY3k5K3Z6K24vb2lxZXRmWTNWaU8wdExTNEp0TG44LzNsY1ZpMlN1bExNelB6dzk5Y3psRjEvVklWVldEeFI2UHg3UGRhclUrb0NpS1VWaFl1Q2VrN3dMRE1MNDBEQ1A0aGpvdkw2OTAwS0JCTXkwV2k5M2o4ZXl2YlM4cEtkbWJrSkRRb0VwdEdNWjhBQ3NOd3lpcTEzNUg3WG0xYlpXVmxXc2pJaUp5L1g1L1JWNWVYdkFQMEVBZzhKU2lLSkZTeXVBZkdFZVBIdDNadVhQbmh3ekRVSHcrWCtpYjNDOE53MGdQZlZPWW01dGJPV1RJa0pkVVZmMC93ekFPaGJZbkp5YzN5T3p4ZUJiYmJMYnZRdjhJcTJtdi9YUTUyRjVTVXJJcEtpcnFOc013L0RrNU9hRi9OTC9zOVhwZkQvMWpKQ1VscGFCLy8vNS8walJOOC9sOHdRSm9ZV0hoK3BpWW1PQzAzVnFscGFXdlJVUkV6QVVRK2dkc2FJNGdyOWY3TVlEVlZxdlYwMWhmbDhzVkxEeFdWbGIrSEJFUmNhZlA1OU5Edjg4dWwrdk5pSWlJZDBPL2QxbFpXWVVEQmd4NFFsRVVTK2cxZkQ1ZkZvQUdPVkpUVTk4QThFYjk5cFNVbEFiRG5HdW03RFFZUHBhU2t2STdBQmcyYk5ockFQNVUvemhRdmJUQjFxMWJrWnFhaXAwN2QrTEFnUVBRZFIwQUlLWGNEK0JyQU44QnlDb3NMTXlyblU3V1owQnkvOGF1ZDZiMTZORURIbzhIRjExMEVYcjBxRE53Q2dzV0xJQ21hYmp6emp2cnRNZkVCQWZRUXRmMU9oOEtoWEs3M1FDQWJkdnEvMjMvWDcvNHhTOHdlUERnSm8rM0dpRlE1Y2ZXbkIwcGRVWXQxMHlOZjdaKzk1cnBhdC9XYjA5SlNXblF0Mlk2ZUlObEcxSlNVaHA4a2xhek1IcURIWjFycG9NMWxtTTVnT1V0eVZFenRiMUJBVHQwV25tdGpJeU1IQURQTjNMZHIxSDkzMmhRelZTOGllQTFod0FBSUFCSlJFRlVkeHE1N3Q3R010Y3NBZkJaL2ZZbU1xOUxTa3I2d2VWeTZZY09IUXIrVERweTVNaGZZMk5qRlFEQi8rY3pNakoyRGg4Ky9NODFYd2MvWlBINWZGOEMrTGEwdERSWUpEaDA2RkNsb2lpdng4VEVxRmxaV2NHK09UazV4VWxKU1grc244UHI5UzRIOExuUDUvT0h0bnM4bmo4Q1FGWldWakRiOXUzYmYwcEtTa3B6dVZ6NmdRTUhnai9YQ2dzTFg0K0ppVkZEcjVHVmxYV2dlL2Z1ZjAxSVNCRHA2ZW5Cdm1scGFadVRrcEsyYTVvV09pUEFYMUpTOG5aVVZKUVdHUm5wRFdrUDVnamw4L2xXQTFqYmtzenA2ZW5iazVLUy9saGFXbW9jT25Rb21LTzh2UHhEcTlXNnRMS3lNbGg0eWM3T1B1SndPRjZxK2Q1NVFxNlIzOWozcnZZYUNIbXRRblBVL295citkNnRTMHBLK3FHeXNqSVFtcVAyOVE1OXJUSXlNcktHRGgzNnBNVmlrWm1abWNHK3RhK1Z5K1hTYTl0Mjc5N3RjamdjcjlmUG5KbVplVEFwS2VtUFhxODNNU1ltWnJZUW9xdmRicDlaWGw2KzFHcTFybWptZXhkOGI3SjkrL2J2azVLU3RqVHllcjhVRXhPamhqN3Z6TXpNUGJXdmQwWkdSdWpydlQ0cEtlbkhSbDd2LzZ2L2VoODRjS0FxSmlhbXNkZDdNWURQSXlNalF3dUo4SHE5ZDlRY0QvN3VkcmxjUDBSRlJkM1J5Ty8vV1Q2Zjc4M1EzLzlaV1ZrSCsvZnYvNWltYVZwbFpXV3diMFZGeFZhcjFkcmdmWWlpS0s5WFZWVzlqWHEvLzJ0emhIN3ZETVA0TEJBSWZHZTFXajIxVTJ3QklCQUkzQjhJQkpUUTM5MSt2ejlOMS9XSkZvdkZTRTFORGVad3U5MExWRlZkWHYvMy82QkJnNTZXVWxwRHI3RnQyN2E5U1VsSkRUSzdYSzUzckZicllsM1gzVTFrRHI0UFBIcjA2T3JZMk5pTlFnamZqaDA3U3V0ZmkwNU82NC94Sndvak5Xc1NMQVl3d0RDTW05UFMwdXBQMFdwWCtneElIZzBoRndNaUFoSTNGK1NrTmZaSjBKbTVkOStodjRCRmZCclRvVVBpNjYrOGhGRlhqRHp4U2FkaC8vNzl1T21tbTNEUlJSZGg3dHk2STliLzhJYy9ZUFBtemZqc3M4K2FYRk5vd1lJRldMSmtDVmF2WGcyZytvK214eDkvSEx0Mzc4YTc3NzdiNEkreXR2RFR6MXZ4eUdQVFVIajhlR2xidjM2QXVmLzl0RWZKeWNtakZVVlpMS1dNa0ZMZVhMc09DaEdkbXRvaVh2LysvYkY0OFdLNDNXNTgrZVdYK09LTEw3QnIxeTc0ZkQ3VURrYVFVdm9BZksvcitpdGVyM2VUcXFyZTBEOW1hbFgvM01Lbm5UdDFpbjE5MWt2NHhjVWp6a2oycFV1WDRwVlhYc0hHalJ0aHRWcng4c3N2WThXS0ZkaTRjU09PSGoyS1JZc1dZZkxreWVqUW9VT2ROZkYrK3VrbmRPM2FOZmhoVVMyZno0ZXJycnFxaWJ0Vmp4YlhOSzNCU1BOYWp6NzZLQ1pNbU5DcXp6SFU0U05IOGNEdkgwRldkcTVIR25oaWI5NzJsdXpnVEVUbmtPVGs1RDVDaURWQ0NJZGhHSk5yMXl3a29qT0xJL0dJd29taEg0R3FMaFVHTEZMcTUvUjIzajE3OXNTUUlVT3daY3NXRkJRVUJEZXYyTE5uRDM3ODhVZU1HVE9teVFJZUFPemJ0dzhPaHdOQTlRaVFwNTkrR25sNWVkQTA3WVIvR1BYcjF3L3Z2OC8zTVVSRXA2S29xQWpUcGszRGhnMGJnbE5QcFpSdUFNZUVFRHVsbE4vNC9mNlBheGRJYjAvdXV1c3VIRHAwQ0Y2dk43aVc2c3N2djR6YzNOdzZHMWNBMWFQdFpzK2VqV1BIam1IdTNMbm8xNjlmOEpqVmFzV21UWnNhdmNmUm8wY3hkdXhZUFBqZ2c4RzFXSW1JMmxwaFlXRjVRa0xDTzFMS0RsTEszQk9mUVVTdGdVVThvakJTa0plUmd5YW1LcDJMN3IzM1hoUVhGNk5yMStCYTIzajMzWGNCQVAvdi96V1k5VmxIZG5ZMmtwS1M4T2FiYjJMQmdnWEJrWGRQUGZWVXM5TmtQLzc0WSt6WnM2Zko0MFJFMUx6aTRtS3NXVk85MGJDVWNxY1FZbzJVOG1mRE1IS0tpb295YW5lMWJZOG1UWnFFbkp3YzlPM2JGNy82MWErd1pzMGFiTnEwQ1MrKytDS2lvNlByOUZWVkZXKzg4UVllZlBCQi9PNTN2OE84ZWZQcUZQS0lpTnF6enAwN2R4QkMzRjh6RW04bkdxNkZSMFJuQUl0NFJIVFdDd1FDT0g3OGVJUDJwS1RxalE1ZExoZGNMaGVLaW9ydzFWZGZZZkRnd1VoSVNNRFJvL1hYM1FmaTQrTlJXbHFLbkp3YzlPclZDeXRXck1ERWlSUHh2Ly83djdqampqdlF2My8vNEhVYnMzNzllaGJ4aUloT2owZEsrU21BZC8xK2YwWkZSVVZaUVVHQjU0Um50UVBYWEhOTmNNT2t2WHYzWXViTW1SZzllblNkVFpRTXd3anVXcHVRa0lBNWMrYmd0Ny85TFI1NjZDRzg4ODQ3d1pIalJFVHRtZGZyOWRwc3Rrd0F4eHJiSkl5SXpnd1c4WWpvckplWGw0ZDc3bW13SjBDVE1qTXpNWGJzMkVhUHZmLysrMWkvZmoyNmRldUc1NTU3RGhNbVRJRFQ2VVIrZnZWZUNHbHBhWTBXREdzZFBIaXd5V05FUk5RMFhkZC9VaFJsWWxWVjFlcWNuSnltZjlDZUpUWnQyb1RvNkdqTW1ERURuMzMyR1FvTEM2SHJPdExUMCt2OERrcE1UTVNjT1hQdy92dnZJekV4RVgvLys5L3g3My8vKzRUWGYvdnR0NXZjL0tMV3FsV3JFQnNiZTlyUGhZaW9Qci9mWDJ5eFdHWktLVzFDaUYxbTV5RUtGeXppRWRGWnIwZVBIcGc1YzJhclhLdG56NTRvTEN3TTdqN3JkRHJySEgvMzNYZWJYRWdjQUNvcUtvSnI2UkVSVWN0dDM3Njl3YTZqWjdNNzc3d1Q0OGFOZzkxdVIzNStQaFl0V2dRaEJQcjA2WU83N3JxclR0OCtmZnJnbVdlZUFWQzlzMnhyRmQ0aUlpSmE1VHBFUlBYWjdmWnVRb2lsdFJ0YkFPQ0MwRVJ0Z0VVOG9qQnlydTR1MnJGanh5WkgxcDJLdi8zdGJ3M2ErdmJ0aTgyYk56ZGJ3Q01pb3ZCMCsrMjM0L2JiYjIvUWJyZmJBUUNQUGZZWUhudnNzUlpkYTlTb1VSZzFhbFNyNWlNaWFtMVNTaitBM1FEY1Vzb3lzL01RaFF2K05VcEUxRUpoWDhBTG85Mk5pWWlJaUtocFBwL1BzTmxzYmdBdUtXWEE3RHhFNFNMTS95SWxJcUtXQ3JmZGpZbUlpSWlvY1RhYnpTYUVHQ0tFY0NpSzBzbnNQRVRoZ2tVOElpSWlJaUlpSW1veG44OVhaTFZhL3l5bGpBYXd5ZXc4Uk9HQ1JUd2lJaUlpSWlJaWFqRk4wNklBWEMyRVNBQ3dIOEJPa3lNUmhRVVc4WWlvVGVrQkhkbTVPMkd6MmN5T2N0Ykp5czZGMys4M093WVJFUkVSaFRsRlVhS0VFR05xZHFmOTNPdzhST0dDUlR3aWFsTlZIZy9tem44WFZvdlY3Q2huSGIvZkQxZDV1V24zUDFkM055WWlJaUtpazFOZVhsNXB0OXMvRTBMRStQMytmV2JuSVFvWExPSVJVWnN3aER5bVFCdzJwSXdvYzVsWGlHcU9OQ1JFN2RjQWhDS2E2MjRlS1kvNnBEeHNkZ3dpSWpwNWhZV0ZqWTZxVmxVVlhidDJoV0VZT0hLazhRM0FJeU1qRVJjWGQ2WWpFaEdkVUljT0hhS0VFT09GRUE2THhmS0QyWG1Jd2dXTGVFVFVKdmJ0ekNqbzFYZlEzWXBtNldKMmxxYllOS1ZYaEVYZXJ3aGg4WGlORHp3R2NzM08xQmhkeUtKRE9lbGNkNFNJNkN6MHh6LytFVHQzTnZ3Um5waVlpRldyVnNIdGR1UEdHMjlzOU53eFk4YmdILy80eDVtT1NFUjBRb1poQkZSVlBRaEFGMEpVbUoySEtGeXdpRWRFYmNYWWw3OGpDMENXMlVHYU1uVG8wRXMwUmVzdnBZeUlpbEFMY2xKU09GMlVpSWhhM1YxMzNZV0hIbm9vK0hqSmtpVll2bng1blQ3Ly9PYy9NWHo0OE9EanYvNzFyMjJXajRqb1JOTFQwNHNHRFJvMFhWVlZXM0Z4Y2J2ODRKdm9YS1NZSFlDSWlJaUlLSnhvbW9hb3FLamdQNXJXOEhOMXE5VjZ3ajVFUkdaSlNrcnFZclZhMzlRMGJXbENRc0pvcy9NUWhRdStHeUFLSXo2ak10TXFJbjRycFZEOHFNdzBPdzhSRVZFNE9uYnNHRkpUVTRPUER4OXV1TXpwcmwyN1lMWCtkeE9va3BJU2RPalFvVTN5RVJHMWhCQkNCeEJBOVhMU1JOUUdXTVFqQ2lPSDh2S0tBSHhsZGc0aUlxSnd0bWJOR3F4YnR5NzRPQkFJSUNFaG9VNmZOOTU0QTRyeTMwa3pmcjhmbzBhTmFyT01SRVROY2JsY3VzVmkyYUVveWtIRE1MZ21IbEViWVJHUGlJaUlpS2lOakJrekJuMzc5c1dZTVdPQ2JYbDVlY2pQejhmVFR6K05FU05HNEttbm5zSXZmdkVMVEo4K0hTTkhqc1M5OTk2TEgzNzRBWVpobUppY2lPaS9FaElTTEVLSVM0VVFEa1ZSVnBpZGh5aGNzSWhIUkVSRVJOUUdkdTNhaGNzdnZ4d0FrSlZWZDUrbnhNUkVyRjY5R2oxNzlzVGxsMThPbDh1RjhlUEhZL2JzMmNqS3lzS2tTWk1BQU5uWjJSZzRjR0NiWnljaUNsVlpXVmtSRlJXMVFnZ1JKNlhNTnpzUFViaGdFWStJaUlpSXFBMU1tellOdTNmdmJyYlB2SG56TUcvZXZEcHQzMy8vUGI3Ly9uc0FnS0lvMkxKbHl4bkxTRVRVRW9XRmhYNkh3N0VmUUdsbFpTV24weEsxRVJieGlNSklud0hKb3lIa1lrQkVRT0xtZ3B5MDlXWm5JaUlpQ2hmdnYvOStneW14eGNYRldMaHdJVDc5OUZOTW16WU5CdzhleExKbHkvRFFRdzloM0xoeGRkYkZBd0FoUkZ0R0ppSnFWR0ppWXF6RllubFlTdW13MiswSEFhU1puWWtvSExDSVIwUkVMZVB4NVFpYjVWRXBEQldlUUk3WmNZaUl6alkybXcwSERoekFuajE3a0pXVmhkVFVWR3pmdmgwOWV2VEFyRm16TUhyMGFFZ3BrWmlZaURsejVtREJnZ1VZUFhvMEJnNGNpRjY5ZXFGang0N0JIV3Z0ZHJ2Sno0YUl3bGxaV1psaHM5bjJBNmlTVW5yTXprTVVMbGpFSXlLaUZpa295RG9DNEdPemN4QVJuWTNXclZ1SEo1NTRBbEpLQ0NGdzNubm5ZY1NJRVpnMGFSSXV1dWlpNEFnN0lRUis4NXZmNElZYmJzQzZkZXZ3M1hmZllkNjhlU2dxS2dJQWFKcUc1Y3VYczRoSFJLYUtqNDhIQUpzUUl0THY5eXNuNms5RXJZTkZQQ0lpSWlLaU0yelVxRkdZUG4wNkZpNWNDSy9YQ3dEWXVuVXJ0bTdkQ2dEbzFLa1Q1czZkQzQvSGczdnV1YWZPdVRFeE1UQU1BejE2OU1Damp6NEtoOFBSNXZtSmlFTHB1cTVZTEpaT0FCSTFUYk9Zblljb1hMQ0lSMFJFUkVSMGhpbUtncHR2dmhrclY2NkV3K0hBZGRkZEZ6ejI0NDgvQmplck1Bd0R1M2Z2eHNTSkU5R3ZYNzlnbjJYTGxpRXVMZzVPcDdQTnN4TVIxV2NZUm5FZ0VIZ0JnRjFLdWRYc1BFVGhna1U4SWlJaUlxSTJkTjU1NTJIczJMSEJ4NldscFExMm5MM29vb3R3MldXWEJSLy84TU1QcUt5c2JMT01SRVROc1Znc1VacW0vUkpBZ3BSeUQ0QnNzek1SaFFNVzhZaUlxRVc0dXpFUkVSRVJBWUNtYVpFQXJoUkNPS1NVbjVxZGh5aGNzSWhIUkVSRVJOU0dsaXhaZ2s4KytTVDRPQkFJSUM0dXJrNmZ4eDU3RElyeTM3WGkvWDQvTHIvODhqYkxTRVRVblBMeWNqMDZPdnBuQUhsQ0NKZlplWWpDQll0NFJFUkVSRVJ0YU15WU1aZ3dZVUx3OGJmZmZvdDE2OVlCcU42ZFZsRVVQUHp3d3hnMGFGQ3d6L3o1ODlzOEp4RlJVMncybTFCVmRaQVFvb2RoR0l2TXprTVVMbGpFSXlJaUlpSnFJeDk4OEVHRE5xZlRpY2NmZnh3QUVCa1oyV0I5UEFCNDg4MDN6M2cySXFLV1VoUkZBcWlVVWxaSUtRTm01eUVLRnl6aUVSRVJFUkVSRVZHTFpXWm1GZzBaTXVRcHd6QWlQQjVQbHRsNWlNSUZpM2hFWWFSbUk0SnVadWNnSWlJaUlxS3oxOUNoUXp0cG12YWNsTEtieFdKNUNzQitzek1SaFFNVzhZZ29MQTBkT2pSYVZkV0UwRFlwWlRjcHBTcUVVS1NVWFoxT1orL1E0MTZ2OTNoV1ZsWkYyeVlsSWlJaUltcGZmRDZmcHFwcUlvQWV1cTdiemM1REZDNVl4Q09pc0tRb3lvVkNpRTJoYlVLSTBLOGJMRnBrczlsR0E5aHc1dE1SRVJFUkViVmZWVlZWM29pSWlQVkNpRGdBUjh6T1F4UXVsQk4zSVNJNjk2U2xwZjFzR01idWx2YVhVaGFrcHFiK2NDWXpFUkVSRVJHZERlTGk0bXhDaU5GQ2lPdFZWZTFxZGg2aWNNR1JlRVJocEh2Ly9nbFdFVEZDU2tYeG8vTG5RM2w1Uldabk1sRUF3SHdBTDBncEFkUWRpUWNBOWRvWEF2QzNaVUFpSWlJaW92YW9vcUxDYmJmYlZ3R0lGMExzTVRzUFViamdTRHlpTUdKVm9nWkRFZThKRlI5WmxhakJadWN4bXhEaU13Q3Urc1c3ZW4wZ3BYVHJ1cjY2N1pJUkVSRVJFYlZyWGdDcFVzck5BQXJORGtNVUxqZ1NqNGpDbHBUeWtCRGlSd0RYTnRkUENKRVpDQVFLMmloV3UxV1FrN1l4dm0vZkN3Q2dPRCsvMHV3OFJFUXQ1ZmY3a1pXZGEzYU1jOGJ4NG1KVXVxdk1qa0ZFSnJMYjdmRkNpTDhJSVJ5R1lVd0drR1YySnFKd3dDSWVFWVd0dExTMGNxZlR1UW5BTlFDRWxESTRwYloyS3Eycy9pSXRLeXZydUdsQjI0OUFjWDYreSt3UVJFUW55MVZlamxkZmZ4T3FwcG9kNVp3Z0RZbktLaGJ4aU1MWjhlUEhmZkh4OFJrQWpoaUdVV0oySHFKd3dTSWVFWVV6WFVxWm9TaEt1WlF5cHJFT1FvZ3FLZVVXY0QwOElxS3pUc0RuUGFqWnJBV0dsSW51S2c0Z1BnUEtoSkQ1Wm9jZ29yWVhGeGVuS0lvU0o0VG9yQ2lLeGV3OFJPR0NSVHdpQ211R1lXd1ZRaHdEMEdnUkQ0QkxTdm1mdHN4RVJFU3Q0OER1N0YyT0FVTW1hbEE3bVozbFhHUkFMOS9uTGQ5aGRnNGlhbnVLb21nQUhBQWNVa3E3MlhtSXdnV0xlRVFVMXRMVDB3ODRuYzUwSVVSZktXVndHaTFRdmFtRllSaVphV2xwTzAyTTJHNXdkMk1pT2dzWkIzSXlNc3dPUVVSMHJxbW9xRGhzdDl0dk13ekQ2bmE3dVRzdFVSdmg3clJFUk1BSFRSMFFRc3hyeXlEdEdYYzNKaUlpSWlJQVVGVzFreERpV1ZWVlgrL1FvY09sWnVjaENoY3M0aEZSMkNzdkwvOWFTbmswdEUwSUFTbGxZWGw1K2VkbTVTSWlJaUlpYW84aUl5T3RBSklBWENpbGpEYzdEMUc0WUJHUGlNSmVmbjYrRjhDeTJwMXBRM3hXYzR5SWlJaUlpR29VRmhhV0c0YnhUaUFRZUZYWDlWeXo4eENGQ3hieGlJZ0E2THIrSG9DcTJzZFNTcStVOGlNVEl4RVJFUkVSdFV1ZE8zZnVvQ2pLL1pxbVRWRlY5UUt6OHhDRkN4YnhpSWdBcUtxNlgwcVpKNFJBellpOFhZRkFZSmZadVlpSWlJaUkyaHV2MSt1VlVtWktLVk9rbE56c2pLaU5jSGRhb2pCU2tKTzJIa0EzczNPMFJ5VWxKZVZ4Y1hFL1NDbUgxalRsK1AzK1VsTkRFUkVSRVJHMVEzNi92OWhpc2N5VVV0cUVFUHpnbTZpTmNDUWVFUkdBZ29JQ0Q0QnRBUHhDQ0YxS21aNmJtMXR1ZGk0aUlpSWlvdmJHYnJkM1UxVjFxY1ZpK1U1UmxMRm01eUVLRnh5SlIwUlVJeEFJL0d5eFdJNENpQUt3eHV3OFJFUkVSRVR0a1pUU0w0VFlXN09PdE12c1BFVGhnaVB4aUlocVpHUmtaRWdwYzZTVXU5TFMwbjR3T3c4UkVSRVJVWHZrOC9tTW11SmRzWlRTYjNZZW9uREJrWGhFWWFSUC95RURvS29QQ1FNV0tmVTNDdkl5Y2s3MVd0M1BIOXpUYXRIT2I4MTg3WUVuWUtRb0VOWStBNUpIbTUybHRYbTkzajJIOTJUdk5Uc0hFUkVSRVozZGJEYWJUUWd4UkFqaFVCU2xrOWw1aU1JRmkzaEU0VVJSRXdGNXUxUkVCS1M2RE1BcEZmRjY5QjNxc0doaUFZUWMwTW9KVFZjVmtBS1FnQkIzbUoybHRka2lyUHY2OUVtK3ZhQWdyY0RzTEVSRVJFUjA5dkw1ZkVWV3EvWFBVc3BvQUp2TXprTVVMbGpFSTZLVFpnRWNFQmdnSUJJakl5T2hhYXJaa2FnWmVrQkhsY2NEUThvSVJLQVBnRk1xNG5GM1l5SWlJaUlDQUUzVG9nQmNMWVJJQUxBZndFNlRJeEdGQlJieGlPaVVSVVZHNGcrVEp5RjU2R0N6bzFBenNySno4Y2FjdDFEcTRwckRSRVJFUkhUNkZFV0pFa0tNRVVJNERNUDQzT3c4Uk9HQ1JUd2lPbVdxcG1MZ0JmM3dpNHRIbUIyRlRzQmlzWmdkZ1lpSWlJak9FV1ZsWlZVeE1URmZBK2lvNi9wQnMvTVFoUXNXOFlpSWlJaUlpSWlveFRwMjdCZ3BoTGhXQ09FUVFueHJkaDZpY01FaUhoRVJ0WWpqL0VGOVZVMmJLSVRRQW43L3V3ZDI3Y2czT3hNUkVSRVJ0VDNETUFLcXFoNEVvQXNoS3N6T1F4UXVXTVFqSXFJVzBTd1dCNFI4RUVDRVpyRjhBNEJGUENJaUlxSXdsSjZlWGpodzRNQnBtcWJaWEM1WG50bDVpTUtGWW5ZQUlpSWlJaUlpSWpwN0RCNDh1RXRFUk1Tcm1xYTlIeHNiZTZYWmVZakNCWXQ0Uk5RdUZSUVVRRXJacXRjc0t5czc2WE1xS3l1YlBPYmlicTlFUkVSRUZJWU13eEJDQ0pzUUlrSUlvWnFkaHloY3NJaEhSTzNPaGcwYmNPdXR0Mkxac21XdGRzMXQyN1poN05peHlNdHIrV2ovcXFvcTNIYmJiVml5WkVtRFkvdjI3Y1BWVjErTlZhdFd0ZWhhaG1FZ0VBaWM5RCt0WGNna0lpSWlJanBkWldWbGhxN3JlVkxLTkNsbGxkbDVpTUlGMThRakNpYzZTcUhpQndGcGxib29OVHRPVXk2OTlGTDA3TmtUczJmUHh1V1hYNDd1M2J1MzZMeUtpZ29FQW9GR2ovM1AvL3dQQmc0Y2lKOS8vaGxkdW5ScDhob3hNVEZRbE9yUE55SWpJM0hGRlZkZzl1elp1UFRTUzlHN2QrOWd2eFVyVmdBQUxybmtraFpsbXpwMUtyNzc3cnNXOVEzMTk3Ly9IVmRmZmZWSm4wZEVSRVJFZEtaMDd0eFpFMEtNcU5tZGRxblplWWpDQll0NFJHR2tZR2RhR29CYnpNNXhJbGFyRlU4ODhRVCsrTWMvWXUzYXRaZzRjV0tMem52a2tVZXdmZnYyWnZ1a3BxYml0ZGRlYS9MNHlwVXIwYjE3OTJBeGNOS2tTZGk2ZFN2Mjc5K1B4TVJFcUtvS0tTVSsvL3h6V0sxV1BQUE1NODNlYjlhc1diRFpiQUNBMk5oWS9PRVBmMmpSY3psOCtERGVlZWVkRnZVbElpSWlJbXBMbFpXVkZWRlJVU3VFRUhGU1NtNTJSdFJHV01RaklsTWNPWElFeTVjdmI3YlA1WmRmanZMeWNyejU1cHROOWhrL2Zqd2NEa2Z3OGRpeFkzSHZ2ZmNHSCtmbjU4UG44eUVwS2FuQnVWdTJiRUZDUWdMT08rKzhZRnRpWWlLV0xsMktXYk5tMWVuNzZLT1BBZ0J1dU9FRzlPdlhENldscFJnL2ZqeFV0ZmtsUUlRUXdhL3RkanR1dnZsbTZMb090OXVObUppWU9uM2RiamMrK2VRVDNITExMZGkzYngrTGVFUkVSRVRVTGhVWEYzdXRWbXV1eFdLeHU5M3VFclB6RUlVTEZ2R0l5QlRIamgzRG9rV0xUdGh2NjlhdHpSNi81SkpMNmhUeE9uYnNpTzdkdXdjM3BFaE5UVVZ4Y1RFdXUrd3lBTlZUWkNzcUtnQUFYMy85TlVhTUdJR2hRNGNDcUo1S2E3RlljTlZWVjZGUG56NTQvZlhYMGFsVEo5eDExMTNCNnh1R2dXblRwdUdhYTY3QmpCa3pUdTVKMTVnNmRTcEtTMHZ4MWx0dkJhZnVBc0E3Nzd5RGp6NzZDTC84NVM5UDZicEVSRVJFUkcyaGMrZk84UmFMWlFxQUh0SFIwU1VBZHBpZGlTZ2NzSWhIUktZWU9uUW9ObTNhZE5MbkZSVVZJU0Vob2RrK0N4Y3V4RnR2dlZXbnJYWTl1c21USjJQT25EbkI5b3lNREx6MzNuc0FnQ2VmZkJLMzMzNDd1blhyaG03ZHVtSCsvUG5vM3IxN3NBQUlWQmZnZEYzSFRUZmRoUDM3OXplYm8wT0hEb2lOalczUWZ1T05OMkxLbENtWVAzOCtKazJhQkFBNGRPZ1FGaTFhaE4vODVqZHdPQnpJeXNwcTl0cEVSRVJFUkdZcEt5c3piRGJiSVFBK0FGNno4eENGQ3hieGlNSkluNzVEZnlFMDVYVUFOaGt3ZmxlUW4vNlQyWmtBNEpWWFhzR3VYYnZxRk5jYW8rczY3cmpqRG5UdDJoVUxGaXlvTTRvdDFJTVBQb2o3Nzc4ZnMyYk53c3FWSzNIWlpaZmh0dHR1dzRnUkk2QnBHcTYvL25vOC9QRERxS3FxZ3FJb3VPcXFxL0RZWTQvVm1mb0tBSDYvSDVwVzk4Zmt1SEhqTUdqUUlEejExRk1vS3l0ck51K0VDUk13ZGVyVUJ1MmpSbzNDaEFrVDhQYmJiK09TU3k3QmhSZGVpTm16WnlNNk9ob1BQUEJBczlja0lpSWlJakpiZkh3OGhCQVJVc3FvUUNEUStKdHlJbXAxL0orTktKeG9Tb1FVc3FjVTZBVk5pVEE3VGkxZDEvSHp6ejlqNTg2ZHpmYmJ1blVyaW91TDBhdFhyeVlMZUFEZzgvbncvUFBQSXpjM0Z6ZmRkQk9PSFR1R21UTm40cU9QUGtKMmRqWWVmUEJCM0hmZmZYQTRITGpsbGx0UVdGaUl4eDkvSEFjT0hLaHpIYi9manhVclZtRGt5SkVZT1hJa1JvMGFoWkVqUjJMaXhJbFl1SEFoVnE1Y2laVXJWK0xKSjU4RUFIejAwVWRZdVhJbC92V3Zmd0VBK3ZidDIyVEdSeDk5RkwxNzk4YWYvL3huZlAvOTkxaTdkaTErOTd2Zm9VT0hEaTM5dHJVOUhhV1ErRUZJdVJFNjJ1M3V4a1JFUkVSMFp1bTZyZ0NJRjBKMDFUVE5Zblllb25EQkloNFJtZTdXVzI4RkFDeGJ0cXpaZmw5OTlSV0E2czBzbXZQTU04K2dvS0FBcjczMkdxeFdLM3IzN28xRml4Ymh2UFBPdzMzMzNZZTc3NzRiTjl4d0E0RHFqU2RtenB5SkxsMjY0UDc3NzRmYjdRNWV4Ky8zNDlKTEw4WFVxVk54MVZWWEJYZXNCWUFlUFhxZ1o4K2U2Tm16SnpwMTZsU25iZTNhdFlpTGk4UDExMThmN0svcmVwMU5NQ0lpSXZEY2M4K2hxS2dJVTZaTVFaOCtmZkRyWC8rNkpkOHUweFRzVEVzcnlObCt5NTZjN1RmVzdIUk1SRVJFUkdISU1JemlRQ0R3UWlBUW1LcnJldk9MV0JOUnEyRVJqNGhNZC83NTUrUENDeS9FNnRXcjZ4VFJRbFZXVm1MTm1qWG8wYU1ITHI3NDRrYjdHSVlCUlZIdzFGTlBZZTdjdWVqWXNTTXV1dWdpWEhubGxlallzU091dlBKS0xGNjhHTC81elc4QVZLOU5sNXljREt2VmlxbFRwMkxac21XSWpvNE9YaThRQ0dEbzBLRVlOMjRjQmd3WUFJdWwra05HdDl1TjU1OS9IcnQyN1dvMHgwVVhYWVFwVTZZZ0lpS2l6clhxVDgwZE1HQUFycjc2YWhpR2dldXV1NjdCY1NJaUlpS2k5aWdxS2lwQzA3UkxOVTBicFdsYVY3UHpFSVVML3NWSVJPM0NMYmZjZ2hrelptRFZxbFdZTUdGQ2crTnIxcXhCVlZVVmJybmxsZ1pyMTlYeWVEeXdXQ3k0ODg0N1VWcGFkN2Juczg4K2U4SU1VVkZSV0xObVRmQ3h5K1VLVG0vMSsvMncyV3dBZ1BMeWNxeFlzUUxYWEhNTnpqLy8vR0QvSTBlT29MeThQTGpicmRmckRaNVRWVlZWcDZnSEFObloyVmk3ZGkwMFRjT0hIMzZJRzIrOEVZbUppU2ZNU1VSRVJFUmtKaWxsdEJEaU9pR0VRMHE1NXNSbkVGRnJZQkdQaU5xRk1XUEc0SVVYWHNBbm4zelNhQkZ2eFlvVnNGcXRHRGR1WEpQWHFLcXFndDF1eDh5Wk0rSDMrd0VBS1NrcG1EOS9QaDU0NEFFTUd6YXMyUXloMDEwTncwQjVlVGxpWW1JQVZCZnhha2ZpZWIzVkczQkZSa2JXT2I5MmhGK3RlZlBtWWNTSUVRQ0FrcElTZE9uU0pYak00L0hnTDMvNUN6cDE2b1IvL09NZm1EUnBFcDU1NWhuTW1UTUhRb2hnb1ZKSzJXeG1JaUlpSXFLMlZsNWVya2RIUi84TUlFOEk0VEk3RDFHNFlCR1BpTnFGeU1oSWpCa3pCcXRYcjBacWFpcWNUbWZ3V0VaR0JqSXpNekZ1M0RqRXhjVTFlWTJpb2lMRXg4Y0hpM1hyMXEzRGdnVUxjTys5OTJMeTVNa25sZWZRb1VPUVVnWUxiNkdqNm80ZE93WUE2Tnk1YzUxejVzK2ZqNmlvcU9Eam5qMTdCcjgrZXZRb2twS1NnbzlmZmZWVjdOMjdGM1Btek1HZ1FZUHd5Q09QNE9XWFg4YVNKVXR3eHgxM0JLZldCZ0lCVkZaVzRxZWZmc0xJa1NPREdjelFYbmMzSmlJaUlxSzJaYlBaaEtxcWc0UVFQUXpEV0dSMkhxSnd3U0llRWJVYlk4ZU94ZXJWcTdGczJiSTZSYnhGaTZyZkY5eDU1NTFObmx0WVdBaVB4d09IdzRGQUlJQUZDeFpnenB3NU1Bd0RTNWN1eGRLbFM1dTk5MHN2dllRcnJyZ2krRGczTnhjQTBLOWZQd0RWUmJ6YTZiQzFhK0dGanR3RHFuZWpiV3gzMllLQ0FsUldWcUpYcjE0QWdILy8rOTlZdm53NTdyMzNYbHgwMFVVQWdBa1RKdURiYjcvRkcyKzhnVXN2dlRRNHlxK3lzaEpGUlVWNDRva244TnBycitIS0s2OXM5bm1jVVRXN0d3TWlvajN0Ymt4RVJFUkViVXRSRkFtZ1VrcFpJYVVNblBBRUltb1ZMT0lSVWJ0eDhjVVg0ODQ3NzhUWXNXT0RiZnYyN2NQYXRXc3hjdVRJWUVHdE1kbloyUUNxaTIxMzMzMDM5dTdkaXk1ZHVxQkxseTU0NUpGSG1qelA2L1hpNFljZnJyUHpMQUJzM3J3WkRvY0RkcnNkUU4wMTdkTFQwd0VBenozM0hGNTk5ZFVUUHEvLy9PYy9BSURrNUdSa1pXWGh4UmRmeFBEaHcvSHd3dzhIK3dnaE1HUEdETngrKysxNCt1bW44ZWFiYndLb0hsMVlVbElDQUhXbTR4SVJFUkVSbVNVek03Tm95SkFoVHhtR0VlSHhlTEtVcWZGZ0FBQWdBRWxFUVZUTXprTVVMbGpFSXlKVGxKYVdCdGVXQzNYMzNYY0RxSjUrQ2dCdnYvMDJETVBBRFRmY0VHd0xaYlBaRUJzYmkrKy8veDREQmd6QTMvLytkd0RBQng5OGdMZmZmaHMrbjYvT3FMNzZLaXNyRzdUNS9YNnNYYnNXTjkxMFU3RHQ0TUdEU0VoSWdNZmp3WC8rOHgrTUdqVUtHemR1eE5OUFA0MUxMcm1reWV0TEtmSEZGMThnTmpZV1RxY1RuMy8rT1JJU0V2RFNTeTgxR01ubmNEZ3daY29VNkxxT0RoMDZJQ0VoQWJtNXVjRVJmQTZIbzhuN0VCRVJFUkcxbGFGRGgzYlNOTzA1S1dVM2k4WHlGSUQ5Wm1jaUNnY3M0aEdSS2Y3NjE3OWk0OGFOTGU3LzFGTlBOZHArNmFXWDRybm5uc05YWDMyRko1NTRBZ01HREVEMzd0MkRJK2lLaTR2eC9mZmZOM25keGdxSkN4Y3VSRmxaR1hyMDZJRlpzMmFockt3TVc3WnN3ZFNwVS9IWlo1K2hxcW9LZi9yVG4vQ3JYLzBLeno3N0xMNzU1aHNBMWROK08zZnVERTNUSUtXRXorZUQxV3JGcmwyN01ISGlSS2lxaXB0dXVnbGp4NDZGMVdwdE5NOHR0OXdTL1ByS0s2L0VwNTkraWgwN2R0UVpGVWhFUkVSRVpDYWZ6NmVwcXBvSW9JZXU2M3lUU3RSR1dNUWpDaVArZ0pGdjFaUVpVa3JWcjh0OE03UGNjODg5dVBiYWEwLzdPcDA3ZDhiKy9mc3hiTmd3WEgvOTlRMUd0K1huNStQNTU1OXY4dnpHZG45MXVWeTQrZWFia1pTVWhPWExsMFBUTk54Nzc3MjQ5dHByTVg3OGVGeHh4UlhvMWFzWGV2WHFoUUVEQm1EUm9rWFl0bTBiUHZ6d1EzZzhIaGlHQVFDSWpZM0Z2SG56NEhBNGNOOTk5d1d2MzFRQnI3N2YvLzczeU12THc5NjllekYxNnRRV25VTkVSRVJFZEtaVlZWVjVJeUlpMWdzaDRnQWNNVHNQVWJoZ0VZOG9qQnpNVHo4QTRHMnpjd0RBaUJFald2VjZzMmZQYnRCV083VldVWlNUdXRZamp6eUNxcW9xUkVkSEJ6ZlZxRFZseXBRNjAzUFBPKzg4VEo4K3ZVNGZ3ekNnNnpxRUVOQTBEWXNYTDY2emEyMUx4Y1hGNFlNUFBqanA4NGlJaUlpSXpxUzR1RGliRUdLMEVNS2hxdW9YWnVjaENoY3M0aEhST2V0a2kzZWg1MFZIUnpkNmJOeTRjUzA2UC9UZXAxTEFJeUlpSWlKcXJ5b3FLdHgydTMwVmdIZ2h4QjZ6OHhDRkN4YnhpSWpvbkNFYm14L2ROdGFaY1ZNaGhERGp2a1JFUkJUMnZBQlNwWlIySVVTaDJXR0l3c1dwRFZNaElpSWlJaUlpb3JCa3Q5dmpoUkIvVVJUbEZTbmx4V2JuSVFvWEhJbEhGRWI2REVnZURTRVhBeUlDRWpjWDVLU3ROenNURVJFUkVSR2RYWXFLaXZ3SkNRbFpVc3JDUUNCUVpuWWVvbkRCSWg0Um5USTlvQ003ZHlkc05wdlpVYWdaV2RtNThQdjlyWEdwQWlueGloQlNBMFJCYTF5UWlJaUlpTTQrOGZIeFFnZ1JJNFNJdDFnc3F0bDVpTUlGaTNoRWRNcXFQQjdNbmY4dXJCYXIyVkdvR1g2L0g2N3k4dE8rVGtGT1dnR0FXYWVmNk56MnhSZGZRTmQxakI4L3ZzaytIbzhILy9yWHZ6QisvSGowNjlldkRkUFJPVXc0bmM3aEFBNmxwcVllTWpzTUVSR2QyeFJGMFFBNEFEaWtsSGF6OHhDRkN4YnhpT2lrR1VJZVV5QU9HMUpHbExsT3Z6alVuZ2dKQVFCU3dLd05FczRjS1kvNnBEeHNkb3kyY3Q5OTl5RTJOaGF2dnZwcXNHM1hybDBvS2lwcTlyeUlpQWhjZU9HRnpmWUpCQUk0Y3VRSURoNDhpTDE3OTJMUG5qMjQ1SkpMTUhyMGFLeFlzUUkrbjYvWklwN2Y3OGZpeFlzeGZQaHdGdkhPZ0VHREJzVmJyZGJCYnJjN0t5OHZyL2tYM0NST3AzTUVnRDdOOWFtcXFscVhrNU56dkNYWDY5T25qMDBJc1FYQXN3Q2VhWVdJUkVSRVRhcW9xRGhzdDl0dk13ekQ2bmE3dVRzdFVSdGhFWStJVHRxK25Sa0Z2Zm9PdWx2UkxGM016dEthYkpweHZrMVRKaXBDV0tyOCtqdmVnTExMN0V5dFNSZXk2RkJPK2s2emM1anB2ZmZldzlkZmZ3MnJ0ZkhSbzRGQUFJbUppZmpzczgrQ2JRc1dMTUQrL2Z0UlVsS0N3c0pDSEQxNkZNZVBINGRoR01FK2lxSkFWVldNSGozNnRQSTkrZVNUMkxScFU2UEgvdmEzditHWHYvemxhVjAvWENpSzBnUEE2M2E3M1phY25MeE5VWlFQVTFKUzFnSUltSjB0eEIrRUVEZEpLUnRNVFJkQ3FBQUcyMnkyS3dCc0JJQ2hRNGM2VkZWTmJPcGlVc3JhLzZpNzF4UUltK0pQVFUzZGZqckJpWWlJTEJaTFBJQVppcUowaVk2T2ZnbkFGMlpuSWdvSExPSVIwYWt3OXVYdnlBS1FaWGFRMXVSME9xVVFvcitVTWlMS291Ym5acVp1TURzVHRiN2h3NGRqN3R5NWpSNTc4ODAzOGMwMzM5UnBXNzkrUGZMejg5R3BVeWQwNnRRSnNiR3hLQ3dzeElNUFBvaEJnd2JCNFhEQTRYREFZckdjZGphdjE0dm82R2hNbURBaDJGWmNYSXlsUzVjaUVHaFA5YWYyVFZWVkZVQW5BQTVGVVFZQXVNdnBkQjRHc0VCS3VjVGo4ZXpQeWNrcHd4a3U2am1kemtVQWZoM1N0REExTmZYQjJnZFN5cldwcWFtMzFqOHZPVGs1VmxHVWt0QTJWVlgvSklSNHJLbDdDU0ZxdjN4UUNQRmdVLzBBSEFlUTBKTDhSRVJFVGJIWmJEWWh4QkFoaEVNSXdkOHJSRzJFUlR3aUltcVJzMkYzNDBBZ2dHKy8vUllBVUZwYUNwL1BoNisvL2hvQWNPV1ZWd0lBWEM0WE5tL2UzT2o1aHc4M25HMzg5dHR2bzdvbVZPMlRUejdCaXkrK2lPdXV1dzU5K2pRN0c3SU93ekN3WnMwYUFOVnI0Z0ZBV2xvYWZENGZoQkM0NXBwckFBRHg4ZkY0NElFSGd1Zmw1K2RqNmRLbExiNFAxWFhoaFJmaTRNR0RLQ29xNmdaZ3FoRGlrY2pJeUt4aHc0WnRsRkp1MDNVOU5UMDlQZk1NM2Q0SzRITkZVWjZXVXM2V1V0YXA5QW9oNGhvYk5kZlkya0tCUU9CNVZWWC8xZFNORE1Pd2FacVdBMkMyWVJqL2JLcGZJQkRRVCs0cEVCRVJOVlJSVWVHT2lvcjZVQWdSSTZVOHAyYXZFTFZuTE9JUkVkRTV3K1B4NEc5Lyt4dUE2bEZ0UW9qZzQrWExsd09vTG9vOStlU1RqWjd2OVhyUnRXdlhPbTJoQmJ6VEVRZ0VnbG1rckY1eThlT1BQNGFpS05BMExWakVvOVkxZWZKa2RPblNCVC8vL0RPKyt1b3JaR1ptUmdZQ2dlRlNTcWNRd3EycTZuR24wNWx0R01haXNyS3lUd29LQ2p5dEhLRnMyN1p0T1U2bnM3RUZSRWNCYUZBTUR4bFZGNVNSa1ZFQ29LVEJnUnA5K3ZTSmlJK1BCNERTdExRMDdoNU5SRVJubE4xdWp4WkMzQzJFY0JpR2tRSGdlN016RVlVREZ2R0lpT2ljWWJmYmcydktOYmF4QlFBTUd6YnNwS2JUdGhhcjFSck05dFZYWDJINjlPbDQ0WVVYY05WVlY1MlIrMUcxbUpnWTlPN2RHNzE3OThadHQ5Mkdnb0lDckY2OUdqLzg4SU55Nk5DaERtNjN1ME1nRU9panF1ci94c2JHL3AvVDZWeG1HTWFIaXFKa0hqMTYxSDNvMEtFcW9QVTN1aEZDYkpGU1pxU21wamJZOFhuNDhPRlJobUVzMERTdHdhWWNUcWV6UWdnUjNjeWwvenBzMkxDL05uYkFNSXpmcHFXbHZYOGFzWW1JaUFBQVhxL1hhN1BaTWdFY2sxSzJ5MDJraU01RkxPSVJFVkZZS1N3c3hLZWZmdHJvc2J5OHZEYko4UDMzcmY5aHRkUHBIQVVBaXFLa2JkdTJyUXdBa3BLU0VtMDIyd1dHWWJqS3lzcXlhMGVaT1ozT0N3SEU2cnArSkQwOVBiZW1yOTFxdFE1VUZDV2lvcUlpdTNaWDE4R0RCM2UxV0N3REFDQTE5Yi9yUkY1NDRZV0RGRVZKa0ZMdURSMzVWWnNqdEc5eWNuSWZJVVJ2d3pDS3RtL2Z2aU9rZmFRUVF2UDcvVG1abVpsSEFhQi8vLzRKZHJ0OW9HRVlIcC9QbDUyVmxWVUJBRU9IRHIyZ1ptT0gwdHFOR2ZyMDZSUFJzV1BIZ1lxaXhIaTkzdHlzckt3ak5kOERWVXBwYSt6NzFLZFBIL3orOTcvSHBFbVRrSmVYaDR5TURPellzUU9wcWFrNGZQaHdCeW5sZmFxcVRwUlM1bmJ0MmpXalM1Y3Uyd0JzOFBsODI3T3lzbnluK1RMVmZvOXlwWlE5YXI1K1ZnaHhOQ1VsNWZ4aHc0WTlLYVdjVWJ0cGltRVkxdzBiTnV4dktTa3BMOWVlSzRUNGpXRVlwL1QrVFZYVmxOYklUMFJFNVBmN2l5TWlJcDZSVWxyZGJqZEhnQk8xRVJieGlJam9uSmFkblkwVksxWmcrdlRwQUlBalI0NWcwYUpGamZZdExpNkczZjdmNWNoeWMzT0RhK3JWcWkzMGZmamhoNGlKaVdsd2pjT0hEMFBYZGJ6Kyt1dDEyc2VPSFl1K2ZmdkM3WFpqL2ZycUdaUjc5dXlCeldiRFpaZGRkdXBQc0lZUVlna0FHSWJ4YXdBL0FvREZZaGtsaFBpbnFxcmI3SGI3WkFEN2E3clBFRUpjcG1uYVVnQi9xdW5iVzFHVVY2V1VqcHErWHdHQXFxcWpoQkN6YTg3clZucy9WVlVmQjNDZGxISVdnRmZxNXdqdEMrQldJY1JqcXFwK0JlQzN0WTJLb3J3RG9LT3FxbzhDK0JnQTdIYjdDQ25sSEVWUkRsZ3Nsb2NBN0FBQVRkTW1BN2hkU3ZrRGdGdHErblpXVlhVbWdPRVdpK1ZQQUpZQ2dOL3ZqNjdaTmE5Sm1xWWhLU2tKU1VsSmNMdmRLQzR1eHM2ZE8vSDU1NTlqeTVZdFdsVlYxU0FBZzFDOU1jVXhtODIyeitsMExpa3ZMMStTbjU5ZjJPeUxjV0xSVXNwbkFLeFZGT1VxS2VWVW9IcUhXU0ZFcG1FWUQ5VjhmK2FHN0RvTEFBZ0VBdXNVUmVsOHNqZjArWHllMmlJbkVSSFI2YkxiN2QwQWZLSW9TdTM3Qm83MEptb0RMT0lSaFJIM2NkL1d5STZXcTZYRkVKN2pBWDVpUnVjc2o4Y0R0OXVObkp3Y2JOeTRFVmRjY1FXa2xMai8vdnN4Y2VKRTlPL2Z2OUh6RGg0OGlPTGk0dURqdlh2M050aFVRdGVyOXdYNDhzc3ZHNzJHMStzRmdBYm5EUmt5QkgzNzlzV3FWYXNRSFIwTmo4ZURyNy8rR3ZQbXpjT3p6ejZMNjY2N0RnQ2dLTW9wUFdjcFpVVE52NE1YRUVLb05lMDJ3ekJFU0x0VlNoa2hoQWh1dEdBWWhxSW9pbFVJRVdFWVJuQWh3SnBSYlJHTjNOSlNjNDA2N3lVYTZ5dUUwT3JmTDZSdmhLSW93ZnNaaHFFcWloSWhwYlFhaGhINnphaTlueldrcjZnWmNSY2hoQWhlUTlNMFNDbEZZMnZMTlViVE5FUkZSU0VxS2dwV3E3WE9tblJDQ0FWQUpJQVlYZGVqb3FLaVduYlJFeEJDRktTbXBxYlZqRklNdGtzcEs5TFMwdEtBNnFtejljOVRWZlZHSWNUaWs3MmZ6V2JiQUdEMDZXUW1JaUtxSmFYMEN5SDJTaW05VWtxWDJYbUl3Z1dMZUVSaHBMQXdxd0tGMkhIaW5rUm5KN2ZiamZmZmZ4K2ZmUElKWEM0WEJnNGNpRmRmZlJYNStmbTQvUExMVCtwYTk5eHpEeDU2NktFR0cwNHNXclFJczJiTnd2TGx5NUdZbU5qZ3ZQdnV1dzgrbnc4ZmZ2aGhnMk9CUUFBZmZQQUJycjMyV2l4YXRBZ1BQZlFRMXE5Zmo2ZWZmaG9EQnc2RTMrOUhkSFJ6eTUwMVRVcDVjODJYd2YvSGZUN2ZkMWFyOVdiRE1GeVZsWlhIYXRzTnczZ2FRR3dnRUFpT3pOSjFmWStpS0g5VUZDV2lzckl5cTdiZDYvV3VzMXF0dGRjT2ZTNHZLWW95SDBDZER3UkNjb1MyTFFId2s2N3JkZGJNTVF6amJpR0U1dlA1Y21yYktpc3JOMGRIUjk5dUdJWkgxL1U5dGUxK3YvOE5WVldYU1NsTFEvb2UwelJ0cXFJb01hSFhBRkFKNERpQUprZXNCUUlCN055NUV4a1pHY2pNekt5ZFRsdTc2VWhBU3BrTElGTkt1VlZLK1IrLzM1L1dXdE5wQVVBSXNkRHBkTDVmVTJndEMya2ZYVnU4RTBKRVNDbWIyZ1Y2bkJCaVorMkRtaEY3MjZXVUx5cUtzaUMwbzJFWTc3WldiaUlpSWdDb3FxcENWRlNVV3doUnB1dDZxNjhkUzBTTll4R1BpSWpPR2NlUEg4ZDc3NzJIOGVQSEl6TXpFMTI2ZEVHWExsMmdxaXFlZSs2NUJ2MDNiZHFFVHovOUZQLzR4ejhhN0FqYXUzZnZSdTlSV1ZrSkFLZFViUHY0NDQ5UldGaUltMjY2S1RpbGQ4YU1HYmptbW12UXUzZHZsSldWb1Z1M2JpZTRTdVBTMHRJYUZIdHFwazgybUVKWk85S3JYdDhLQUQrMzlCcnA2ZW1aTGMxUnMyWmVnOUcvMjdkdjMxaS9yV1l0dnYvVWI4L0l5TWdCRUZxb1E4MGFmdzNXZVpOU0JvUVEzc2J5N2R1M0Qydlhyc1dHRFJ0UVdGaUlrcElTK0h5KzJ2UGNBRDVEOWJUYzdXVmxaYVc3ZCs5Mm9mVTN0c2dITUZOS3Vka3dqUDZLb3Z4cTJMQmhmNVpTQ2dDdlNTay9xdWszSFVDamk0VUhBb0U5NmVucHdlOUg3ZTYwUW9oajI3WnRxL045Y2pxZGxlQjdQaUlpYWtWUlVWRVdJVVNTRU1LaGFWcEhzL01RaFF1K29TTUtRNzBIREgxY0NPV3VsdlNWQmo3Wm01djJmTzNqaEFzdTZCQ055RmVGZ2hFdFBQK1Z2YmxwdFgrUW91Y0ZnMGRvaXZhaUJCSk9kSzZBTEE4WStwVDl1WmxiYTl0NlhURDBWa1ZScHJmdzNsc0R3alB0WUU3TzhkcTI1cDU3cVVmYUZTRVRwSVNRd1B6ZUZ5Uy9IeTdQdlpIekc3enVnUHlkZ09na0FYZExybUdHeE1SRUxGeTRFQU1IRHNSOTk5MFhiTy9VcVJPdXV1b3F2UHp5eXlncks4UHp6MWMvdFdQSHFnZW5YWG5sbGRDMGx2MUtQSHIwS0NJaUl0Q2hRNGVUeWxaYVdvcTVjK2ZpK3V1dlI1Y3VYWUx0cXFwaTVNaVJ3VDREQmd3NHFldFM4NnFxcWxCWVdJak5temZqaXkrK1FHcHFLZ0tCQUdUMWZGdVBsTElDUUo2VTh2M1MwdElQYXpmL09JUFVrcEtTNjBJZTV3RDRkM3g4ZkFXQTN4WVhGeThMT1haUHpiOEZhZ3FKTlZPS29hcHFoK1RrNU5qYWpvRkF3QVlBaG1GRWhyYlg0UHM5SWlKcVZUNmZyOGhxdGY1WlNoa05ZSlBaZVlqQ0JkL1VFWVVoSVpVZVFpQzVaYjNsVDZHUDdONUlGUkhvSzlEUzgrdE9aMU9GWnBlUWd3VkV3M21JOWU4TVVhb0t6UjdhcGtBa3RQamVBcVVXajFKbkRhNFRQWGZqditOdCtncElSK2l4Yy8yNTEwdlEyT3VlQ01BQ29BbzZTaHMvejF4V3F4VURCdzVzOHZqV3JWc2JMWkp0MmJLbHpscDAwZEhSR0R4NGNLUFh5TTdPeG5ubm5YZlMyYUtqb3hFVEU0UEpreWMzZXJ5MHRCUkhqaHpCQlJkYzBPeDFWcXhZQVFENDlhOS9mZElad3RFYmI3eUJBd2NPb0tnb09LQ3RTa3FaSllUWUtLVk1DUVFDcVJrWkdSbG42djVDQ0h0eWNuSWZBRkVBS3BLVGszK3JLTXJiVGZSZEVCOGZ2NkIrZTB4TXpKRGFrWStLb25TcDZmdEQ2T2hScTdWNnFVQkZVVjRBOEVMOWEwZ3BOOVJ2SXlJaU9sVStueS9TYXJWZUpvU0lCN0FId000VG5VTkVwNDlGUEtKd0pPUlhVb29XRldHa0liYldiU24xQUxIdlM0bW0xbW1xU3pkK3F0ZFNJQ1ZlQVdCdnJIdTluQjVBMUptQ3AwUGZxa3J0bVJiZEd5aHd1MUYzWWZobW5ydW1vTGVtNERaQWFBRkRMdlliNG91NlBjN2Q1MTVmYzYrN0ZNWkI0WGZsTkg1bSsxVmNYSXlDZ2dKY2ZmWFZEWTQ5L3ZqamRSNFBIRGdROCtmUGI5QXZQejhmMmRuWnVQZmVlMC82L2hhTEJmUG56MGVYTGwxUVhsN2U0UGkyYmRzQUFNT0dEV3YyT2hrWkdVaEpTV0VScjRWcVp3NUxLWThDV0tycitpY0E5bFJXVmhibTUrYzNPdVcybGQydUtNcnROUmsrVUZWMW8yRVlvWlhjZTRRUWx3QlFBZWdBMHFXVWI0VmVRRXA1TU9UcndVSUlsNVR5bHllUjRjM1R5RTlFUk5TQTNXNlBGa0xjSUlSd0dJYXhEZ0EvTENKcUF5emlFWVdoZ3B6dFh3UDQrcFRPclo1cTlzR3AzenV0QU1Dc1V6Mi9abnJwMWhOMmJQTCtUVDkzcDlNNVNnanh2OVU3Wm9vUFVyTlM2N3daT1plZit3blBQYzNuM2g1OCtlV1gwSFVkLy83M3YzSGJiYmNoTGk0dWVHekRoZzBubkU1YldWbUpaNTU1QmxhckZiZmVldXNwWldoc0k0eGFxMWF0UW1KaUlzNC8vL3htcjFGU1VvTE9uWnZjcjRFQUJBSUJ3Mkt4bE5jVXZ6WUNXSlNhbXZvbEFMOEpjWllhaGpFTkFGUlZyZGkyYlZzUmdKems1T1EraXFLOEJxQS9nR3NBZkdNWXh0T0tva3dHY0tuUDUvdi9kdXpZVVZ6dldocUE2d0Q4bUpxYTJ1S2ZCVU9HRExrdWRIZGlJaUtpMDFWV1ZsWVZFeFB6TllDT3VxNGZQT0VKUk5RcVdNUWpJcUp6a3BReXVGbEZhV2twM24zM1hmVHIxdzgybXczMzMzOS9jRjI4bGlncUtzTGpqeitPN094c1BQbmtrK2pldlh1clpzM0p5Y0dHRFJzd2JkcTBCaHRzMUU3ejlYcXJCNDBkT25Ub2hGTnV3NTJVOGdDQXlRQ3lVbE5UQzAzTThacVUwbGV6c1FjQVlQanc0ZWRMS2FjQXVFOUsrWVhmN3grY21abDVkTml3WVJCQzdCRkNYQ0tsWEdLMVd2T2RUdWUvQUx5VG1wcTZGd0NjVHVmdmhSQ2RBYngzTWpreU1qSktXdldKRVJGUjJPdllzV09rRU9KYUlZUUR3SGRtNXlFS0Z5emlFUkhST2NQbGNtSGx5cFZ3dVZ6SXk4dkROZGRjQTUvUGg3Lzg1UzhvS3l2RHE2KytpdDY5ZTJQcTFLbTQrKzY3Z3h0TXJGMjdGcEdSa1FBQVhkZmg4L2tRSHgrUGl5KytHTjk5OXgxZWZQRkZGQmNYNCtHSEg4YnR0OS9lcXBuTHk4c3hmZnAwT0J3T2pCOC92c0h4enAwN1ExVlZ2UFhXVzlpd1lRTjI3ZHJWNmhuT05UVWoyRXlmMXBPV2xoWmM2SHY0OE9FZERjTlliaGpHR0FBL0FMZ3VOVFcxUWNadDI3WWRCbkRWc0dIREhnRHdySlR5TDA2bmMyVE5qcnN6cFpSYlUxTlRQMm03WjBGRVJOU1FZUmdCVlZVUEF0QVZSV200VGdnUm5SRXM0aEVSMFRsRDB6VE1temNQbXFhaGE5ZXVtREJoQXJaczJZS1VsQlRNbURFREYxNTRJUUJnN3R5NVdMOStQYjc1NWh2azVlWGh4UmRmaE0vbmc2N3IwSFVkQURCNThtUmNmUEhGeU0zTmhaUVNzMmJOd3VqUm8xczk4NnBWcTFCY1hJejMzbnN2dURsQnFBNGRPbURLbENuNDlOTlBzWHYzYnR4NDQ0MFlOMjVjcStlZ00ydmJ0bTFsdzRZTm14MElCS2FucDZkdlBrRjNJeVVsNWEya3BLVDNMUmJMeU8zYnQvODRiTml3ejZXVXVxSW85NkI2N1R3aUlpTFRwS2VuRnc0Y09IQ2FwbWsybDh1VlozWWVvbkRCOVZHSVRrTnljbkt5b2lpTEFRd3dET1BtdExTMGxXWm5vbE5Yc3liZWt1bzE4WEJUWTZOa3FIMlRVc3JHMmwwdUYySmlZazdtT2dBQUlRU2tsQ2d2THorcDgwOVdjWEV4NHVQalQvbzhVWC91TFoyemtwS1NFcTFXYTgrMHRMUXRabWNoSWlJYVBIaHdUNHZGc2hSQU44TXdwbTNmdm4ycDJabUl3Z0ZINGhFUjBUbnZaQXR3b2JVeEljUVpMZUFCT0tVQ0hvV1hyS3lzSXdDT21KMkRpSWdJQUdvMlRJb1dRdGlGRUt3ckVMVVJ4ZXdBUkVSRVJFUkVSSFQyS0Nzck13ekR5SkpTYnBWU1ZwcWRoeWhjc0dKT1JFVG5qTGFjWHBxY25EeGFVWlRGVXNvSUtlWE5hV2xwNjl2cTNrUkVSRVJtNnR5NXN5YUVHQ0dFY0FnaE9KV1dxSTJ3aUVkRVJFUkVSRVJFTFZaWldWa1JGUlcxUWdnUko2WE1OenNQVWJoZ0VZK0lpSWlJaUlpSVdxeTR1TmhydFZwekxSYUwzZTEybDVpZGh5aGNzSWhIUkVSRVJFUkVSQzNXdVhQbmVJdkZNZ1ZBaitqbzZCSUFPOHpPUkJRT1dNUWpJaUlpSWlJaW9oYnplcjNTWnJPVkFMQVlocUdiblljb1hIQjNXaUlpSWlJaUlpSnFzYWlvS0NtRWtBQ2tZUmlHMlhtSXdnV0xlRVJFUkVSRVJFVFVZcnF1S3dEaWhSQmROVTJ6bUoySEtGeHdPaTBSRVJFUkVSRVJ0WmdRNHJqUDUzdE9WVlU3Z0ovTnprTVVMamdTajRpSWlJaUlpSWhhTEJBSVJGaXQxbVJOMHk0V1FuUTJPdzlSdUdBUmo0aUlpSWlJaUloYUxDb3F5ZzdnRmdEM0NDSDZtcDJIS0Z4d09pMFJFUkVSRVJFUnRaakw1VExzZG51NkVHS3ZFTUp0ZGg2aWNNRWlIaEVSRVJFUkVSRzFXRVJFQkZSVlBWOEkwY013REt2WmVZakNCYWZURWhFUkVSRVJFVkdMS1lvaUFWUktLU3VrbEFHejh4Q0ZDNDdFSXlJaUlpSWlJcUlXeTh6TVBEWm8wS0JIcFpTMnlzcktmTFB6RUlVTGpzUWpJaUlpSWlJaW9oWWJPblJvWjZ2VituSkVSTVQ4dUxpNHk4M09ReFF1V01RaklpSWlJaUlpb2hieitYd2FBSWVVc25jZ0VPaGdkaDZpY01IcHRFUkVSRVJFUkVUVVlsVlZWVjZiemJaQlVaUTRBRWZOemtNVUxqZ1NqNGlJaUlpSWlJaGFMQzR1enFZb3lpZ2h4RmhWVmJ1WW5ZY29YSEFrSGhFUkVSRVJFUkcxV0VWRmhkdHV0NjhDRUMrRTJHTjJIcUp3d1NJZUVSRVJFUkVSRWJXWTFXcXRBckJKU2hrTjRKRFplWWpDQmFmVEVoRVJFUkVSRVZHTFdhM1dCQ0hFQzRxaXpBRXcwdXc4Uk9HQ1JUd2lJaUlpSWlJaWFyR2lvaUsvbERMTE1JelVRQ0JRWm5ZZW9uREI2YlJFUkVSRVJFUkUxR0x4OGZGQ0NCRWpoSWkzV0N5cTJYbUl3Z1dMZUVSRVJDZHd3UVVYZElpS2lvb1BiUk5DZEpWU3FrSUlSUWpSMWVsMDlnNDlYbDVlWHBLZm4rOXEyNlJFUkVSRVo1NmlLQm9BQndDSGxOSnVkaDZpY01FaUhoRVIwUWxFUmtZT0ZVSzhFdG9tcFl3QjBCR0FJcVdjSVlSdzFUdG5Hb0FOYlJpVGlJaUlxRTFVVkZRY3R0dnR0eG1HWVhXNzNkeWRscWlOc0loSFJFUjBBcVdscGR2aTR1SUdDeUdDbnpRTElSRHlkVkpvZnltbHU3eThmSE1iUmlRaUlpSnFNeGFMSlI3QURFVlJ1a1JIUjc4RTRBdXpNeEdGQTI1c1FVUkVkQUlGQlFVZUtlVmlBSkJTTnRrdjVOanlnb0lDVHh0RUl5SWlJbXB6TnB2TkpvUVlJb1FZTG9SSU1Ec1BVYmhnRVkrSWlLZ0ZETU5ZQ01BUE5GN0lDMm56U3ltWHRsMHlJaUlpb3JaVlVWSGgxblg5UTEzWC84OHdqRjFtNXlFS0Z5emlFUkVSdFlDcXFqbFN5cnpRYWJUMUNTRlEwMmRIRzBZaklpSWlhbE4ydXoxYVZkVzdWVlg5dmFJbzU1dWRoeWhjc0loSFJFVFVBaVVsSmVVQXR0WStEaDJOVi91MXJQYXoxK3M5M3VZQmlZaUlpTnFJMSt2MVNpa3pwWlFwVXNvaXMvTVFoUXNXOFlpSWlGcWdabzI3elFDcW11bm1rMUwrbEpXVlZkRkdzWWlJaUlqYW5OL3ZMeFpDUENPbC9KUGI3ZVptWGtSdGhFVThJaUtpRnBKU2JwVlNOam5LVGdoUklZUkkvZi9adS9PNHFLdjlmK0N2OC9uTURBTU1oRnU1WU82aXFEQURkYnZWejhyS3ltNTIwOVF5elp1V0xTNTFiNXVhV2Q2K2xXM21rcFZaTjlzc005UFVxNWFabFdWdXdiQ0pvR2k0NUlLbzdBd3o4L21jM3g4d2Mxa0ZGQmxoWHMvSG80Zk1PZWR6UHUvUFFBcHYzdWVjeG95SmlJaUlxTEZaTEpaMkFKWXJpckxaWXJIOHpkZnhFUGtMSnZHSWlJanF5T2wwSmdJNDZOa1hUMHJwWFVwYjFuYTBiQXdSRVJGUnM2WHJ1aHZBbndBT0NDRzRBb0dva1RDSlIwUkVWRWVwcWFsT0tlV1Ntdm8xVFZ1Y21wcnFiTXlZaUlpSWlCcGJVVkVScEpRRnVxN25hSnJtNjNDSS9BYVRlRVJFUlBWUVVGRHdWVTE5VXNyUEdqTVdJaUlpSWwrd1dDd0dJVVNFb2lqUmlxSllmQjBQa2I5Z0VvK0lpS2dlTWpJeVRrZ3B2L1lzcVFWS2w5SktLZGNrSlNWbCtUQTBJaUlpb2tiaGREcXpwWlRQNkxyK0NJQXR2bzZIeUY4d2lVZEVSRlJQMVZYYzZicGVZNFVlRVJFUlVYT2k2M29BQUtzUTRpOEEydmc2SGlKL1lmQjFBRVJFUkUyTkVHS0hsUEt3RUNLOHJHbWZxcXBiZlJvVVZTczZPdG9tcFRRQlNFbEtTaXIwZFR4RVJFVE5nZGxzRGhGQ2pCQkNoRXNwZHdENHpkY3hFZmtEVnVJUkVSSFZVMGxKU1I2QU9NOXJLV1ZLU1VuSktSK0dSRFZRRk9VMlZWVy9WbFYxWTNSMDlKU29xS2dJWDhkMHZrVkhSM2V3Mld5WCtUb09JaUpxdms2ZlBsMmk2L3BtS2VVNlRkTzRuUWhSSTJFbEhoRVJVVDJscHFZVzJXeTJlQUIvQXlBQXhPL2F0U3ZYeDJGUk5hU1VBWXFpZEFEUVFWWFZ2d0o0cGV4ejkwRkpTY2xhcDlPWms1R1JVUUJBOTBWOHNiR3hRYnF1MzNxbU1VS0k0L0h4OGIvVWRVNUZVU1lMSWFhZzlHdVRpSWlvd2JWbzBTSkFDSEd0RUtLRG9paHJmUjBQa2I5Z0VvK0lpS2orZEFBL0FYaFlTbWt1KzFqemJVaDBKaUVoSWVqUW9RUDI3OThQcDlNWkErQ2RnSUNBM0lDQWdKMDJtKzAzWGRkM2xwU1ViRTFMU3p2Wm1IRnBtbmF4b2loZkFVaVhVam9xOXdzaE9rZ3BFd0hjV05hazJHeTJtRnFtYlFzQWRhakdPMkMzMjAvVU8yZ2lJdko3dXE2N1ZWVTlETUN0S0VxZXIrTWg4aGRNNGhFUkVaMkZvcUlpZTNCdzhCRUFvVVZGUlhaZngwTm4xcWxUSjB5Yk5nMnFxdUs3Nzc3RHhvMGJjZWpRb1l0UW1oeTdUbFhWbk1EQXdPTTJteTFPMS9XdkV2bnRCSE1BQUNBQVNVUkJWQk1ULzl0UTk3YlpiSkVBNGlzMVI5anQ5Z09lRjI2M2UxaFNVbEpLNVd0alltTG1BdWpyZVIwWkdSa2toTmhabC92V1lkeGtBQXZxTWhjUkVWRjVTVWxKSi9yMDZmT1VsREtncUtnb3c5ZnhFUGtMSnZHSWlKcWg4SjQ5T3hpVW9CNitqcU01S3dGZ2RPdTdoSUM1UkFUR2R1NWw5WFZJelpkYmR4U2EzQ2tuVWxNTHpuWUtWVlhSdW5WcnRHN2RHajE2OU1Da1NaT3dZOGNPckYrL0hqdDM3alRrNXVhMmRqZ2NyWFZkNzZPcTZoaWJ6WFlZd0JKZDF6OTF1OTFIeldaemZseGNuT3RzN3ExcG1tSXdHQUtrbE5jSklVSUJyTloxdmNKU1Y0UEIwTWRtczVrclh5dWx2TGo4NjlUVTFFS3IxZHJsVFBjVFFrd1JRanlzNi9vWnh4VVhGemRxMVNFUkVUVWYwZEhSclJWRm1RV2dyZEZvZkE3QUNsL0hST1FQbU1RakltcG1PblNQQ2pjSTVUMElXZHVTT3pwSFJTNm9BQVFFcnZGMUxNMmFRV2loTUN4dEZ4VzFUdGYxQXlrcEtmczhYVmFyOVI4QTRIYTd2MDFKU1RrT0FIMzY5T2x1TkJxdjFuWDlsQkRpb3BxbS9jdGYvb0svL09Vdk9IbnlKRkpUVTVHUmtZSGs1R1FrSnlmajFLbFQ0UUNtS0lyeXVNbGtTdEIxZlp2VmFvM1ROQzArT1RrNURVQzlFM3FhcHUwREVHWXdWUHZ0MTJKVXN5K2ZFTUlrcGR4Y3Jra21KQ1JrbnVrK05wc3RGd0JxRzBkRVJIUzJYQzZYR2hBUTBFWUljWWtRSXREWDhSRDVDeWJ4aUlpYUdTTVFEb0ZJQWRFMk1EQVFCb1BxNjVDSXpwckRVUUtYeXdXelFReFdWVEZhVmRWRkFKN3o5QXNoRmdDQXFxcURBQndIQUtQUmVJVVFZb0dxcWtsU3lqK0ZPUFA1RHExYXRVTC8vdjF4OWRWWEl6OC9INmRQbjBaOGZEeFdyMTZOMU5SVW82WnBsMHNwWTRVUVJRYUQ0V1JNVEV5YXBtbGZPaHlPNWVucDZmbm44bnhDaUVJcDVkY3VsK3RmS1NrcGh5cjNXNjNXKzRRUWwxYlQvcVNpS0srZmFlNlltQmhaWGJ1VThvRGRidTk4OWxFVEVaRy9jemdjTUJxTmV4VkZPUUhBNmV0NGlQd0ZrM2hFUk0yVTBXREE1RWNlaERXcWIrMkRpUzVRaXo3OEdEOXQvaFVvUFdrMUFKVytkeEZDRkFDQW9pamVnMFdrbEc1RlVRcWtsRVZDaURxZk9pdUVnTkZvUkhCd01BSURBMkUwR2xFdUFTaUVFQVlwWlpDVU1sUlJGTE9tYWVkMCttdFpGZUhiQUdBMEdtK3gyV3dBOEpqZGJ2OVBURXhNanBUUys2d3hNVEdQeDhmSGgzbGVLNHJ5amE3clo3VUhrWlN5NkZ6aUppSWlDZzBOVllRUTBVS0ljQ25sWjc2T2g4aGZNSWxIUk5STUNVVkI3NGdlK090ZmFqdWdrdWpDdGVxLzZ3QUF4VTY1UnplNC82VkltVjYrWDlmMUt3RWdKeWZubUtmTjVYS3RGVUpzTHk0dWRnWUdCajVXV3lXZVp6bnR2bjM3a0p5Y2pLU2tKSnc2ZFFvQUlLVXNBWkFFWUp1dTYvR2Fwc1dkN1hMYWFoaUZFTWQwWFI4R0FFS0lMd0VZeS9vc1Vzb0hBQ1FBc0FvaFBpaC9ZWHg4ZkVaMGRIU3hFTUtJZXNyTnpUMVcreWdpSXFLYUZSVVZGUVFGQmEwUVFyU1FVdkpnQzZKR3dpUWVFUkVSWGZCMElQOVlVZEd2cC9mdnp5M2ZYdDIrYjZtbEIyQVVBSURWYXEweDJSWWZINCtOR3pmaTk5OS9SM1oyTmdvS0NxQnAzb0srbzFMS3J3QXMxVFR0VUY1ZVhuWm1acWFqNFo2b2xKVFNrWkNRa0FBQU5wdXR1RkpmUm1KaVlrSjBkTFNsdW10VlZmMEJRRVI5N3hrV0ZqWUF3RTluRXk4UkVSRUFuRDU5Mm1FMEd1MnFxZ2FYbEpTYzhIVThSUDZDU1R3aUlpSnE5blJkUjM1K1Bsd3VGOWF1WFl0MTY5Ymh3SUVEbm00TlFCR0Ewd0RpM1c3M1owbEpTVjgzVW1pOWJUYWI1OVRkQ2h1RHE2cTZ3V2F6NlVJSTVRelhieEJDUEZhK1FVcjVPSUM3aFJCL0tkK3VhVnFNb2loTEdpUnFJaUx5YTIzYXRHbHBNcG1tQ2lFNktJcnlUd0RwdFY1RVJPZU1TVHdpSWlKcTlnNGNPSUJubjMwVysvZnZoOU5adXYrMmxESVh3RTRBdjJtYTlydlQ2Znd0TFMzdFpHUEZKSVRJQWJCSlN2a1VBQ2lLOG9DVXNwM05abnNZd05jQVBwTlNIaEpDUkVncFoxUTNoNVF5UHo0K1BxMThtODFtT3lXRTBPUGk0aXEwUjBkSHR6NVBqMEpFUkg3RzRYREFaRExsU3lsUGFacFc3VUZLUk5Ud21NUWpJaUtpWmk4dkx3OTVlWGtBQUNsbGtwVHlVMTNYdndXUWxaU1VkQktsMVhpTktqOC9mNDNiN2Y1dnVhWW5XN1pzT1ZWSythOVRwMDVGbDJ0UEE3QXFOamJXR0JjWDUxMGVMS1UwQXpCYXJkYXdjbU1oaEFnQUlDcTNLNHBTN2JKY0lpS2kraktiemI0T2djZ3ZNWWxIUkVSRXpabExTbmtLd0RFQXl6Vk5lejhwS2Vtd0x3SXhHQXpobXFhRmVsNkhoSVRzRTBKMHFEeE9DSUdXTFZzV1YyN1hkZjFyQU1QS2pic1l3TzFDaU5QVjNVOVJsR3JiaVlpSXpwV1VVZ2doV2dDNFdGRVUxZGZ4RVBrTEp2R0lpSWdBeE1YRm9WdTNiZ2dMQzZ0OThGazZjZUlFQ2dzTDBibHo1L04yRDZwSVNybGFVWlR2M0c1M2NsSlNVcUdQdzltcXF2LzdPVWNJTVZWSzZhbU9heWVFZUJxbDM1dDVqdE45VlVwNXlETmVTcm5QODNHL2Z2MjZvblFQdlRla2xGL1c4ZjdSbFUrNUpTSWlPaHRDaUpOT3AvTkZWVlV0QUhiNE9oNGlmOEVrSGhFUitiMnRXN2RpMHFSSkdEbHlKSjU4OHNsNlgvL3JyNzlpNjlhdGVPcXBweXEwbno1OUduYTdIWmRmZmpsQ1FrS3dhTkVpL1BMTEwvajIyMjhiS25TcVJXSmlvdDNYTVpSenBhN3J4d0FnSVNIaE1JRFBBQ2d4TVRIL0FEQVJwZnZnSFFCd3A1UnltUkRpQVNIRVEvSHg4V3NxVDJRd0dHNHIrL0JydTkzK2UxMXVIaHNibTFoY1hMd1d3S21HZUJnaUl2SmZicmZiSEJ3Y2JCVkN0TlEwTFEwODJJS29VVENKUjBSRWZpMDNOeGN2dnZnaWpFWWpPblhxaE5XclYxYzdMalkyRmgwNlZGbjVDQURZdDI4ZmxpNWRpa3N2dlJSMzNYV1h0MzNqeG8xNDVaVlhzR3paTW9TRWhKeVgrT25DWnpRYUQrbTZQdkxFaVJPSmh3OGY5aXlUTlZpdDFuc1VSWmtpcFd3SFlMTGRidi9DWnJNOUs0U0EzVzUvem1hekhSQkNMSXVKaWRrSzRFMGh4SGR4Y1hHdTJOallJRjNYbjVKUzdyYmI3ZHZxR2tmWmZuckh6c2N6RWhHUmZ3a0tDcklBdUJOQXVCRGlOd0MvK2pna0lyL0FKQjRSRWZrdFRkTXdkZXBVWkdWbHdXUXlZZTdjdVZYR3VGd3VhSnFHV2JObTFaakV1L2ZlZTdGbHl4Yk1tVE1IMGRIUjZOV3JGd0JnOCtiTjZOU3BFN3AxNjNaZW40TXViSEZ4Y2JrQWxucGVXNjNXKzRRUXJ3b2h6THF1djFWUVVQQmFSa1pHWHVYcjdIYjdmL3IxNi9lajBXaDhRMHE1R3NBR0FMZEtLZDhUUW9UcnVuNUhJejRHRVJHUlYxNWVubTZ4V0pLRUVBZUVFTDdlcm9MSWJ6Q0pSMFJFZmtsS2laZGVlZ2x4Y1hHWU4yOGVycnJxcWlwampoMDdodEdqUnlNc0xLemFmZzlGVVRCejVreU1HREVDcjd6eUNqNzY2Q01VRkJUZzk5OS9oOXZ0eHRWWFh3M2dmd2xCejJ1UGpoMDdZdW5TcGRWTlRjM1ROMEtJZ01MQ3dzL1QwOVB6enpRd09UbDVQNENoTVRFeHZZVVFoVmFyTlZaS09RckF1d2tKQ2FzYUo5em1wVjJYM3AwQ0FnSzYrRG9PcWgrM0UzOGUzcCt3MTlkeEVGRXBzOWtNVlZXN0NTRTY2THB1OG5VOFJQNkNTVHdpSXZJN3VxNWoxcXhaV0xWcUZaNS8vdmxxRTNRT2h3T1BQLzQ0QUdEKy9QbXdXQ3hWeHBUWHZuMTd2UFRTUzRpSWlBQUFMRisrSEU2bkU5T21UVU5RVUJBQVlQWHExVWhMUzhQVFR6OWQ0VnBQUC9tSGhJU0VIQUR2VmRkbnQ5dGZCUEJpNWZiNCtQamRaUjhldEZxdGd4TVNFdGFmeHhDYnJmQnVmYm9iVElZbGdMelUxN0ZRL1JnQ3hLbk9QYXlqTXZjbUpQZzZGaUlDRkVXUkFJcWtsQVZTU3JldjR5SHlGMHppRVJHUlh5a3VMc2IwNmRQeDg4OC9vMGVQSGlndUxzYVhYMVk5M0hQTGxpMUlUMC9IcmJmZWlsOSsrYVZDMzRBQkEzRHh4UmRYdWViYWE2OEZBSlNVbE9Eenp6L0hYLy82Vnd3Yk5zemJiN2Zia1ptWmlWdHZ2YldCbjRyOFNVSkN3bHBmeDlCVUdReHFkMEQwVklRSUN3d01oS29xdmc2SmFxSHJPb3FLaWlGMXZZV3U2cEVBbU1RanVnQ2twS1JrOWVuVDV6RXBaVUJSVVZHR3IrTWg4aGRNNGhFUmtWOUpTMHREWEZ3Y0JnMGFoUFhyMTJQdTNMbFFsSW8veUplVWxBQW9YU3F5YWRNbWJOcTBDVURwRDVOT3B4UGR1blh6SnZGV3IxNk5uSndjQUlERllzSFFvVU9SazVPRHpwMDc0Nzc3N212RUo2UEdKS1dVdm82aE5rSUk0ZXNZTGxTaElTRjQvTkVKNk5HZCsxVmU2QTcvZVFTejV5M0E4ZU5admc2RmlNcUppb3BxbzZycWEwS0lkZ0VCQWM5bVptWXU5M1ZNUlA2QVNUd2lJdklyTnBzTjY5ZXZSM3A2T3Rhdlg0L1pzMmRYV1U0N2Z2eDRBTUQ3Nzc5Zm9YMzc5dTJZTUdGQ2hiWlBQLzBVbVptWjBIVWRiZHUyeGRDaFE1R1Nrb0k3N3JnREowNmN3THAxNjd4akR4MDZCSWZEVWFITm8wV0xGcmp5eWlzYjZqR0o2QXlNUmlQNlJ2YUd6UnJsNjFDb0Zuc3o5c0ZzTnZzNkRDS3F4T2wwR2dJREE4T2xsT0Z1dHp2RTEvRVErUXNtOFlpSXlPODA1QjUwWDMzMUZRRGcxVmRmeGViTm13RUE4K2JOdzhtVEp3R1VIcUJSVWxLQ2dJQUFDQ0VncGNTTUdUTmdNcGtxVkFEMjdkdVhTVHdpSWlKcUVnb0xDNTFtcy9rWEFDMmtsQ2Q4SFErUnYyQVNqNGlJcUlHdFhyM2ErL0d1WGJzd1pzd1l2UFBPTzdCYXJVaFBUOGM5OTl4VGJRVWdFUkVSVVZQUXFsVXJreENpdnhBaTNHQXc4TFIwb2tiQ0pCNFJFZm0xelpzMzQ5Q2hReFhhc3JKSzkxNnFmT0JGWm1abXZlZjM3SmQzcHVvL3Q5c05nNEgvSkRkWEJ3NGNRS2RPbmVwOTNiNTkrOUM1YzJlb3Fub2VvaUlpSWpwN0JRVUZoUmFMWlMyQWxrS0lQM3dkRDVHLzRFOE1SRVRrMTlhc1dWTmpBdTJkZDk2cDhOcnRkdGQ3L3BTVUZBZ2hjT21sbDlZNDV1R0hIOGJWVjErTnNXUEgxbnQrdXJERng4ZGovUGp4bURsekpnWVBIbHpuNjA2ZVBJbVJJMGRpOE9EQm1ERmp4bm1Na0JwVFhsNGVRa05ESzdURnhjVWhOamEyM25NeHlVdEV2aFFVRkZRRVlBT0FJRTNURHZvNkhpSi93U1FlRVJINXRkZGZmNzNPeTFvUEhUcUVsU3RYb2xXclZuV3FuanR4NGdTKytPSUxYSEhGRldmY21QM0lrU000ZGVwVXZlS21waUVtSmdZREJnekFHMis4Z1d1dnZiWktBcWNtYTlldWhhWnBpSTZPeHBFalIrcDF6NHN2dnJqSlYzWkdSVVdGcTZwNnM2WnBtNUtTa3BwRmhVZFNVaExHangrUEJRc1c0UExMTHdjQTdObXpCdzgrK0NBbVRweUljZVBHMVhtdWhrcnk3dDI3RndVRkJXZDFyZGxzUnUvZXZjLzYza1RVdENtSzBrWUlNVThJRWE0b3lpTUFtc1hmMVVRWHVxYjlIUjRSRVZFajZ0aXhJeDU5OUZIczJMRUREei84TUY1NzdUVkVSMGRYTzNiMzd0MTQrdW1uNFhRNjhlaWpqM3JiUGN0cUR4NDhpS3V1dWdxcHFhbkl5c3BDang0OUd1VVpxT0g5OXR0dm1EeDVjcTNqQmd3WVVHUGZ1SEhqTUhIaVJBQ0F5K1hDRjE5OEFRRDQ5Ny8vWGU5NDFxeFpnL2J0MjlmN3VndUpvaWl0aFJCUEdneUdEMncyMjFaTjA1NU5Ta3JhNU91NHpwYmI3Y1lycjd5Q1BuMzY0TExMTHZPMjkrelpFeU5Hak1EcTFhc3hldlJvbUV5bU9zM1hVRW5lV2JObVlkKytmYkJZTE43K1k4ZU9vVVdMRmdnSUNQREducDJkamJadDIzckhGQllXb21YTGxsaXhZa1c5N2sxRXpVZDJkcmFyWmN1V2V4UkZPZTEydS9OOEhRK1J2MkFTajRpSXFKNE9IRGlBN094c0dJMUdBSURUNmNUZXZYdmhjcm1nNnpxV0xsMksyYk5udzJLeFlQNzgrWWlJaVBCZTI3NTllL1RzMlJPdnYvNDZacytlRFYzWGNmSEZGK1BhYTYvMTFlTmMwS1NVRUpBUUFpRm1LY01BNUhyNmV2WHExUW9BMHRMU1R2b3N3SEtlZWVZWnRHdlhya0ticG1sVmxqc1dGQlJVU0pvQVFIaDR1UGZqVmF0V0lTc3JDNDg5OWhoc05sdTk0MmpkdW5XOXI3bVFDU0d1TkJnTVA5aHN0aitrbEY4cml2S0QwK25jbFpLU2NnU0E1dXY0Nm1MaHdvVklUMCtId1dEQS8vdC8vNjlDbjVRU1Vzb2FrN3dqUm96QVk0ODk1bjNkMEVuZUVTTkdlQlBJQVBEWHYvNFZMN3p3Z3JkQ09UVTFGZmZlZXkrKyt1b3I3eThoUHYvOGN5eGZ2cnplOXlhaTVxTmx5NVpDVmRVZ0lVU28wV2hVZkIwUGtiOWdFbytJaVB5U3A4cWtxS2lvM3RmR3g4ZkRhRFNpZS9mdWNEZ2NlUHp4eDVHY25BeUR3WUNYWG5vSjQ4ZVBSMVpXRnU2Nzd6NkVoWVZWdUZaVlZTeGV2QmhKU1Vrb0xDeUUyV3hHZEhUMEdRKys4R2RTNmdnd0NBUVlSUDhnWThqZmp3THpQWDFCUVVIZmxIM1kzOU5tczludUZrTGNKYVhjcmlqSzdMaTRPQmNBV0szV09VS0lBbDNYVnlRbUp0b0JvSGZ2M2owQ0FnTHVBWkRyZERxWHBxYW1IZ09BNk9ob202cXFQVFZOTzUyWW1MaWhiR3FEMVdvTmwxSUc2N3BlYmVsVGRIUTB1bmZ2anRkZWV3MzkrL2ZIbFZkZWlSVXJWbURPbkRsWXYzNDlMQllMZEYzSHZmZmVpK0RnWUR6enpEUG8zTGx6aFRseWMzUHg3cnZ2SWpJeUV2ZmVleStFRUEzMVZqWTFZVkxLVUNFRSt2ZnZqNFNFQk9UbjUzY1JRandwcFh6QVpETHR0MXF0aVFDV0p5UWtmSWNMT0puMzQ0OC80cU9QUGtMWHJsM3gzSFBQVmVsLzZLR0hjTys5OTZKLy8vN1ZYRjAxS2R2UVNkNmpSNDlpKy9idDN0ZFNTcVNucDN1VHp3Y09IQUJRdW5lZnAxTFEwMFpFL2t0UkZBT0FjQURoVWtwTGJlT0pxR0V3aVVkRVJIN3Awa3N2aGRsc3hsdHZ2ZVd0a0ttTG8wZVBZdVBHamJqMjJtdGhNcG53OE1NUDQvZmZmOGRycjcwR0tTV21UNStPWDMvOUZkZGRkeDMrKzkvL0lpZ29DS3FxUWxFVXFLb0tYZGZoZHJzci9KZVdsb2Fnb0NEY2RkZGQ1L21wbXg0cEpWUWhvQWdScWloS2kwcmQvNi95ZUNGRUx3QjNDQ0Z3OHVSSkZZQ3JyUDArSVVTWUVDSURnQjBBQWdNRHV3R1lLcVU4WmpBWXRnRTRCZ0NxcW80QjhFOUZVUkpRdW1rM0lpTWpXd3NoRml1S2NsM1ozai9WU2s1T3hwZGZmb2tycjd3U1FPbWVZMEZCUWQ3S08wVlJNR1BHRER6NzdMTzQrKzY3OGRKTEwrR0dHMjd3WGo5djNqems1T1RnelRmZnhJTVBQb2o0K1BnNnYxZlhYMzg5WG4vOTlUcVB2NURwdW01V1ZkVUVBSk1tVFVLSERoM3cvZmZmNDlOUFA4WCsvZnZEQU1Rb2loSURZS3pOWnNzRjhJYlQ2WHhuMTY1ZEY5VG1rZ2tKQ1hqMjJXY2hwWVRCWUtpUzFBY0FJUVNDZzRPcjdUT2J6V2pUcG8zMzlmbEk4djcyMjI5SVRVMzF2dTdRb1FQV3JGbUQ1Y3VYdzJnMFFsRVVkT3JVQ1hQbXpQR09xZTZBRGlMeUx3VUZCVWN0RnN0d1hkZE5oWVdGM0ErUHFKRXdpVWRFUkg3SllySGd4UmRmeER2dnZJT2xTNWRDMS9VNlhSY1VGSVRycjc4ZVU2Wk1BUUMwYmRzV1R6MzFGSzYvL25vQVFKY3VYYkJreVJMOCt1dXZ5TXJLcXZPOFE0WU1PYnNIYWVZVVJZSERyY09saTk5Y3pxSjE1ZnQwWFgrcDhuZ3BaWm9RNGhzcDVmWldyVnBwbVptWm5xNU5BQzRXUW1SNUd0eHU5MmxWVlg4RGNGcEtXVmh1M2l4RlVkS0VFTjRmU2d3R2d3NGdWMHFaTGFVc3JpbmViNzc1QnUzYnQwZnYzcjJSbloyTnRMUTBkT3pZRWRuWjJkNHhyVnUzeHJ4NTgvRFpaNStoWjgrZXlNN09SbWhvS0g3NjZTZXNXclVLZDl4eEI2S2pvekY1OG1UazV1YldkS3NxcWx0R2E3VmFYMVFVNWUrNnJ2OG5JU0ZocnFmZFpyTjlBUUNLb2t5T2k0dkxMbXNiQk9BR0FML241K2V2ek1qSUtDbHJ2MTlLMlZiWDljMUpTVW0vQUVEUG5qMWJXeXlXeTNSZFYzUmQvejBwS1NtcmJHeDdLV1VYSVVTSjNXNy92ZXgyb2wrL2ZsMkVFRVpOMDA2VVM3UXBVVkZSUFRSTjAzYnQycFhoaWExOSsvWkJRb2hRVVM1REZSZ1lpTnR2dngyMzNISUwwdExTc0dIREJpUW5KK1BRb1VQSXpjMjlDTUQvbVV5bXAydzIyNis2cm4raEtFcXlwbWtaU1VsSjNzOXJZOXV6Wnc4bVRweUluajE3b25QbnpsaXpaZzN1dnZ2dUt1TWNEZ2ZlZmZkZExGcTBxRXJmNVpkZmpybHp2WisyQmsveTl1dlhEME9IRHNWdHQ5MVdvYjJvcUFqOSsvZkgvLzNmLzFWYklaaVNrb0swdERTNFhDN3Z0Z0pFNUYrTVJtTkxJY1IwSVVRYmk4WHlPb0Mxdm82SnlCOHdpVWRFUkg1cndJQUJaenhzb0M2ZWV1b3BCQWNIZTE5MzdkclZlMXFrcnV0d09wM1FOQTI2cmtQVFNsZjhxYW9LSVlUM1QwVlJtdnhwb3VlTEVBbzBLZUIyeTRPNWJ2ZWU4bjBKQ1FuUFZoNXZ0OXVYQWxoYXVWM1R0REZ1dHpza0x5L1BteFZ6dTkxMlhkZnZVUlJGRmhjWGU5dWxsSi9vdXI1ZTEvWGljbU56aEJBdlN5bGI2cnErcTZaNHQyM2JobVBIanVIbW0yK3UwRjc1dGNleVpjc0FBRys4OFFiZWZ2dHQ5T3paRTA4Ly9UUUFJQ29xcXFiYjFKbWlLQjBBOUJWQ1hGSytYUWh4TndEb3VqNFZRRFlBU0NrakZFVjVRa3I1cmNWaStSWkFTZG53U1lxaVdCVkZtUW5nRndBSUNncnFDMkN4RU1Kc01CaEdBdmkyYkk2L0tZcnlncFR5RUlDL0FFRDM3dDFOQm9OaEdvRExoQkR6QVN3R2dNakl5Q0JWVlplcXF1cnlqQVdBTm0zYURGVVU1VEVwWlVqbFNqT1R5WVNvcUNoRVJVWGgyTEZqMkxkdkh4SVNFdkR6enovamp6LytDTlYxL1ZaVlZRY0MySytxNmk2cjFicXRwS1JrMmU3ZHV3OENrT2Y4aHRaRDE2NWRNWHIwYUl3ZE94YnZ2dnN1K3ZUcGc0OC8vcmpLdUt1dnZocFRwa3pCN2JmZmZzYjVObXpZME9CSjNuLzk2MTludkthMmsyOWJ0V3BWYTl4RTUwTjBkSFNIeE1URVA4dGVLbjM3OW0xak5Cck4rZm41cHpNeU1qeUhMS2cybXkwY0FPeDJ1M2NOZUw5Ky9Wb1lESVpRcDlPWlg3NTYxMmF6ZFFJQVJWR09lTFppaUlpSUNBa0tDbXJwY3JrY0tTa3AyU2hidXQrN2QrOTJaclBacENoS1RseGNYQzRBZE83YzJSd2FHdHBhMTNWUlVGQndJak16MHdFQXNiR3hGK202SHFicnV2czh4SHd0QUdpYTlydm5seFlSRVJIdGc0S0NlZ0RJS1NrcDJaMmFtdW9FZ0ppWW1OaXlaYStabnJtdFZtdVlFS0szbEZJQnNDc2hJU0duM0h2UldkTTBSMUpTa21lOXZjRm1zL1VCRUtacDJyNnk1YlJXSVVTNGxQSi9KY05FZEY3eEp3WWlJcUp6VUQ2QlY1bWlLRENielkwWURkV2s3SWViQ2xWWlpUL1lISzg4dHV5SHJEK3JHYnZqVFBjUVFtRHUzTGx3dVZ3QVNwZFN6cDQ5Rzg4Ly96eTZkKzkreHZnNmR1eUlRWU1HNGJiYmJ2TldkZGJIelRmZlhPMStheVVsSlhPTlJ1TnlUZFAybFcrWFVyNVM5bWY1TE5CT0tlVnlYZGNQdUZ3dWQ3bXhDVkxLQWlubHdUcUVFZ1NnTFFDSHA4SHRkZ3NBNFVJSXE2SW8zbVJpWUdDZ0txVzBWcDVBVmRYdVVzckxLcmRYMXJadFc3UnQyeFpYWEhFRnhvNGRpOTI3ZDJQSmtpWDQrZWVmalFBaWhCQVJRb2pCZ1lHQk0ydzIyd3BOMDk3Tks2bHQxb1pqTUJqd3lDUC9XM205YTljdVhIMzExVlhHT1J3T3ZQenl5M2oxMVZlcjlKV3Z4RHNmU1Y3UC9UMWZzeDdGeGFYNTY1b3E4WVFRVlE1bk9kK2tsTENZeE45c050c0F0OXY5WlhKeThrYWc5SUNid01EQVZ3REFicmVQOTR5UGpvNitTMUdVRzNWZC96a3hNZkV6VDd2Tlpuc2ZBRnd1MXdzcEtTbUhBS0JmdjM3WEdneUcwVkxLOUlLQ2drV2VoSXJOWm5zT1FFY2h4T3I0K1BnMUFCQVZGUldocXVwNEFFWk4wOTVKU2twS0I0Q1ltSmpCVXNyYkFXVGI3ZlpwQUJBZUhoN1l1blhyaVVLSWlJYU8yV2F6RFFNd0hjRHZ4Y1hGVXowSC9NVEV4Q3lWVWtZSUlSYkd4OGUvVnpiMk1nQ3poQkFCVXNySFBWV3lNVEV4RDBrcEh3Wnd4RzYzL3czd0pxM2VCSENabFBLTmhJU0VKUUFRR3h2YlR0ZjFkV1V4ZXpkanRGcXRUd29oUmdraGxzZkh4M3VybzIwMm14MEFkRjIvS3pFeGNjOTVpRGtId0lDeW1JTk5KdE5zS2VVVkZvdmxKUUFmbGIyZmJRRnNMQXZKZXdTODBXaWNJS1c4ejJReWZRR2cvRitjRzh1KzFtNEhzQnNBZ29LQ2JnUHdnc2xrMmg0YkcvdFBUK1d5Mld4ZUNDQlMxL1g1QU40Q2dORFEwR2hWVmVjWURJYUEwTkRRQ1FDMmw3MEhZd0E4cWlqSzRZYU9XUWl4dE96UEd3SHNLb3Y1UmlIRXExTEszd0lDQWg0R2NLTHN1VjRSUXZTVlVyNEJZSGJaRkpGQ2lIZUZFQUc2cm84RDhGdForekFoeEpPcXFwYi9oVXdRZ09lRUVGY3BpdkpjZm43K3FwQ1FrSytrbEtGU1NtNlVTZFJJbU1RaklpSWlPZ2VlaEVkZ1lHQ0ZVeisvL3ZwckJBY0g0NXBycnFseVFxMkgwV2owSm5vZmZ2aGhBUEF1MWE2cnVYUG53dWwwVnR1M2E5ZXVSQUNKbGRzOVNZYnlFaElTdGdEWVVrMzcyR3JhZmdMUXJuSjdRVUhCNXhhTDVXZVh5K1VOS0RNenN5UTBOSFNtb2loZmFwb1c1Mmt2TGk0dU5wbE1WZVoydTkzYkZFWDVSbEdVbXdFRVZ2dGc1WGlxV0R0MTZvVHg0OGNqSWlJQ3k1WXRRMDVPRGdBWUFSaUZFS05VVmIwaDBLaWxGYnZoazlOQ3VuZnZqbGRlZWFWSys2aFJvM0QvL2ZkWG03d3QvMHVBODVIa0JZQlpzMlpoL2ZyMUNBeXMrRlpiTEJhOCt1cXJWWktMVHFjVExWdTJ4TnExamJ0eVRoRUNCbFd4Q2lFaVZWWGRoYkpFUjJCZ29FVUk4VURaTUc5Q1RGWFZ2d0o0UUZFVU53QnZRc3d6MW1nMExnQndDQUFNQmtQdnN2YWZUQ2JUWndBOFZWRkRoQkJXQUljQnJBRUFSVkhhQ1NGR1NTbk5pcUtzQkpCZU5qWkdDUEdBbERJVHdEUUFhTjI2ZFlBUTRtOUNpT3NhT21ZQXJZVVFWaWxsanFJbzNqWE5aY2t3SzBxVDZaNDJpNklvZmFXVTVrb0hFTFF0bThPN0lXTmdZS0FLb0h0WnU3ZTZTdGQxVTltOEZUOHZwZFcrVmlubHR2THRuckdLb3BUL3dtcXdtUEcvOXgwV2kwV1JVcllSUW9RTElieGpEUWFES3FVTVIxVmhaZFZqRmZaWkZVSjR4cGFQTFZoUmxIQUErMHRLU3RSeVl5OUI2YUVPM3MwaFZWVU5BTkFlUUVEWng1NnhvV1ZqdlFmd05GVE1Va3B6MlovZXY5ZDBYVmNWUlRFTElVeGx2MFR4eEJGUU50NVE3bm9GUUVEWisxeitoRm1EbE5Jc2hBZ29ONjhRUXBqSzJnMGhJU0ZCUW9qaFFvaHdYZGQvQnhFMUNpYnhpSWlJaU02QjU0VGo4bFdaTHBjTG16WnRRbUZoWVlXREt5b2JPWElrbm56eXlRcHQ5VjJlK0ovLy9NZTdWTnZYTWpJeVRxQ3M2cU1jV2JZY2EzdjV4ckxxeG84cXo1R1VsUFN0MVdvTkFIQTlnTUNhcWwwMVRjT1JJMGRndDlzUkh4K1Bnd2NQSWpNenM4SVNVeWxscHBUeVZ3QS9BTmhUN05RN1FsVnFyZkk3SHpSTlEzNStmcFYyS1NVY0RrZTFmZm41K1hDNzNRZ1BEejh2U1Y2UG1KZ1lMRnk0c0U3emZmREJCMWk1Y21XOVltZ0l1cFJ3NjNxU3FxZzdwSlRla3ppS2k0c0xnb0tDcW53ZFNTbDNDQ0UrQXJDMVV0ZEhBT0J5dWJ4TEVuVmRUMWRWOVNNQWFRNkhvL3llbDZzQkpPaTZudUJwMERUdG1LSW9Yd29oakc2MysxaTVPUklVUmZsSUNPSGRBRE1ySzh0NXlTV1hmQXNnczZGakJ2QTdnSmxsU2NNQ1Q2TVFZaUdBdGxMS244cU56U3lydmpJQThHNFVLcVg4U1FneFUwcVo0Mm5MeWNseGhJV0ZmU1NFK0VuWGRXOWlUbEdVSENubHpNb3hvM1FwZlk2VXNuSVNaMlpaek1mS3RUVmt6TjV0RFlxTGk0c05Cc01jUlZHK2NMbGNPOHExbnpLWlRGVU9JdEkwN1NzaHhDNU4wOUxMdCt1Ni9raFp6SWZMdGYwQzRCRmQxNC9sNU9SNGtydVFVcjRzcFd3SndQdTFVVkpTc3Nkb05FNFJRcWhPcDNOUHVUbldBdmhUQ09GOTVvYUtXVW81QkFEY2JyZjNQWEk0SE44RkJnWU9rVkxtdU4zdW5ISmpIL2NzcC9XMENTRlNkRjBmSjZWVWhCQXA1Y1orQ1dDN3BtbmVxdXI5Ky9jWFdxM1dHUURDZEYzUGNMbGNXa0JBbDV2dFVBQUFJQUJKUkVGVVFBcUFMQ25sL3paK0phTHp5aWUvaVNScUxxeFdxMVZSbEM4QTlOSjFmVWhDUXNJM3ZvNkp6cDdOWnJ0V0NMRzA3TGVVZDlqdDlwOTlIZFBaNk53OTZxOHdLRitZakliTy8zcDBJcXhSZlgwZEV0RlpXL1RoeC9ocDg2K1FVaTdOZGVZL2ZIci8vcnB2QW5ZZVNTbTkrNnN0V2JJRWI3NzVKclp2Mys2dEN2djY2Ni94OHNzdm8xV3JWdWpYcng4ZWZQREJDdGR2MmJJRmI3LzlOdWJQbjEvdEVzdjZHRDU4T0M2OTlGTE1uajI3UW52NWd5R2FHcHZOTmdiQVIwSUlzWFBuVGlqSy93cEVqaDgvanMyYk4yUHQyclhZdDI4ZlhDNVhoZVdnVXNwY0tlV1h1cTYvNXk3ZFI5SHAyUk9xYzBUVUxWQ1VMOXEwYWhYMjNsdHZ3bVp0bUNXcHRaa3padzZXTEZtQ2dJQ0FDdTBPUituUHgyZGFkbi9ycmJkaSt2VHBaMzN2di8vOTc0aU1qTVNzV2JPcTdYLysrZWVycmNTclNXTlg0dTNOMkljSEovMExCdzRjTE5GMDkwTVdnL3c2TlRXMUJHVW5Ud01Ra1pHUndRQ1FtcHJxVFpKRVJrYWFBSmljVHFmTGMwaExXYnVsYkd3UkFNL0pRNGJJeUVoelhsNmVkdmp3WVFmSzlrOE1EdzhQREEwTlZWSHVhd2lBR2hzYkcrQnl1VVJTVXBJRFpkVlZudnZsNU9Ub1I0NGNLZkxjenpQSGVZaVppSWo4RUN2eGlJaWFLWmZiallVZmZBaVQwZVRyVUlqT1duNUJRZTJEZkN3ek14UHQyN2YzSnZEY2JqYysvUEJEWEhiWlpSZzdkaXdtVFpxRU1XUEdJRG82R2dDUW5aMk5KVXVXNEc5Lys5czVKL0FBSUNRa3hGdDlWbHhjREZWVllUSTE3Zi92cFpSQ1VSUUJsQ2J0c3JLeXNIUG5UdXpjdVJQSnlja29LZkhtTnh4U3l1TW9yZHJaSVlSWWUrTEVpUjJIRHgrdThRUmhYN2pubm5zd1pNZ1FkTzdjdVVMN3M4OCtpNktpSXJ6NTVwdm43ZDRtazZuV1NyeW9xS2hxbC9wVzUvUFBQOGQzMzMzWEVLSFZtMUFVVjJwcWN1Vy9GR1Q1UkpoSFdkS3R5b05YTnhhQXU3cjJHcjZPdExpNHVLTEtqVFhkcjRZNUdpSm1JaUx5UTB6aUVSRTFNN3FRV1Nya254SWlMRGV2NnZLc3hpSjFDYVdzRWtnS0tWbjgzYlJKWFhvL2d4S0FVQnJ6OHlrbElQNDR2ZDk4UVNWbVBQYnQyNGR1M2JwNVgzL3l5U2M0ZHV3WVhuamhCY1RHeHVLV1cyN0JrMDgraVlVTEYrS2lpeTdDaEFrVDBMSmx5eXJMYU05VzI3WnRrWnljREFEWXZuMDdwaytmM3VqN2xaMVAwNmRQUjNwNnVyZHFUVXJwRkVLa1N5bTM2THB1RjBLa0ZCUVVwSlE3M2ZHQ2taeWM3RjF1RFpRbUpNdkx6czVHU1VrSnRtL2ZYdmxTTDVQSkJKdk5WbU4vYmVxUzVDMHNMTVNlUFh1cXU3eUs3R3l1bWlNaUl2SVZKdkdJaUpxWmczdVRNN3RFUk4wUGlDcWJ6amVtQUlOeXFka283MWVFTURwSzVNY09IZW0xWDBVWEtyTlJkZ3N3S0dNVUlZekZMdTAvSlc2eHIvYXJHb1l1aGN1cGlUMUE2cG5MaVh3Z1B6OGZ1M2J0d3ZqeHBYdlRwNldsNGIzMzNzTXR0OXlDMk5oWUFNQnp6ejJIUng5OUZBOCsrQ0NDZzRNUkVCQ0E5OTU3RDZHaG9XZWF1czY2ZCsrTzc3NzdEdm41K1RoOStqUktTa29hL2VUUTh5a3hzZlJjanJJOXhkYTQzZTZ2aEJDSDh2THk4akl6TXgxbnZ0cTNYbnZ0TmV6ZnY3OUt1NVN5ZkRVaEpreVlnSUNBQUZTM0FycFZxMVpZdlhyMVdjZFFVNUkzTE14N2xnRU9IejZNZDk1NXA4SjFSNDhlUlVsSlNaWHF3Uk1uVG5pclRvbklmL1h1M2J1ZDJXeWVENkNObFBMMWhJU0U1dlBiSTZJTEdQOEZKaUpxZnZRLzBwUFNBZDhtemFLaW9xNHdLSWFlVWtwemtGbk5USXVQLzZuMnEraENaYlBacEJDaTlQTnBWRFBTVTVybW5wRU43Y2NmZjRUYjdjYU5OOTZJRXlkTzRPbW5uNjVTWlplVGs0UHc4SERzM0xrVE9UazV1TzY2NjVDVGs0T1dMVnMyU0F5ZVpPSFdyVnR4K1BCaGRPalFvY2tuV2FTVXhWTEtQUUNPU0NuWENTSFcydTMyMUZvdnZNQjgrdW1uVmRwKytlVVh6SjA3RnkxYWxCNHk2WEE0WURhYmtaMmRqUWtUSnVER0cyK3NzQWZndWFvcHlhdHBHcVNVbURadEdxWk5tMWJsYStiVlYxL0Z2bjM3c0dqUm9ncnR1cTVEMHpTNDNXNElJV284ZVptSW1yZUEwazArcldXbjVyYXA5UUlpYWhCTit6czhJaUlpSWgveDdIMFhFUkdCVnExYTRiNzc3c1BKa3lmeDNudnZJVEF3RUwvODhnczJiZHFFZGV2V29WV3JWcGc1cy9SZ3gzbno1bUg0OE9HNDZxcXJjTTAxMStEeXl5K3ZVdTFVSDlIUjBlalNwUXMrL1BCRDcrdW1UbEdVWDkxdTk3QmtUd2xaRTFkY1hJd2ZmdmdCUzVZc1FWNWVIaDU4OEVIY2Z2dnRtREZqQm9xS2lqQjc5bXlzWExrU2I3NzVKdDU2NnkwTUhUb1VBd2NPUkhoNCtEbmZ1NllrNy9EaHc2dXRFcXpzaWl1dXFMR3ZiZHUyeldycE5oSFZuZFBwekRhWlRNOUlLWU1CYlBGMVBFVCtna2s4SWlJaW9yTnc5T2hSSEQ5K0hHKzg4UWFDZzRNUkZSV0ZxVk9ud21Bd1lNQ0FBWEE2bmVqY3VUTW1UWnFFNGNPSGUwOGdIVGh3SUZhdVhJa1ZLMWJnbFZkZWdSQUNpeGN2UnI5Ky9jNDZsbWVmZlJaVHBreUIyV3pHL2ZmZjMxQ1A2RE4ydS8wSWdDTytqdU5jbkRoeEFqLy8vRE4yN05pQkxWdTJvRk9uVGhnK2ZEZ0dEeDRNbzlGWVlhd1FBa09IRHNWdHQ5MkcxYXRYNCt1dnY4YUNCUXZRdFd0WFdLMVczSEhISGVqVHA4OVp4VkZUa3ZmRER6K0VwbWsxWGpkbnpoeGtabVppM3J4NU5ZNXB5SXBCSW1wYXlnNWMrY3JYY1JENUd5YnhpSWlJaU01Q3g0NGQ4Zjc3NzZOdjM3NEFnT2VmZjk3Yjk4d3p6NkJIang3bzFhdFhsZXZNWmpOR2poeUprU05IWXYvKy9UaHk1TWc1SmZBQXdHcTErdXpFVUtxZXdXREFUei85aE1qSVNJd2RPeGE5ZS9ldTlScVR5WVJodzRaaDJMQmhTRTlQeCtiTm01R2Ftb3FPSFR1ZVV5elZKWGxEUWtKcWpVVlYxUXA3NXhFUkVaRnZNWWxIUkVSRWRKWThDYnpLQmc4ZVhLZnJ1M2J0aXE1ZHV6WmtTSFNCYU5HaUJSWXNXSERHTVMrKytHS05mUkVSRVlpSWlHaVFXTTRteVR0OSt2UUd1VGNSTlUrUmtaRW1nOEhRVXdoaExDa3BPWmlXbG5iUzF6RVIrUVBXd0JNUkVSRVJFUkZSblpsTXB2YXFxcTVVVmZVM3M5bGN0OTljRWRFNVl5VWVFUkVSVVQwSklZU3ZZeUFpSXZJVlhkZmRxcXIrQ1VBVFFoVDRPaDRpZjhFa0hoRVJFUkg1RlpmTGhaVFUzU2h4T24wZEN0WGk4SjlINEhBNGZCMEdFVldTbEpSMExESXljb3lxcWdhbjAzbkMxL0VRK1FzbThZaUlpSWpJcitUbDUyUE9XKy9DWU9DM3doYzZUZE9RbTVmbjZ6Q0lxQ3AzYW1ycVFWOEhRZVJ2K0owTEVSRVJFZmtGelkzRHFsRWUxd0djenMzMWRUaFVEd0lvZ0V0bStqb09JaUlpWDJJU2o0aUlpSWo4d3FGOVNhbmh2Zm9OTjBpMWxhOWpvZnJSM2E3Y0EvdFNrMzBkQnhHVjZ0V3JWeXV6MmZ5NEVLS0ZsUEt6aElTRTMzd2RFNUUvWUJLUGlPZ0NKcVdVdm82aGdYenI2d0FhQ2c4MElHclM5TU5weVV3RUVSR2RJN1BaSENLRUdDR0VDSmRTN2dEQUpCNVJJMkFTajRpSWlJaUlpSWpxcktpb3FDQW9LR2hGV1NWZWhxL2pJZklYVE9JUkVSRTFrbVpVV2ZtVHJ3Tm9LS3lzSkNJaXFyODllL2FjYk4rKy9iOWJ0MjR0a3BLU1Nud2RENUcvWUJLUGlJaUlpSWlJaU9wREhqbHlwT2pJa1NPK2pvUElyeWkrRG9DSWlNNmVsQkxidG0yRHcrRm8wSG1QSGoyS1k4ZU9OZWljUkVSRVJOUnNHS0tqb3p0RVJrWmVHaGtaYWZGMU1FVCtna2s4SXFJbWJPZk9uWmc0Y1NMZWYvLzlCcHV6b0tBQUkwYU13SXN2dnRoZ2N4SVJFUkZSOHhFZEhYMkpvaWdmQndRRXJETWFqVGY1T2g0aWY4SGx0RVJFVGRqS2xTdGhNcGt3Y3VUSWVsMVhXRmlJM056Y0d2dHZ2dmxtckZ5NUVoczNia1JrWkdTMVkwSkRRMkd4bko5ZnZOcnRkaXhldkJpSmlZbHdPcDNvMnJVclJvMGFoVnR2dmJYS1dMZmJqU1ZMbG1EMTZ0WDQ4ODgvY2RGRkYrR2FhNjdCcEVtVGNORkZGMVVZdTJIREJuend3UWM0ZVBBZ0xybmtFdHg1NTUwWVBYbzBGS1hpNzdRV0xseUlUei85Rk11V0xVT0hEaDNPeXpOV1IwcUo3ZHUzdzJxMXdtdzJOOWk4UjQ4ZWhSQUNiZHUyYmJBNWlZaUl5SDg1blU2RDJXeHVDNkFEZ0dCZngwUGtMNWpFSXlKcUFweE9KNVl2WDE2aFRVcUpUWnMyb1ZPblR0aXdZY01acjQrS2lrTGZ2bjI5cjlldlg0OVpzMmJWZXQ4cFU2YlUyUGZJSTQvZ2dRY2VxSFdPK2xxN2RpMW16cHdKVlZWeDVaVlhJaUFnQU51M2I4ZU1HVE53L1BoeGpCMDcxanRXU29tcFU2Zml4eDkvUkpjdVhUQm8wQ0NrcGFWaHhZb1ZTRWhJd01jZmY0eWdvQ0FBcFZXTDA2Wk53NGdSSS9ERUUwOGdNVEVSOCtmUGg5Rm9ySkFFL2VPUFA3QjQ4V0pNbkRpeFVSTjRuaGduVHB5SSsrNjdENU1uVDI2UU9UMlZsZEhSMFZpd1lFR0R6RWxFUkVUK1RRaHhVdGYxNXdBRXE2cTYxZGZ4RVBrTEp2R0lpSnFBa3BJU3pKNDlHNHFpUUZWVmI3c1FBZ2NQSHNUOCtmTnJ2TmJsY3VHUlJ4NnBrTVR6V0xCZ2diZWFMajA5SFFrSkNianJycnVxak51NmRTdE9uejVkb1JMdWtrc3VPWmRIcXRhcFU2Znc4c3N2dzJ3MjQ4TVBQMFNQSGowQUFGbFpXUmcvZmp3V0xseUlnUU1ISWp3OEhBQ3didDA2L1Bqamo3am1tbXZ3K3V1dncyQXdRTmQxVEpreUJaczJiY0lYWDN5QisrKy9Id0R3OGNjZm8xKy9mdDdFNUJWWFhJRzllL2RpeFlvVjNpU2VsQkl2dmZRU3VuYnRpbnZ1dWFmQm42ODJyS3hzWHBXVlJFUkV6VlZxYW1vQmdCVytqb1BJM3pDSlIwVFVoRHp3d0FONDZLR0g2ancrSnljSE45eHdRNDM5dlh2M1JsaFlHSURTUk12NjlldXIzUXR2K2ZMbFNFMU5QV05sbnNlcFU2ZlFzbVhMT3NkWTNrOC8vUVNIdzRGLy9PTWYzZ1FlQUZ4ODhjV1lOR2tTcGs2ZGlqVnIxdUNSUng0QkFIejU1WmNBZ0NlZWVBSUdRK2svYVlxaTRMSEhIc09tVFp1d1pzMGFieEx2anovK3dEWFhYRlBoZnQyN2Q4ZjI3ZHU5cjFldVhPbXQ0UFBNZHo2d3N0SS9LaXVKaUlpSWlCb1NrM2hFUkg3c20yKys4UjZLNFhhN0FRQlhYMzExbFhFdWx3dTZybGZvZS8zMTEzSFZWVmRWR2Z2Q0N5OGdPRGdZRXlkT1JQdjI3ZXNWejVFalJ3QUFuVHAxcXRJWEZSVUZBRWhLU2dJQTVPYm1ZdGV1WGVqZXZidTNNczhqUER3Y25UcDF3b0VEQjVDZG5ZM1dyVnNqTEN3TXg0OGZyM0svZHUzYUFRQ3lzN014Yjk0ODNIMzMzZWpUcDArOTRxNHZWbGI2UjJVbEVSRlJjeFVaR1drcE85QWlTRlhWYmZIeDhSbStqb25JSHpDSlIwVGt4NjY0NGdwMDY5WU5BTEJwMHlhc1hyMGFyN3p5U3BWeFM1WXN3YUZEaHpCMTZsUnZXNjlldmFxZDgrYWJiOGJzMmJQeHd3OC80TzY3NzhiOTk5K1BrSkNRT3NYalNVQWRQSGl3U2w5ZVhoNkEveVg2OXUvZkQ2QzBtcTQ2blR0M3hvRURCM0RvMENHMGJ0MGFOOXh3QTk1OTkxMnNXN2NPVjExMUZleDJPNzc3N2pzOCt1aWpBSUEzM25nRHdjSEJtREJoUXAxaWJRaE5vYkt5Tmc2SEE1cW1JVGk0NnA3Vy9sSlpTVVJFNUlkYUtvcnluQkNpZzY3ci93VEFKQjVSSStCM3RFUkVmcXhkdTNibzNiczNnTktrQ0FEMDc5Ky95cmlOR3pmaTVNbVQxZlpWTm1qUUlGeHp6VFg0OU5OUDhkbG5uMkhWcWxWNDRJRUhNR0xFQ0JpTnhqTmVlOVZWVitHdHQ5N0M4dVhMTVdqUUlHK0NycWlvQ0hQbXpQRitEQUFuVHB3QWdCcVg3bnJhOC9QekFRRDMzbnN2RGg4K2pCa3paZ0FvclhvYk9uUW83cnJyTHZ6NjY2LzQvdnZ2TVdmT0hPOXlUVjNYcSt5dGRxRTdINVdWTmRGMUhXdlhyc1U3Nzd5RDJiTm5WN3ZYbnI5VVZoSVJFZmtiUlZFa2dDSXBaWUdVMHUzcmVJajhCWk40UkVSTmlOdnRSa2xKU1ozSE81M09ldCtqcHFSUGRZbVltZ1FIQitQaGh4L0c4T0hEc1dqUklzeWJOdzlMbHk3RjVNbVRNWERnUUFnaHFyMnVaOCtlR0RGaUJKWXRXNFpSbzBiQlpyUEJZckVnTVRFUmwxNTZLUXdHQTB3bUU0RFNDakFBQ0FnSXFIWXV6empQZTJBMEd2SGNjOC9oOGNjZng1OS8vb2xMTHJrRVlXRmhLQzR1eHF4WnMzREREVGZnbW11dXdiSmx5N0I0OFdKa1pXV2hmZnYybURoeEltNjU1Wlk2UDdzdm5ZL0t5dXBzMjdZTmMrZk94ZDY5ZTNIVlZWZlZ1R3phM3lvcmlZaUkvRVZLU3NyUjZPam80VTZuMHlDRU9PbnJlSWo4QlpONFJFUk55SWNmZm9nUFAvenduT2Z4Sk1BOGlhN3kzbnp6elNwdG4zenlDYkt5c3VwOW4xYXRXbUhhdEdrWVBYbzA1cytmajJuVHB1R3p6ejdEbkRsejBLcFZxMnF2bVRKbENycDE2NFpseTViQmJyZkRZckhndXV1dXc0UUpFM0RUVFRkNVR5ajFMSS9VTkszYWVWd3VGd0RBYkRaWGFMZFlMSWlJaVBDK2Z1ZWRkMUJRVUlDbm4zNGEzMy8vUFY1OTlWV01HemNPTVRFeFdMVnFGYVpQbjQ0dVhicFV1T1pDZFQ0cUs4dmJ1M2N2NXMyYmg2MWJ0eUl5TWhMdnZmY2VMcnZzc2hySHM3S1NpSWlvMlhJbkppYis2ZXNnaVB3TmszaEVSRTNJalRmZWlJRURCOVo1ZkZGUkVmNzk3MzlYYVM4c0xJUVFBb0dCZ2Q2MlVhTkc0YTY3N3FxMnN1M3l5eStIbFBLc1luYTczYkRiN2NqSUtOMHFwVjI3ZHJYdVR6WnMyREFNR3phc1F0dmV2WHNCQUYyNmRBRUE3ejU3dWJtNTFjNlJrNU1EQURVbUN3Rmc5KzdkV0xwMEthWk1tWUxXclZ2alAvLzVEd1lNR0lDSkV5Y0NBQzY3N0RMRXg4ZGoyYkpsM21SUlEyb3FsWlZaV1ZsNDk5MTNzV2JOR25UbzBBR3paczNDVFRmZFZPdDFyS3drSWlKcXRrUmtaS1RSNlhTS2pJd01ONERxZjZ0S1JBMktTVHdpb2lha2E5ZXV1UEhHRytzODNwUElxaXcvUHg5QlFVRVFRdUNKSjU3QXRtM2I2anpub2tXTDZyVEhtTVBod0twVnEvREpKNS9nK1BIanVQSEdHL0hHRzI5NGwzdlcxNDRkT3dBQVZxc1Z3UC8yV2ZOVW5GV1dtWmtKUlZIUXVYUG5hdnMxVGNPTEw3Nkl2bjM3NHM0Nzc0U21hZmpqano5dysrMjNlOGNZalVaRVJFVGd3SUVEWnhWemJacENaZVd5WmNzd2QrNWNCQVlHNHFtbm5zS2RkOTVacjBNaVdGbEpSRVRVL1BUczJiTlZRRURBazJhenVXVjBkUFFuaVltSnYvbzZKaUovd0NRZUVaRWZ5c3pNUk51MmJRRUFZOGVPeGUyMzM0N1hYbnNOQm9NQi8vem5QNnNrYVRJek03Rmd3UUswYmR1Mnh2M1BQQW9MQy9IVlYxOWh5WklsT0gzNk5BWU9ISWp4NDhlamE5ZXVaeDJ2MCtuRWwxOStDWlBKNUUxaWR1ellFVzNhdEVGcWFpcE9uejZORmkxYWVNY2ZQWG9VKy9mdlIyeHNiSVZxdy9JKy8veHpaR1JrNFBQUFA0Y1FBcHFtUWRPMGFoTlVOVldIbmF1bVVGa1pFaEtDa0pBUTVPVGtZTy9ldlRoMjdGaVZneWRxNHkrVmxVUkVSUDRpS0NqSUF1Qk9BT0ZDaU44QU1JbEgxQWlZeENNaThrUDc5dTFEVEV3TUFLQnYzNzRBU2s4QUhUZHVIRmFzV0lHWFgzN1ptMVQ1NVpkZjhNRUhINkJMbHk1NCsrMjNLeVRMcWpOanhneHMzcno1ckpOM3g0NGQ4eVlZZ2RJcXMrZWZmeDUvL3ZrbkhuamdBZS85aFJBWU1tUUlGaTFhaExsejUyTG16SmtRUWtEWGRlOStheU5IanF6MkhrZVBIc1hDaFF2eGozLzh3MXNaYURLWjBLRkRCK3pldmRzN1R0TTA3Tm16QjdmZWVtdTlucUd1bWtKbDVhQkJnM0RERFRkZzVjcVZXTHg0TVZhdFdvVmJicmtGWThlT1BhZkViSE9zckNRaUl2SVhCUVVGaFJhTFpTMkFsa0tJNnYveEpxSUd4eVFlRVpHZnljek1SRlpXVnBYbGhOMjZkY09pUll2d3hCTlBZTml3WVpnMGFSSTJiOTZNVFpzMlljaVFJWGo4OGNlOWh3U2N5ZFZYWDQzSmt5ZDdLNnpxYStiTW1jak56VVdQSGoyZ2FScTJiOStPMDZkUFk4Q0FBWGp3d1FjcmpCMHpaZ3grL1BGSC9QZS8vMFZHUmdaNjllcUZYYnQyWWUvZXZiajExbHN4WU1DQWF1OHhhOVlzdEduVEJ2ZmZmMytWK1Y1NzdUVkVSVVVoS2lvS1gzMzFGWXFMaXpGNjlPaXplcGJHY2o0cks0SFNCT2RkZDkyRklVT0c0SnR2dnNGSEgzMkVkZXZXWWNDQUFiai8vdnU5aDJuVVZYT3RyQ1FpSXZJWEdSa1pKd0Q4MDlkeEVQa2JKdkdJaUpvUXU5Mk94WXNYMTNtOFo2KzA4cjc5OWxzQXdQWFhYMStscjF1M2JwZzhlVEtlZSs0NXpKdzUwenZ1b1ljZXFsTUNEd0R1dlBQT09zZFhuZjc5KzJQNTh1WFl1SEVqREFZRHVuZnZqa2NmZlJTREJ3K0dFS0xDMk1EQVFMei8vdnQ0KysyM3NXblRKdXpidHcvaDRlRjQ0b2tuY1BmZGQxYzcvNFlORzdCbHl4WXNYTGl3U2pKbjZOQ2h5TTNOeGNLRkM1R2JtNHZJeUVpOCsrNjdaMXpDZVNFNG41V1Y1WmxNSm93WU1RSkRoZ3pCcWxXcnNIanhZb3dlUFJwZmZQRUZldmJzV2UwMS9sUlpTVVJFUkVSMFBqR0pSMFRVaE5qdGRpUW5KNS8xOWFkT25jTFNwVXNSRlJXRjhQQnc2THFPQXdjT0lEVTFGVHQzN3NUUFAvK012THc4OU92WER6ZmRkQk8yYmR1R1RaczJZZE9tVFlpTWpNUmxsMTJHenAwN28xT25UdWphdFN0Q1EwTWI4T2xLalJvMUNxTkdqYXJ6K0pDUUVFeWRPaFZUcDA2dDAvaWJicnFweHBOVmhSQVlOMjRjeG8wYlYrZjcrOXI1cnF5c2p0Rm94TEJody9EM3YvOGRxMWV2cnJFNkRtQmxKUkVSVVRPbDl1elpzNFhKWkZKemNuTHlEaDgrWE96cmdJajhBWk40UkVSTnlMaHg0L0RRUXcvVmVYeE9UZzV1dU9FRzcrdTR1RGprNStkandvUUoyTEJoQTE1NDRRVVVGNWQrejlXcFV5Y01IandZZDl4eGgzZXZzM3Z1dVFkSGp4N0Y5OTkvankxYnR1RExMNzlFU1VrSkFPREZGMS9Fb0VHREd2RHAvRTlUcUt3OEU2UFJXR3ZsSlNzcmlZaUltcCtvcUtoMnFxcCtLb1JvMTZaTm0yY1BIejY4M05jeEVma0RVZnNRSXFxSjFXcTFLb3J5QllCZXVxNFBTVWhJK01iWE1kSFpzOWxzMXdvaGxrb3B6UUR1c052dFAvczZKbG5YSTBUcjRjY2ZmOFNBQVFQZ2NEaThoeHJFeE1UVWFWbWx5K1hDL3YzN2tabVppWUVEQjBKUmxJWU83NEluS21lZTZzSHorY3pQejhkMTExMEhnOEZRN1o1dForSndPUERJSTQvZ2dRY2V3S2xUcHpCMDZGQjA2ZElGaXhjdnJsTmw1Wll0V3dDZzBTb3JMM1RuOHZra0lpTHlWMWFydGJNUTRuc2hSTGl1NjQ4a0pDUjg1T3VZaVB3QksvR0lpUHlNWjBtaTJXekdvNDgrV3E5clBhZDdWbDY2U1dlSGxaVkVSRVRVRkJVVUZCeTFXQ3pEZFYwM0ZSWVc4blJhb2tiQ0pCNFJFVkVqQ3drSlFWeGNYTDJ2Q3dzTHEzRGR3SUVEWVRBWWNQbmxsOFBoY0dERWlCRzFWbGEyYTljT1k4YU13Wmd4WTZwVVZoSVJFUkhWUlVaR1JnbUFCRi9IUWVSdm1NUWpJcnFBTmVXbGZsRlJVVmNZREladnBKUm1JY1RkOGZIeDMvazZwdWFJbFpWRVJFUkVSUDZCU1R3aUlpSWlJaUlpcXJPb3FLaGdSVkd1RlVJRWFab1dsNVNVeENXMVJJMkFTVHdpSXFKRzBwUXJLeS9FZzErSWlJaklOeFJGYVNPRW1DZUVDRmNVNVJFQVRPSVJOUUltOFlpSWlJaUlpSWlvemtwS1Nrb0NBZ0pTQUdSSktiTjlIUStSdjJBU2o0aUlpSWlJaUlqcWJQZnUzVWNCRFBGMUhFVCtSdkYxQUVSRVJFUkVSRVJFUkhSbXJNUWpJcjhVRXhOelBZQWZxdXNyMjdic3A1aVltTXBkdC9DRTFlclY0ZjM4bHU5bjB4RVpHV2tLREF3TUxOK21hWm9GWmR2NjZicHVpWTJOdmFoOGYyNXVyaU1qSTZPa1VRTWxJaUlpSXZJalRPSVJrVjg2ZGVyVWJ5MWF0RGdraE9oWWwvRlN5ajlQbno3TmpmeHJ3UGV6ZVZGVk5VTFg5Zm5sMnhSRnVVaEtHVmI2b2ZKL3VxN25sdThQRGc1K0hJQzlNZU1rSWlJaTMramR1M2M3czlrOEgwQWJLZVhyQ1FrSmEzMGRFNUUvWUJLUGlQeFNabWFtbzBXTEZvc0JQQ2VsUkUySGhucjZoQkNmWjJabU9obzN5cWFENzJmelVseGN2Q2NrSktTM0VPS1M4dTNsUHErMjhwOWpLZVdKd3NMQzFFWU1rWWlJaUh3b0lDQWdBSUJWQ0JFdXBXemo2M2lJL0FYM3hDTWlmN1lDUUxFUUFsTEtLcDNsa2xIRm1xYXRidXpnbXFBVlVzcWlPcnlmRHI2ZkY3YXlaYkZmQWFqMmMrbFJybThWbDlJU0VSSDVENmZUbVMybGZFYlg5VWNBYlBGMVBFVCtncFY0Uk9TMzNHNzNRWVBCa0NDRXVQSk00NlNVQ1lxaTdHK3N1SnFxc3ZkekI0RHJhaG1heXZmendpZUUrQWpBd3dBTTFWVlhsay9LU2ltWCtDQkVJaUlpOHBIVTFOUUNsUDNDajRnYUR5dnhpTWh2SlNjbjV3SFlLc3ZLaWNwWEhIaytMdXZicWlqS0NWL0UySlFrSnlmblNTbC9xc1A3R2NmMzg4SW5wVHdJSUtPbXBkSGx4cVc1M2U1OWpSTVZFUkVSRVpIL1lpVWVFZmt6VGRmMUZFVlJDZ0ZZcWhzZ2hIQm9tbWEzMisydVJvNnRLZEtFRUxzQTFQWit4aVVtSnZMOXZNQ2RQbjA2djBXTEZqc0FSQUFRNWF2eEtpVmxrMXd1VjQ3UEFpVWlJcUpHRnhrWmFUSVlERDJGRU1hU2twS0RhV2xwSjMwZEU1RS9ZQ1VlRWZrMUtlVnZRb2lzTS9UblNTbDNObVpNVFpuYjdZNnY3ZjBFOEdzamhrUm5LVE16MHlHbC9BVkEwUm1HT2FXVXY2U25wK2MzVmx4RVJFVGtleWFUcWIycXFpdFZWZjNOYkRZUDluVThSUDZDU1R3aThtdEpTVW5wVXNxVThoVkduaXFqc2dNYWRpY2xKYVg3TXNhbUpEazVlWDl0NzJkaVl1SXVYOFpJZFNlRTJDbUVxUEUzNjBLSWZDRUVrOXhFUkVSK1J0ZDFONEEvQVJ3UVFoVDRPaDRpZjhFa0hoSDVQVjNYUDYrcFR3aXh1REZqYVE3NGZqWWZkcnM5VVVxWmZvYWs3SDY3M1o3b3l4aUppSWlvOFNVbEpSMHJLU2taNDNLNWJpMHFLdnJPMS9FUStRdnVpVWRFZnMvbGNxMVZGT1VrZ0ZhZXRySUV4YW1pb3FLVlBneXRTZUw3MmJ6b3V2Ny8yN3Z6NkNpcTlHL2czMXZWYTBoQ0lBUlI0aEFpRW1oQzBwMGdxTUNBamdzeW9JaUlHNmpvRENpSW9IQmtHQkVkZkFGQlpSRTBpRE9NL2xRWXgyM1lGQmNjRkJGUmt1NGtFQWdFQkkxaGk5QWtJWjNlNnI1L3BMdW5zd0ZoYXlEZnp6bWNrNzUxNjliVEZlaW1ucnIxM0dXcXF0N1l3T1kzejJrd1JFUkVkTDd3RlJRVS9CenBJSWlhR3M3RUk2SW1yNkNnb0FMQUI3Vlg0UlJDckdDdHI4YmorYnk0ZUwzZTk2V1V4K3JaVkZsWldmbk9PUStJaUlpSWlLaUpZaEtQaUFpQTMrOS9VMHJwQ2I2V1Vucjhmdit5U01aMElRdWNUM2Z3TmMvbmhTdVFsRjBibnBRTnpLejhoRWxaSWlLaXBxbFRwMDd4VnF0MXVzMW1lODFxdFY0YjZYaUltZ29tOFlpSXF1MFdRdXdXUWlDUXJOanU5WHEzUnpxb0M5aHVJY1NPNFBrVVF1em0rYnh3U1NucjFETFVORzFGSkdJaElpS2l5RE9aVERGQ2lLRkNpQkVBT2tZNkhxS21na2s4SWlJQWh3OGZMdGMwTFZ2K1Q3N0g0M0ZHT3E0TFZlQjhiZ3llVEFEYmVUNHZYRUtJSDZTVVB3V1RzbExLbndCc2luUmNGNVBFeEVSeldscGFZbVAzUzAxTnZjUmlzYlE1R3pFUkVSRTFwTEt5c2tKSytSR0F0NldVUlpHT2g2aXBZQktQaUFoQWNYR3hDNEJEQ09FVFFtZ0FIRVZGUldXUmp1dENGVGlmbTRQblUwcVp6L041NFZJVXhTbUUyQng4TFlUWUxJUTRHTW1ZTGphdFc3ZGVwYXJxWjVtWm1WR04yVSt2MTA4eEdvMi9wcWFtWG42MllpTWlJcXB0eDQ0ZHZ4MDhlUEJ2UHAvdmlkemMzTzhqSFE5UlU4SFZhWW1JQWpSTld4OUlUSmcxVFZzZjZYZ3VBajlLS1E4Q01QdDh2aThqSFF5ZHV1enNiSmZWYXYxQkNIR2JFRUxSTk8wSGg4TnhOTkp4WFV5a2xKT0VFTjlwbWpZSndMTW5zMCtIRGgyTUFPNEZrSy9UNlZTcjFacDBzc2RUVmJVaU96dTc5QlRESlNJaWtpVWxKWlVsSlNXUmpvT29TV0VTajRnb0lDOHZiMU5HUnNZT0FNM3o4dkw0cU9CcGNqZ2NqdUQ1ek0vUC95WWZOMUtQQUFBZ0FFbEVRVlRTOGRCcGtYNi9mNE5PcHpza3BUVDcvZjROQUdTa2c3clFaR1JrZkErZ3gvSDZDQ0dtWm1Sa1RHMW9lMDVPamg2QUR3Q2lvNk1mRmtLMEJOQlNDUEZUWTJMUk5PMHRBQTgyWmg4aUlxSXd1dlQwOUV1OFhxOEs0SEJnSVN3aU9zdVl4Q09pVTNMWkZhbVhHL1M2S3lJZHg1bFc1ZE95RlVoRFVpZHIzMGpIY2pIZytieDRISzN5NlZ0R28wd0EydEVxR1gwKy8wN2RidmRQKzM3YXRqZlNjVFRnV3dEVGF6ZHFtcVlxaXVLdjFkd2NRTzBaajM0QXNGZ3NCa1ZSSmtrcGR3Z2hIbWhzRUlxaUhHcnNQa1JFUkVIcDZlbVhLSXJ5bHRGb2JLTnAybFFBSDBVNkpxS21nRWs4SW1xMHBDUnJFdlR5bnhDeVU2UmpPZE5jWGdnQWdKQkRJeHpLUllIbjgrS2g2RlM0dkRJS1VncEZwLzdmK1R3UnoyZ3kvSng0UlpmN2luZHRQZThLYlVzcEQ5anQ5alZXcS9WR1JWRnVGRUk4bDUyZFhXbXoyWDZSVXI1cHQ5dWZBUUNyMVRwSVVaUTNBRXpOeWNsWmdFRHlMc2hvTkU0QzhEc2h4TUNjbkJ6V0lpSWlvblBLNC9Ib1RDWlRHd0J0QVRTTGREeEVUUVdUZUVUVWVDWWtRYUNUSXBRMlpwTUpxazZOZEVSRWRBNUl6UThCQWFPaXhFUTZsdnI0L1JwY0xoYzBLVTA2bmRvQndIbVh4QXNTUWp3cHBXeVZrNVB6VktkT25lS0ZFSWtBZmdsdVYxVjF0ZC92ZjBWUmxKZHNOdHRRUlZINlpHZG5ld0hBYXJWZUtZVDRLNERQTlUycnlNaklhRlJHMWVmemRjM0x5OXR5WnQvUmhlUFM5cDNiR1kzRzlwR09neHJINThHdnhic2RPeU1kQnhGVkUwTDhGcGlCMTB4VjFZMlJqb2VvcVdBU2o0aE9XV3hNRE1ZK09oS1d6aW1SRG9XSUNEdUxkbUZCMWhzNDlOdHZrUTdsdUFJcnlkNGtoSGpjWXJHME1abE0xd0NBbEhLL3hXSnBBd0F1bHdzQUZocU5Sb2NRb28zTDVZcnYxS21UMStmelZTaUs4cDZVMHUvMyt4LzNlRHlsVVZGUkF4dHpmTGZiZmI0K2FueldKVjdScFlQT29Ic1hrTCtMZEN6VU9EcWpPSngwcGZXK1BUc2Rqa2pIUWtSQW9BWWVINkVsT3NlWXhDT2lVNmJYNjJIcG5JS3J1M2VMZENoRVJEQWFEREFhRFpFTzQ0UU1Cc01OQUJRQUMwMG0wOEpndXhCaXVjbGtxbmNmazhtMFFFcVpLNlY4RVlBTndEMTVlWG1GZ2MycnpuYk1GNHZxR1pxaW95SkVuTmxzaHFvcWtRNkpUa0RUTkZSV3VpQTFyWVdtYWhZQVRPSVJFVkdUeFNRZUVSRVIwYmtqaFJBck5VMjdLcXp0LzRRUVI2V1VZMCt3YjZVUTRwQ21hWE1WUlVtMjJXeU5YZ25RNS9PbDVlZm43MjdzZmhlYjJKZ1lQUG40YUZ6WjRhSmJuK21pVS94ckNWNmV2eEFIRGh5TWRDaEVGTVppc1VUcjlmcWJBRVNwcXZwOVRrN09lVnZDZ3VoaXdpUWVFUkVSMGJuUkRNQ3g3T3pzVWdDbEFKQ1dscGFvcW1vbktlV3pVc29HTDRBY0RzZFIvRzgxa1NldFZxc1ZRTW5KSGxnSTBVc0k4YkJlcitmVU0xVFBKRSsxZEliTm1oYnBVT2dFZGhidFFrTXpWSWtvb2xvcWlqSlZDTkZXMDdUeE9JL3IwQkpkVEpqRUl5SWlJam9IcEpUUkFNckMyMVJWdlVzSUlRQk1FMEpNYTJoZnE5WGF3dUZ3T0lPdkhRNkhBNDE0ckRBakk4TUg0R0dmejhlVmlJaUk2TFFwaWlJQlZFb3BLNlNVdmtqSFE5UlVNSWxIUkVSRWRBNElJVnBJS1k4R1gyZG1adW8xVFJzTFlEK0FWZ0J1MXpTdE9LeS9Ec0MvQWV4M09CeGxkUVpzQkNsbGxSQUNxcXB5U2hNUkVaMjJMVnUyN0V0UFQ3L1Q0L0hvaEJEbjk0cFNSQmNSSnZHSWlJaUl6ckxNek14THBaVE5BZXdNdGtrcEh4SkN0Sk5TOWhWQy9EOHA1UmlIdzNGTGNMdk5abnNld0dXS292UUhvSjFtQ0U0QTBEU3RKUUIwNnRRcGZ2djI3YnpvSWlLaVUrWEx6YzM5TmRKQkVEVTFySXRDUk5TRS9mcnJyNmlzckR4ajQ3bmRicFNXbGtKS1dXZWIzKzlIWldWbHZkc2l3ZWwwWXZmdUpsL2ZuODRSVGRPNkFJRGY3OThDVkNmUkFEd3JwVnhudDl1L0JqQkdDTkhIWnJNdEFDQnNOdHRZQUg4VlFqeWVuWjI5L1F3Yy8yY0FVQlRsY2dDSWlvcjZ3bWF6dlhDNjQxTGpsSlhWblZDWm5aMTlTbVB0MnJVTGZyLy9kRU1pSWpwVndtS3hHRHAwNkdBRXdGSU5ST2NJazNoRVJFM1loQWtUY1BmZGQ1OXlZazFLQ2JmYkhYcTlidDA2M0h6enphaW9xTHRvNXViTm05RzdkMi9zM2J2M3BNZGZ2WG8xSG5yb0lSdzRjT0NVNGp1ZXA1NTZDbzg4OGdqMjdkdDN4c2NtcWtjL0tlV3h5c3JLclFCZ05wc1hBV2lsYWRwakFKQ1RrNU1ucGJ4RENESEtack45RDJDK0VPTHhuSnljeFdmaTREcWQ3aWRVcjI1ckF3QXBaV3NBbmpNeDl0bVFuSnpjdkhQbnp1MEFpRWpIY3FiazVlWGh4aHR2eEk4Ly9oaHEyN0ZqQjBhT0hJa2xTNVkwYXF6ZmZ2c045OXh6RDJiTW1IRmFNZTNjdVJOMnUvMlUvbXpidHUyMGprMUVGN2FPSFR2R0c0M0dhYkd4c1F2UzA5T3ZpWFE4UkUwRkg2Y2xhaUlTRXhQTjhmSHhYYjFlYjBGQlFVSGREQXMxT1RrNU9kaTVjeWZHangrUDZycjZqVGQ3OW16azUrZGozcng1YU5XcTFSbU9FR2pUcGcxMjdkcUYwYU5INDYyMzNrSjBkUFFaRy91dmYvMHI3ci8vZml4ZHVoUVRKa3c0WStNUzFVTUJNRmdJc2Fxb3FNaHRzOWttQ1NHR1NDa241K2JtYmczMEVVSUlNNEQ5UW9qdVVzb2ptcWE1TzNUb1lDd3FLbklmWit5VGtwMmQ3YlhaYkJ1RUVQMFNFeFAvQ3VBeUtXWGg2WTU3dHNURXhIUlZWZlY5bTgxMlNBanh1dHZ0WHJaMTY5YkRrWTdyVlBsOFByend3Z3ZvMHFVTHVuWHJGbXJ2MkxFamhnNGRpaFVyVm1EWXNHRXdHQXduTmQ3cTFhdmg5L3VSbnA2T2twS1RYcVFZQU5DNmRXdm9kTldYQURObnpzU3VYYnRxZkxidTM3OGZMVnEwZ05Gb0RNVmVXbHFLTm0zYWhQb2NPM1lNTFZ1MnhFY2ZmZFNvWXhQUnhTTXFLaW9hd0IwQUVvVVEzd0g0TnNJaEVUVUpUT0lSTlJHeHNiSE5GVVY1M1dReWRiRmFyZTlvbXZhdXFxcDVSNDRjS2QrelowOVZwT09qYzIvUm9rVUFnS3lzck5EUEovTHV1KzhpS1NrcDlMcGZ2Mzc0OU5OUGNmLzk5K08xMTE0THRidmRicnozM25zMTlpMHVycTdYLzhFSEh5QXVMcTdHdGdjZmZEQjBVUmt1TXpNVEN4WXN3Si8vL0dmTW5Ea1QwNmRQUDdrM0Z4YWYwK2xzY0x2UDU4UDc3NytQOTk5L3Y5N3RjWEZ4V0xObVRhT09TVlNiMVdvZExvUm9MNlVjbjVHUk1RckFDMUxLRCt4Mis2ejA5UFNPcXFyMmwxTCtXVXJaR2NBeUFBc0JURlFVNVkzWTJOaHBHUmtaN3dKWTYvUDUxdWZsNVIwNzFUZzBUZnU3cXFydnRXN2RlakVBNGZQNU5wNlpkM2oyQ0NHNkFsaG9NQmhtMkd5MmJ3RjhKcVhNRmtMOFpMZmJHNWU5aXFCRml4YWhzTEFRT3AwT3ZYcjFxckZOU2drcEphNjc3cnA2OXgwNmRDakdqUnNYZXUzMWVyRnMyVElBd04vKzlyZEd4N0p5NVVwY2R0bGxOY1lmTTJaTTZQWFZWMStOYWRPbTRkcHJyd1VBRkJRVVlQanc0WGovL2ZjUkZSVUZBRmk2ZENrKytPQ0RSaCtiaUM0ZUZSVVZ4NktqbzFjRGFDbUUrQ25TOFJBMUZVemlFVFU5ZWtWUlJpaUtNZ0xBOWhZdFdteHEzcno1ZDRxaWJGSVVwU0E3TzlzYjZRRHA3UHZtbTIrUW5aMk53WU1ISXlVbDVZVDl0MjdkaWhVclZ0U1pzWmVlbm82c3JDeU1IVHUyeG1PeUhvOEhuMzMyV1kyK0xwY0xBUER0dDk5Q3I5ZlgyRFpzMkxCNmszZ0FrSmFXaHJGangyTHUzTG5vMzc4L2V2YnNlVkx2TVJoSGFtb3ErdlhyVjZQOThPSEQyTGR2SHpwMzdneEZhYml5UkhBbUN0SHBFRUwwQXJESmJyZXZURTlQdjBwUmxLVnV0M3RFUmtiR3Z3QU1CZUFTUXF3QWNIOU9UazZ3UU5vZEdSa1ptUURHQXhnRFlLS3FxcDhBK09PcHhwR2JtL3UreldZYklJUzRRMG81S3o4Ly80SW9DdG0yYlZ2czM3OC8xdS8zOTVkUzlndXNndmlUeldiYkRtQk5lWG41NnFLaW90TmF2ZmRzK3U5Ly80czMzM3dUeWNuSm1EcDFhcDN0bzBhTnd2RGh3OUc3ZCs5Njk2ODl5M241OHVVNGVQQWd4bzBiQjV2TjF1aDRhbyszYjk4K2JOcTBLZlJhU29uQ3drS29hbldKcStCbmUzWjJkbWltWUdQS0loRFJ4YW1vcU9nUXFyK2ppT2djWWhLUHFJa0pyMzBtaE9na2hPaWtLTW9RSWNSdm1xWVZwNmVucjZpcXFucTdzTER3Z3BuaFFJMVRVVkdCV2JObUlUazVHWk1tVFdvd2VSYk9iRFpqeFlvVjlmYnQzTGt6VnExYWhXM2J0dUdOTjk0QUFNVEV4TlNaM2JacDB5YU1IajBhOCtiTnF6R2I3MlFNSFRvVUN4WXN3Snc1YzNEMTFWZUhMaTVQUnZ2MjdURmt5SkFhYmZQbno4ZUtGU3R3enozM29HUEhqbzJLaGFpeEZFVVo1L1A1MmdPUXVibTVQd0M0RHdBeU1qS2VsbEt1cnF5cy9MaXdzTEM4OW42QmhONXdpOFh5cU1GZ3VFRlYxVTIxK3pTU3ROdnQ5d080L3pUSE9hZGVmUEZGQU1EYXRXdngrZWVmS3djUEhrendlcjBKbXFaMUIzQi9iR3dzYkRiYmNyL2Z2MFJLdWQ3djl4OHJLQ2p3QW9qNEtqb09od05UcGt5QmxCSTZuYTdPTEdRQUVFS2dXYk5tOVc0em1VeElTRWdJdlQ1NjlDaXlzckpnc1Znd2ZQandVeTZGRU82Nzc3NURRVUZCNkhYYnRtMnhjdVZLZlBEQkI5RHI5VkFVQmUzYXRjUGN1WE5EZmNyS3loQWJHM3ZheHlZaUlxTEdZUktQcUlrTEpQV2FTU21iQ1NGK3A2cnF0YzJhTlh2QlpyTjlJYVY4UTlPMGpYcTkvbkIyZHJZTDU4RUZFWjIrRjE5OEVmdjM3OGU0Y2VPd1k4ZU9CdnRaTEpiUXo4RVZFT3RMNHUzZXZSdXZ2dm9xMXExYkI3UFpmT1lEQnBDYm13dWZ6NGM5ZS9aZzFhcFZ1TzIyMnhxMS95Ky8vSUpmZnZrRlFQWGYrZi84NXo5SVNrcENhV2twU2t0TDY5MUhwOU9oZS9mdXB4MDdVWFoyZGlXQXJiWGJjM0p5aWdBVW5Xai9RQjNULzV5RjBDNFlLU2twU0VsSndjTVBQd3lId3dHSHc0RnQyN1poMTY1ZEtDa3BnUkRpTnAxT2Q1dVU4bGVkVHZkVmVucjZ0NHFpNVB0OHZ1MzUrZmxISWhIempoMDdNR2JNR0hUczJCRkpTVWxZdVhJbDdyNzc3anI5cXFxcWtKV1ZoY1dMNjY1aGN0VlZWMkhldkhtaDEvUG56NGZUNmNTY09YTXdjdVJJNU9Ua25IUTgxMTkvZlNnaEd0UzFhMWNNSGp3WUF3WU1xTkZlV1ZtSjNyMTc0L25ubjY5M2h1Q1dMVnV3ZmZ0MmVMM2VPak9yaWFqSlVEdDI3TmpDWURDb1RxZXpyTGk0MkJYcGdJaWFBaWJ4aUpxbyt1N2VCMmZwQ1NFZ2hMZ3g4T2VBbFBLYmpJeU16VkxLZkkvSHMrbVkvMXhIUzJmS3YvLzliNnhhdFFweGNYR1lQMy8rY2Z0bVoyZUhmdlo2cTUreURrL2lIVGh3QUFzWExzU25uMzZLNk9ob1RKZ3dBWEZ4Y1hqbW1XY0FBRC8rK0NPV0wxOGU2aDlNbHMyYk42OUdFZlZCZ3diVktQUmVuLy8rOTcvUTZYUm8zNzQ5bGl4WmdnRURCalJxTnQ0bm4zeFM1d0s1ckt3TVk4ZU9iWENmNk9ob2ZQMzExeWQ5RENJNis0eEdJM3IwNklFZVBYcmcyTEZqT0hEZ0FFcEtTdkROTjkvZzY2Ky9SbWxwYVZzQXcxVlZ2VnRLZVVpdjEvOWlzOWsyK2YzKzVYbDVlVitkeTFpVGs1TXhiTmd3akJneEFsbFpXZWpTcFF2ZWV1dXRPdjE2OXV5SlNaTW00ZFpiYnozdWVKOS8vam1XTDErT1FZTUdJVDA5SFdQSGpzWFJvMGRQT3A3NkZoOTY0b2tuanJ0UDhQTzhJZkh4OFNlTSsweVJVa0t2S3IrejJXeDkvSDcvcnJ5OHZHSUE2TkNoZ3pFbUp1WnFBTERiN2FFUDdkVFUxQ3YwZW4yaWxMTEU0WERzRExiYmJMWStBT0QzK3pjSGEweW1wS1JjRmhVVmRTVUFwOXZ0M2xaUVVPQUJnSXlNakV5djErc3hHQXcvWjJkbkh3V0FwS1FrVTJ4c2JDdE4wMFJGUmNXaFlGM2h6TXpNNXBxbXhXbWE1c3ZOemYwMWNEZ2xOVFUxUWEvWG04ckx5NCtFUGZhdDJteTJ4RURNb1dlVHUzYnQya0tuMDhWNlBKN3k4SVZjYkRaYk93QlFGS1VrV1BZa0pTVWxKaW9xcXFYWDY2M2FzbVZMS1FBL0FIVHUzUGxTazhsa1VCVEZlWW94RTUyVXRMUzBTMVZWZlZzSWNXbENRc0tVNHVKaUZzb2tPZ2VZeENNNlE0UVFOOXRzdGpZbjdoa1pVc3BZSVVSOCtPTzBRTTFrWG5CYnJVZHVMd0Z3cDVUeU5pSEVVWVBCOEt1cVlkY3hqK1RueHdYbXA1OSt3a3N2dllUMDlIUmNmLzMxbUR0M0x2NzFyMytoUllzV05mb3RYYnEwem9XbXgrTUJnQm9ySjJxYWhxKysrZ3FEQncvRzZOR2pFUmNYVjZNT250L3ZSMmxwS1dKaVlnQlVQMko3L2ZYWEE2aGUrQ0o4bk9QeGVyMzQ3TFBQMExOblR3d2FOQWhQUFBFRTFxeFpnei8rOGVSTGd3MGZQaHgzM0hFSGpoNDlpaEVqUnFCNzkrNzR5MS8rQWdCNDVaVlhZRFFhTVdyVXFCcjdISzlXSGwwNE1qTXptd05BZG5aMkJRSVh1UmFMeFdBMm04MHVsOHRmVUZCUUNVQUw5STBDb0Q5dzRJQW5iRVpCYUtaQlJVWEYwZURGYjRjT0hZd21reWtPQUxaczJYSWdlTHprNU9UbVVWRlJKazNUam9XdkJKNmFtbnBKb085QkJHWTFwNldsTmRNMExWb0k0Y25QejNjRzJ6TXpNMXU1M1c3VmFEU1dCMmJ4SVRFeDBSd1hGOWRLVVJSWlZsWldXdnNpWEZFVVQzWjI5cjVnekttcHFhMGFtemh3dVZ3VjI3ZHYveTNZSGt3Y2xKZVg3dyt1a0p1V2x0WmVDTkVkd0JFcDVZWmdFc1JxdGZhVVVpWUMrQ253eURDc1ZtdWNFT0lhVGROaXZWN3Z4b0tDZ3A4QklEMDl2UzJBWGdDUW01djdYbGdjMXlpSzhqdS8zNzlOVVJTL2xOSXZoQWpkUktpdFdiTm1TRTVPUm5KeU1ucjE2b1VKRXlZZ0x5OFAvLzczdi9IZGQ5L3BxNnFxTGdOd21SQ2loMDZuZXp3akkrTm9wZHYzYVpVZnAvOE02a25RNlhSNDlORkhRNiszYnQxYWIwM1BxcW9xekpneEE3Tm16YXF6TFh3bTNxdXZ2b3FPSFR2aXFhZWVBbEJkTC9STXFLcXFxbk9PZ3pWTUc1cUpKNFE0bzZ1Rm53d0J3S3dYZzRVUTR4UkZtUXJnRFFDSWlvcEtFRUw4SzlEdDBtQi92VjcvZ0JEaXoxTEsvd013S1RST29LOFE0Z1lFWnNoR1JVWGRJSVNZSmFYOHptZzBQZ0xnRUFCSUtWL1E2WFJYYXByMk1vQUZBQkFiRzV1dXF1cGNuVTVuakkyTkhRMWdFd0JvbW5ZL2dNY1ZSU2tHY0IwQXBLU2tORE1ZREM5TEtYdEVSMGRQQi9BbUFLU25wN2NCOEdVZ3BDdkRZaDR0cFh6UVlEQXNBeEJlUVBITFFEeTNBdGdXaUhrQWdHa0dnMkZUWm1ibStPenM3RklBTUpsTWl3QllORTE3NVJSampvbUtpcG9Eb0p1VThpV0h3L0V1QUdSbVpsNnFhZG9uQUdDMzIwUEZHSzFXNjBRaHhIMUNpQTl5Y25KQ3EwL1piRFo3NEJoMzVlYm03Z2kwRFFId05JRE5McGZyTDhIUG00eU1qSDlKS1ZPRUVJdHljbkplRC9UdEJtQ21FTUlvcFh6U2JyZHZEdlFkSmFWOEJFQ0ozVzcvNDZuRW5KNmVmcGVpS0Rkb212WjFibTd1TzJFeHZ3RUFYcTkzMnBZdFczNEJnSzVkdS9iUjZYVERwSlNGRlJVVmk0T2ZwemFiYlNxQXk0VVFLM0p5Y2xZQ1FGcGFXb3FxcW44R29QZjcvYS9sNWVVVkJtSWVHUGpkbGRydDlzbEE5V2Q2cTFhdHhnZ2hVbncrMzN2NStmbGZBa0NuVHAzaXpXYnpDNEdZLzN3cU1YZnAwc1ZpTkJwN0F5ZzVlUERnbDhIdk01dk5kb2NRb2hXQXpjSDZxNEVFOWgra2xLckw1Zm84V0U0blVKTzFtNlpwNVE2SFl5bFEvZDFwTXBsdUJuQ1oxK3Y5VGxHVWNnQ0pBQktsbE9mMkE0R29DZU5GT05GcFVCUkZrMUpxZ1pscmowUTZuaE9wbmNCckpBT0Faa0tJR0VqTnpPZHFMenhKU1VrWU9IQWd4b3daZ3krKytBSUEwS0pGaXpxek00S3JENFlMSnZIQ0YzcTQ5TkpMc1hyMTZocDFuRnEzYm8wK2ZmcEFwOVBCYkRZalB6OGZMNzMwRXE2NTVwcFRqdnVMTDc2QTArbkV3SUVEMGJ0M2J5UW5KMlBKa2lYbzE2L2ZTYzNHRTBJZ0tpb0tVVkZSV0xCZ0FmeCtQeVpPbkJoNjMzdjM3b1haYks1M2xncGQrRFJOK3c4QTJHeTI4WGE3UFJjQWREcmQ5WnFtVFRJYWpVVVdpK1g1WUhKSjA3VEpBSG9sSkNTc0tTNHVuZ1VBcWFtcFNYcTkvblVBVjhUR3hqNE9ZQ1VBUkVkSC8xNElFWnplMlQ1NHZPYk5tejhQWUtDVU1ndkE3R0M3WHEvL0hnQlNVbExTZ3ZYdlZGVzlYMVhWcHdCODNhRkRoOGVERjRkU3lvOERNNGltQWZnbkFMUnUzYnFQbEhLWkVLSXFMaTd1SGdEckFuM0hDeUdlMHpUTkFjQUdBQmFMSlVHdjF5OFRRdlNOam81K0FzQzh3RGxJRkVMc0NZUWt3bUtiQ21COFZGVFVtd0JHQk51RGZXTmlZdm9DK0JvQUZFWHBveWpLUDZXVURpbmw3UUNPQmRvbkFoaUU2aVRGRDRFaGtvUVFjMVJWN2FRb3lqMEFmZzZNMjAxUmxHRFNKWlRFMCtsMGp3c2g3bFlVNVFXZnovZVdUcWM3QktEdDd0MjdrWnFhZXR6Zjg5R2pSMUZRVUFDSHc0SEt5a29ZREFaVVZWVXZ2QzZsZEFQWUNHQ1RKdUVDY010eEJ6dExPblRvZ0JkZWVLRk8rMzMzM1llSEgzNDRkSk1qbk1sa0N2MTh5eTIzWU1DQUFmWDJPNUdiYjc2NTNrVTFBR0RtekpuNDlOTlA2NVJEaUk2T3hxeFpzK29rRnowZUQxcTJiSW5WcTFjM09vN1RwUWpvcEpRbUlVVG9Ha2JUTkNHbE5OWFRYUmRvci9HOGI3Q3ZsREwwYjBEVE5GVlJGSk1Rd3VEeitVTHRnUVJTdkJBaVZBQlFWVlVqZ01zQUdBTS9CL3ZHb2pxaEVYcGVJVG82V3BGU0pnZ2hFb1VRb1NTSFRxZFRBMG52MnVLRUVJbFN5aHAzMTRRUXdiNmg5eUtsYktZb1NpS0EzVzYzV3czcmUwa2dqbE9LMld3MnF3QTZDQ0dzVXNwUVFVWk4wd3hDQ0d2dGdCVkZhUXZBS3FYOHZsYk0xc0QyOEw5WXJRTGpPaFZGQ1g4dktZSCtiY0xhb2hWRlNaVlNtbW9saU5vRXhnajk1Nk94TWF1cWVqV0FQeW1LNGdNUVNvZ0pJZjRFQUhxOWZpR0FYd0JBcDlOMURyU3ZNeGdNN3dBSTNoUzVQVEIyTVFMZkM0cWlYQ3FFdUU5S2FWSVU1V01BaFlHK0dVS0lQMGtwOXdDWURBQ3RXclV5Q2lIK0tJVG9xNnJxVmdRU3RXYXpPVG9ZQjRCUUVxOHhNUnNNaHQ4RHlKSlNyb3VOamYwUlFQQ20xQlFBVmdEUEFjZ09ISytqRUdJMkFKUFpiTDRkUUxBbTlnQUF6d1crQjVZR3hvMlNVajRaaVBtSmlvcUtyT2pvNkRzMVRUTWNPM2FNcTlNU25TTk00aEdkQnJmYlhXdzBHbGRMS1E5R09wYVRZQUNRQnFER25iTDZFbnUxWnVjZEE3QVh3RzlTeWc4OEhzODd4L3o2TkFnc083dmgwcGttaERqaG8xRU5jYmxjVUJTbHhreThYYnQyNGVlZmY2N1RkK0RBZ2ZqKysrOGhwVVJNVEF3V0xGZ1F1cGh1U0s5ZXZlcXRxeVNseEQvLytVL0V4Y1doZCsvZUVFSmd4SWdSZU9hWlo3Qml4UXJjZnZ2dHh4M1g0L0dFTGt4Ly9QRkhyRnExQ284OTloamF0RGx2SjgzU0dTYUU2QXNBNFJkOGlxSzBFVUwwbFZMR3Fhb2FGZFkzRlVCZkFIdkMydlJDaUxZQWtsUlZiUlkyZEpRUW9yNFZXaElDN2JVdndwT0E2b3Y2c09ibVFvZ2tLZVgyOEhZcFphSVFJa25UdFBOdTVRQXBaYW1VY3JPVWNvYzdiRXF0bEhJWGdNMkJpOVJnVzZXVWNndUFDazNUUW84R0NpR2NVc3JOOVl5OUc4Qm1UZE5PNnJFK3Y5K1BuVHQzWXMyYU5majIyMi9oZERyaGREcEQzMnVhcHUxV0ZPVWZtcVlWZWIzZTd3c0tDa3FTVXRKdWdCS1orcTUrdngvbDVYWFdMNEdVRWxWVlZmVnVLeTh2aDgvblEySmlJaDU1cFBwZTRhUkprK3IwTzU1NTgrYUZic1EwSkNNakE0c1dMVHFwOGY3Kzk3L2o0NDgvYmxRTVo0SUVjTXlqdlI5dFVEWnFtaGFxSlZsUlVYRW9MaTZ1enBlQngrTlpvdGZyUDVkUzFsaW9LNUI4aHMvbkMvMWRyYXFxK3N4c050OHVwWFQ2ZkQ1bldOOG5OVTM3blJBaXRKS3oyKzNlb2Rmckp3a2hWSS9IRXlvc3EybmFhZ0MvQ2lGQ00zQmRMcGRMcDlQTlZSUmxtZGZyL1NHcy9iREJZUGpmTk0wQXY5Ly92aEJpcTkvdkx3eHYxelR0VVFEd2VyM0ZZVzNyQVR5cWFkcCtwOU1aV3AxWlNqbERTdGtTZ09OVVluWTZuVlZ4Y1hGdkNpSFdhWm9XU3N3cGl1S1VVajVYTzJZQWF3RFU5Mi82dVVETSs4UGFOZ040THZBNUVUcW1FR0lSZ0RaU3luVmhmZmRJS1Y5QzlmVnErT2ZLT2lIRWMxTEswTytwc1RGTEtYOFFRcnlKNnVSK3VEY0RNWWMrcnpSTksxUlY5VTBBMjZ1cXFzSnJ2cTBBNEFqY1FBRUErUDMrL1lxaXZDZUUwUHQ4dnYxaFl6Z1VSWGxUQ0JFcXdudnc0RUhQSlpkY3NpYndQa01yeTdoY3JvckFEWlZUamhsQVNlQThPWVFRNGYvNE4wc3BuZUdmMDZqKzNYMG5oRENFbjFOTjAvWUlJZFlCQ0wwUGo4ZmpNNWxNRGlrbGhCREZnUm5hRGhEUk9YVk9IaWNndXBpbHBLVEUxTHF3T3krcHFwcWcxK3VYU2lrYm5NNVFLM24zTllELzgvbDhQNnFxV3U1MnU5MWVyL2R3VVZHUk82bVR0UytFWEpZUTM2ck5LeSsvZ0t1N0g3K2VHWjEvM252dlBjeWVQYnZHTEk4Z244OEhuODlYb3liZWl5KytpRldyVnRXb0VUZDM3bHk4ODg0N2RmWS9GV3ZYcnExM1pjYmx5NWRqMnJScG1EQmhBdTY5OTE0QTFZL2YzblBQUFRoeTVBZysrdWlqQmgvcGtsS2lXN2R1R0RWcUZFYU9ISWtaTTJiZ3d3OC9yUE9lM1c0M2hCQTFFcFJBOVl6RTRJeEZ1akRZSFhsNGZPSmZVRnl5endsTnUyZFBZZDRhbTgwV25DVzl3bTYzbHdDaFI1NnVBMUFxcGZ6UzRYQTRBU0E5UGYxbVJWSGFhNXBXbUp1YisxK2d1cFpVOCtiTnIvRDcvV1loeEs3Z0lnbFdxelhPNS9OMUFJQXRXN2FFTGw2N2R1MmFMS1ZzcWFycXZ2QWFVNm1wcWQwQ2ZlMzQzMk85YlJSRlNkVHBkRWNkRHNmdVlIdlhybDI3U2ltTmlxTDhuSmVYZHlIY0pEcmp1bmJ0MmttbjB5MFRRbGlmZmZiWlVOMDFwOU9KQXdjT1lNT0dEZmp5eXk5UldCaktkZmdCT0FFYzBqVHRLeW5sVzdtNXVka0ltMkVFQUVrcGFmMmdLTXNTNHVQalhsOHdCemJybVhrazlVVG16cDJMZDk5OXQ4WnNaZ0NoR3h6MWZSWUg5ZS9mSDA4Ly9mUXBIL3UyMjI2RHhXTEJ6Smt6NjkzKzdMUFAxanNUcnlIbmVpYmV6cUpkR1BuWUU5aTc5MmUzQnUyaHZkdnpsNTZUQTlORnkyS3hHQUFZUEI2UE4xZ3FJTkFlRFFEaFpSWUE2Q3dXaTZtc3JNeGZYRnhjaFVEWmc4VEVSSE5zYkt3S3dCT3NvUWhBemN6TU5IcTlYcEdYbDFlRnNCSU9BQXhPcDFNcktTbXBEQjR2T0VaQlFZRWJRUENaZG1HeFdKb0Y0Z2dsT2hzVGMyRGM1a0lJejlhdFc1M0I5azZkT3NVSFprQldCTWUyV0N3R285SFkzTy8zQzUvUDV3eStsOEM0MFVhajBXKzMydzhGWSt2U3BVc0xLYVhCNlhTV2hiOFhJanAzT0JPUDZEUUZIb3VxZS92OFBHT3hXS0RUNlh6aGJjR2tuWlRTTFlRb0I3QmZTdm1SMys5L0kxZ3dtaTV1VHo3NTVFblZOVHB3NEFEaTQrTnJ0STBiTjY3QmhTRSsrZVFUekpneEE0cWlvRXVYTHNqS3lxcXhYVXFKelpzMzQ2cXJyZ0pRLzZxM1I0NGN3U3V2dklLa3BDUU1IVG8wMUs0b0NzYVBINC9ISG5zTTgrYk53NVFwVStxTm9hS2krdisrd2ZkMzAwMDM0WW9ycnFqVDcrMjMzNGJCWU1CZGQ5MVZvNTByTGw0YzdIWjduZWxGZ1RwRmhiWGJjM056UDZ2ZEZxZzlWMmRsMlVEaXI4NXNzdno4L04wQWR0ZHVEMC8wQlJVVUZPeEgyQ3lIc0RIeWE3YzFaUzZYQ3hzMmJJREQ0Y0NXTFZ0UVdGZ1lXdEJCU25rVTFZLzZmZ2RnczhmanNZY3ZDSEMrdVBmZWUzSDc3YmNqS2FubTVNMHBVNmFnc3JJU2MrYk1PV3ZITmhnTUo1eUpsNWFXVnUranZ2Vlp1blJwamZxblJCZWFRS0txemorSzhLUlpHRjk5N1Eyc3hPb1AxakU5bWVNMU1JYXM3M2lOaVRrd2JwMnh3MnVlMWhyM1VEM3RGUWliTFJtTTdYejhmQ1ZxYXBqRUkycGlhcTFLdTExS3VVblR0TytFRUQrb3FybzFKeWVuL2dyaWRGSHEwNmRQblZwd1hxKzNScEh6L1B4OGJOeTRFZGRkZHgwQTRPT1BQMGF2WGgzWjBuWUFBQWxxU1VSQlZMMlFrSkJRWi9HSGlvb0t6SjgvSHg5OTlCSHV2ZmRlOU8vZkh3OCsrQ0ErL1BCRDNIWFhYWkJTNHF1dnZzSnJyNzJHUFh2MjRPOS8venRzTmh0cWsxTGltV2VlZ2RQcHhQUFBQMThueVhmTk5kZmd1dXV1dzhjZmY0eWVQWHVHWWd1M2UzZDFIaVY0MGR5dFc3ZDZWOEg5NUpOUFlEYWI2eVR4aU9qOGtKV1ZCU2tsS2lzclF3dmhhSnBXcUNqS0lwL1B0OGJsY3BVVUZSVWRRNjFaZCtlRC9QeDhWRmIrNzVyK3dJRUROYmFYbHBiQzdYWmowNlpORFk1aE1CanEvWnc4V1RFeE1hR2twOHZsZ3FxcWRXWWVIenQyRER0MjdLaHY5enFDSzQwVEVSSFJ1Y2NrSGxIVDQ1VlNmcUJwMnZ0U1NvZlA1enZVd0oxSGFxS0tpNHN4Wk1nUXFLb0tSVkhnOVhwaE5wc3hZc1FJK0h3K1RKOCtIVU9IRGcydGtBaFVQNEs3ZXZWcXZQcnFxeWdySzhQMDZkUFJyMTgvQU1EbzBhUHg0b3N2d3VsMFl2MzY5ZGkyYlJ0c05odEdqUnFGcmwyNzFodkR2SG56c0hIalJnd2RPaFRYWG50dHZYMG1UNTRNdTkyT3FWT240aC8vK0FjNmR1eFlZL3ZPblRzQkFGZGVlU1ZXckZqUjRQczljdVFJamgwN1ZtOGZzOW1NRzIrODhmZ25qSWpPcXJLeU1nM0FiMEtJbnpWTnl4WkNMSFU0SE92eHY4ZmR6bHV6Wjg4TzNWQUlKNldzc1VyMzZOR2pZVFFhYTk5b0F3REV4OGNmOXpQc1JOcTBhWVBnNU01Tm16Ymg2YWVmcnJNb1VYRnhNVjU3N2JVYSsrM2J0dzl1dDd2TzdNRkRodzdWTzN1YWlJaUl6ajUrQXhNMUVVNm5zNngxNjlhUFZWWlc1Z1ZYUmlTcVQ3dDI3ZkRvbzQvQzdYYkQ1L01oSVNFQmYvakRIM0RKSlpkZzkrN2RrRktHTHVvT0h6Nk1Uei85RkV1WExzWCsvZnNSRnhlSCtQajRVQUlQQU82Ly8zNDRuVTRzWHJ3WXpabzF3K0xGaTVHWm1kbmc4Yk95c3ZET08rL2c2cXV2eG9RSkV4cnNGeDhmajJuVHBtSGN1SEVZTTJZTUZpNWNpSlNVbE5EMmRldldvVzNidGtoSVNNRGYvdmEzRTc3dit2b2tKQ1F3aVVjVUlWTEtDZ0JyQVh5cWFWcU95K1hLMzdGanh3VTFEZXp0dDkrdTA3WisvWHJNbXpjUExWcFVyMzFTVlZVRms4bUUwdEpTakI0OUdqZmNjRU9kV2M2bm8wT0hEdmpzczg5UVhsNk9JMGVPd08xMkl6bzZHbjYvSDFKS1RKNDhHWk1uVDY2VG1KczFheFoyN2RxRnhZc1gxMmpYTkExK3Z4OCtudzlDaUpOYUpaeUlpSWpPRENieGlKcUlrcEtTeXBLU2tnMlJqb1BPRDhFaTZyLzk5bHVkeDJrVlJjR2YvdlNuZXZjTFB2TFZ1WE5uTEZteUJJc1dMWUxmNzhjMTExeUQyYk5uWSszYXRUVnFKVzNidGczcjE2L0h6VGZmakVzdnZSUno1ODdGaEFrVGNOdHR0NkYvLy80MWttNVZWVldZT1hNbVZxMWFoZVRrWk15YU5ldUVzejE2OXV5SjhlUEhZKzdjdVhqb29ZY3dZY0lFREJvMENJY09IY0lQUC95QUVTTkdBRUNOUlRwcWUrQ0JCMkEybTA5NlpVWWlPdnRjTHRkUFpyUDUxaU5IamxRVkZ4ZTdjUUhNdWpzZWw4dUZ0V3ZYNHQxMzMwVlpXUmxHamh5SlcyKzlGYzg4OHd3cUt5dng4c3N2NCtPUFA4YWNPWE93WU1FQ0RCNDhHRGZlZUNNU0V4TlArOWpCbXlZYk4yNUVjWEV4MnJadEM1MU9oenZ2dkxQZVdZSzE5ZWpSbzhGdGJkcTBPV2NMWEJBUkVSR1RlRVJFVFZMbnpwMEJBRTgvL1RSdXVlV1dFeTdpSUtWRWNYRXhWcTVjaWNzdnZ4eXBxYWxvMGFJRkRoOCtqQ0ZEaG9SbTVxMWF0UXFWbFpXWU1XTUd2dm5tR3h3NmRBaEdveEU5ZXZUQTBLRkQwYWRQSDd6Kyt1dFl1blFwM25ubkhjVEh4eU1qSXdPVEowL0dRdzg5aEQxNzlxQjc5KzZZUFh2MlNTMjRBUUREaGcyRHorZkRnZ1VMTUgzNmRKU1ZsV0hidG0xUUZDVzBvaVVSWFZnQ3F5KzZUOWp4UEhibzBDRjgvZlhYK09HSEg3Qmh3d2EwYTljT2Q5NTVKd1lPSEZqbk0xY0lnY0dEQjJQQWdBRllzV0lGUHZ6d1F5eGN1QkRKeWNtd1dxMFlOR2dRdW5UcGNrcHhwS2VubzMzNzlsaXlaRW5vTlFBc1diSUVmbi9EWlFUbnpwMkxQWHYyWVA3OCtRMzJPWk16Qm9tSWlPakVtTVFqSW1xQ09uYnNpRW1USnVHdHQ5NEtGWTAva2Vqb2FIVHYzaDBUSmt5QUVBS0ppWW1ZT0hGaWpUNTJ1eDFsWldWWXUzWXQrdmJ0aTc1OSs2Sjc5KzR3R28wQWdFc3V1UVJUcDA3RjZOR2pzV0hEQnF4ZnZ4NDllL1pFOCtiTjhmdmYveDVYWFhVVkprNmMyT2g2U3c4KytDRGF0V3VIMWF0WFk5aXdZY2pLeXNJRER6eUF0bTNiTm1vY0lxSXpSYWZUWWQyNmRiQllMQmd4WWtUbzVzbnhHQXdHREJreUJFT0dERUZoWVNHKytlWWJGQlFVNFBMTEx6K3RXS1pNbVlKSmt5YkJaRExoNFljZkJsQzk0TVdKWWxGVnRVYnRQQ0lpSW9xc3V0VnppWWhPSUttVHRTK0VYSllRMzZyTkt5Ky9nS3U3MTEzeGs1cW16WnMzNCtEQmc3anBwcHNhbllpVFV0WmIxUDFVK1h3K0ZsOXZZdXlPUER3KzhTOG9MdG5uaEtiZHM2Y3diMDJrWTZMelMxSktXajhveXJLRStQaTQxeGZNZ2MyYUZ1bVE2QVIyRnUzQ3lNZWV3TjY5UDdzMWFBL3QzWjYvTk5JeEVSRVJSUXF2Ym9pSTZJenAxdTNVRTdwbk1vRUhnQWs4SWlJaUlpSzZxTENRQlJFUkVSRVJFUkVSMFhtTzB4U0lpSWlJcUVueGVyM1lVckFOYm84bjBxSFFDUlQvV29LcXFxcEloMEZFUkhSZVlCS1BpRTZaMSt0RndiYkNTSWRCUkFTZ3VuYVcyODJrREoxWVdYazU1aTdJNG1QM0Z3Qy8zNCtqWldXUkRvT0lpT2k4d1ArNUVORXBLeXN2eDRLc3hkRHI5WkVPaFlnSVBwOFBaZVhsa1E2RHptTitINHBWdlR5Z0FUaHk5R2lrdzZGR0VFQUZ2SEpQcE9NZ0lpS0tKQ2J4aUtqUlBGTGJaeEJpbnlhbHljbTc0MFIwdnBIeWdOK0g0a2lIUWVlZlgzYmxGU1IyNm5xblRxcnhrWTZGR2tmemVZL3UzVldRSCtrNGlJaUlJdW5NTGdWSVJFMkY4cnNPWFRvcE9uM3JTQWRDUkZTYlgyaWx2MnpMS3dDZ1JUb1d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LaWk5ai9CMEpsclFiaDl0S05BQUFBQUVsRlRrU3VRbUNDIiwKCSJUaGVtZSIgOiAiIiwKCSJUeXBlIiA6ICJmbG93IiwKCSJVc2VySWQiIDogIiIsCgkiVmVyc2lvbiIgOiAiMTY2Igp9Cg=="/>
    </extobj>
    <extobj name="ECB019B1-382A-4266-B25C-5B523AA43C14-4">
      <extobjdata type="ECB019B1-382A-4266-B25C-5B523AA43C14" data="ewoJIkZpbGVJZCIgOiAiMzY3Njk0MTYxMDc1IiwKCSJHcm91cElkIiA6ICIzMzQ5MzgzNDUiLAoJIkltYWdlIiA6ICJpVkJPUncwS0dnb0FBQUFOU1VoRVVnQUFBRXNBQUFCTENBWUFBQUE0VG5ycUFBQUFBWE5TUjBJQXJzNGM2UUFBQUMxSlJFRlVlSnp0d1RFQkFBQUF3cUQxVDIwTUg2QUFBQUFBQUFBQUFBQUFBQUFBQUFBQUFBQUFBQUNBc3dGWUx3QUJjQlY5NkFBQUFBQkpSVTVFcmtKZ2dnPT0iLAoJIlRoZW1lIiA6ICIiLAoJIlR5cGUiIDogImZsb3ciLAoJIlVzZXJJZCIgOiAiIiwKCSJWZXJzaW9uIiA6ICI0MSIKfQo="/>
    </extobj>
    <extobj name="ECB019B1-382A-4266-B25C-5B523AA43C14-5">
      <extobjdata type="ECB019B1-382A-4266-B25C-5B523AA43C14" data="ewoJIkZpbGVJZCIgOiAiMzY3NzMxMDAzMjU5IiwKCSJHcm91cElkIiA6ICIzMzQ5MzgzNDUiLAoJIkltYWdlIiA6ICJpVkJPUncwS0dnb0FBQUFOU1VoRVVnQUFBRXNBQUFCTENBWUFBQUE0VG5ycUFBQUFBWE5TUjBJQXJzNGM2UUFBQUMxSlJFRlVlSnp0d1RFQkFBQUF3cUQxVDIwTUg2QUFBQUFBQUFBQUFBQUFBQUFBQUFBQUFBQUFBQUNBc3dGWUx3QUJjQlY5NkFBQUFBQkpSVTVFcmtKZ2dnPT0iLAoJIlRoZW1lIiA6ICIiLAoJIlR5cGUiIDogImZsb3ciLAoJIlVzZXJJZCIgOiAiMzQ4NTAxMzE0IiwKCSJWZXJzaW9uIiA6ICIyNSIKfQo="/>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系统天地官网</Company>
  <Pages>122</Pages>
  <Words>16797</Words>
  <Characters>17649</Characters>
  <Lines>218</Lines>
  <Paragraphs>61</Paragraphs>
  <TotalTime>0</TotalTime>
  <ScaleCrop>false</ScaleCrop>
  <LinksUpToDate>false</LinksUpToDate>
  <CharactersWithSpaces>17733</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Administrator</dc:creator>
  <cp:lastModifiedBy>无盐</cp:lastModifiedBy>
  <cp:lastPrinted>2025-02-13T00:32:00Z</cp:lastPrinted>
  <dcterms:modified xsi:type="dcterms:W3CDTF">2025-04-27T07:33:03Z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C6FC17E12EDB4A9D96859F4B992E0B06_13</vt:lpwstr>
  </property>
  <property fmtid="{D5CDD505-2E9C-101B-9397-08002B2CF9AE}" pid="4" name="KSOTemplateDocerSaveRecord">
    <vt:lpwstr>eyJoZGlkIjoiYzY2ODIwMWI2ZTU0YjAzOWIzNDA5ZDQ5MDA2ZmRjMmUiLCJ1c2VySWQiOiIzNDg1MDEzMTQifQ==</vt:lpwstr>
  </property>
</Properties>
</file>