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74C25" w14:textId="77777777" w:rsidR="00F33364" w:rsidRDefault="00000000">
      <w:pPr>
        <w:jc w:val="left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政策解读</w:t>
      </w:r>
    </w:p>
    <w:p w14:paraId="55F0E688" w14:textId="77777777" w:rsidR="00F33364" w:rsidRDefault="00F33364">
      <w:pPr>
        <w:jc w:val="center"/>
        <w:rPr>
          <w:rFonts w:ascii="宋体" w:eastAsia="宋体" w:hAnsi="宋体" w:hint="eastAsia"/>
          <w:sz w:val="44"/>
          <w:szCs w:val="44"/>
        </w:rPr>
      </w:pPr>
    </w:p>
    <w:p w14:paraId="15C8C700" w14:textId="37370D47" w:rsidR="00F33364" w:rsidRDefault="00000000">
      <w:pPr>
        <w:jc w:val="center"/>
        <w:rPr>
          <w:rFonts w:ascii="宋体" w:eastAsia="宋体" w:hAnsi="宋体" w:hint="eastAsia"/>
          <w:sz w:val="44"/>
          <w:szCs w:val="44"/>
        </w:rPr>
      </w:pPr>
      <w:r w:rsidRPr="00636CB2">
        <w:rPr>
          <w:rFonts w:ascii="宋体" w:eastAsia="宋体" w:hAnsi="宋体" w:hint="eastAsia"/>
          <w:sz w:val="43"/>
          <w:szCs w:val="43"/>
        </w:rPr>
        <w:t>岫岩满族自治县</w:t>
      </w:r>
      <w:r w:rsidR="000F4F5D" w:rsidRPr="00636CB2">
        <w:rPr>
          <w:rFonts w:ascii="宋体" w:eastAsia="宋体" w:hAnsi="宋体" w:hint="eastAsia"/>
          <w:sz w:val="43"/>
          <w:szCs w:val="43"/>
        </w:rPr>
        <w:t>杨家堡</w:t>
      </w:r>
      <w:r w:rsidRPr="00636CB2">
        <w:rPr>
          <w:rFonts w:ascii="宋体" w:eastAsia="宋体" w:hAnsi="宋体" w:hint="eastAsia"/>
          <w:sz w:val="43"/>
          <w:szCs w:val="43"/>
        </w:rPr>
        <w:t>镇国土空间总体规划</w:t>
      </w:r>
      <w:r>
        <w:rPr>
          <w:rFonts w:ascii="宋体" w:eastAsia="宋体" w:hAnsi="宋体"/>
          <w:sz w:val="44"/>
          <w:szCs w:val="44"/>
        </w:rPr>
        <w:br/>
      </w:r>
      <w:r w:rsidRPr="00430ABC">
        <w:rPr>
          <w:rFonts w:ascii="宋体" w:eastAsia="宋体" w:hAnsi="宋体" w:hint="eastAsia"/>
          <w:sz w:val="43"/>
          <w:szCs w:val="43"/>
        </w:rPr>
        <w:t>（2021-2035年）</w:t>
      </w:r>
    </w:p>
    <w:p w14:paraId="52870B70" w14:textId="77777777" w:rsidR="00F33364" w:rsidRDefault="00F33364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</w:p>
    <w:p w14:paraId="21CEA99F" w14:textId="78FB1D56" w:rsidR="00F33364" w:rsidRDefault="00000000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根据《中共中央国务院关于建立国土空间规划体系并监督实施的若干意见》的要求，为贯彻落实省、市、县战略部署，推动</w:t>
      </w:r>
      <w:r w:rsidR="000F4F5D">
        <w:rPr>
          <w:rFonts w:ascii="仿宋_GB2312" w:eastAsia="仿宋_GB2312" w:hAnsi="黑体" w:hint="eastAsia"/>
          <w:sz w:val="32"/>
          <w:szCs w:val="32"/>
        </w:rPr>
        <w:t>杨家堡</w:t>
      </w:r>
      <w:r>
        <w:rPr>
          <w:rFonts w:ascii="仿宋_GB2312" w:eastAsia="仿宋_GB2312" w:hAnsi="黑体" w:hint="eastAsia"/>
          <w:sz w:val="32"/>
          <w:szCs w:val="32"/>
        </w:rPr>
        <w:t>镇高质量发展，坚持以人民为中心，统筹发展</w:t>
      </w:r>
      <w:r w:rsidRPr="0040648F">
        <w:rPr>
          <w:rFonts w:ascii="仿宋_GB2312" w:eastAsia="仿宋_GB2312" w:hAnsi="黑体" w:hint="eastAsia"/>
          <w:sz w:val="32"/>
          <w:szCs w:val="32"/>
        </w:rPr>
        <w:t>和安全，建设国土空间高质量发展、高品质生活和高水平治理的现代化新</w:t>
      </w:r>
      <w:r w:rsidR="0040648F" w:rsidRPr="0040648F">
        <w:rPr>
          <w:rFonts w:ascii="仿宋_GB2312" w:eastAsia="仿宋_GB2312" w:hAnsi="黑体" w:hint="eastAsia"/>
          <w:sz w:val="32"/>
          <w:szCs w:val="32"/>
        </w:rPr>
        <w:t>城镇</w:t>
      </w:r>
      <w:r w:rsidRPr="0040648F"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特编制《岫岩满族自治县</w:t>
      </w:r>
      <w:r w:rsidR="000F4F5D">
        <w:rPr>
          <w:rFonts w:ascii="仿宋_GB2312" w:eastAsia="仿宋_GB2312" w:hAnsi="黑体" w:hint="eastAsia"/>
          <w:sz w:val="32"/>
          <w:szCs w:val="32"/>
        </w:rPr>
        <w:t>杨家堡</w:t>
      </w:r>
      <w:r>
        <w:rPr>
          <w:rFonts w:ascii="仿宋_GB2312" w:eastAsia="仿宋_GB2312" w:hAnsi="黑体" w:hint="eastAsia"/>
          <w:sz w:val="32"/>
          <w:szCs w:val="32"/>
        </w:rPr>
        <w:t>镇国土空间总体规划（2021-2035年）》。现就有关内容解读如下：</w:t>
      </w:r>
    </w:p>
    <w:p w14:paraId="104DFBC0" w14:textId="7197888B" w:rsidR="00F33364" w:rsidRDefault="00000000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本规划是指导未来</w:t>
      </w:r>
      <w:r w:rsidR="000F4F5D">
        <w:rPr>
          <w:rFonts w:ascii="仿宋_GB2312" w:eastAsia="仿宋_GB2312" w:hAnsi="黑体" w:hint="eastAsia"/>
          <w:sz w:val="32"/>
          <w:szCs w:val="32"/>
        </w:rPr>
        <w:t>杨家堡</w:t>
      </w:r>
      <w:r>
        <w:rPr>
          <w:rFonts w:ascii="仿宋_GB2312" w:eastAsia="仿宋_GB2312" w:hAnsi="黑体" w:hint="eastAsia"/>
          <w:sz w:val="32"/>
          <w:szCs w:val="32"/>
        </w:rPr>
        <w:t>镇行政辖区范围内国土空间保护与利用的全域性、综合性、纲领性规划，是引领</w:t>
      </w:r>
      <w:r w:rsidR="000F4F5D">
        <w:rPr>
          <w:rFonts w:ascii="仿宋_GB2312" w:eastAsia="仿宋_GB2312" w:hAnsi="黑体" w:hint="eastAsia"/>
          <w:sz w:val="32"/>
          <w:szCs w:val="32"/>
        </w:rPr>
        <w:t>杨家堡</w:t>
      </w:r>
      <w:r>
        <w:rPr>
          <w:rFonts w:ascii="仿宋_GB2312" w:eastAsia="仿宋_GB2312" w:hAnsi="黑体" w:hint="eastAsia"/>
          <w:sz w:val="32"/>
          <w:szCs w:val="32"/>
        </w:rPr>
        <w:t>镇城</w:t>
      </w:r>
      <w:r w:rsidR="000F4F5D">
        <w:rPr>
          <w:rFonts w:ascii="仿宋_GB2312" w:eastAsia="仿宋_GB2312" w:hAnsi="黑体" w:hint="eastAsia"/>
          <w:sz w:val="32"/>
          <w:szCs w:val="32"/>
        </w:rPr>
        <w:t>镇</w:t>
      </w:r>
      <w:r>
        <w:rPr>
          <w:rFonts w:ascii="仿宋_GB2312" w:eastAsia="仿宋_GB2312" w:hAnsi="黑体" w:hint="eastAsia"/>
          <w:sz w:val="32"/>
          <w:szCs w:val="32"/>
        </w:rPr>
        <w:t>发展的战略蓝图，是</w:t>
      </w:r>
      <w:r w:rsidR="000F4F5D">
        <w:rPr>
          <w:rFonts w:ascii="仿宋_GB2312" w:eastAsia="仿宋_GB2312" w:hAnsi="黑体" w:hint="eastAsia"/>
          <w:sz w:val="32"/>
          <w:szCs w:val="32"/>
        </w:rPr>
        <w:t>杨家堡</w:t>
      </w:r>
      <w:r>
        <w:rPr>
          <w:rFonts w:ascii="仿宋_GB2312" w:eastAsia="仿宋_GB2312" w:hAnsi="黑体" w:hint="eastAsia"/>
          <w:sz w:val="32"/>
          <w:szCs w:val="32"/>
        </w:rPr>
        <w:t>镇域国土空间保护、开发、利用、修复和指导各类建设的行动纲领，为编制下位村庄规划、详细规划、专项规划和开展各类开发保护建设活动、实施国土空间用途管制提供基本依据。</w:t>
      </w:r>
    </w:p>
    <w:p w14:paraId="1ABFB710" w14:textId="77777777" w:rsidR="00F33364" w:rsidRDefault="00000000">
      <w:pPr>
        <w:pStyle w:val="1"/>
        <w:ind w:firstLine="640"/>
        <w:rPr>
          <w:b w:val="0"/>
        </w:rPr>
      </w:pPr>
      <w:r>
        <w:rPr>
          <w:b w:val="0"/>
        </w:rPr>
        <w:t>一、制定背景</w:t>
      </w:r>
    </w:p>
    <w:p w14:paraId="50CCB0D7" w14:textId="77777777" w:rsidR="00F33364" w:rsidRDefault="00000000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《规划》坚持以习近平新时代中国特色社会主义思想为指导，全面贯彻落实党的二十大精神，深入贯彻习近平总书记关于东北、辽宁振兴发展的重要讲话和指示批示精神，全面落实省第十三次党代会和省第十四届人民代表大会要求，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立足新发展阶段，完整、准确、全面贯彻新发展理念，服务和融入新发展格局，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扛稳“五大安全”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政治责任，以生态优先、绿色发展为引领，以改革创新为根本动力，推动高质量发展，坚持以人民为中心，统筹发展和安全，深度融入全省“一圈一带两区”区域发展格局。</w:t>
      </w:r>
    </w:p>
    <w:p w14:paraId="260436E9" w14:textId="39E82F14" w:rsidR="00F33364" w:rsidRDefault="00000000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《规划》以2020年变更调查成果为基础，传导和落实岫岩满族自治县国土空间</w:t>
      </w:r>
      <w:r w:rsidR="00F00D4F">
        <w:rPr>
          <w:rFonts w:ascii="仿宋_GB2312" w:eastAsia="仿宋_GB2312" w:hAnsi="黑体" w:hint="eastAsia"/>
          <w:sz w:val="32"/>
          <w:szCs w:val="32"/>
        </w:rPr>
        <w:t>总体</w:t>
      </w:r>
      <w:r>
        <w:rPr>
          <w:rFonts w:ascii="仿宋_GB2312" w:eastAsia="仿宋_GB2312" w:hAnsi="黑体" w:hint="eastAsia"/>
          <w:sz w:val="32"/>
          <w:szCs w:val="32"/>
        </w:rPr>
        <w:t>规划的各项规划指标，统筹安排全域国土空间开发与保护，划定落实耕地和永久基本农田、生态保护红线、城镇开发边界三条控制线，优化农业、生态、城镇等空间布局，提高国土空间资源利用效率，彰显国土空间品质，全面提升国土空间治理体系和治理能力现代化水平，为实现</w:t>
      </w:r>
      <w:r w:rsidR="00F00D4F">
        <w:rPr>
          <w:rFonts w:ascii="仿宋_GB2312" w:eastAsia="仿宋_GB2312" w:hAnsi="黑体" w:hint="eastAsia"/>
          <w:sz w:val="32"/>
          <w:szCs w:val="32"/>
        </w:rPr>
        <w:t>杨家堡</w:t>
      </w:r>
      <w:r>
        <w:rPr>
          <w:rFonts w:ascii="仿宋_GB2312" w:eastAsia="仿宋_GB2312" w:hAnsi="黑体" w:hint="eastAsia"/>
          <w:sz w:val="32"/>
          <w:szCs w:val="32"/>
        </w:rPr>
        <w:t>镇全面振兴、全方位振兴提供空间引领和保障。</w:t>
      </w:r>
    </w:p>
    <w:p w14:paraId="47DEB123" w14:textId="722A2307" w:rsidR="00F33364" w:rsidRDefault="00F00D4F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杨家堡</w:t>
      </w:r>
      <w:r w:rsidR="00000000">
        <w:rPr>
          <w:rFonts w:ascii="仿宋_GB2312" w:eastAsia="仿宋_GB2312" w:hAnsi="黑体" w:hint="eastAsia"/>
          <w:sz w:val="32"/>
          <w:szCs w:val="32"/>
        </w:rPr>
        <w:t>镇积极推进《规划》编制工作，《规划》在底线约束、保护优先原则基础上，立足区域资源环境承载能力，以区域发展战略为引领，依据地区自然禀赋、人文特色、发展阶段，针对性地制定布局方案和实施政策措施。产业发展突出专业特色，明确产业定位并鼓励打造主导产业链。镇域层面重点完善全域国土空间格局、空间用途管制、村庄布局优化及各类设施的统筹安排等规划内容。镇</w:t>
      </w:r>
      <w:r>
        <w:rPr>
          <w:rFonts w:ascii="仿宋_GB2312" w:eastAsia="仿宋_GB2312" w:hAnsi="黑体" w:hint="eastAsia"/>
          <w:sz w:val="32"/>
          <w:szCs w:val="32"/>
        </w:rPr>
        <w:t>中心区</w:t>
      </w:r>
      <w:r w:rsidR="00000000">
        <w:rPr>
          <w:rFonts w:ascii="仿宋_GB2312" w:eastAsia="仿宋_GB2312" w:hAnsi="黑体" w:hint="eastAsia"/>
          <w:sz w:val="32"/>
          <w:szCs w:val="32"/>
        </w:rPr>
        <w:t>重点优化用地结构，培育</w:t>
      </w:r>
      <w:r>
        <w:rPr>
          <w:rFonts w:ascii="仿宋_GB2312" w:eastAsia="仿宋_GB2312" w:hAnsi="黑体" w:hint="eastAsia"/>
          <w:sz w:val="32"/>
          <w:szCs w:val="32"/>
        </w:rPr>
        <w:t>发展商业服务业</w:t>
      </w:r>
      <w:r w:rsidR="00000000">
        <w:rPr>
          <w:rFonts w:ascii="仿宋_GB2312" w:eastAsia="仿宋_GB2312" w:hAnsi="黑体" w:hint="eastAsia"/>
          <w:sz w:val="32"/>
          <w:szCs w:val="32"/>
        </w:rPr>
        <w:t>、住房建设、</w:t>
      </w:r>
      <w:r>
        <w:rPr>
          <w:rFonts w:ascii="仿宋_GB2312" w:eastAsia="仿宋_GB2312" w:hAnsi="黑体" w:hint="eastAsia"/>
          <w:sz w:val="32"/>
          <w:szCs w:val="32"/>
        </w:rPr>
        <w:t>市政</w:t>
      </w:r>
      <w:r w:rsidR="00000000">
        <w:rPr>
          <w:rFonts w:ascii="仿宋_GB2312" w:eastAsia="仿宋_GB2312" w:hAnsi="黑体" w:hint="eastAsia"/>
          <w:sz w:val="32"/>
          <w:szCs w:val="32"/>
        </w:rPr>
        <w:t>设施</w:t>
      </w:r>
      <w:r>
        <w:rPr>
          <w:rFonts w:ascii="仿宋_GB2312" w:eastAsia="仿宋_GB2312" w:hAnsi="黑体" w:hint="eastAsia"/>
          <w:sz w:val="32"/>
          <w:szCs w:val="32"/>
        </w:rPr>
        <w:t>和公共服务设施</w:t>
      </w:r>
      <w:r w:rsidR="00000000">
        <w:rPr>
          <w:rFonts w:ascii="仿宋_GB2312" w:eastAsia="仿宋_GB2312" w:hAnsi="黑体" w:hint="eastAsia"/>
          <w:sz w:val="32"/>
          <w:szCs w:val="32"/>
        </w:rPr>
        <w:t>安排等规划内容，科学有序地指导</w:t>
      </w:r>
      <w:r>
        <w:rPr>
          <w:rFonts w:ascii="仿宋_GB2312" w:eastAsia="仿宋_GB2312" w:hAnsi="黑体" w:hint="eastAsia"/>
          <w:sz w:val="32"/>
          <w:szCs w:val="32"/>
        </w:rPr>
        <w:t>杨家堡</w:t>
      </w:r>
      <w:r w:rsidR="00000000">
        <w:rPr>
          <w:rFonts w:ascii="仿宋_GB2312" w:eastAsia="仿宋_GB2312" w:hAnsi="黑体" w:hint="eastAsia"/>
          <w:sz w:val="32"/>
          <w:szCs w:val="32"/>
        </w:rPr>
        <w:t>镇实现可持续发展。</w:t>
      </w:r>
    </w:p>
    <w:p w14:paraId="453E5AC4" w14:textId="77777777" w:rsidR="00F33364" w:rsidRDefault="00000000">
      <w:pPr>
        <w:pStyle w:val="1"/>
        <w:ind w:firstLine="640"/>
        <w:rPr>
          <w:b w:val="0"/>
        </w:rPr>
      </w:pPr>
      <w:r>
        <w:rPr>
          <w:rFonts w:hint="eastAsia"/>
          <w:b w:val="0"/>
        </w:rPr>
        <w:lastRenderedPageBreak/>
        <w:t>二、规划目标</w:t>
      </w:r>
    </w:p>
    <w:p w14:paraId="6EFBE77B" w14:textId="1F69D3C2" w:rsidR="00F33364" w:rsidRDefault="00000000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《规划》提出</w:t>
      </w:r>
      <w:r w:rsidR="00F00D4F">
        <w:rPr>
          <w:rFonts w:ascii="仿宋_GB2312" w:eastAsia="仿宋_GB2312" w:hAnsi="黑体" w:hint="eastAsia"/>
          <w:sz w:val="32"/>
          <w:szCs w:val="32"/>
        </w:rPr>
        <w:t>杨家堡</w:t>
      </w:r>
      <w:r>
        <w:rPr>
          <w:rFonts w:ascii="仿宋_GB2312" w:eastAsia="仿宋_GB2312" w:hAnsi="黑体" w:hint="eastAsia"/>
          <w:sz w:val="32"/>
          <w:szCs w:val="32"/>
        </w:rPr>
        <w:t>镇建设</w:t>
      </w:r>
      <w:r w:rsidR="00F00D4F" w:rsidRPr="00F00D4F">
        <w:rPr>
          <w:rFonts w:ascii="仿宋_GB2312" w:eastAsia="仿宋_GB2312" w:hAnsi="黑体" w:hint="eastAsia"/>
          <w:sz w:val="32"/>
          <w:szCs w:val="32"/>
        </w:rPr>
        <w:t>以特色农业种养殖为基础，整合各类文化、生态旅游资源，大力发展文化旅游产业的农贸型城镇</w:t>
      </w:r>
      <w:r>
        <w:rPr>
          <w:rFonts w:ascii="仿宋_GB2312" w:eastAsia="仿宋_GB2312" w:hAnsi="黑体" w:hint="eastAsia"/>
          <w:sz w:val="32"/>
          <w:szCs w:val="32"/>
        </w:rPr>
        <w:t>。至2</w:t>
      </w:r>
      <w:r>
        <w:rPr>
          <w:rFonts w:ascii="仿宋_GB2312" w:eastAsia="仿宋_GB2312" w:hAnsi="黑体"/>
          <w:sz w:val="32"/>
          <w:szCs w:val="32"/>
        </w:rPr>
        <w:t>035</w:t>
      </w:r>
      <w:r>
        <w:rPr>
          <w:rFonts w:ascii="仿宋_GB2312" w:eastAsia="仿宋_GB2312" w:hAnsi="黑体" w:hint="eastAsia"/>
          <w:sz w:val="32"/>
          <w:szCs w:val="32"/>
        </w:rPr>
        <w:t>年</w:t>
      </w:r>
      <w:r w:rsidR="00F00D4F">
        <w:rPr>
          <w:rFonts w:ascii="仿宋_GB2312" w:eastAsia="仿宋_GB2312" w:hAnsi="黑体" w:hint="eastAsia"/>
          <w:sz w:val="32"/>
          <w:szCs w:val="32"/>
        </w:rPr>
        <w:t>杨家堡</w:t>
      </w:r>
      <w:r>
        <w:rPr>
          <w:rFonts w:ascii="仿宋_GB2312" w:eastAsia="仿宋_GB2312" w:hAnsi="黑体" w:hint="eastAsia"/>
          <w:sz w:val="32"/>
          <w:szCs w:val="32"/>
        </w:rPr>
        <w:t>镇经济发展水平、综合服务能力将大幅跃升，</w:t>
      </w:r>
      <w:r w:rsidR="00B9282B">
        <w:rPr>
          <w:rFonts w:ascii="仿宋_GB2312" w:eastAsia="仿宋_GB2312" w:hAnsi="黑体" w:hint="eastAsia"/>
          <w:sz w:val="32"/>
          <w:szCs w:val="32"/>
        </w:rPr>
        <w:t>全域空间格局形成，道路系统、公共服务与市政设施建设完善</w:t>
      </w:r>
      <w:r w:rsidR="00B9282B">
        <w:rPr>
          <w:rFonts w:ascii="仿宋_GB2312" w:eastAsia="仿宋_GB2312" w:hAnsi="黑体" w:hint="eastAsia"/>
          <w:sz w:val="32"/>
          <w:szCs w:val="32"/>
        </w:rPr>
        <w:t>，</w:t>
      </w:r>
      <w:r w:rsidR="00F00D4F" w:rsidRPr="00F00D4F">
        <w:rPr>
          <w:rFonts w:ascii="仿宋_GB2312" w:eastAsia="仿宋_GB2312" w:hAnsi="黑体" w:hint="eastAsia"/>
          <w:sz w:val="32"/>
          <w:szCs w:val="32"/>
        </w:rPr>
        <w:t>全面构建生态健康秀美、产业兴旺发达、交通便捷高效、设施服务均衡、社会安定和谐的社会主义现代化小</w:t>
      </w:r>
      <w:r w:rsidR="005B6622">
        <w:rPr>
          <w:rFonts w:ascii="仿宋_GB2312" w:eastAsia="仿宋_GB2312" w:hAnsi="黑体" w:hint="eastAsia"/>
          <w:sz w:val="32"/>
          <w:szCs w:val="32"/>
        </w:rPr>
        <w:t>城</w:t>
      </w:r>
      <w:r w:rsidR="00F00D4F" w:rsidRPr="00F00D4F">
        <w:rPr>
          <w:rFonts w:ascii="仿宋_GB2312" w:eastAsia="仿宋_GB2312" w:hAnsi="黑体" w:hint="eastAsia"/>
          <w:sz w:val="32"/>
          <w:szCs w:val="32"/>
        </w:rPr>
        <w:t>镇</w:t>
      </w:r>
      <w:r w:rsidRPr="00F00D4F">
        <w:rPr>
          <w:rFonts w:ascii="仿宋_GB2312" w:eastAsia="仿宋_GB2312" w:hAnsi="黑体" w:hint="eastAsia"/>
          <w:sz w:val="32"/>
          <w:szCs w:val="32"/>
        </w:rPr>
        <w:t>。</w:t>
      </w:r>
    </w:p>
    <w:p w14:paraId="48228F1C" w14:textId="77777777" w:rsidR="00F33364" w:rsidRDefault="00000000">
      <w:pPr>
        <w:pStyle w:val="1"/>
        <w:ind w:firstLine="640"/>
        <w:rPr>
          <w:b w:val="0"/>
        </w:rPr>
      </w:pPr>
      <w:r>
        <w:rPr>
          <w:rFonts w:hint="eastAsia"/>
          <w:b w:val="0"/>
        </w:rPr>
        <w:t>三、主要内容</w:t>
      </w:r>
    </w:p>
    <w:p w14:paraId="70D90A2C" w14:textId="77777777" w:rsidR="00F33364" w:rsidRDefault="00000000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规划概述</w:t>
      </w:r>
    </w:p>
    <w:p w14:paraId="5168347E" w14:textId="35BDB32D" w:rsidR="00F33364" w:rsidRDefault="00000000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介绍规划编制的背景及目的、</w:t>
      </w:r>
      <w:r w:rsidR="005B6622">
        <w:rPr>
          <w:rFonts w:ascii="仿宋_GB2312" w:eastAsia="仿宋_GB2312" w:hAnsi="黑体" w:hint="eastAsia"/>
          <w:sz w:val="32"/>
          <w:szCs w:val="32"/>
        </w:rPr>
        <w:t>杨家堡</w:t>
      </w:r>
      <w:r>
        <w:rPr>
          <w:rFonts w:ascii="仿宋_GB2312" w:eastAsia="仿宋_GB2312" w:hAnsi="黑体" w:hint="eastAsia"/>
          <w:sz w:val="32"/>
          <w:szCs w:val="32"/>
        </w:rPr>
        <w:t>镇概况介绍、现状与特征、机遇与使命，明确规划的规划期限、规划范围，是规划编制基础性内容。</w:t>
      </w:r>
    </w:p>
    <w:p w14:paraId="5632371A" w14:textId="77777777" w:rsidR="00F33364" w:rsidRDefault="00000000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目标与战略</w:t>
      </w:r>
    </w:p>
    <w:p w14:paraId="43BA0154" w14:textId="64902203" w:rsidR="00F33364" w:rsidRPr="00B9282B" w:rsidRDefault="00000000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提出</w:t>
      </w:r>
      <w:r w:rsidR="005B6622">
        <w:rPr>
          <w:rFonts w:ascii="仿宋_GB2312" w:eastAsia="仿宋_GB2312" w:hAnsi="黑体" w:hint="eastAsia"/>
          <w:sz w:val="32"/>
          <w:szCs w:val="32"/>
        </w:rPr>
        <w:t>杨家堡</w:t>
      </w:r>
      <w:r>
        <w:rPr>
          <w:rFonts w:ascii="仿宋_GB2312" w:eastAsia="仿宋_GB2312" w:hAnsi="黑体" w:hint="eastAsia"/>
          <w:sz w:val="32"/>
          <w:szCs w:val="32"/>
        </w:rPr>
        <w:t>镇战略定位，确定</w:t>
      </w:r>
      <w:r w:rsidR="005B6622">
        <w:rPr>
          <w:rFonts w:ascii="仿宋_GB2312" w:eastAsia="仿宋_GB2312" w:hAnsi="黑体" w:hint="eastAsia"/>
          <w:sz w:val="32"/>
          <w:szCs w:val="32"/>
        </w:rPr>
        <w:t>杨家堡</w:t>
      </w:r>
      <w:r>
        <w:rPr>
          <w:rFonts w:ascii="仿宋_GB2312" w:eastAsia="仿宋_GB2312" w:hAnsi="黑体" w:hint="eastAsia"/>
          <w:sz w:val="32"/>
          <w:szCs w:val="32"/>
        </w:rPr>
        <w:t>镇城镇性质为</w:t>
      </w:r>
      <w:r w:rsidR="005B6622">
        <w:rPr>
          <w:rFonts w:ascii="仿宋_GB2312" w:eastAsia="仿宋_GB2312" w:hAnsi="黑体" w:hint="eastAsia"/>
          <w:sz w:val="32"/>
          <w:szCs w:val="32"/>
        </w:rPr>
        <w:t>农</w:t>
      </w:r>
      <w:r>
        <w:rPr>
          <w:rFonts w:ascii="仿宋_GB2312" w:eastAsia="仿宋_GB2312" w:hAnsi="黑体" w:hint="eastAsia"/>
          <w:sz w:val="32"/>
          <w:szCs w:val="32"/>
        </w:rPr>
        <w:t>贸型城镇，</w:t>
      </w:r>
      <w:r w:rsidR="005B6622" w:rsidRPr="005B6622">
        <w:rPr>
          <w:rFonts w:ascii="仿宋_GB2312" w:eastAsia="仿宋_GB2312" w:hAnsi="黑体" w:hint="eastAsia"/>
          <w:sz w:val="32"/>
          <w:szCs w:val="32"/>
        </w:rPr>
        <w:t>以特色农业种养殖为基础，整合各类文化、生态旅游资源，大力发展文化旅游产业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="005B6622">
        <w:rPr>
          <w:rFonts w:ascii="仿宋_GB2312" w:eastAsia="仿宋_GB2312" w:hAnsi="黑体" w:hint="eastAsia"/>
          <w:sz w:val="32"/>
          <w:szCs w:val="32"/>
        </w:rPr>
        <w:t>建成</w:t>
      </w:r>
      <w:r w:rsidR="005B6622" w:rsidRPr="005B6622">
        <w:rPr>
          <w:rFonts w:ascii="仿宋_GB2312" w:eastAsia="仿宋_GB2312" w:hAnsi="黑体" w:hint="eastAsia"/>
          <w:sz w:val="32"/>
          <w:szCs w:val="32"/>
        </w:rPr>
        <w:t>岫岩县</w:t>
      </w:r>
      <w:proofErr w:type="gramStart"/>
      <w:r w:rsidR="005B6622" w:rsidRPr="005B6622">
        <w:rPr>
          <w:rFonts w:ascii="仿宋_GB2312" w:eastAsia="仿宋_GB2312" w:hAnsi="黑体" w:hint="eastAsia"/>
          <w:sz w:val="32"/>
          <w:szCs w:val="32"/>
        </w:rPr>
        <w:t>文旅产业</w:t>
      </w:r>
      <w:proofErr w:type="gramEnd"/>
      <w:r w:rsidR="005B6622" w:rsidRPr="005B6622">
        <w:rPr>
          <w:rFonts w:ascii="仿宋_GB2312" w:eastAsia="仿宋_GB2312" w:hAnsi="黑体" w:hint="eastAsia"/>
          <w:sz w:val="32"/>
          <w:szCs w:val="32"/>
        </w:rPr>
        <w:t>重要支撑点</w:t>
      </w:r>
      <w:r w:rsidR="005B6622">
        <w:rPr>
          <w:rFonts w:ascii="仿宋_GB2312" w:eastAsia="仿宋_GB2312" w:hAnsi="黑体" w:hint="eastAsia"/>
          <w:sz w:val="32"/>
          <w:szCs w:val="32"/>
        </w:rPr>
        <w:t>、</w:t>
      </w:r>
      <w:r w:rsidR="005B6622" w:rsidRPr="005B6622">
        <w:rPr>
          <w:rFonts w:ascii="仿宋_GB2312" w:eastAsia="仿宋_GB2312" w:hAnsi="黑体" w:hint="eastAsia"/>
          <w:sz w:val="32"/>
          <w:szCs w:val="32"/>
        </w:rPr>
        <w:t>岫岩县优质粮食生产区</w:t>
      </w:r>
      <w:r w:rsidR="005B6622">
        <w:rPr>
          <w:rFonts w:ascii="仿宋_GB2312" w:eastAsia="仿宋_GB2312" w:hAnsi="黑体" w:hint="eastAsia"/>
          <w:sz w:val="32"/>
          <w:szCs w:val="32"/>
        </w:rPr>
        <w:t>、</w:t>
      </w:r>
      <w:r w:rsidR="005B6622" w:rsidRPr="005B6622">
        <w:rPr>
          <w:rFonts w:ascii="仿宋_GB2312" w:eastAsia="仿宋_GB2312" w:hAnsi="黑体" w:hint="eastAsia"/>
          <w:sz w:val="32"/>
          <w:szCs w:val="32"/>
        </w:rPr>
        <w:t>岫岩县南部特色农业发展示</w:t>
      </w:r>
      <w:r w:rsidR="005B6622" w:rsidRPr="00B9282B">
        <w:rPr>
          <w:rFonts w:ascii="仿宋_GB2312" w:eastAsia="仿宋_GB2312" w:hAnsi="黑体" w:hint="eastAsia"/>
          <w:sz w:val="32"/>
          <w:szCs w:val="32"/>
        </w:rPr>
        <w:t>范区</w:t>
      </w:r>
      <w:r w:rsidRPr="00B9282B">
        <w:rPr>
          <w:rFonts w:ascii="仿宋_GB2312" w:eastAsia="仿宋_GB2312" w:hAnsi="黑体" w:hint="eastAsia"/>
          <w:sz w:val="32"/>
          <w:szCs w:val="32"/>
        </w:rPr>
        <w:t>。以</w:t>
      </w:r>
      <w:r w:rsidR="00B76D52" w:rsidRPr="00B9282B">
        <w:rPr>
          <w:rFonts w:ascii="仿宋_GB2312" w:eastAsia="仿宋_GB2312" w:hAnsi="黑体" w:hint="eastAsia"/>
          <w:sz w:val="32"/>
          <w:szCs w:val="32"/>
        </w:rPr>
        <w:t>严守生态底线</w:t>
      </w:r>
      <w:r w:rsidR="00B76D52" w:rsidRPr="00B9282B">
        <w:rPr>
          <w:rFonts w:ascii="仿宋_GB2312" w:eastAsia="仿宋_GB2312" w:hAnsi="黑体" w:hint="eastAsia"/>
          <w:sz w:val="32"/>
          <w:szCs w:val="32"/>
        </w:rPr>
        <w:t>；扩大</w:t>
      </w:r>
      <w:r w:rsidR="00B76D52" w:rsidRPr="00B9282B">
        <w:rPr>
          <w:rFonts w:ascii="仿宋_GB2312" w:eastAsia="仿宋_GB2312" w:hAnsi="黑体" w:hint="eastAsia"/>
          <w:sz w:val="32"/>
          <w:szCs w:val="32"/>
        </w:rPr>
        <w:t>传统农业发展优势，大力发展中药材和食用菌等特色农业</w:t>
      </w:r>
      <w:r w:rsidR="00B76D52" w:rsidRPr="00B9282B">
        <w:rPr>
          <w:rFonts w:ascii="仿宋_GB2312" w:eastAsia="仿宋_GB2312" w:hAnsi="黑体" w:hint="eastAsia"/>
          <w:sz w:val="32"/>
          <w:szCs w:val="32"/>
        </w:rPr>
        <w:t>；</w:t>
      </w:r>
      <w:r w:rsidR="00B76D52" w:rsidRPr="00B9282B">
        <w:rPr>
          <w:rFonts w:ascii="仿宋_GB2312" w:eastAsia="仿宋_GB2312" w:hAnsi="黑体" w:hint="eastAsia"/>
          <w:sz w:val="32"/>
          <w:szCs w:val="32"/>
        </w:rPr>
        <w:t>充分利用历史文化资源底蕴，构建休闲</w:t>
      </w:r>
      <w:proofErr w:type="gramStart"/>
      <w:r w:rsidR="00B76D52" w:rsidRPr="00B9282B">
        <w:rPr>
          <w:rFonts w:ascii="仿宋_GB2312" w:eastAsia="仿宋_GB2312" w:hAnsi="黑体" w:hint="eastAsia"/>
          <w:sz w:val="32"/>
          <w:szCs w:val="32"/>
        </w:rPr>
        <w:t>文旅产业</w:t>
      </w:r>
      <w:proofErr w:type="gramEnd"/>
      <w:r w:rsidR="00B76D52" w:rsidRPr="00B9282B">
        <w:rPr>
          <w:rFonts w:ascii="仿宋_GB2312" w:eastAsia="仿宋_GB2312" w:hAnsi="黑体" w:hint="eastAsia"/>
          <w:sz w:val="32"/>
          <w:szCs w:val="32"/>
        </w:rPr>
        <w:t>体系</w:t>
      </w:r>
      <w:r w:rsidRPr="00B9282B">
        <w:rPr>
          <w:rFonts w:ascii="仿宋_GB2312" w:eastAsia="仿宋_GB2312" w:hAnsi="黑体" w:hint="eastAsia"/>
          <w:sz w:val="32"/>
          <w:szCs w:val="32"/>
        </w:rPr>
        <w:t>为发展策略。</w:t>
      </w:r>
    </w:p>
    <w:p w14:paraId="25B29F04" w14:textId="77777777" w:rsidR="00F33364" w:rsidRPr="00B9282B" w:rsidRDefault="00000000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黑体" w:hint="eastAsia"/>
          <w:sz w:val="32"/>
          <w:szCs w:val="32"/>
        </w:rPr>
      </w:pPr>
      <w:r w:rsidRPr="00B9282B">
        <w:rPr>
          <w:rFonts w:ascii="仿宋_GB2312" w:eastAsia="仿宋_GB2312" w:hAnsi="黑体" w:hint="eastAsia"/>
          <w:sz w:val="32"/>
          <w:szCs w:val="32"/>
        </w:rPr>
        <w:lastRenderedPageBreak/>
        <w:t>国土空间开发保护格局</w:t>
      </w:r>
    </w:p>
    <w:p w14:paraId="09E8B870" w14:textId="73FC30B1" w:rsidR="00F33364" w:rsidRDefault="00000000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落实岫岩满族自治县三条控制线保护目标，提出</w:t>
      </w:r>
      <w:r w:rsidR="005B6622">
        <w:rPr>
          <w:rFonts w:ascii="仿宋_GB2312" w:eastAsia="仿宋_GB2312" w:hAnsi="黑体" w:hint="eastAsia"/>
          <w:sz w:val="32"/>
          <w:szCs w:val="32"/>
        </w:rPr>
        <w:t>杨家堡</w:t>
      </w:r>
      <w:r>
        <w:rPr>
          <w:rFonts w:ascii="仿宋_GB2312" w:eastAsia="仿宋_GB2312" w:hAnsi="黑体" w:hint="eastAsia"/>
          <w:sz w:val="32"/>
          <w:szCs w:val="32"/>
        </w:rPr>
        <w:t>镇“</w:t>
      </w:r>
      <w:r w:rsidR="00B9282B" w:rsidRPr="00B9282B">
        <w:rPr>
          <w:rFonts w:ascii="仿宋_GB2312" w:eastAsia="仿宋_GB2312" w:hAnsi="黑体" w:hint="eastAsia"/>
          <w:sz w:val="32"/>
          <w:szCs w:val="32"/>
        </w:rPr>
        <w:t>一心</w:t>
      </w:r>
      <w:proofErr w:type="gramStart"/>
      <w:r w:rsidR="00B9282B" w:rsidRPr="00B9282B">
        <w:rPr>
          <w:rFonts w:ascii="仿宋_GB2312" w:eastAsia="仿宋_GB2312" w:hAnsi="黑体" w:hint="eastAsia"/>
          <w:sz w:val="32"/>
          <w:szCs w:val="32"/>
        </w:rPr>
        <w:t>一</w:t>
      </w:r>
      <w:proofErr w:type="gramEnd"/>
      <w:r w:rsidR="00B9282B" w:rsidRPr="00B9282B">
        <w:rPr>
          <w:rFonts w:ascii="仿宋_GB2312" w:eastAsia="仿宋_GB2312" w:hAnsi="黑体" w:hint="eastAsia"/>
          <w:sz w:val="32"/>
          <w:szCs w:val="32"/>
        </w:rPr>
        <w:t>廊、一轴两区</w:t>
      </w:r>
      <w:r>
        <w:rPr>
          <w:rFonts w:ascii="仿宋_GB2312" w:eastAsia="仿宋_GB2312" w:hAnsi="黑体" w:hint="eastAsia"/>
          <w:sz w:val="32"/>
          <w:szCs w:val="32"/>
        </w:rPr>
        <w:t>”的国土空间格局，明确“三线”空间划定与管控的相关要求。</w:t>
      </w:r>
    </w:p>
    <w:p w14:paraId="1E0DE1F5" w14:textId="77777777" w:rsidR="00F33364" w:rsidRDefault="00000000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三类空间布局</w:t>
      </w:r>
    </w:p>
    <w:p w14:paraId="1A21BACB" w14:textId="66BB6451" w:rsidR="00F33364" w:rsidRDefault="00000000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主要结合</w:t>
      </w:r>
      <w:r w:rsidR="005B6622">
        <w:rPr>
          <w:rFonts w:ascii="仿宋_GB2312" w:eastAsia="仿宋_GB2312" w:hAnsi="黑体" w:hint="eastAsia"/>
          <w:sz w:val="32"/>
          <w:szCs w:val="32"/>
        </w:rPr>
        <w:t>杨家堡</w:t>
      </w:r>
      <w:r>
        <w:rPr>
          <w:rFonts w:ascii="仿宋_GB2312" w:eastAsia="仿宋_GB2312" w:hAnsi="黑体" w:hint="eastAsia"/>
          <w:sz w:val="32"/>
          <w:szCs w:val="32"/>
        </w:rPr>
        <w:t>镇国土空间格局，提出</w:t>
      </w:r>
      <w:r w:rsidR="005B6622">
        <w:rPr>
          <w:rFonts w:ascii="仿宋_GB2312" w:eastAsia="仿宋_GB2312" w:hAnsi="黑体" w:hint="eastAsia"/>
          <w:sz w:val="32"/>
          <w:szCs w:val="32"/>
        </w:rPr>
        <w:t>杨家堡</w:t>
      </w:r>
      <w:r>
        <w:rPr>
          <w:rFonts w:ascii="仿宋_GB2312" w:eastAsia="仿宋_GB2312" w:hAnsi="黑体" w:hint="eastAsia"/>
          <w:sz w:val="32"/>
          <w:szCs w:val="32"/>
        </w:rPr>
        <w:t>镇农业空间、生态空间、城镇空间的空间布局及管控要求。农业空间强调优先保护耕地和永久基本农田，进一步落实耕地保护和布局优化，整体推进乡村地区耕地质量提升。生态空间优化城镇生态系统，</w:t>
      </w:r>
      <w:r w:rsidR="00B9282B">
        <w:rPr>
          <w:rFonts w:ascii="仿宋_GB2312" w:eastAsia="仿宋_GB2312" w:hAnsi="黑体" w:hint="eastAsia"/>
          <w:sz w:val="32"/>
          <w:szCs w:val="32"/>
        </w:rPr>
        <w:t>重点</w:t>
      </w:r>
      <w:r w:rsidR="00B9282B" w:rsidRPr="00B9282B">
        <w:rPr>
          <w:rFonts w:ascii="仿宋_GB2312" w:eastAsia="仿宋_GB2312" w:hAnsi="黑体" w:hint="eastAsia"/>
          <w:sz w:val="32"/>
          <w:szCs w:val="32"/>
        </w:rPr>
        <w:t>打造</w:t>
      </w:r>
      <w:r w:rsidR="00B9282B">
        <w:rPr>
          <w:rFonts w:ascii="仿宋_GB2312" w:eastAsia="仿宋_GB2312" w:hAnsi="黑体" w:hint="eastAsia"/>
          <w:sz w:val="32"/>
          <w:szCs w:val="32"/>
        </w:rPr>
        <w:t>大洋河</w:t>
      </w:r>
      <w:r w:rsidR="00B9282B" w:rsidRPr="00B9282B">
        <w:rPr>
          <w:rFonts w:ascii="仿宋_GB2312" w:eastAsia="仿宋_GB2312" w:hAnsi="黑体" w:hint="eastAsia"/>
          <w:sz w:val="32"/>
          <w:szCs w:val="32"/>
        </w:rPr>
        <w:t>生态</w:t>
      </w:r>
      <w:r w:rsidR="00B9282B">
        <w:rPr>
          <w:rFonts w:ascii="仿宋_GB2312" w:eastAsia="仿宋_GB2312" w:hAnsi="黑体" w:hint="eastAsia"/>
          <w:sz w:val="32"/>
          <w:szCs w:val="32"/>
        </w:rPr>
        <w:t>景观廊道</w:t>
      </w:r>
      <w:r>
        <w:rPr>
          <w:rFonts w:ascii="仿宋_GB2312" w:eastAsia="仿宋_GB2312" w:hAnsi="黑体" w:hint="eastAsia"/>
          <w:sz w:val="32"/>
          <w:szCs w:val="32"/>
        </w:rPr>
        <w:t>。打造</w:t>
      </w:r>
      <w:r w:rsidR="005B6622">
        <w:rPr>
          <w:rFonts w:ascii="仿宋_GB2312" w:eastAsia="仿宋_GB2312" w:hAnsi="黑体" w:hint="eastAsia"/>
          <w:sz w:val="32"/>
          <w:szCs w:val="32"/>
        </w:rPr>
        <w:t>杨家堡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镇</w:t>
      </w:r>
      <w:r w:rsidR="005B6622">
        <w:rPr>
          <w:rFonts w:ascii="仿宋_GB2312" w:eastAsia="仿宋_GB2312" w:hAnsi="黑体" w:hint="eastAsia"/>
          <w:sz w:val="32"/>
          <w:szCs w:val="32"/>
        </w:rPr>
        <w:t>文旅</w:t>
      </w:r>
      <w:r w:rsidRPr="00452772">
        <w:rPr>
          <w:rFonts w:ascii="仿宋_GB2312" w:eastAsia="仿宋_GB2312" w:hAnsi="黑体" w:hint="eastAsia"/>
          <w:sz w:val="32"/>
          <w:szCs w:val="32"/>
        </w:rPr>
        <w:t>观光</w:t>
      </w:r>
      <w:proofErr w:type="gramEnd"/>
      <w:r w:rsidRPr="00452772">
        <w:rPr>
          <w:rFonts w:ascii="仿宋_GB2312" w:eastAsia="仿宋_GB2312" w:hAnsi="黑体" w:hint="eastAsia"/>
          <w:sz w:val="32"/>
          <w:szCs w:val="32"/>
        </w:rPr>
        <w:t>旅游线路，融入岫岩县域旅游体系</w:t>
      </w:r>
      <w:r w:rsidR="002F0A2D">
        <w:rPr>
          <w:rFonts w:ascii="仿宋_GB2312" w:eastAsia="仿宋_GB2312" w:hAnsi="黑体" w:hint="eastAsia"/>
          <w:sz w:val="32"/>
          <w:szCs w:val="32"/>
        </w:rPr>
        <w:t>，</w:t>
      </w:r>
      <w:r w:rsidRPr="00452772">
        <w:rPr>
          <w:rFonts w:ascii="仿宋_GB2312" w:eastAsia="仿宋_GB2312" w:hAnsi="黑体" w:hint="eastAsia"/>
          <w:sz w:val="32"/>
          <w:szCs w:val="32"/>
        </w:rPr>
        <w:t>进一步完善旅游相关设施，建设</w:t>
      </w:r>
      <w:r w:rsidR="00452772" w:rsidRPr="00452772">
        <w:rPr>
          <w:rFonts w:ascii="仿宋_GB2312" w:eastAsia="仿宋_GB2312" w:hAnsi="黑体" w:hint="eastAsia"/>
          <w:sz w:val="32"/>
          <w:szCs w:val="32"/>
        </w:rPr>
        <w:t>洋河湾—娘娘</w:t>
      </w:r>
      <w:proofErr w:type="gramStart"/>
      <w:r w:rsidR="00452772" w:rsidRPr="00452772">
        <w:rPr>
          <w:rFonts w:ascii="仿宋_GB2312" w:eastAsia="仿宋_GB2312" w:hAnsi="黑体" w:hint="eastAsia"/>
          <w:sz w:val="32"/>
          <w:szCs w:val="32"/>
        </w:rPr>
        <w:t>城—卧鹿</w:t>
      </w:r>
      <w:proofErr w:type="gramEnd"/>
      <w:r w:rsidR="00452772" w:rsidRPr="00452772">
        <w:rPr>
          <w:rFonts w:ascii="仿宋_GB2312" w:eastAsia="仿宋_GB2312" w:hAnsi="黑体" w:hint="eastAsia"/>
          <w:sz w:val="32"/>
          <w:szCs w:val="32"/>
        </w:rPr>
        <w:t>山旅游路线</w:t>
      </w:r>
      <w:r w:rsidRPr="00452772">
        <w:rPr>
          <w:rFonts w:ascii="仿宋_GB2312" w:eastAsia="仿宋_GB2312" w:hAnsi="黑体" w:hint="eastAsia"/>
          <w:sz w:val="32"/>
          <w:szCs w:val="32"/>
        </w:rPr>
        <w:t>。</w:t>
      </w:r>
      <w:r>
        <w:rPr>
          <w:rFonts w:ascii="仿宋_GB2312" w:eastAsia="仿宋_GB2312" w:hAnsi="黑体" w:hint="eastAsia"/>
          <w:sz w:val="32"/>
          <w:szCs w:val="32"/>
        </w:rPr>
        <w:t>城镇空间着重优化城镇体系和空间结构；提出优化空间格局，高效利用土地存量资源，全面提升城乡空间品质的空间发展战略；落实城乡生活圈发展理念，推进基本公共服务均等化，建设</w:t>
      </w:r>
      <w:r w:rsidR="005B6622">
        <w:rPr>
          <w:rFonts w:ascii="仿宋_GB2312" w:eastAsia="仿宋_GB2312" w:hAnsi="黑体" w:hint="eastAsia"/>
          <w:sz w:val="32"/>
          <w:szCs w:val="32"/>
        </w:rPr>
        <w:t>一般</w:t>
      </w:r>
      <w:r>
        <w:rPr>
          <w:rFonts w:ascii="仿宋_GB2312" w:eastAsia="仿宋_GB2312" w:hAnsi="黑体" w:hint="eastAsia"/>
          <w:sz w:val="32"/>
          <w:szCs w:val="32"/>
        </w:rPr>
        <w:t>镇级公共服务中心等布局要求。</w:t>
      </w:r>
    </w:p>
    <w:p w14:paraId="1B07BFFC" w14:textId="2EB71FE7" w:rsidR="00F33364" w:rsidRDefault="005B6622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镇</w:t>
      </w:r>
      <w:r w:rsidR="00000000">
        <w:rPr>
          <w:rFonts w:ascii="仿宋_GB2312" w:eastAsia="仿宋_GB2312" w:hAnsi="黑体" w:hint="eastAsia"/>
          <w:sz w:val="32"/>
          <w:szCs w:val="32"/>
        </w:rPr>
        <w:t>中心区规划</w:t>
      </w:r>
    </w:p>
    <w:p w14:paraId="699B3239" w14:textId="1B2C2231" w:rsidR="00F33364" w:rsidRDefault="00000000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提出镇</w:t>
      </w:r>
      <w:r w:rsidR="002F0A2D">
        <w:rPr>
          <w:rFonts w:ascii="仿宋_GB2312" w:eastAsia="仿宋_GB2312" w:hAnsi="黑体" w:hint="eastAsia"/>
          <w:sz w:val="32"/>
          <w:szCs w:val="32"/>
        </w:rPr>
        <w:t>中心</w:t>
      </w:r>
      <w:r>
        <w:rPr>
          <w:rFonts w:ascii="仿宋_GB2312" w:eastAsia="仿宋_GB2312" w:hAnsi="黑体" w:hint="eastAsia"/>
          <w:sz w:val="32"/>
          <w:szCs w:val="32"/>
        </w:rPr>
        <w:t>区“</w:t>
      </w:r>
      <w:r w:rsidR="00452772" w:rsidRPr="00452772">
        <w:rPr>
          <w:rFonts w:ascii="仿宋_GB2312" w:eastAsia="仿宋_GB2312" w:hAnsi="黑体" w:hint="eastAsia"/>
          <w:sz w:val="32"/>
          <w:szCs w:val="32"/>
        </w:rPr>
        <w:t>一轴一带、一心四区</w:t>
      </w:r>
      <w:r>
        <w:rPr>
          <w:rFonts w:ascii="仿宋_GB2312" w:eastAsia="仿宋_GB2312" w:hAnsi="黑体" w:hint="eastAsia"/>
          <w:sz w:val="32"/>
          <w:szCs w:val="32"/>
        </w:rPr>
        <w:t>”的空间格局设想，落实新增建设用地空间，对镇</w:t>
      </w:r>
      <w:r w:rsidR="00452772">
        <w:rPr>
          <w:rFonts w:ascii="仿宋_GB2312" w:eastAsia="仿宋_GB2312" w:hAnsi="黑体" w:hint="eastAsia"/>
          <w:sz w:val="32"/>
          <w:szCs w:val="32"/>
        </w:rPr>
        <w:t>中心</w:t>
      </w:r>
      <w:r>
        <w:rPr>
          <w:rFonts w:ascii="仿宋_GB2312" w:eastAsia="仿宋_GB2312" w:hAnsi="黑体" w:hint="eastAsia"/>
          <w:sz w:val="32"/>
          <w:szCs w:val="32"/>
        </w:rPr>
        <w:t>区建设用地进行合理布局，提出构建“</w:t>
      </w:r>
      <w:r w:rsidR="00452772" w:rsidRPr="00452772">
        <w:rPr>
          <w:rFonts w:ascii="仿宋_GB2312" w:eastAsia="仿宋_GB2312" w:hAnsi="黑体" w:hint="eastAsia"/>
          <w:sz w:val="32"/>
          <w:szCs w:val="32"/>
        </w:rPr>
        <w:t>一心两带多节点，四周渗透</w:t>
      </w:r>
      <w:r>
        <w:rPr>
          <w:rFonts w:ascii="仿宋_GB2312" w:eastAsia="仿宋_GB2312" w:hAnsi="黑体" w:hint="eastAsia"/>
          <w:sz w:val="32"/>
          <w:szCs w:val="32"/>
        </w:rPr>
        <w:t>”绿地系统布局的蓝绿空间，对</w:t>
      </w:r>
      <w:r w:rsidR="002F0A2D">
        <w:rPr>
          <w:rFonts w:ascii="仿宋_GB2312" w:eastAsia="仿宋_GB2312" w:hAnsi="黑体" w:hint="eastAsia"/>
          <w:sz w:val="32"/>
          <w:szCs w:val="32"/>
        </w:rPr>
        <w:t>镇中心区</w:t>
      </w:r>
      <w:r>
        <w:rPr>
          <w:rFonts w:ascii="仿宋_GB2312" w:eastAsia="仿宋_GB2312" w:hAnsi="黑体" w:hint="eastAsia"/>
          <w:sz w:val="32"/>
          <w:szCs w:val="32"/>
        </w:rPr>
        <w:t>设施布局提出综合指引。</w:t>
      </w:r>
    </w:p>
    <w:p w14:paraId="6F6C4416" w14:textId="77777777" w:rsidR="00F33364" w:rsidRDefault="00000000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支撑体系</w:t>
      </w:r>
    </w:p>
    <w:p w14:paraId="277CF1A9" w14:textId="0D71BA37" w:rsidR="00F33364" w:rsidRDefault="00000000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616929">
        <w:rPr>
          <w:rFonts w:ascii="仿宋_GB2312" w:eastAsia="仿宋_GB2312" w:hAnsi="黑体" w:hint="eastAsia"/>
          <w:sz w:val="32"/>
          <w:szCs w:val="32"/>
        </w:rPr>
        <w:lastRenderedPageBreak/>
        <w:t>规划</w:t>
      </w:r>
      <w:r w:rsidR="00616929" w:rsidRPr="00616929">
        <w:rPr>
          <w:rFonts w:ascii="仿宋_GB2312" w:eastAsia="仿宋_GB2312" w:hAnsi="黑体" w:hint="eastAsia"/>
          <w:sz w:val="32"/>
          <w:szCs w:val="32"/>
        </w:rPr>
        <w:t>构建以省道为核心，乡道为支撑的现代化综合交通体系</w:t>
      </w:r>
      <w:r w:rsidRPr="00616929">
        <w:rPr>
          <w:rFonts w:ascii="仿宋_GB2312" w:eastAsia="仿宋_GB2312" w:hAnsi="黑体" w:hint="eastAsia"/>
          <w:sz w:val="32"/>
          <w:szCs w:val="32"/>
        </w:rPr>
        <w:t>，依托</w:t>
      </w:r>
      <w:r w:rsidR="00616929" w:rsidRPr="00616929">
        <w:rPr>
          <w:rFonts w:ascii="仿宋_GB2312" w:eastAsia="仿宋_GB2312" w:hAnsi="黑体" w:hint="eastAsia"/>
          <w:sz w:val="32"/>
          <w:szCs w:val="32"/>
        </w:rPr>
        <w:t>S313</w:t>
      </w:r>
      <w:proofErr w:type="gramStart"/>
      <w:r w:rsidR="00616929" w:rsidRPr="00616929">
        <w:rPr>
          <w:rFonts w:ascii="仿宋_GB2312" w:eastAsia="仿宋_GB2312" w:hAnsi="黑体" w:hint="eastAsia"/>
          <w:sz w:val="32"/>
          <w:szCs w:val="32"/>
        </w:rPr>
        <w:t>海欢线</w:t>
      </w:r>
      <w:proofErr w:type="gramEnd"/>
      <w:r w:rsidRPr="00616929">
        <w:rPr>
          <w:rFonts w:ascii="仿宋_GB2312" w:eastAsia="仿宋_GB2312" w:hAnsi="黑体" w:hint="eastAsia"/>
          <w:sz w:val="32"/>
          <w:szCs w:val="32"/>
        </w:rPr>
        <w:t>、</w:t>
      </w:r>
      <w:r w:rsidR="00616929" w:rsidRPr="00616929">
        <w:rPr>
          <w:rFonts w:ascii="仿宋_GB2312" w:eastAsia="仿宋_GB2312" w:hAnsi="黑体" w:hint="eastAsia"/>
          <w:sz w:val="32"/>
          <w:szCs w:val="32"/>
        </w:rPr>
        <w:t>杨马线、松石线</w:t>
      </w:r>
      <w:r w:rsidRPr="00616929">
        <w:rPr>
          <w:rFonts w:ascii="仿宋_GB2312" w:eastAsia="仿宋_GB2312" w:hAnsi="黑体" w:hint="eastAsia"/>
          <w:sz w:val="32"/>
          <w:szCs w:val="32"/>
        </w:rPr>
        <w:t>等形成对外交通网络骨架。</w:t>
      </w:r>
      <w:r w:rsidR="00616929" w:rsidRPr="00616929">
        <w:rPr>
          <w:rFonts w:ascii="仿宋_GB2312" w:eastAsia="仿宋_GB2312" w:hAnsi="黑体" w:hint="eastAsia"/>
          <w:sz w:val="32"/>
          <w:szCs w:val="32"/>
        </w:rPr>
        <w:t>提升</w:t>
      </w:r>
      <w:r w:rsidR="00B9282B">
        <w:rPr>
          <w:rFonts w:ascii="仿宋_GB2312" w:eastAsia="仿宋_GB2312" w:hAnsi="黑体" w:hint="eastAsia"/>
          <w:sz w:val="32"/>
          <w:szCs w:val="32"/>
        </w:rPr>
        <w:t>道</w:t>
      </w:r>
      <w:r w:rsidR="00616929" w:rsidRPr="00616929">
        <w:rPr>
          <w:rFonts w:ascii="仿宋_GB2312" w:eastAsia="仿宋_GB2312" w:hAnsi="黑体" w:hint="eastAsia"/>
          <w:sz w:val="32"/>
          <w:szCs w:val="32"/>
        </w:rPr>
        <w:t>路网密度</w:t>
      </w:r>
      <w:r w:rsidRPr="00616929">
        <w:rPr>
          <w:rFonts w:ascii="仿宋_GB2312" w:eastAsia="仿宋_GB2312" w:hAnsi="黑体" w:hint="eastAsia"/>
          <w:sz w:val="32"/>
          <w:szCs w:val="32"/>
        </w:rPr>
        <w:t>，</w:t>
      </w:r>
      <w:r w:rsidR="00616929" w:rsidRPr="00616929">
        <w:rPr>
          <w:rFonts w:ascii="仿宋_GB2312" w:eastAsia="仿宋_GB2312" w:hAnsi="黑体" w:hint="eastAsia"/>
          <w:sz w:val="32"/>
          <w:szCs w:val="32"/>
        </w:rPr>
        <w:t>合理配置</w:t>
      </w:r>
      <w:r w:rsidR="00B9282B">
        <w:rPr>
          <w:rFonts w:ascii="仿宋_GB2312" w:eastAsia="仿宋_GB2312" w:hAnsi="黑体" w:hint="eastAsia"/>
          <w:sz w:val="32"/>
          <w:szCs w:val="32"/>
        </w:rPr>
        <w:t>公共</w:t>
      </w:r>
      <w:r w:rsidR="00616929" w:rsidRPr="00616929">
        <w:rPr>
          <w:rFonts w:ascii="仿宋_GB2312" w:eastAsia="仿宋_GB2312" w:hAnsi="黑体" w:hint="eastAsia"/>
          <w:sz w:val="32"/>
          <w:szCs w:val="32"/>
        </w:rPr>
        <w:t>停车场、汽车充电站等交通设施</w:t>
      </w:r>
      <w:r w:rsidRPr="00616929">
        <w:rPr>
          <w:rFonts w:ascii="仿宋_GB2312" w:eastAsia="仿宋_GB2312" w:hAnsi="黑体" w:hint="eastAsia"/>
          <w:sz w:val="32"/>
          <w:szCs w:val="32"/>
        </w:rPr>
        <w:t>，构建绿色高效的城乡综合交通体系；不</w:t>
      </w:r>
      <w:r>
        <w:rPr>
          <w:rFonts w:ascii="仿宋_GB2312" w:eastAsia="仿宋_GB2312" w:hAnsi="黑体" w:hint="eastAsia"/>
          <w:sz w:val="32"/>
          <w:szCs w:val="32"/>
        </w:rPr>
        <w:t>断强化市政基础设施保障，加强给排水、能源、通信等设施建设；提高城乡安全韧性，加强防洪、抗震、消防、人防和防疫等领域的安全设施建设。</w:t>
      </w:r>
    </w:p>
    <w:p w14:paraId="7F4FA8FF" w14:textId="77777777" w:rsidR="00F33364" w:rsidRDefault="00000000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区域协同</w:t>
      </w:r>
    </w:p>
    <w:p w14:paraId="3800CC5C" w14:textId="77777777" w:rsidR="00F33364" w:rsidRDefault="00000000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全面落实区域协调发展战略，统筹区域协同保护治理和协同开放发展，统筹协调跨行政区域的设施配套需求和空间布局安排。积极融入辽宁省“一圈一带”两区发展，把握沈阳都市圈建设机遇，紧抓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区域国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省干线公路建设和提质升级机会。</w:t>
      </w:r>
    </w:p>
    <w:p w14:paraId="336CEF22" w14:textId="77777777" w:rsidR="00F33364" w:rsidRDefault="00000000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实施保障</w:t>
      </w:r>
    </w:p>
    <w:p w14:paraId="751EB022" w14:textId="470DEF6E" w:rsidR="00F33364" w:rsidRDefault="00000000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加强党的领导，落实</w:t>
      </w:r>
      <w:r w:rsidR="005B6622">
        <w:rPr>
          <w:rFonts w:ascii="仿宋_GB2312" w:eastAsia="仿宋_GB2312" w:hAnsi="黑体" w:hint="eastAsia"/>
          <w:sz w:val="32"/>
          <w:szCs w:val="32"/>
        </w:rPr>
        <w:t>杨家堡</w:t>
      </w:r>
      <w:r>
        <w:rPr>
          <w:rFonts w:ascii="仿宋_GB2312" w:eastAsia="仿宋_GB2312" w:hAnsi="黑体" w:hint="eastAsia"/>
          <w:sz w:val="32"/>
          <w:szCs w:val="32"/>
        </w:rPr>
        <w:t>镇党委和政府在国土空间规划工作中的核心作用，完善上下贯通、执行有力的组织体系；落实上位规划、传导下位规划，严格执行各级规划的管控要求，将各项指标给予传导和落实；加强规划监督管理，强化规划统领地位；加强公众参与、多方协同以及常态化的国土空间规划宣传和交流互动机制。</w:t>
      </w:r>
    </w:p>
    <w:sectPr w:rsidR="00F3336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74E08" w14:textId="77777777" w:rsidR="00D56CA7" w:rsidRDefault="00D56CA7">
      <w:r>
        <w:separator/>
      </w:r>
    </w:p>
  </w:endnote>
  <w:endnote w:type="continuationSeparator" w:id="0">
    <w:p w14:paraId="120078F5" w14:textId="77777777" w:rsidR="00D56CA7" w:rsidRDefault="00D5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4821423"/>
    </w:sdtPr>
    <w:sdtEndPr>
      <w:rPr>
        <w:sz w:val="21"/>
        <w:szCs w:val="21"/>
      </w:rPr>
    </w:sdtEndPr>
    <w:sdtContent>
      <w:p w14:paraId="58E0F0EF" w14:textId="77777777" w:rsidR="00F33364" w:rsidRDefault="00000000">
        <w:pPr>
          <w:pStyle w:val="a5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7</w:t>
        </w:r>
        <w:r>
          <w:rPr>
            <w:sz w:val="21"/>
            <w:szCs w:val="21"/>
          </w:rPr>
          <w:fldChar w:fldCharType="end"/>
        </w:r>
      </w:p>
    </w:sdtContent>
  </w:sdt>
  <w:p w14:paraId="4887E202" w14:textId="77777777" w:rsidR="00F33364" w:rsidRDefault="00F333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05F4F" w14:textId="77777777" w:rsidR="00D56CA7" w:rsidRDefault="00D56CA7">
      <w:r>
        <w:separator/>
      </w:r>
    </w:p>
  </w:footnote>
  <w:footnote w:type="continuationSeparator" w:id="0">
    <w:p w14:paraId="5EE62F27" w14:textId="77777777" w:rsidR="00D56CA7" w:rsidRDefault="00D56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21CE8"/>
    <w:multiLevelType w:val="multilevel"/>
    <w:tmpl w:val="19F21CE8"/>
    <w:lvl w:ilvl="0">
      <w:start w:val="1"/>
      <w:numFmt w:val="chineseCountingThousand"/>
      <w:suff w:val="nothing"/>
      <w:lvlText w:val="(%1)"/>
      <w:lvlJc w:val="left"/>
      <w:pPr>
        <w:ind w:left="-72" w:firstLine="6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207809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c4MGIyMjEyZmViZTZmZWQ5MTUxOTkwMGE4Y2RmNDQifQ=="/>
  </w:docVars>
  <w:rsids>
    <w:rsidRoot w:val="00413536"/>
    <w:rsid w:val="000144F2"/>
    <w:rsid w:val="00045ED0"/>
    <w:rsid w:val="00046D21"/>
    <w:rsid w:val="00055078"/>
    <w:rsid w:val="00081952"/>
    <w:rsid w:val="000A2A54"/>
    <w:rsid w:val="000C531F"/>
    <w:rsid w:val="000D47B4"/>
    <w:rsid w:val="000F4F5D"/>
    <w:rsid w:val="00133957"/>
    <w:rsid w:val="00195BEE"/>
    <w:rsid w:val="001A7C94"/>
    <w:rsid w:val="001B3EBC"/>
    <w:rsid w:val="001C2879"/>
    <w:rsid w:val="001E37C7"/>
    <w:rsid w:val="001E5F0B"/>
    <w:rsid w:val="00215C6C"/>
    <w:rsid w:val="00232BF4"/>
    <w:rsid w:val="00240AC2"/>
    <w:rsid w:val="002867F9"/>
    <w:rsid w:val="00292C8F"/>
    <w:rsid w:val="002C085A"/>
    <w:rsid w:val="002F0A2D"/>
    <w:rsid w:val="00324BCB"/>
    <w:rsid w:val="003712F9"/>
    <w:rsid w:val="003745D1"/>
    <w:rsid w:val="003B1FAE"/>
    <w:rsid w:val="003B348B"/>
    <w:rsid w:val="003C420B"/>
    <w:rsid w:val="003C7374"/>
    <w:rsid w:val="003D0CD4"/>
    <w:rsid w:val="0040648F"/>
    <w:rsid w:val="00410951"/>
    <w:rsid w:val="00413536"/>
    <w:rsid w:val="00430ABC"/>
    <w:rsid w:val="004371BA"/>
    <w:rsid w:val="00452772"/>
    <w:rsid w:val="004602BD"/>
    <w:rsid w:val="00460910"/>
    <w:rsid w:val="00482254"/>
    <w:rsid w:val="00485AF5"/>
    <w:rsid w:val="004A4D04"/>
    <w:rsid w:val="004B0EA1"/>
    <w:rsid w:val="004C5E09"/>
    <w:rsid w:val="00532B5A"/>
    <w:rsid w:val="005503ED"/>
    <w:rsid w:val="00551BD2"/>
    <w:rsid w:val="005559A6"/>
    <w:rsid w:val="005779CD"/>
    <w:rsid w:val="005931F3"/>
    <w:rsid w:val="0059426E"/>
    <w:rsid w:val="005A2579"/>
    <w:rsid w:val="005A4582"/>
    <w:rsid w:val="005B3156"/>
    <w:rsid w:val="005B6622"/>
    <w:rsid w:val="005B68B4"/>
    <w:rsid w:val="005C2C6F"/>
    <w:rsid w:val="005D6387"/>
    <w:rsid w:val="005E78EB"/>
    <w:rsid w:val="00610F3A"/>
    <w:rsid w:val="00616929"/>
    <w:rsid w:val="00636CB2"/>
    <w:rsid w:val="006403A2"/>
    <w:rsid w:val="006546A1"/>
    <w:rsid w:val="006564D4"/>
    <w:rsid w:val="0067369A"/>
    <w:rsid w:val="00677157"/>
    <w:rsid w:val="006A3E42"/>
    <w:rsid w:val="006E1619"/>
    <w:rsid w:val="006F66B9"/>
    <w:rsid w:val="00713C8E"/>
    <w:rsid w:val="0076129D"/>
    <w:rsid w:val="007866C8"/>
    <w:rsid w:val="007A5244"/>
    <w:rsid w:val="007D3DFD"/>
    <w:rsid w:val="00820925"/>
    <w:rsid w:val="00837274"/>
    <w:rsid w:val="00854228"/>
    <w:rsid w:val="00886935"/>
    <w:rsid w:val="00891E09"/>
    <w:rsid w:val="00900DF9"/>
    <w:rsid w:val="00907D72"/>
    <w:rsid w:val="00923C7F"/>
    <w:rsid w:val="0093346D"/>
    <w:rsid w:val="0099037A"/>
    <w:rsid w:val="009B6BF5"/>
    <w:rsid w:val="009F49A9"/>
    <w:rsid w:val="00A2399E"/>
    <w:rsid w:val="00A4238A"/>
    <w:rsid w:val="00A54CAA"/>
    <w:rsid w:val="00A6036D"/>
    <w:rsid w:val="00A62493"/>
    <w:rsid w:val="00A71DE0"/>
    <w:rsid w:val="00A76770"/>
    <w:rsid w:val="00AF0014"/>
    <w:rsid w:val="00AF6236"/>
    <w:rsid w:val="00AF706B"/>
    <w:rsid w:val="00B064A8"/>
    <w:rsid w:val="00B066C1"/>
    <w:rsid w:val="00B63066"/>
    <w:rsid w:val="00B76D52"/>
    <w:rsid w:val="00B77F1B"/>
    <w:rsid w:val="00B914A6"/>
    <w:rsid w:val="00B9282B"/>
    <w:rsid w:val="00B92D97"/>
    <w:rsid w:val="00B964EA"/>
    <w:rsid w:val="00BB3288"/>
    <w:rsid w:val="00BB7362"/>
    <w:rsid w:val="00BC56F0"/>
    <w:rsid w:val="00BD3521"/>
    <w:rsid w:val="00BE0EEC"/>
    <w:rsid w:val="00BF5F3F"/>
    <w:rsid w:val="00C14D25"/>
    <w:rsid w:val="00C14DCD"/>
    <w:rsid w:val="00C15787"/>
    <w:rsid w:val="00C158EF"/>
    <w:rsid w:val="00C2327C"/>
    <w:rsid w:val="00C23ECE"/>
    <w:rsid w:val="00C41654"/>
    <w:rsid w:val="00C47017"/>
    <w:rsid w:val="00C5004F"/>
    <w:rsid w:val="00C53335"/>
    <w:rsid w:val="00C53958"/>
    <w:rsid w:val="00C54110"/>
    <w:rsid w:val="00C77D08"/>
    <w:rsid w:val="00CB03ED"/>
    <w:rsid w:val="00CB2C3D"/>
    <w:rsid w:val="00CB33B2"/>
    <w:rsid w:val="00D33205"/>
    <w:rsid w:val="00D36714"/>
    <w:rsid w:val="00D46F94"/>
    <w:rsid w:val="00D54BF0"/>
    <w:rsid w:val="00D567CB"/>
    <w:rsid w:val="00D56CA7"/>
    <w:rsid w:val="00D63518"/>
    <w:rsid w:val="00DB1A02"/>
    <w:rsid w:val="00DB2E99"/>
    <w:rsid w:val="00DC1604"/>
    <w:rsid w:val="00E015C4"/>
    <w:rsid w:val="00E0432F"/>
    <w:rsid w:val="00E20D02"/>
    <w:rsid w:val="00E36573"/>
    <w:rsid w:val="00E44ED6"/>
    <w:rsid w:val="00E56F77"/>
    <w:rsid w:val="00E64DE7"/>
    <w:rsid w:val="00E73826"/>
    <w:rsid w:val="00E91350"/>
    <w:rsid w:val="00E94C80"/>
    <w:rsid w:val="00E9713D"/>
    <w:rsid w:val="00EA11B6"/>
    <w:rsid w:val="00EC2E35"/>
    <w:rsid w:val="00EC68C0"/>
    <w:rsid w:val="00EF5EB5"/>
    <w:rsid w:val="00F00D4F"/>
    <w:rsid w:val="00F10A94"/>
    <w:rsid w:val="00F11F5E"/>
    <w:rsid w:val="00F33364"/>
    <w:rsid w:val="00F361E3"/>
    <w:rsid w:val="00F36253"/>
    <w:rsid w:val="00F5175C"/>
    <w:rsid w:val="00F62560"/>
    <w:rsid w:val="00FA48A7"/>
    <w:rsid w:val="00FB4CF2"/>
    <w:rsid w:val="0CC25B7D"/>
    <w:rsid w:val="1EE640EA"/>
    <w:rsid w:val="3CD95914"/>
    <w:rsid w:val="76FE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BBF13"/>
  <w15:docId w15:val="{5BDA82F0-9DBA-44F2-9806-2A8CDB83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 w:after="120" w:line="360" w:lineRule="auto"/>
      <w:ind w:firstLineChars="200" w:firstLine="200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qFormat/>
    <w:pPr>
      <w:widowControl/>
      <w:adjustRightInd w:val="0"/>
      <w:spacing w:line="560" w:lineRule="exact"/>
      <w:ind w:firstLineChars="200" w:firstLine="200"/>
      <w:textAlignment w:val="baseline"/>
    </w:pPr>
    <w:rPr>
      <w:rFonts w:ascii="宋体" w:eastAsia="宋体" w:hAnsi="宋体" w:cs="Times New Roman"/>
      <w:kern w:val="0"/>
      <w:sz w:val="28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a4">
    <w:name w:val="正文缩进 字符"/>
    <w:link w:val="a3"/>
    <w:qFormat/>
    <w:rPr>
      <w:rFonts w:ascii="宋体" w:eastAsia="宋体" w:hAnsi="宋体" w:cs="Times New Roman"/>
      <w:kern w:val="0"/>
      <w:sz w:val="28"/>
      <w:szCs w:val="20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/>
      <w:bCs/>
      <w:kern w:val="44"/>
      <w:sz w:val="32"/>
      <w:szCs w:val="44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50">
    <w:name w:val="标题 5 字符"/>
    <w:basedOn w:val="a0"/>
    <w:link w:val="5"/>
    <w:uiPriority w:val="9"/>
    <w:semiHidden/>
    <w:qFormat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005</cp:lastModifiedBy>
  <cp:revision>37</cp:revision>
  <dcterms:created xsi:type="dcterms:W3CDTF">2024-08-22T01:48:00Z</dcterms:created>
  <dcterms:modified xsi:type="dcterms:W3CDTF">2025-03-18T03:07:00Z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F4CA64DFC3C34796990676489794DC59_12</vt:lpwstr>
  </property>
</Properties>
</file>