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pacing w:val="0"/>
          <w:kern w:val="0"/>
          <w:sz w:val="44"/>
          <w:szCs w:val="44"/>
          <w:u w:val="none"/>
          <w:lang w:val="en-US" w:eastAsia="zh-CN" w:bidi="ar-SA"/>
        </w:rPr>
      </w:pPr>
      <w:r>
        <w:rPr>
          <w:rFonts w:hint="eastAsia" w:ascii="Times New Roman" w:hAnsi="Times New Roman" w:eastAsia="方正小标宋简体" w:cs="Times New Roman"/>
          <w:color w:val="auto"/>
          <w:spacing w:val="0"/>
          <w:kern w:val="0"/>
          <w:sz w:val="44"/>
          <w:szCs w:val="44"/>
          <w:u w:val="none"/>
          <w:lang w:val="en-US" w:eastAsia="zh-CN" w:bidi="ar-SA"/>
        </w:rPr>
        <w:t>关于《</w:t>
      </w:r>
      <w:bookmarkStart w:id="0" w:name="_Toc250312669"/>
      <w:bookmarkStart w:id="1" w:name="_Toc1211048757"/>
      <w:bookmarkStart w:id="2" w:name="_Toc676649917"/>
      <w:bookmarkStart w:id="3" w:name="_Toc1304947693"/>
      <w:bookmarkStart w:id="4" w:name="_Toc1260327292"/>
      <w:bookmarkStart w:id="5" w:name="_Toc91917622"/>
      <w:bookmarkStart w:id="6" w:name="_Toc432517702"/>
      <w:r>
        <w:rPr>
          <w:rFonts w:hint="eastAsia" w:ascii="Times New Roman" w:hAnsi="Times New Roman" w:eastAsia="方正小标宋简体" w:cs="Times New Roman"/>
          <w:color w:val="auto"/>
          <w:spacing w:val="0"/>
          <w:kern w:val="0"/>
          <w:sz w:val="44"/>
          <w:szCs w:val="44"/>
          <w:u w:val="none"/>
          <w:lang w:val="en-US" w:eastAsia="zh-CN" w:bidi="ar-SA"/>
        </w:rPr>
        <w:t>岫岩县电动汽车</w:t>
      </w:r>
      <w:r>
        <w:rPr>
          <w:rFonts w:hint="eastAsia" w:ascii="Times New Roman" w:hAnsi="Times New Roman" w:eastAsia="方正小标宋简体" w:cs="Times New Roman"/>
          <w:color w:val="auto"/>
          <w:spacing w:val="0"/>
          <w:kern w:val="0"/>
          <w:sz w:val="44"/>
          <w:szCs w:val="44"/>
          <w:u w:val="none"/>
          <w:lang w:val="en-US" w:eastAsia="zh-Hans" w:bidi="ar-SA"/>
        </w:rPr>
        <w:t>公共</w:t>
      </w:r>
      <w:r>
        <w:rPr>
          <w:rFonts w:hint="eastAsia" w:ascii="Times New Roman" w:hAnsi="Times New Roman" w:eastAsia="方正小标宋简体" w:cs="Times New Roman"/>
          <w:color w:val="auto"/>
          <w:spacing w:val="0"/>
          <w:kern w:val="0"/>
          <w:sz w:val="44"/>
          <w:szCs w:val="44"/>
          <w:u w:val="none"/>
          <w:lang w:val="en-US" w:eastAsia="zh-CN" w:bidi="ar-SA"/>
        </w:rPr>
        <w:t>充电设施</w:t>
      </w:r>
      <w:bookmarkEnd w:id="0"/>
      <w:bookmarkEnd w:id="1"/>
      <w:bookmarkEnd w:id="2"/>
      <w:bookmarkEnd w:id="3"/>
      <w:bookmarkEnd w:id="4"/>
      <w:bookmarkEnd w:id="5"/>
      <w:bookmarkStart w:id="7" w:name="_Toc1529244154"/>
      <w:bookmarkStart w:id="8" w:name="_Toc5389440"/>
      <w:bookmarkStart w:id="9" w:name="_Toc818730761"/>
      <w:bookmarkStart w:id="10" w:name="_Toc1689586283"/>
      <w:bookmarkStart w:id="11" w:name="_Toc246452633"/>
      <w:bookmarkStart w:id="12" w:name="_Toc84563410"/>
      <w:r>
        <w:rPr>
          <w:rFonts w:hint="eastAsia" w:ascii="Times New Roman" w:hAnsi="Times New Roman" w:eastAsia="方正小标宋简体" w:cs="Times New Roman"/>
          <w:color w:val="auto"/>
          <w:spacing w:val="0"/>
          <w:kern w:val="0"/>
          <w:sz w:val="44"/>
          <w:szCs w:val="44"/>
          <w:u w:val="none"/>
          <w:lang w:val="en-US" w:eastAsia="zh-CN" w:bidi="ar-SA"/>
        </w:rPr>
        <w:t>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pacing w:val="0"/>
          <w:kern w:val="0"/>
          <w:sz w:val="44"/>
          <w:szCs w:val="44"/>
          <w:u w:val="none"/>
          <w:lang w:val="en-US" w:eastAsia="zh-CN" w:bidi="ar-SA"/>
        </w:rPr>
      </w:pPr>
      <w:r>
        <w:rPr>
          <w:rFonts w:hint="eastAsia" w:ascii="Times New Roman" w:hAnsi="Times New Roman" w:eastAsia="方正小标宋简体" w:cs="Times New Roman"/>
          <w:color w:val="auto"/>
          <w:spacing w:val="0"/>
          <w:kern w:val="0"/>
          <w:sz w:val="44"/>
          <w:szCs w:val="44"/>
          <w:u w:val="none"/>
          <w:lang w:val="en-US" w:eastAsia="zh-CN" w:bidi="ar-SA"/>
        </w:rPr>
        <w:t>规划</w:t>
      </w:r>
      <w:bookmarkEnd w:id="6"/>
      <w:bookmarkEnd w:id="7"/>
      <w:bookmarkEnd w:id="8"/>
      <w:bookmarkEnd w:id="9"/>
      <w:bookmarkEnd w:id="10"/>
      <w:bookmarkEnd w:id="11"/>
      <w:bookmarkEnd w:id="12"/>
      <w:r>
        <w:rPr>
          <w:rFonts w:hint="eastAsia" w:ascii="Times New Roman" w:hAnsi="Times New Roman" w:eastAsia="方正小标宋简体" w:cs="Times New Roman"/>
          <w:color w:val="auto"/>
          <w:spacing w:val="0"/>
          <w:kern w:val="0"/>
          <w:sz w:val="44"/>
          <w:szCs w:val="44"/>
          <w:u w:val="none"/>
          <w:lang w:val="en-US" w:eastAsia="zh-CN" w:bidi="ar-SA"/>
        </w:rPr>
        <w:t>（2024-2028年）》解读</w:t>
      </w:r>
    </w:p>
    <w:p>
      <w:pPr>
        <w:pStyle w:val="4"/>
        <w:keepNext w:val="0"/>
        <w:keepLines w:val="0"/>
        <w:pageBreakBefore w:val="0"/>
        <w:widowControl w:val="0"/>
        <w:kinsoku/>
        <w:wordWrap/>
        <w:overflowPunct/>
        <w:topLinePunct w:val="0"/>
        <w:bidi w:val="0"/>
        <w:adjustRightInd/>
        <w:snapToGrid/>
        <w:spacing w:line="580" w:lineRule="exact"/>
        <w:ind w:left="0" w:leftChars="0" w:firstLine="680" w:firstLineChars="200"/>
        <w:textAlignment w:val="auto"/>
        <w:rPr>
          <w:rFonts w:hint="eastAsia" w:ascii="Times New Roman" w:hAnsi="Times New Roman" w:eastAsia="仿宋_GB2312" w:cs="Times New Roman"/>
          <w:spacing w:val="0"/>
          <w:kern w:val="2"/>
          <w:sz w:val="34"/>
          <w:szCs w:val="34"/>
          <w:highlight w:val="none"/>
          <w:lang w:val="en-US" w:eastAsia="zh-CN" w:bidi="ar-SA"/>
        </w:rPr>
      </w:pPr>
    </w:p>
    <w:p>
      <w:pPr>
        <w:pStyle w:val="4"/>
        <w:keepNext w:val="0"/>
        <w:keepLines w:val="0"/>
        <w:pageBreakBefore w:val="0"/>
        <w:widowControl w:val="0"/>
        <w:kinsoku/>
        <w:wordWrap/>
        <w:overflowPunct/>
        <w:topLinePunct w:val="0"/>
        <w:bidi w:val="0"/>
        <w:adjustRightInd/>
        <w:snapToGrid/>
        <w:spacing w:line="580" w:lineRule="exact"/>
        <w:ind w:left="0" w:leftChars="0" w:firstLine="680" w:firstLineChars="200"/>
        <w:textAlignment w:val="auto"/>
        <w:rPr>
          <w:rFonts w:hint="eastAsia" w:ascii="黑体" w:hAnsi="黑体" w:eastAsia="黑体" w:cs="黑体"/>
          <w:spacing w:val="0"/>
          <w:kern w:val="2"/>
          <w:sz w:val="34"/>
          <w:szCs w:val="34"/>
          <w:highlight w:val="none"/>
          <w:lang w:val="en-US" w:eastAsia="zh-CN" w:bidi="ar-SA"/>
        </w:rPr>
      </w:pPr>
      <w:r>
        <w:rPr>
          <w:rFonts w:hint="eastAsia" w:ascii="黑体" w:hAnsi="黑体" w:eastAsia="黑体" w:cs="黑体"/>
          <w:spacing w:val="0"/>
          <w:kern w:val="2"/>
          <w:sz w:val="34"/>
          <w:szCs w:val="34"/>
          <w:highlight w:val="none"/>
          <w:lang w:val="en-US" w:eastAsia="zh-CN" w:bidi="ar-SA"/>
        </w:rPr>
        <w:t>一、编制背景</w:t>
      </w:r>
    </w:p>
    <w:p>
      <w:pPr>
        <w:pStyle w:val="4"/>
        <w:keepNext w:val="0"/>
        <w:keepLines w:val="0"/>
        <w:pageBreakBefore w:val="0"/>
        <w:widowControl w:val="0"/>
        <w:numPr>
          <w:ilvl w:val="0"/>
          <w:numId w:val="0"/>
        </w:numPr>
        <w:kinsoku/>
        <w:wordWrap/>
        <w:overflowPunct/>
        <w:topLinePunct w:val="0"/>
        <w:bidi w:val="0"/>
        <w:adjustRightInd/>
        <w:snapToGrid/>
        <w:spacing w:line="580" w:lineRule="exact"/>
        <w:ind w:firstLine="680" w:firstLineChars="200"/>
        <w:jc w:val="both"/>
        <w:textAlignment w:val="auto"/>
        <w:rPr>
          <w:rFonts w:hint="eastAsia"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spacing w:val="0"/>
          <w:kern w:val="2"/>
          <w:sz w:val="34"/>
          <w:szCs w:val="34"/>
          <w:highlight w:val="none"/>
          <w:lang w:val="en-US" w:eastAsia="zh-CN" w:bidi="ar-SA"/>
        </w:rPr>
        <w:t>十四五以来，国家将电动汽车充电桩建设列入“新基建”工程名单，电动汽车充电桩建设迎来进一步的发展机遇。电动汽车充电设施的建设及布局对推动电动汽车的发展起着重要作用。科学合理地确定充电站的位置及规模，不仅影响着充电站的服务质量、运营效益以及运营安全性，还将直接关系到电动汽车用户出行的便捷性和资源配置的有效性。电动汽车充电站的选址及充电设施同电网协调发展已成为当前普遍关注的重点及热点问题。为贯彻落实国务院办公厅《新能源汽车产业发展规划（2021-2035年）》、省发改委《辽宁省“十四五”电动汽车充电基础设施专项规划》等文件精神，促进岫岩县电动汽车充电设施稳定快速发展，特编制本次《岫岩县电动汽车充电设施布局规划（2024-2028）》。</w:t>
      </w:r>
    </w:p>
    <w:p>
      <w:pPr>
        <w:pStyle w:val="4"/>
        <w:keepNext w:val="0"/>
        <w:keepLines w:val="0"/>
        <w:pageBreakBefore w:val="0"/>
        <w:widowControl w:val="0"/>
        <w:numPr>
          <w:ilvl w:val="0"/>
          <w:numId w:val="0"/>
        </w:numPr>
        <w:kinsoku/>
        <w:wordWrap/>
        <w:overflowPunct/>
        <w:topLinePunct w:val="0"/>
        <w:bidi w:val="0"/>
        <w:adjustRightInd/>
        <w:snapToGrid/>
        <w:spacing w:line="580" w:lineRule="exact"/>
        <w:ind w:firstLine="680" w:firstLineChars="200"/>
        <w:textAlignment w:val="auto"/>
        <w:rPr>
          <w:rFonts w:hint="eastAsia" w:ascii="黑体" w:hAnsi="黑体" w:eastAsia="黑体" w:cs="黑体"/>
          <w:spacing w:val="0"/>
          <w:kern w:val="2"/>
          <w:sz w:val="34"/>
          <w:szCs w:val="34"/>
          <w:highlight w:val="none"/>
          <w:lang w:val="en-US" w:eastAsia="zh-CN" w:bidi="ar-SA"/>
        </w:rPr>
      </w:pPr>
      <w:r>
        <w:rPr>
          <w:rFonts w:hint="eastAsia" w:ascii="黑体" w:hAnsi="黑体" w:eastAsia="黑体" w:cs="黑体"/>
          <w:spacing w:val="0"/>
          <w:kern w:val="2"/>
          <w:sz w:val="34"/>
          <w:szCs w:val="34"/>
          <w:highlight w:val="none"/>
          <w:lang w:val="en-US" w:eastAsia="zh-CN" w:bidi="ar-SA"/>
        </w:rPr>
        <w:t>二、主要内容</w:t>
      </w:r>
    </w:p>
    <w:p>
      <w:pPr>
        <w:pStyle w:val="4"/>
        <w:keepNext w:val="0"/>
        <w:keepLines w:val="0"/>
        <w:pageBreakBefore w:val="0"/>
        <w:widowControl w:val="0"/>
        <w:kinsoku/>
        <w:wordWrap/>
        <w:overflowPunct/>
        <w:topLinePunct w:val="0"/>
        <w:bidi w:val="0"/>
        <w:adjustRightInd/>
        <w:snapToGrid/>
        <w:spacing w:line="580" w:lineRule="exact"/>
        <w:jc w:val="both"/>
        <w:textAlignment w:val="auto"/>
        <w:rPr>
          <w:rFonts w:hint="eastAsia"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spacing w:val="0"/>
          <w:kern w:val="2"/>
          <w:sz w:val="34"/>
          <w:szCs w:val="34"/>
          <w:highlight w:val="none"/>
          <w:lang w:val="en-US" w:eastAsia="zh-CN" w:bidi="ar-SA"/>
        </w:rPr>
        <w:t>《岫岩县电动汽车公共充电设施布局规划（2024-2028）》共分为总则、总体要求、相关研究、发展现状、需求预测、电动汽车充电基础设施规划布局、重点任务、建设投资规模及实施效果、环境影响初步评价、保障措施共十个章节。</w:t>
      </w:r>
    </w:p>
    <w:p>
      <w:pPr>
        <w:keepNext w:val="0"/>
        <w:keepLines w:val="0"/>
        <w:pageBreakBefore w:val="0"/>
        <w:widowControl w:val="0"/>
        <w:kinsoku/>
        <w:wordWrap/>
        <w:overflowPunct/>
        <w:topLinePunct w:val="0"/>
        <w:bidi w:val="0"/>
        <w:adjustRightInd/>
        <w:snapToGrid/>
        <w:spacing w:line="580" w:lineRule="exact"/>
        <w:ind w:firstLine="683" w:firstLineChars="200"/>
        <w:textAlignment w:val="auto"/>
        <w:rPr>
          <w:rFonts w:hint="default"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第一章“总则”，</w:t>
      </w:r>
      <w:r>
        <w:rPr>
          <w:rFonts w:hint="eastAsia" w:ascii="Times New Roman" w:hAnsi="Times New Roman" w:eastAsia="仿宋_GB2312" w:cs="Times New Roman"/>
          <w:spacing w:val="0"/>
          <w:kern w:val="2"/>
          <w:sz w:val="34"/>
          <w:szCs w:val="34"/>
          <w:highlight w:val="none"/>
          <w:lang w:val="en-US" w:eastAsia="zh-CN" w:bidi="ar-SA"/>
        </w:rPr>
        <w:t>介绍了规划背景、依据及标准规范、范围及年限、规划对象、主要内容等。</w:t>
      </w:r>
    </w:p>
    <w:p>
      <w:pPr>
        <w:keepNext w:val="0"/>
        <w:keepLines w:val="0"/>
        <w:pageBreakBefore w:val="0"/>
        <w:widowControl w:val="0"/>
        <w:kinsoku/>
        <w:wordWrap/>
        <w:overflowPunct/>
        <w:topLinePunct w:val="0"/>
        <w:bidi w:val="0"/>
        <w:adjustRightInd/>
        <w:snapToGrid/>
        <w:spacing w:line="580" w:lineRule="exact"/>
        <w:ind w:firstLine="683" w:firstLineChars="200"/>
        <w:textAlignment w:val="auto"/>
        <w:rPr>
          <w:rFonts w:hint="default"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第二章“总体要求”</w:t>
      </w:r>
      <w:r>
        <w:rPr>
          <w:rFonts w:hint="eastAsia" w:ascii="Times New Roman" w:hAnsi="Times New Roman" w:eastAsia="仿宋_GB2312" w:cs="Times New Roman"/>
          <w:spacing w:val="0"/>
          <w:kern w:val="2"/>
          <w:sz w:val="34"/>
          <w:szCs w:val="34"/>
          <w:highlight w:val="none"/>
          <w:lang w:val="en-US" w:eastAsia="zh-CN" w:bidi="ar-SA"/>
        </w:rPr>
        <w:t>，明确了规划指导思想、规划思路、基本原则等内容。</w:t>
      </w:r>
    </w:p>
    <w:p>
      <w:pPr>
        <w:pStyle w:val="4"/>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第三章“相关研究”，</w:t>
      </w:r>
      <w:r>
        <w:rPr>
          <w:rFonts w:hint="eastAsia" w:ascii="Times New Roman" w:hAnsi="Times New Roman" w:eastAsia="仿宋_GB2312" w:cs="Times New Roman"/>
          <w:spacing w:val="0"/>
          <w:kern w:val="2"/>
          <w:sz w:val="34"/>
          <w:szCs w:val="34"/>
          <w:highlight w:val="none"/>
          <w:lang w:val="en-US" w:eastAsia="zh-CN" w:bidi="ar-SA"/>
        </w:rPr>
        <w:t>对相关概念进行了解析，列举了相关案例。</w:t>
      </w:r>
    </w:p>
    <w:p>
      <w:pPr>
        <w:pStyle w:val="4"/>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第四章“发展现状”，</w:t>
      </w:r>
      <w:r>
        <w:rPr>
          <w:rFonts w:hint="eastAsia" w:ascii="Times New Roman" w:hAnsi="Times New Roman" w:eastAsia="仿宋_GB2312" w:cs="Times New Roman"/>
          <w:spacing w:val="0"/>
          <w:kern w:val="2"/>
          <w:sz w:val="34"/>
          <w:szCs w:val="34"/>
          <w:highlight w:val="none"/>
          <w:lang w:val="en-US" w:eastAsia="zh-CN" w:bidi="ar-SA"/>
        </w:rPr>
        <w:t>介绍了充电设施建设的政策环境现状、岫岩总体概况、停车位现状等内容。</w:t>
      </w:r>
    </w:p>
    <w:p>
      <w:pPr>
        <w:pStyle w:val="4"/>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第五章“需求预测”，</w:t>
      </w:r>
      <w:r>
        <w:rPr>
          <w:rFonts w:hint="eastAsia" w:ascii="Times New Roman" w:hAnsi="Times New Roman" w:eastAsia="仿宋_GB2312" w:cs="Times New Roman"/>
          <w:spacing w:val="0"/>
          <w:kern w:val="2"/>
          <w:sz w:val="34"/>
          <w:szCs w:val="34"/>
          <w:highlight w:val="none"/>
          <w:lang w:val="en-US" w:eastAsia="zh-CN" w:bidi="ar-SA"/>
        </w:rPr>
        <w:t>对我县汽车保有量、电动汽车保有量、</w:t>
      </w:r>
      <w:bookmarkStart w:id="13" w:name="_GoBack"/>
      <w:bookmarkEnd w:id="13"/>
      <w:r>
        <w:rPr>
          <w:rFonts w:hint="eastAsia" w:ascii="Times New Roman" w:hAnsi="Times New Roman" w:eastAsia="仿宋_GB2312" w:cs="Times New Roman"/>
          <w:spacing w:val="0"/>
          <w:kern w:val="2"/>
          <w:sz w:val="34"/>
          <w:szCs w:val="34"/>
          <w:highlight w:val="none"/>
          <w:lang w:val="en-US" w:eastAsia="zh-CN" w:bidi="ar-SA"/>
        </w:rPr>
        <w:t>电动汽车充电基础设施需求进行了预测。</w:t>
      </w:r>
    </w:p>
    <w:p>
      <w:pPr>
        <w:pStyle w:val="4"/>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第六章“电动汽车充电基础设施规划布局”，</w:t>
      </w:r>
      <w:r>
        <w:rPr>
          <w:rFonts w:hint="eastAsia" w:ascii="Times New Roman" w:hAnsi="Times New Roman" w:cs="Times New Roman"/>
          <w:b w:val="0"/>
          <w:bCs w:val="0"/>
          <w:spacing w:val="0"/>
          <w:kern w:val="2"/>
          <w:sz w:val="34"/>
          <w:szCs w:val="34"/>
          <w:highlight w:val="none"/>
          <w:lang w:val="en-US" w:eastAsia="zh-CN" w:bidi="ar-SA"/>
        </w:rPr>
        <w:t>分为</w:t>
      </w:r>
      <w:r>
        <w:rPr>
          <w:rFonts w:hint="eastAsia" w:ascii="Times New Roman" w:hAnsi="Times New Roman" w:eastAsia="仿宋_GB2312" w:cs="Times New Roman"/>
          <w:spacing w:val="0"/>
          <w:kern w:val="2"/>
          <w:sz w:val="34"/>
          <w:szCs w:val="34"/>
          <w:highlight w:val="none"/>
          <w:lang w:val="en-US" w:eastAsia="zh-CN" w:bidi="ar-SA"/>
        </w:rPr>
        <w:t>城市公共充电桩与充电站规划布局规划原则、充电基础设施配建要求、充电基础设施布局方案</w:t>
      </w:r>
      <w:r>
        <w:rPr>
          <w:rFonts w:hint="eastAsia" w:ascii="Times New Roman" w:hAnsi="Times New Roman" w:cs="Times New Roman"/>
          <w:spacing w:val="0"/>
          <w:kern w:val="2"/>
          <w:sz w:val="34"/>
          <w:szCs w:val="34"/>
          <w:highlight w:val="none"/>
          <w:lang w:val="en-US" w:eastAsia="zh-CN" w:bidi="ar-SA"/>
        </w:rPr>
        <w:t>。</w:t>
      </w:r>
    </w:p>
    <w:p>
      <w:pPr>
        <w:pStyle w:val="4"/>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第七章“重点任务”，</w:t>
      </w:r>
      <w:r>
        <w:rPr>
          <w:rFonts w:hint="eastAsia" w:ascii="Times New Roman" w:hAnsi="Times New Roman" w:cs="Times New Roman"/>
          <w:b w:val="0"/>
          <w:bCs w:val="0"/>
          <w:spacing w:val="0"/>
          <w:kern w:val="2"/>
          <w:sz w:val="34"/>
          <w:szCs w:val="34"/>
          <w:highlight w:val="none"/>
          <w:lang w:val="en-US" w:eastAsia="zh-CN" w:bidi="ar-SA"/>
        </w:rPr>
        <w:t>分为</w:t>
      </w:r>
      <w:r>
        <w:rPr>
          <w:rFonts w:hint="eastAsia" w:ascii="Times New Roman" w:hAnsi="Times New Roman" w:eastAsia="仿宋_GB2312" w:cs="Times New Roman"/>
          <w:spacing w:val="0"/>
          <w:kern w:val="2"/>
          <w:sz w:val="34"/>
          <w:szCs w:val="34"/>
          <w:highlight w:val="none"/>
          <w:lang w:val="en-US" w:eastAsia="zh-CN" w:bidi="ar-SA"/>
        </w:rPr>
        <w:t>全面推进充电基础设施网络布局和建设、新技术推广示范、加强配套电网保障能力</w:t>
      </w:r>
      <w:r>
        <w:rPr>
          <w:rFonts w:hint="eastAsia" w:ascii="Times New Roman" w:hAnsi="Times New Roman" w:cs="Times New Roman"/>
          <w:spacing w:val="0"/>
          <w:kern w:val="2"/>
          <w:sz w:val="34"/>
          <w:szCs w:val="34"/>
          <w:highlight w:val="none"/>
          <w:lang w:val="en-US" w:eastAsia="zh-CN" w:bidi="ar-SA"/>
        </w:rPr>
        <w:t>等。</w:t>
      </w:r>
    </w:p>
    <w:p>
      <w:pPr>
        <w:pStyle w:val="4"/>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第八章“建设投资规模及实施效果”，</w:t>
      </w:r>
      <w:r>
        <w:rPr>
          <w:rFonts w:hint="eastAsia" w:ascii="Times New Roman" w:hAnsi="Times New Roman" w:cs="Times New Roman"/>
          <w:b w:val="0"/>
          <w:bCs w:val="0"/>
          <w:spacing w:val="0"/>
          <w:kern w:val="2"/>
          <w:sz w:val="34"/>
          <w:szCs w:val="34"/>
          <w:highlight w:val="none"/>
          <w:lang w:val="en-US" w:eastAsia="zh-CN" w:bidi="ar-SA"/>
        </w:rPr>
        <w:t>分为</w:t>
      </w:r>
      <w:r>
        <w:rPr>
          <w:rFonts w:hint="eastAsia" w:ascii="Times New Roman" w:hAnsi="Times New Roman" w:eastAsia="仿宋_GB2312" w:cs="Times New Roman"/>
          <w:spacing w:val="0"/>
          <w:kern w:val="2"/>
          <w:sz w:val="34"/>
          <w:szCs w:val="34"/>
          <w:highlight w:val="none"/>
          <w:lang w:val="en-US" w:eastAsia="zh-CN" w:bidi="ar-SA"/>
        </w:rPr>
        <w:t>建设规模、投资估算、成效评估</w:t>
      </w:r>
      <w:r>
        <w:rPr>
          <w:rFonts w:hint="eastAsia" w:ascii="Times New Roman" w:hAnsi="Times New Roman" w:cs="Times New Roman"/>
          <w:spacing w:val="0"/>
          <w:kern w:val="2"/>
          <w:sz w:val="34"/>
          <w:szCs w:val="34"/>
          <w:highlight w:val="none"/>
          <w:lang w:val="en-US" w:eastAsia="zh-CN" w:bidi="ar-SA"/>
        </w:rPr>
        <w:t>。</w:t>
      </w:r>
    </w:p>
    <w:p>
      <w:pPr>
        <w:pStyle w:val="4"/>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第九章“环境影响初步评价”，</w:t>
      </w:r>
      <w:r>
        <w:rPr>
          <w:rFonts w:hint="eastAsia" w:ascii="Times New Roman" w:hAnsi="Times New Roman" w:cs="Times New Roman"/>
          <w:b w:val="0"/>
          <w:bCs w:val="0"/>
          <w:spacing w:val="0"/>
          <w:kern w:val="2"/>
          <w:sz w:val="34"/>
          <w:szCs w:val="34"/>
          <w:highlight w:val="none"/>
          <w:lang w:val="en-US" w:eastAsia="zh-CN" w:bidi="ar-SA"/>
        </w:rPr>
        <w:t>对充电设施</w:t>
      </w:r>
      <w:r>
        <w:rPr>
          <w:rFonts w:hint="eastAsia" w:ascii="Times New Roman" w:hAnsi="Times New Roman" w:eastAsia="仿宋_GB2312" w:cs="Times New Roman"/>
          <w:b w:val="0"/>
          <w:bCs w:val="0"/>
          <w:spacing w:val="0"/>
          <w:kern w:val="2"/>
          <w:sz w:val="34"/>
          <w:szCs w:val="34"/>
          <w:highlight w:val="none"/>
          <w:lang w:val="en-US" w:eastAsia="zh-CN" w:bidi="ar-SA"/>
        </w:rPr>
        <w:t>建</w:t>
      </w:r>
      <w:r>
        <w:rPr>
          <w:rFonts w:hint="eastAsia" w:ascii="Times New Roman" w:hAnsi="Times New Roman" w:eastAsia="仿宋_GB2312" w:cs="Times New Roman"/>
          <w:spacing w:val="0"/>
          <w:kern w:val="2"/>
          <w:sz w:val="34"/>
          <w:szCs w:val="34"/>
          <w:highlight w:val="none"/>
          <w:lang w:val="en-US" w:eastAsia="zh-CN" w:bidi="ar-SA"/>
        </w:rPr>
        <w:t>设/运营阶段环境影响分、生态环境影响</w:t>
      </w:r>
      <w:r>
        <w:rPr>
          <w:rFonts w:hint="eastAsia" w:ascii="Times New Roman" w:hAnsi="Times New Roman" w:cs="Times New Roman"/>
          <w:spacing w:val="0"/>
          <w:kern w:val="2"/>
          <w:sz w:val="34"/>
          <w:szCs w:val="34"/>
          <w:highlight w:val="none"/>
          <w:lang w:val="en-US" w:eastAsia="zh-CN" w:bidi="ar-SA"/>
        </w:rPr>
        <w:t>进行</w:t>
      </w:r>
      <w:r>
        <w:rPr>
          <w:rFonts w:hint="eastAsia" w:ascii="Times New Roman" w:hAnsi="Times New Roman" w:eastAsia="仿宋_GB2312" w:cs="Times New Roman"/>
          <w:spacing w:val="0"/>
          <w:kern w:val="2"/>
          <w:sz w:val="34"/>
          <w:szCs w:val="34"/>
          <w:highlight w:val="none"/>
          <w:lang w:val="en-US" w:eastAsia="zh-CN" w:bidi="ar-SA"/>
        </w:rPr>
        <w:t>分析</w:t>
      </w:r>
      <w:r>
        <w:rPr>
          <w:rFonts w:hint="eastAsia" w:ascii="Times New Roman" w:hAnsi="Times New Roman" w:cs="Times New Roman"/>
          <w:spacing w:val="0"/>
          <w:kern w:val="2"/>
          <w:sz w:val="34"/>
          <w:szCs w:val="34"/>
          <w:highlight w:val="none"/>
          <w:lang w:val="en-US" w:eastAsia="zh-CN" w:bidi="ar-SA"/>
        </w:rPr>
        <w:t>。</w:t>
      </w:r>
    </w:p>
    <w:p>
      <w:pPr>
        <w:pStyle w:val="4"/>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仿宋_GB2312" w:cs="Times New Roman"/>
          <w:spacing w:val="0"/>
          <w:kern w:val="2"/>
          <w:sz w:val="34"/>
          <w:szCs w:val="34"/>
          <w:highlight w:val="none"/>
          <w:lang w:val="en-US" w:eastAsia="zh-CN" w:bidi="ar-SA"/>
        </w:rPr>
      </w:pPr>
      <w:r>
        <w:rPr>
          <w:rFonts w:hint="eastAsia" w:ascii="Times New Roman" w:hAnsi="Times New Roman" w:eastAsia="仿宋_GB2312" w:cs="Times New Roman"/>
          <w:b/>
          <w:bCs/>
          <w:spacing w:val="0"/>
          <w:kern w:val="2"/>
          <w:sz w:val="34"/>
          <w:szCs w:val="34"/>
          <w:highlight w:val="none"/>
          <w:lang w:val="en-US" w:eastAsia="zh-CN" w:bidi="ar-SA"/>
        </w:rPr>
        <w:t>第十章“保障措施”，</w:t>
      </w:r>
      <w:r>
        <w:rPr>
          <w:rFonts w:hint="eastAsia" w:ascii="Times New Roman" w:hAnsi="Times New Roman" w:cs="Times New Roman"/>
          <w:b w:val="0"/>
          <w:bCs w:val="0"/>
          <w:spacing w:val="0"/>
          <w:kern w:val="2"/>
          <w:sz w:val="34"/>
          <w:szCs w:val="34"/>
          <w:highlight w:val="none"/>
          <w:lang w:val="en-US" w:eastAsia="zh-CN" w:bidi="ar-SA"/>
        </w:rPr>
        <w:t>就</w:t>
      </w:r>
      <w:r>
        <w:rPr>
          <w:rFonts w:hint="eastAsia" w:ascii="Times New Roman" w:hAnsi="Times New Roman" w:eastAsia="仿宋_GB2312" w:cs="Times New Roman"/>
          <w:spacing w:val="0"/>
          <w:kern w:val="2"/>
          <w:sz w:val="34"/>
          <w:szCs w:val="34"/>
          <w:highlight w:val="none"/>
          <w:lang w:val="en-US" w:eastAsia="zh-CN" w:bidi="ar-SA"/>
        </w:rPr>
        <w:t>加强规划指导、保障土地供应、简化规划建设审批</w:t>
      </w:r>
      <w:r>
        <w:rPr>
          <w:rFonts w:hint="eastAsia" w:ascii="Times New Roman" w:hAnsi="Times New Roman" w:cs="Times New Roman"/>
          <w:spacing w:val="0"/>
          <w:kern w:val="2"/>
          <w:sz w:val="34"/>
          <w:szCs w:val="34"/>
          <w:highlight w:val="none"/>
          <w:lang w:val="en-US" w:eastAsia="zh-CN" w:bidi="ar-SA"/>
        </w:rPr>
        <w:t>等措施进行明确。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AC58E"/>
    <w:multiLevelType w:val="multilevel"/>
    <w:tmpl w:val="512AC58E"/>
    <w:lvl w:ilvl="0" w:tentative="0">
      <w:start w:val="1"/>
      <w:numFmt w:val="chineseCountingThousand"/>
      <w:pStyle w:val="2"/>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jY2N2MxMmNkMzlhY2IyZTJlMDgwNjllOGJlOTcifQ=="/>
  </w:docVars>
  <w:rsids>
    <w:rsidRoot w:val="00000000"/>
    <w:rsid w:val="245C64F2"/>
    <w:rsid w:val="25BD7D52"/>
    <w:rsid w:val="37695060"/>
    <w:rsid w:val="5CAC022B"/>
    <w:rsid w:val="755A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ind w:left="0" w:firstLineChars="0"/>
      <w:jc w:val="center"/>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Body Text First Indent"/>
    <w:basedOn w:val="3"/>
    <w:qFormat/>
    <w:uiPriority w:val="99"/>
    <w:pPr>
      <w:autoSpaceDE w:val="0"/>
      <w:autoSpaceDN w:val="0"/>
      <w:ind w:firstLine="632"/>
      <w:jc w:val="left"/>
    </w:pPr>
    <w:rPr>
      <w:rFonts w:ascii="仿宋_GB2312"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863</Words>
  <Characters>895</Characters>
  <Lines>0</Lines>
  <Paragraphs>0</Paragraphs>
  <TotalTime>12</TotalTime>
  <ScaleCrop>false</ScaleCrop>
  <LinksUpToDate>false</LinksUpToDate>
  <CharactersWithSpaces>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2024-07-22T06:54:00Z</dcterms:created>
  <dc:creator>Administrator</dc:creator>
  <cp:lastModifiedBy>老头</cp:lastModifiedBy>
  <dcterms:modified xsi:type="dcterms:W3CDTF">2024-07-23T05:34:52Z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6F412FDD38A34AF18407C0328AAB0E12_13</vt:lpwstr>
  </property>
</Properties>
</file>