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spacing w:before="0" w:after="0"/>
        <w:ind w:firstLine="562"/>
        <w:outlineLvl w:val="9"/>
        <w:rPr>
          <w:rFonts w:ascii="仿宋" w:hAnsi="仿宋"/>
          <w:sz w:val="28"/>
        </w:rPr>
      </w:pPr>
    </w:p>
    <w:p>
      <w:pPr>
        <w:ind w:firstLine="560"/>
        <w:rPr>
          <w:rFonts w:ascii="仿宋" w:hAnsi="仿宋"/>
        </w:rPr>
      </w:pPr>
    </w:p>
    <w:p>
      <w:pPr>
        <w:ind w:firstLine="720"/>
        <w:rPr>
          <w:rFonts w:ascii="仿宋" w:hAnsi="仿宋"/>
          <w:sz w:val="36"/>
          <w:szCs w:val="28"/>
        </w:rPr>
      </w:pPr>
    </w:p>
    <w:p>
      <w:pPr>
        <w:pStyle w:val="12"/>
        <w:ind w:firstLine="600"/>
      </w:pPr>
    </w:p>
    <w:p>
      <w:pPr>
        <w:ind w:firstLine="0" w:firstLineChars="0"/>
        <w:jc w:val="center"/>
        <w:rPr>
          <w:rFonts w:ascii="黑体" w:hAnsi="黑体" w:eastAsia="黑体" w:cs="黑体"/>
          <w:b/>
          <w:bCs/>
          <w:sz w:val="44"/>
          <w:szCs w:val="48"/>
        </w:rPr>
      </w:pPr>
      <w:bookmarkStart w:id="0" w:name="_Toc91917622"/>
      <w:bookmarkStart w:id="1" w:name="_Toc250312669"/>
      <w:bookmarkStart w:id="2" w:name="_Toc1260327292"/>
      <w:bookmarkStart w:id="3" w:name="_Toc1304947693"/>
      <w:bookmarkStart w:id="4" w:name="_Toc676649917"/>
      <w:bookmarkStart w:id="5" w:name="_Toc1211048757"/>
      <w:bookmarkStart w:id="6" w:name="_Toc432517702"/>
      <w:r>
        <w:rPr>
          <w:rFonts w:hint="eastAsia" w:ascii="黑体" w:hAnsi="黑体" w:eastAsia="黑体" w:cs="黑体"/>
          <w:b/>
          <w:bCs/>
          <w:sz w:val="44"/>
          <w:szCs w:val="48"/>
        </w:rPr>
        <w:t>岫岩县电动汽车</w:t>
      </w:r>
      <w:r>
        <w:rPr>
          <w:rFonts w:hint="eastAsia" w:ascii="黑体" w:hAnsi="黑体" w:eastAsia="黑体" w:cs="黑体"/>
          <w:b/>
          <w:bCs/>
          <w:sz w:val="44"/>
          <w:szCs w:val="48"/>
          <w:lang w:eastAsia="zh-Hans"/>
        </w:rPr>
        <w:t>公共</w:t>
      </w:r>
      <w:r>
        <w:rPr>
          <w:rFonts w:hint="eastAsia" w:ascii="黑体" w:hAnsi="黑体" w:eastAsia="黑体" w:cs="黑体"/>
          <w:b/>
          <w:bCs/>
          <w:sz w:val="44"/>
          <w:szCs w:val="48"/>
        </w:rPr>
        <w:t>充电设施</w:t>
      </w:r>
      <w:bookmarkEnd w:id="0"/>
      <w:bookmarkEnd w:id="1"/>
      <w:bookmarkEnd w:id="2"/>
      <w:bookmarkEnd w:id="3"/>
      <w:bookmarkEnd w:id="4"/>
      <w:bookmarkEnd w:id="5"/>
      <w:bookmarkStart w:id="7" w:name="_Toc5389440"/>
      <w:bookmarkStart w:id="8" w:name="_Toc1689586283"/>
      <w:bookmarkStart w:id="9" w:name="_Toc1529244154"/>
      <w:bookmarkStart w:id="10" w:name="_Toc246452633"/>
      <w:bookmarkStart w:id="11" w:name="_Toc84563410"/>
      <w:bookmarkStart w:id="12" w:name="_Toc818730761"/>
      <w:r>
        <w:rPr>
          <w:rFonts w:hint="eastAsia" w:ascii="黑体" w:hAnsi="黑体" w:eastAsia="黑体" w:cs="黑体"/>
          <w:b/>
          <w:bCs/>
          <w:sz w:val="44"/>
          <w:szCs w:val="48"/>
        </w:rPr>
        <w:t>布局规划</w:t>
      </w:r>
      <w:bookmarkEnd w:id="6"/>
      <w:bookmarkEnd w:id="7"/>
      <w:bookmarkEnd w:id="8"/>
      <w:bookmarkEnd w:id="9"/>
      <w:bookmarkEnd w:id="10"/>
      <w:bookmarkEnd w:id="11"/>
      <w:bookmarkEnd w:id="12"/>
    </w:p>
    <w:p>
      <w:pPr>
        <w:ind w:firstLine="0" w:firstLineChars="0"/>
        <w:jc w:val="center"/>
        <w:rPr>
          <w:rFonts w:hint="eastAsia" w:ascii="黑体" w:hAnsi="黑体" w:eastAsia="黑体" w:cs="黑体"/>
          <w:b/>
          <w:bCs/>
          <w:sz w:val="44"/>
          <w:szCs w:val="48"/>
          <w:lang w:eastAsia="zh-CN"/>
        </w:rPr>
      </w:pPr>
      <w:r>
        <w:rPr>
          <w:rFonts w:hint="eastAsia" w:ascii="黑体" w:hAnsi="黑体" w:eastAsia="黑体" w:cs="黑体"/>
          <w:b/>
          <w:bCs/>
          <w:sz w:val="44"/>
          <w:szCs w:val="48"/>
          <w:lang w:eastAsia="zh-CN"/>
        </w:rPr>
        <w:t>（</w:t>
      </w:r>
      <w:r>
        <w:rPr>
          <w:rFonts w:hint="eastAsia" w:ascii="黑体" w:hAnsi="黑体" w:eastAsia="黑体" w:cs="黑体"/>
          <w:b/>
          <w:bCs/>
          <w:sz w:val="44"/>
          <w:szCs w:val="48"/>
          <w:lang w:val="en-US" w:eastAsia="zh-CN"/>
        </w:rPr>
        <w:t>2024-2028年</w:t>
      </w:r>
      <w:r>
        <w:rPr>
          <w:rFonts w:hint="eastAsia" w:ascii="黑体" w:hAnsi="黑体" w:eastAsia="黑体" w:cs="黑体"/>
          <w:b/>
          <w:bCs/>
          <w:sz w:val="44"/>
          <w:szCs w:val="48"/>
          <w:lang w:eastAsia="zh-CN"/>
        </w:rPr>
        <w:t>）</w:t>
      </w:r>
    </w:p>
    <w:p>
      <w:pPr>
        <w:ind w:firstLine="0" w:firstLineChars="0"/>
        <w:jc w:val="center"/>
        <w:rPr>
          <w:rFonts w:hint="default" w:ascii="黑体" w:hAnsi="黑体" w:eastAsia="黑体" w:cs="黑体"/>
          <w:b/>
          <w:bCs/>
          <w:sz w:val="44"/>
          <w:szCs w:val="48"/>
          <w:lang w:val="en-US" w:eastAsia="zh-CN"/>
        </w:rPr>
      </w:pPr>
      <w:r>
        <w:rPr>
          <w:rFonts w:hint="eastAsia" w:ascii="黑体" w:hAnsi="黑体" w:eastAsia="黑体" w:cs="黑体"/>
          <w:b/>
          <w:bCs/>
          <w:sz w:val="44"/>
          <w:szCs w:val="48"/>
          <w:lang w:eastAsia="zh-CN"/>
        </w:rPr>
        <w:t>（</w:t>
      </w:r>
      <w:r>
        <w:rPr>
          <w:rFonts w:hint="eastAsia" w:ascii="黑体" w:hAnsi="黑体" w:eastAsia="黑体" w:cs="黑体"/>
          <w:b/>
          <w:bCs/>
          <w:sz w:val="44"/>
          <w:szCs w:val="48"/>
          <w:lang w:val="en-US" w:eastAsia="zh-CN"/>
        </w:rPr>
        <w:t>征求意见稿</w:t>
      </w:r>
      <w:r>
        <w:rPr>
          <w:rFonts w:hint="eastAsia" w:ascii="黑体" w:hAnsi="黑体" w:eastAsia="黑体" w:cs="黑体"/>
          <w:b/>
          <w:bCs/>
          <w:sz w:val="44"/>
          <w:szCs w:val="48"/>
          <w:lang w:eastAsia="zh-CN"/>
        </w:rPr>
        <w:t>）</w:t>
      </w:r>
      <w:bookmarkStart w:id="118" w:name="_GoBack"/>
      <w:bookmarkEnd w:id="118"/>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ind w:firstLine="562"/>
        <w:jc w:val="center"/>
        <w:rPr>
          <w:rFonts w:ascii="仿宋" w:hAnsi="仿宋"/>
          <w:b/>
          <w:szCs w:val="32"/>
          <w:u w:val="single"/>
        </w:rPr>
      </w:pPr>
    </w:p>
    <w:p>
      <w:pPr>
        <w:pStyle w:val="12"/>
        <w:ind w:firstLine="600"/>
      </w:pPr>
    </w:p>
    <w:p>
      <w:pPr>
        <w:ind w:firstLine="562"/>
        <w:jc w:val="center"/>
        <w:rPr>
          <w:rFonts w:ascii="仿宋" w:hAnsi="仿宋"/>
          <w:b/>
          <w:szCs w:val="32"/>
          <w:u w:val="single"/>
        </w:rPr>
      </w:pPr>
    </w:p>
    <w:p>
      <w:pPr>
        <w:ind w:firstLine="0" w:firstLineChars="0"/>
        <w:jc w:val="center"/>
        <w:rPr>
          <w:rFonts w:ascii="仿宋" w:hAnsi="仿宋"/>
          <w:b/>
          <w:szCs w:val="32"/>
          <w:u w:val="single"/>
        </w:rPr>
      </w:pPr>
      <w:r>
        <w:rPr>
          <w:rFonts w:hint="eastAsia" w:ascii="仿宋" w:hAnsi="仿宋"/>
          <w:b/>
          <w:szCs w:val="32"/>
          <w:u w:val="single"/>
        </w:rPr>
        <w:t>二〇二</w:t>
      </w:r>
      <w:r>
        <w:rPr>
          <w:rFonts w:hint="eastAsia" w:ascii="仿宋" w:hAnsi="仿宋"/>
          <w:b/>
          <w:szCs w:val="32"/>
          <w:u w:val="single"/>
          <w:lang w:val="en-US" w:eastAsia="zh-CN"/>
        </w:rPr>
        <w:t>四</w:t>
      </w:r>
      <w:r>
        <w:rPr>
          <w:rFonts w:hint="eastAsia" w:ascii="仿宋" w:hAnsi="仿宋"/>
          <w:b/>
          <w:sz w:val="32"/>
          <w:szCs w:val="36"/>
          <w:u w:val="single"/>
        </w:rPr>
        <w:t>年</w:t>
      </w:r>
      <w:r>
        <w:rPr>
          <w:rFonts w:hint="eastAsia" w:ascii="仿宋" w:hAnsi="仿宋"/>
          <w:b/>
          <w:sz w:val="32"/>
          <w:szCs w:val="36"/>
          <w:u w:val="single"/>
          <w:lang w:val="en-US" w:eastAsia="zh-CN"/>
        </w:rPr>
        <w:t>七</w:t>
      </w:r>
      <w:r>
        <w:rPr>
          <w:rFonts w:hint="eastAsia" w:ascii="仿宋" w:hAnsi="仿宋"/>
          <w:b/>
          <w:szCs w:val="32"/>
          <w:u w:val="single"/>
        </w:rPr>
        <w:t>月</w:t>
      </w:r>
    </w:p>
    <w:p>
      <w:pPr>
        <w:widowControl/>
        <w:ind w:firstLine="560"/>
        <w:jc w:val="left"/>
        <w:rPr>
          <w:rFonts w:ascii="仿宋" w:hAnsi="仿宋"/>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ascii="仿宋" w:hAnsi="仿宋"/>
        </w:rPr>
        <w:br w:type="page"/>
      </w:r>
    </w:p>
    <w:sdt>
      <w:sdtPr>
        <w:rPr>
          <w:rFonts w:hint="eastAsia" w:ascii="仿宋" w:hAnsi="仿宋" w:eastAsia="仿宋"/>
          <w:b/>
          <w:bCs/>
          <w:color w:val="auto"/>
          <w:sz w:val="32"/>
          <w:szCs w:val="32"/>
          <w:lang w:val="zh-CN"/>
        </w:rPr>
        <w:id w:val="-698552613"/>
        <w:docPartObj>
          <w:docPartGallery w:val="Table of Contents"/>
          <w:docPartUnique/>
        </w:docPartObj>
      </w:sdtPr>
      <w:sdtEndPr>
        <w:rPr>
          <w:rFonts w:hint="eastAsia" w:ascii="仿宋" w:hAnsi="仿宋" w:eastAsia="仿宋" w:cs="Times New Roman"/>
          <w:b/>
          <w:bCs/>
          <w:color w:val="auto"/>
          <w:kern w:val="2"/>
          <w:sz w:val="28"/>
          <w:szCs w:val="22"/>
          <w:lang w:val="zh-CN"/>
        </w:rPr>
      </w:sdtEndPr>
      <w:sdtContent>
        <w:p>
          <w:pPr>
            <w:pStyle w:val="48"/>
            <w:ind w:left="0" w:leftChars="0" w:firstLine="0" w:firstLineChars="0"/>
            <w:jc w:val="center"/>
            <w:rPr>
              <w:rFonts w:hint="eastAsia" w:ascii="仿宋" w:hAnsi="仿宋" w:eastAsia="仿宋" w:cs="仿宋"/>
              <w:b/>
              <w:bCs/>
              <w:color w:val="auto"/>
              <w:sz w:val="32"/>
              <w:szCs w:val="32"/>
            </w:rPr>
          </w:pPr>
          <w:r>
            <w:rPr>
              <w:rFonts w:hint="eastAsia" w:ascii="仿宋" w:hAnsi="仿宋" w:eastAsia="仿宋"/>
              <w:b/>
              <w:bCs/>
              <w:color w:val="auto"/>
              <w:sz w:val="32"/>
              <w:szCs w:val="32"/>
              <w:lang w:val="en-US" w:eastAsia="zh-CN"/>
            </w:rPr>
            <w:t>目</w:t>
          </w:r>
          <w:r>
            <w:rPr>
              <w:rFonts w:hint="eastAsia" w:ascii="仿宋" w:hAnsi="仿宋" w:eastAsia="仿宋" w:cs="仿宋"/>
              <w:b/>
              <w:bCs/>
              <w:color w:val="auto"/>
              <w:sz w:val="32"/>
              <w:szCs w:val="32"/>
            </w:rPr>
            <w:t xml:space="preserve">  </w:t>
          </w:r>
          <w:r>
            <w:rPr>
              <w:rFonts w:hint="eastAsia" w:ascii="仿宋" w:hAnsi="仿宋" w:eastAsia="仿宋" w:cs="仿宋"/>
              <w:b/>
              <w:bCs/>
              <w:color w:val="auto"/>
              <w:sz w:val="32"/>
              <w:szCs w:val="32"/>
              <w:lang w:val="zh-CN"/>
            </w:rPr>
            <w:t>录</w:t>
          </w:r>
        </w:p>
        <w:p>
          <w:pPr>
            <w:pStyle w:val="22"/>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"1-3" \h \z \u </w:instrText>
          </w:r>
          <w:r>
            <w:rPr>
              <w:rFonts w:hint="eastAsia" w:ascii="仿宋" w:hAnsi="仿宋" w:eastAsia="仿宋" w:cs="仿宋"/>
              <w:sz w:val="28"/>
              <w:szCs w:val="28"/>
            </w:rPr>
            <w:fldChar w:fldCharType="separate"/>
          </w:r>
          <w:r>
            <w:rPr>
              <w:rFonts w:hint="eastAsia" w:ascii="仿宋" w:hAnsi="仿宋" w:eastAsia="仿宋" w:cs="仿宋"/>
              <w:szCs w:val="28"/>
            </w:rPr>
            <w:fldChar w:fldCharType="begin"/>
          </w:r>
          <w:r>
            <w:rPr>
              <w:rFonts w:hint="eastAsia" w:ascii="仿宋" w:hAnsi="仿宋" w:eastAsia="仿宋" w:cs="仿宋"/>
              <w:szCs w:val="28"/>
            </w:rPr>
            <w:instrText xml:space="preserve"> HYPERLINK \l _Toc29163 </w:instrText>
          </w:r>
          <w:r>
            <w:rPr>
              <w:rFonts w:hint="eastAsia" w:ascii="仿宋" w:hAnsi="仿宋" w:eastAsia="仿宋" w:cs="仿宋"/>
              <w:szCs w:val="28"/>
            </w:rPr>
            <w:fldChar w:fldCharType="separate"/>
          </w:r>
          <w:r>
            <w:rPr>
              <w:rFonts w:hint="eastAsia"/>
            </w:rPr>
            <w:t>第一章 总则</w:t>
          </w:r>
          <w:r>
            <w:tab/>
          </w:r>
          <w:r>
            <w:fldChar w:fldCharType="begin"/>
          </w:r>
          <w:r>
            <w:instrText xml:space="preserve"> PAGEREF _Toc29163 \h </w:instrText>
          </w:r>
          <w:r>
            <w:fldChar w:fldCharType="separate"/>
          </w:r>
          <w:r>
            <w:t>1</w:t>
          </w:r>
          <w:r>
            <w:fldChar w:fldCharType="end"/>
          </w:r>
          <w:r>
            <w:rPr>
              <w:rFonts w:hint="eastAsia" w:ascii="仿宋" w:hAnsi="仿宋" w:eastAsia="仿宋" w:cs="仿宋"/>
              <w:szCs w:val="28"/>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_Toc20094 </w:instrText>
          </w:r>
          <w:r>
            <w:rPr>
              <w:rFonts w:hint="eastAsia" w:ascii="仿宋" w:hAnsi="仿宋" w:eastAsia="仿宋" w:cs="仿宋"/>
              <w:bCs/>
              <w:szCs w:val="28"/>
              <w:lang w:val="zh-CN"/>
            </w:rPr>
            <w:fldChar w:fldCharType="separate"/>
          </w:r>
          <w:r>
            <w:rPr>
              <w:rFonts w:hint="eastAsia"/>
            </w:rPr>
            <w:t>一、 规划背景</w:t>
          </w:r>
          <w:r>
            <w:tab/>
          </w:r>
          <w:r>
            <w:fldChar w:fldCharType="begin"/>
          </w:r>
          <w:r>
            <w:instrText xml:space="preserve"> PAGEREF _Toc20094 \h </w:instrText>
          </w:r>
          <w:r>
            <w:fldChar w:fldCharType="separate"/>
          </w:r>
          <w:r>
            <w:t>1</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_Toc3283 </w:instrText>
          </w:r>
          <w:r>
            <w:rPr>
              <w:rFonts w:hint="eastAsia" w:ascii="仿宋" w:hAnsi="仿宋" w:eastAsia="仿宋" w:cs="仿宋"/>
              <w:bCs/>
              <w:szCs w:val="28"/>
              <w:lang w:val="zh-CN"/>
            </w:rPr>
            <w:fldChar w:fldCharType="separate"/>
          </w:r>
          <w:r>
            <w:rPr>
              <w:rFonts w:hint="eastAsia"/>
              <w:lang w:val="en-US" w:eastAsia="zh-CN"/>
            </w:rPr>
            <w:t xml:space="preserve">二、 </w:t>
          </w:r>
          <w:r>
            <w:rPr>
              <w:rFonts w:hint="eastAsia"/>
            </w:rPr>
            <w:t>规划依据及标准规范</w:t>
          </w:r>
          <w:r>
            <w:tab/>
          </w:r>
          <w:r>
            <w:fldChar w:fldCharType="begin"/>
          </w:r>
          <w:r>
            <w:instrText xml:space="preserve"> PAGEREF _Toc3283 \h </w:instrText>
          </w:r>
          <w:r>
            <w:fldChar w:fldCharType="separate"/>
          </w:r>
          <w:r>
            <w:t>2</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_Toc10199 </w:instrText>
          </w:r>
          <w:r>
            <w:rPr>
              <w:rFonts w:hint="eastAsia" w:ascii="仿宋" w:hAnsi="仿宋" w:eastAsia="仿宋" w:cs="仿宋"/>
              <w:bCs/>
              <w:szCs w:val="28"/>
              <w:lang w:val="zh-CN"/>
            </w:rPr>
            <w:fldChar w:fldCharType="separate"/>
          </w:r>
          <w:r>
            <w:rPr>
              <w:rFonts w:hint="eastAsia"/>
            </w:rPr>
            <w:t>三、 规划范围及年限</w:t>
          </w:r>
          <w:r>
            <w:tab/>
          </w:r>
          <w:r>
            <w:fldChar w:fldCharType="begin"/>
          </w:r>
          <w:r>
            <w:instrText xml:space="preserve"> PAGEREF _Toc10199 \h </w:instrText>
          </w:r>
          <w:r>
            <w:fldChar w:fldCharType="separate"/>
          </w:r>
          <w:r>
            <w:t>4</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_Toc7727 </w:instrText>
          </w:r>
          <w:r>
            <w:rPr>
              <w:rFonts w:hint="eastAsia" w:ascii="仿宋" w:hAnsi="仿宋" w:eastAsia="仿宋" w:cs="仿宋"/>
              <w:bCs/>
              <w:szCs w:val="28"/>
              <w:lang w:val="zh-CN"/>
            </w:rPr>
            <w:fldChar w:fldCharType="separate"/>
          </w:r>
          <w:r>
            <w:rPr>
              <w:rFonts w:hint="eastAsia"/>
            </w:rPr>
            <w:t>（一） 规划范围</w:t>
          </w:r>
          <w:r>
            <w:tab/>
          </w:r>
          <w:r>
            <w:fldChar w:fldCharType="begin"/>
          </w:r>
          <w:r>
            <w:instrText xml:space="preserve"> PAGEREF _Toc7727 \h </w:instrText>
          </w:r>
          <w:r>
            <w:fldChar w:fldCharType="separate"/>
          </w:r>
          <w:r>
            <w:t>4</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_Toc18600 </w:instrText>
          </w:r>
          <w:r>
            <w:rPr>
              <w:rFonts w:hint="eastAsia" w:ascii="仿宋" w:hAnsi="仿宋" w:eastAsia="仿宋" w:cs="仿宋"/>
              <w:bCs/>
              <w:szCs w:val="28"/>
              <w:lang w:val="zh-CN"/>
            </w:rPr>
            <w:fldChar w:fldCharType="separate"/>
          </w:r>
          <w:r>
            <w:rPr>
              <w:rFonts w:hint="eastAsia"/>
            </w:rPr>
            <w:t>（二） 规划年限</w:t>
          </w:r>
          <w:r>
            <w:tab/>
          </w:r>
          <w:r>
            <w:fldChar w:fldCharType="begin"/>
          </w:r>
          <w:r>
            <w:instrText xml:space="preserve"> PAGEREF _Toc18600 \h </w:instrText>
          </w:r>
          <w:r>
            <w:fldChar w:fldCharType="separate"/>
          </w:r>
          <w:r>
            <w:t>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_Toc13741 </w:instrText>
          </w:r>
          <w:r>
            <w:rPr>
              <w:rFonts w:hint="eastAsia" w:ascii="仿宋" w:hAnsi="仿宋" w:eastAsia="仿宋" w:cs="仿宋"/>
              <w:bCs/>
              <w:szCs w:val="28"/>
              <w:lang w:val="zh-CN"/>
            </w:rPr>
            <w:fldChar w:fldCharType="separate"/>
          </w:r>
          <w:r>
            <w:rPr>
              <w:rFonts w:hint="eastAsia"/>
              <w:lang w:val="en-US" w:eastAsia="zh-CN"/>
            </w:rPr>
            <w:t>四、 规划对象</w:t>
          </w:r>
          <w:r>
            <w:tab/>
          </w:r>
          <w:r>
            <w:fldChar w:fldCharType="begin"/>
          </w:r>
          <w:r>
            <w:instrText xml:space="preserve"> PAGEREF _Toc13741 \h </w:instrText>
          </w:r>
          <w:r>
            <w:fldChar w:fldCharType="separate"/>
          </w:r>
          <w:r>
            <w:t>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_Toc10881 </w:instrText>
          </w:r>
          <w:r>
            <w:rPr>
              <w:rFonts w:hint="eastAsia" w:ascii="仿宋" w:hAnsi="仿宋" w:eastAsia="仿宋" w:cs="仿宋"/>
              <w:bCs/>
              <w:szCs w:val="28"/>
              <w:lang w:val="zh-CN"/>
            </w:rPr>
            <w:fldChar w:fldCharType="separate"/>
          </w:r>
          <w:r>
            <w:rPr>
              <w:rFonts w:hint="eastAsia"/>
              <w:lang w:val="en-US" w:eastAsia="zh-CN"/>
            </w:rPr>
            <w:t>五、 规划主要内容</w:t>
          </w:r>
          <w:r>
            <w:tab/>
          </w:r>
          <w:r>
            <w:fldChar w:fldCharType="begin"/>
          </w:r>
          <w:r>
            <w:instrText xml:space="preserve"> PAGEREF _Toc10881 \h </w:instrText>
          </w:r>
          <w:r>
            <w:fldChar w:fldCharType="separate"/>
          </w:r>
          <w:r>
            <w:t>5</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_Toc21705 </w:instrText>
          </w:r>
          <w:r>
            <w:rPr>
              <w:rFonts w:hint="eastAsia" w:ascii="仿宋" w:hAnsi="仿宋" w:eastAsia="仿宋" w:cs="仿宋"/>
              <w:bCs/>
              <w:szCs w:val="28"/>
              <w:lang w:val="zh-CN"/>
            </w:rPr>
            <w:fldChar w:fldCharType="separate"/>
          </w:r>
          <w:r>
            <w:rPr>
              <w:rFonts w:hint="eastAsia"/>
            </w:rPr>
            <w:t>第二章 总体要求</w:t>
          </w:r>
          <w:r>
            <w:tab/>
          </w:r>
          <w:r>
            <w:fldChar w:fldCharType="begin"/>
          </w:r>
          <w:r>
            <w:instrText xml:space="preserve"> PAGEREF _Toc21705 \h </w:instrText>
          </w:r>
          <w:r>
            <w:fldChar w:fldCharType="separate"/>
          </w:r>
          <w:r>
            <w:t>6</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_Toc18008 </w:instrText>
          </w:r>
          <w:r>
            <w:rPr>
              <w:rFonts w:hint="eastAsia" w:ascii="仿宋" w:hAnsi="仿宋" w:eastAsia="仿宋" w:cs="仿宋"/>
              <w:bCs/>
              <w:szCs w:val="28"/>
              <w:lang w:val="zh-CN"/>
            </w:rPr>
            <w:fldChar w:fldCharType="separate"/>
          </w:r>
          <w:r>
            <w:rPr>
              <w:rFonts w:hint="eastAsia"/>
            </w:rPr>
            <w:t>一、 指导思想</w:t>
          </w:r>
          <w:r>
            <w:tab/>
          </w:r>
          <w:r>
            <w:fldChar w:fldCharType="begin"/>
          </w:r>
          <w:r>
            <w:instrText xml:space="preserve"> PAGEREF _Toc18008 \h </w:instrText>
          </w:r>
          <w:r>
            <w:fldChar w:fldCharType="separate"/>
          </w:r>
          <w:r>
            <w:t>6</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_Toc16485 </w:instrText>
          </w:r>
          <w:r>
            <w:rPr>
              <w:rFonts w:hint="eastAsia" w:ascii="仿宋" w:hAnsi="仿宋" w:eastAsia="仿宋" w:cs="仿宋"/>
              <w:bCs/>
              <w:szCs w:val="28"/>
              <w:lang w:val="zh-CN"/>
            </w:rPr>
            <w:fldChar w:fldCharType="separate"/>
          </w:r>
          <w:r>
            <w:rPr>
              <w:rFonts w:hint="eastAsia"/>
            </w:rPr>
            <w:t>二、 规划思路</w:t>
          </w:r>
          <w:r>
            <w:tab/>
          </w:r>
          <w:r>
            <w:fldChar w:fldCharType="begin"/>
          </w:r>
          <w:r>
            <w:instrText xml:space="preserve"> PAGEREF _Toc16485 \h </w:instrText>
          </w:r>
          <w:r>
            <w:fldChar w:fldCharType="separate"/>
          </w:r>
          <w:r>
            <w:t>6</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_Toc17982 </w:instrText>
          </w:r>
          <w:r>
            <w:rPr>
              <w:rFonts w:hint="eastAsia" w:ascii="仿宋" w:hAnsi="仿宋" w:eastAsia="仿宋" w:cs="仿宋"/>
              <w:bCs/>
              <w:szCs w:val="28"/>
              <w:lang w:val="zh-CN"/>
            </w:rPr>
            <w:fldChar w:fldCharType="separate"/>
          </w:r>
          <w:r>
            <w:rPr>
              <w:rFonts w:hint="eastAsia"/>
            </w:rPr>
            <w:t>三、 基本原则</w:t>
          </w:r>
          <w:r>
            <w:tab/>
          </w:r>
          <w:r>
            <w:fldChar w:fldCharType="begin"/>
          </w:r>
          <w:r>
            <w:instrText xml:space="preserve"> PAGEREF _Toc17982 \h </w:instrText>
          </w:r>
          <w:r>
            <w:fldChar w:fldCharType="separate"/>
          </w:r>
          <w:r>
            <w:t>6</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_Toc30753 </w:instrText>
          </w:r>
          <w:r>
            <w:rPr>
              <w:rFonts w:hint="eastAsia" w:ascii="仿宋" w:hAnsi="仿宋" w:eastAsia="仿宋" w:cs="仿宋"/>
              <w:bCs/>
              <w:szCs w:val="28"/>
              <w:lang w:val="zh-CN"/>
            </w:rPr>
            <w:fldChar w:fldCharType="separate"/>
          </w:r>
          <w:r>
            <w:rPr>
              <w:rFonts w:hint="eastAsia"/>
            </w:rPr>
            <w:t>（一） 科学合理</w:t>
          </w:r>
          <w:r>
            <w:tab/>
          </w:r>
          <w:r>
            <w:fldChar w:fldCharType="begin"/>
          </w:r>
          <w:r>
            <w:instrText xml:space="preserve"> PAGEREF _Toc30753 \h </w:instrText>
          </w:r>
          <w:r>
            <w:fldChar w:fldCharType="separate"/>
          </w:r>
          <w:r>
            <w:t>6</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_Toc31203 </w:instrText>
          </w:r>
          <w:r>
            <w:rPr>
              <w:rFonts w:hint="eastAsia" w:ascii="仿宋" w:hAnsi="仿宋" w:eastAsia="仿宋" w:cs="仿宋"/>
              <w:bCs/>
              <w:szCs w:val="28"/>
              <w:lang w:val="zh-CN"/>
            </w:rPr>
            <w:fldChar w:fldCharType="separate"/>
          </w:r>
          <w:r>
            <w:rPr>
              <w:rFonts w:hint="eastAsia"/>
            </w:rPr>
            <w:t>（二） 多规协同</w:t>
          </w:r>
          <w:r>
            <w:tab/>
          </w:r>
          <w:r>
            <w:fldChar w:fldCharType="begin"/>
          </w:r>
          <w:r>
            <w:instrText xml:space="preserve"> PAGEREF _Toc31203 \h </w:instrText>
          </w:r>
          <w:r>
            <w:fldChar w:fldCharType="separate"/>
          </w:r>
          <w:r>
            <w:t>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_Toc18766 </w:instrText>
          </w:r>
          <w:r>
            <w:rPr>
              <w:rFonts w:hint="eastAsia" w:ascii="仿宋" w:hAnsi="仿宋" w:eastAsia="仿宋" w:cs="仿宋"/>
              <w:bCs/>
              <w:szCs w:val="28"/>
              <w:lang w:val="zh-CN"/>
            </w:rPr>
            <w:fldChar w:fldCharType="separate"/>
          </w:r>
          <w:r>
            <w:rPr>
              <w:rFonts w:hint="eastAsia"/>
            </w:rPr>
            <w:t>（三） 因地制宜</w:t>
          </w:r>
          <w:r>
            <w:tab/>
          </w:r>
          <w:r>
            <w:fldChar w:fldCharType="begin"/>
          </w:r>
          <w:r>
            <w:instrText xml:space="preserve"> PAGEREF _Toc18766 \h </w:instrText>
          </w:r>
          <w:r>
            <w:fldChar w:fldCharType="separate"/>
          </w:r>
          <w:r>
            <w:t>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_Toc19496 </w:instrText>
          </w:r>
          <w:r>
            <w:rPr>
              <w:rFonts w:hint="eastAsia" w:ascii="仿宋" w:hAnsi="仿宋" w:eastAsia="仿宋" w:cs="仿宋"/>
              <w:bCs/>
              <w:szCs w:val="28"/>
              <w:lang w:val="zh-CN"/>
            </w:rPr>
            <w:fldChar w:fldCharType="separate"/>
          </w:r>
          <w:r>
            <w:rPr>
              <w:rFonts w:hint="eastAsia"/>
            </w:rPr>
            <w:t>（四） 适度超前</w:t>
          </w:r>
          <w:r>
            <w:tab/>
          </w:r>
          <w:r>
            <w:fldChar w:fldCharType="begin"/>
          </w:r>
          <w:r>
            <w:instrText xml:space="preserve"> PAGEREF _Toc19496 \h </w:instrText>
          </w:r>
          <w:r>
            <w:fldChar w:fldCharType="separate"/>
          </w:r>
          <w:r>
            <w:t>7</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_Toc25275 </w:instrText>
          </w:r>
          <w:r>
            <w:rPr>
              <w:rFonts w:hint="eastAsia" w:ascii="仿宋" w:hAnsi="仿宋" w:eastAsia="仿宋" w:cs="仿宋"/>
              <w:bCs/>
              <w:szCs w:val="28"/>
              <w:lang w:val="zh-CN"/>
            </w:rPr>
            <w:fldChar w:fldCharType="separate"/>
          </w:r>
          <w:r>
            <w:rPr>
              <w:rFonts w:hint="eastAsia"/>
            </w:rPr>
            <w:t>四、 规划目标</w:t>
          </w:r>
          <w:r>
            <w:tab/>
          </w:r>
          <w:r>
            <w:fldChar w:fldCharType="begin"/>
          </w:r>
          <w:r>
            <w:instrText xml:space="preserve"> PAGEREF _Toc25275 \h </w:instrText>
          </w:r>
          <w:r>
            <w:fldChar w:fldCharType="separate"/>
          </w:r>
          <w:r>
            <w:t>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_Toc10828 </w:instrText>
          </w:r>
          <w:r>
            <w:rPr>
              <w:rFonts w:hint="eastAsia" w:ascii="仿宋" w:hAnsi="仿宋" w:eastAsia="仿宋" w:cs="仿宋"/>
              <w:bCs/>
              <w:szCs w:val="28"/>
              <w:lang w:val="zh-CN"/>
            </w:rPr>
            <w:fldChar w:fldCharType="separate"/>
          </w:r>
          <w:r>
            <w:rPr>
              <w:rFonts w:hint="eastAsia" w:ascii="仿宋" w:hAnsi="仿宋" w:eastAsia="仿宋" w:cs="Times New Roman"/>
              <w:bCs/>
              <w:kern w:val="2"/>
              <w:szCs w:val="32"/>
              <w:lang w:val="en-US" w:eastAsia="zh-CN" w:bidi="ar-SA"/>
            </w:rPr>
            <w:t xml:space="preserve">（一） </w:t>
          </w:r>
          <w:r>
            <w:rPr>
              <w:rFonts w:hint="eastAsia" w:ascii="仿宋" w:hAnsi="仿宋" w:eastAsia="仿宋" w:cs="Times New Roman"/>
              <w:bCs/>
              <w:kern w:val="2"/>
              <w:szCs w:val="32"/>
              <w:highlight w:val="none"/>
              <w:lang w:val="en-US" w:eastAsia="zh-CN" w:bidi="ar-SA"/>
            </w:rPr>
            <w:t>总体目标</w:t>
          </w:r>
          <w:r>
            <w:tab/>
          </w:r>
          <w:r>
            <w:fldChar w:fldCharType="begin"/>
          </w:r>
          <w:r>
            <w:instrText xml:space="preserve"> PAGEREF _Toc10828 \h </w:instrText>
          </w:r>
          <w:r>
            <w:fldChar w:fldCharType="separate"/>
          </w:r>
          <w:r>
            <w:t>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_Toc14253 </w:instrText>
          </w:r>
          <w:r>
            <w:rPr>
              <w:rFonts w:hint="eastAsia" w:ascii="仿宋" w:hAnsi="仿宋" w:eastAsia="仿宋" w:cs="仿宋"/>
              <w:bCs/>
              <w:szCs w:val="28"/>
              <w:lang w:val="zh-CN"/>
            </w:rPr>
            <w:fldChar w:fldCharType="separate"/>
          </w:r>
          <w:r>
            <w:rPr>
              <w:rFonts w:hint="eastAsia" w:ascii="仿宋" w:hAnsi="仿宋" w:eastAsia="仿宋" w:cs="Times New Roman"/>
              <w:bCs/>
              <w:kern w:val="2"/>
              <w:szCs w:val="32"/>
              <w:lang w:val="en-US" w:eastAsia="zh-CN" w:bidi="ar-SA"/>
            </w:rPr>
            <w:t xml:space="preserve">（二） </w:t>
          </w:r>
          <w:r>
            <w:rPr>
              <w:rFonts w:hint="eastAsia" w:ascii="仿宋" w:hAnsi="仿宋" w:eastAsia="仿宋" w:cs="Times New Roman"/>
              <w:bCs/>
              <w:kern w:val="2"/>
              <w:szCs w:val="32"/>
              <w:highlight w:val="none"/>
              <w:lang w:val="en-US" w:eastAsia="zh-CN" w:bidi="ar-SA"/>
            </w:rPr>
            <w:t>数量目标</w:t>
          </w:r>
          <w:r>
            <w:tab/>
          </w:r>
          <w:r>
            <w:fldChar w:fldCharType="begin"/>
          </w:r>
          <w:r>
            <w:instrText xml:space="preserve"> PAGEREF _Toc14253 \h </w:instrText>
          </w:r>
          <w:r>
            <w:fldChar w:fldCharType="separate"/>
          </w:r>
          <w:r>
            <w:t>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_Toc4473 </w:instrText>
          </w:r>
          <w:r>
            <w:rPr>
              <w:rFonts w:hint="eastAsia" w:ascii="仿宋" w:hAnsi="仿宋" w:eastAsia="仿宋" w:cs="仿宋"/>
              <w:bCs/>
              <w:szCs w:val="28"/>
              <w:lang w:val="zh-CN"/>
            </w:rPr>
            <w:fldChar w:fldCharType="separate"/>
          </w:r>
          <w:r>
            <w:rPr>
              <w:rFonts w:hint="eastAsia" w:ascii="仿宋" w:hAnsi="仿宋" w:eastAsia="仿宋" w:cs="Times New Roman"/>
              <w:bCs/>
              <w:kern w:val="2"/>
              <w:szCs w:val="32"/>
              <w:lang w:val="en-US" w:eastAsia="zh-CN" w:bidi="ar-SA"/>
            </w:rPr>
            <w:t xml:space="preserve">（三） </w:t>
          </w:r>
          <w:r>
            <w:rPr>
              <w:rFonts w:hint="eastAsia" w:ascii="仿宋" w:hAnsi="仿宋" w:eastAsia="仿宋" w:cs="Times New Roman"/>
              <w:bCs/>
              <w:kern w:val="2"/>
              <w:szCs w:val="32"/>
              <w:highlight w:val="none"/>
              <w:lang w:val="en-US" w:eastAsia="zh-CN" w:bidi="ar-SA"/>
            </w:rPr>
            <w:t>布局目标</w:t>
          </w:r>
          <w:r>
            <w:tab/>
          </w:r>
          <w:r>
            <w:fldChar w:fldCharType="begin"/>
          </w:r>
          <w:r>
            <w:instrText xml:space="preserve"> PAGEREF _Toc4473 \h </w:instrText>
          </w:r>
          <w:r>
            <w:fldChar w:fldCharType="separate"/>
          </w:r>
          <w:r>
            <w:t>8</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_Toc13243 </w:instrText>
          </w:r>
          <w:r>
            <w:rPr>
              <w:rFonts w:hint="eastAsia" w:ascii="仿宋" w:hAnsi="仿宋" w:eastAsia="仿宋" w:cs="仿宋"/>
              <w:bCs/>
              <w:szCs w:val="28"/>
              <w:lang w:val="zh-CN"/>
            </w:rPr>
            <w:fldChar w:fldCharType="separate"/>
          </w:r>
          <w:r>
            <w:rPr>
              <w:rFonts w:hint="eastAsia"/>
            </w:rPr>
            <w:t>五、 发展策略</w:t>
          </w:r>
          <w:r>
            <w:tab/>
          </w:r>
          <w:r>
            <w:fldChar w:fldCharType="begin"/>
          </w:r>
          <w:r>
            <w:instrText xml:space="preserve"> PAGEREF _Toc13243 \h </w:instrText>
          </w:r>
          <w:r>
            <w:fldChar w:fldCharType="separate"/>
          </w:r>
          <w:r>
            <w:t>11</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_Toc23992 </w:instrText>
          </w:r>
          <w:r>
            <w:rPr>
              <w:rFonts w:hint="eastAsia" w:ascii="仿宋" w:hAnsi="仿宋" w:eastAsia="仿宋" w:cs="仿宋"/>
              <w:bCs/>
              <w:szCs w:val="28"/>
              <w:lang w:val="zh-CN"/>
            </w:rPr>
            <w:fldChar w:fldCharType="separate"/>
          </w:r>
          <w:r>
            <w:rPr>
              <w:rFonts w:hint="eastAsia"/>
            </w:rPr>
            <w:t>第三章 相关研究</w:t>
          </w:r>
          <w:r>
            <w:tab/>
          </w:r>
          <w:r>
            <w:fldChar w:fldCharType="begin"/>
          </w:r>
          <w:r>
            <w:instrText xml:space="preserve"> PAGEREF _Toc23992 \h </w:instrText>
          </w:r>
          <w:r>
            <w:fldChar w:fldCharType="separate"/>
          </w:r>
          <w:r>
            <w:t>13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_Toc3685 </w:instrText>
          </w:r>
          <w:r>
            <w:rPr>
              <w:rFonts w:hint="eastAsia" w:ascii="仿宋" w:hAnsi="仿宋" w:eastAsia="仿宋" w:cs="仿宋"/>
              <w:bCs/>
              <w:szCs w:val="28"/>
              <w:lang w:val="zh-CN"/>
            </w:rPr>
            <w:fldChar w:fldCharType="separate"/>
          </w:r>
          <w:r>
            <w:rPr>
              <w:rFonts w:hint="eastAsia"/>
            </w:rPr>
            <w:t>一、 相关概念解析</w:t>
          </w:r>
          <w:r>
            <w:tab/>
          </w:r>
          <w:r>
            <w:fldChar w:fldCharType="begin"/>
          </w:r>
          <w:r>
            <w:instrText xml:space="preserve"> PAGEREF _Toc3685 \h </w:instrText>
          </w:r>
          <w:r>
            <w:fldChar w:fldCharType="separate"/>
          </w:r>
          <w:r>
            <w:t>13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_Toc3485 </w:instrText>
          </w:r>
          <w:r>
            <w:rPr>
              <w:rFonts w:hint="eastAsia" w:ascii="仿宋" w:hAnsi="仿宋" w:eastAsia="仿宋" w:cs="仿宋"/>
              <w:bCs/>
              <w:szCs w:val="28"/>
              <w:lang w:val="zh-CN"/>
            </w:rPr>
            <w:fldChar w:fldCharType="separate"/>
          </w:r>
          <w:r>
            <w:rPr>
              <w:rFonts w:hint="eastAsia"/>
            </w:rPr>
            <w:t>二、 相关案例研究</w:t>
          </w:r>
          <w:r>
            <w:tab/>
          </w:r>
          <w:r>
            <w:fldChar w:fldCharType="begin"/>
          </w:r>
          <w:r>
            <w:instrText xml:space="preserve"> PAGEREF _Toc3485 \h </w:instrText>
          </w:r>
          <w:r>
            <w:fldChar w:fldCharType="separate"/>
          </w:r>
          <w:r>
            <w:t>17</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_Toc17576 </w:instrText>
          </w:r>
          <w:r>
            <w:rPr>
              <w:rFonts w:hint="eastAsia" w:ascii="仿宋" w:hAnsi="仿宋" w:eastAsia="仿宋" w:cs="仿宋"/>
              <w:bCs/>
              <w:szCs w:val="28"/>
              <w:lang w:val="zh-CN"/>
            </w:rPr>
            <w:fldChar w:fldCharType="separate"/>
          </w:r>
          <w:r>
            <w:rPr>
              <w:rFonts w:hint="eastAsia"/>
            </w:rPr>
            <w:t>第四章 发展现状</w:t>
          </w:r>
          <w:r>
            <w:tab/>
          </w:r>
          <w:r>
            <w:fldChar w:fldCharType="begin"/>
          </w:r>
          <w:r>
            <w:instrText xml:space="preserve"> PAGEREF _Toc17576 \h </w:instrText>
          </w:r>
          <w:r>
            <w:fldChar w:fldCharType="separate"/>
          </w:r>
          <w:r>
            <w:t>19</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_Toc2082 </w:instrText>
          </w:r>
          <w:r>
            <w:rPr>
              <w:rFonts w:hint="eastAsia" w:ascii="仿宋" w:hAnsi="仿宋" w:eastAsia="仿宋" w:cs="仿宋"/>
              <w:bCs/>
              <w:szCs w:val="28"/>
              <w:lang w:val="zh-CN"/>
            </w:rPr>
            <w:fldChar w:fldCharType="separate"/>
          </w:r>
          <w:r>
            <w:rPr>
              <w:rFonts w:hint="eastAsia"/>
            </w:rPr>
            <w:t>一、 政策环境现状</w:t>
          </w:r>
          <w:r>
            <w:tab/>
          </w:r>
          <w:r>
            <w:fldChar w:fldCharType="begin"/>
          </w:r>
          <w:r>
            <w:instrText xml:space="preserve"> PAGEREF _Toc2082 \h </w:instrText>
          </w:r>
          <w:r>
            <w:fldChar w:fldCharType="separate"/>
          </w:r>
          <w:r>
            <w:t>19</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_Toc12244 </w:instrText>
          </w:r>
          <w:r>
            <w:rPr>
              <w:rFonts w:hint="eastAsia" w:ascii="仿宋" w:hAnsi="仿宋" w:eastAsia="仿宋" w:cs="仿宋"/>
              <w:bCs/>
              <w:szCs w:val="28"/>
              <w:lang w:val="zh-CN"/>
            </w:rPr>
            <w:fldChar w:fldCharType="separate"/>
          </w:r>
          <w:r>
            <w:rPr>
              <w:rFonts w:hint="eastAsia"/>
            </w:rPr>
            <w:t>二、 总体概况</w:t>
          </w:r>
          <w:r>
            <w:tab/>
          </w:r>
          <w:r>
            <w:fldChar w:fldCharType="begin"/>
          </w:r>
          <w:r>
            <w:instrText xml:space="preserve"> PAGEREF _Toc12244 \h </w:instrText>
          </w:r>
          <w:r>
            <w:fldChar w:fldCharType="separate"/>
          </w:r>
          <w:r>
            <w:t>21</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_Toc7820 </w:instrText>
          </w:r>
          <w:r>
            <w:rPr>
              <w:rFonts w:hint="eastAsia" w:ascii="仿宋" w:hAnsi="仿宋" w:eastAsia="仿宋" w:cs="仿宋"/>
              <w:bCs/>
              <w:szCs w:val="28"/>
              <w:lang w:val="zh-CN"/>
            </w:rPr>
            <w:fldChar w:fldCharType="separate"/>
          </w:r>
          <w:r>
            <w:rPr>
              <w:rFonts w:hint="eastAsia"/>
              <w:lang w:val="en-US" w:eastAsia="zh-CN"/>
            </w:rPr>
            <w:t>（一） 岫岩县基本概况</w:t>
          </w:r>
          <w:r>
            <w:tab/>
          </w:r>
          <w:r>
            <w:fldChar w:fldCharType="begin"/>
          </w:r>
          <w:r>
            <w:instrText xml:space="preserve"> PAGEREF _Toc7820 \h </w:instrText>
          </w:r>
          <w:r>
            <w:fldChar w:fldCharType="separate"/>
          </w:r>
          <w:r>
            <w:t>21</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_Toc11376 </w:instrText>
          </w:r>
          <w:r>
            <w:rPr>
              <w:rFonts w:hint="eastAsia" w:ascii="仿宋" w:hAnsi="仿宋" w:eastAsia="仿宋" w:cs="仿宋"/>
              <w:bCs/>
              <w:szCs w:val="28"/>
              <w:lang w:val="zh-CN"/>
            </w:rPr>
            <w:fldChar w:fldCharType="separate"/>
          </w:r>
          <w:r>
            <w:rPr>
              <w:rFonts w:hint="eastAsia"/>
            </w:rPr>
            <w:t xml:space="preserve">（二） </w:t>
          </w:r>
          <w:r>
            <w:rPr>
              <w:rFonts w:hint="eastAsia"/>
              <w:lang w:val="en-US" w:eastAsia="zh-CN"/>
            </w:rPr>
            <w:t>道路</w:t>
          </w:r>
          <w:r>
            <w:rPr>
              <w:rFonts w:hint="eastAsia"/>
            </w:rPr>
            <w:t>交通</w:t>
          </w:r>
          <w:r>
            <w:rPr>
              <w:rFonts w:hint="eastAsia"/>
              <w:lang w:val="en-US" w:eastAsia="zh-CN"/>
            </w:rPr>
            <w:t>现状概况</w:t>
          </w:r>
          <w:r>
            <w:tab/>
          </w:r>
          <w:r>
            <w:fldChar w:fldCharType="begin"/>
          </w:r>
          <w:r>
            <w:instrText xml:space="preserve"> PAGEREF _Toc11376 \h </w:instrText>
          </w:r>
          <w:r>
            <w:fldChar w:fldCharType="separate"/>
          </w:r>
          <w:r>
            <w:t>22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_Toc4688 </w:instrText>
          </w:r>
          <w:r>
            <w:rPr>
              <w:rFonts w:hint="eastAsia" w:ascii="仿宋" w:hAnsi="仿宋" w:eastAsia="仿宋" w:cs="仿宋"/>
              <w:bCs/>
              <w:szCs w:val="28"/>
              <w:lang w:val="zh-CN"/>
            </w:rPr>
            <w:fldChar w:fldCharType="separate"/>
          </w:r>
          <w:r>
            <w:rPr>
              <w:rFonts w:hint="eastAsia"/>
            </w:rPr>
            <w:t xml:space="preserve">（三） </w:t>
          </w:r>
          <w:r>
            <w:rPr>
              <w:rFonts w:hint="eastAsia"/>
              <w:lang w:val="en-US" w:eastAsia="zh-CN"/>
            </w:rPr>
            <w:t>社会经济发展现状</w:t>
          </w:r>
          <w:r>
            <w:tab/>
          </w:r>
          <w:r>
            <w:fldChar w:fldCharType="begin"/>
          </w:r>
          <w:r>
            <w:instrText xml:space="preserve"> PAGEREF _Toc4688 \h </w:instrText>
          </w:r>
          <w:r>
            <w:fldChar w:fldCharType="separate"/>
          </w:r>
          <w:r>
            <w:t>22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_Toc6392 </w:instrText>
          </w:r>
          <w:r>
            <w:rPr>
              <w:rFonts w:hint="eastAsia" w:ascii="仿宋" w:hAnsi="仿宋" w:eastAsia="仿宋" w:cs="仿宋"/>
              <w:bCs/>
              <w:szCs w:val="28"/>
              <w:lang w:val="zh-CN"/>
            </w:rPr>
            <w:fldChar w:fldCharType="separate"/>
          </w:r>
          <w:r>
            <w:rPr>
              <w:rFonts w:hint="eastAsia"/>
            </w:rPr>
            <w:t>（四） 产业</w:t>
          </w:r>
          <w:r>
            <w:rPr>
              <w:rFonts w:hint="eastAsia"/>
              <w:lang w:val="en-US" w:eastAsia="zh-CN"/>
            </w:rPr>
            <w:t>结构发展现状</w:t>
          </w:r>
          <w:r>
            <w:tab/>
          </w:r>
          <w:r>
            <w:fldChar w:fldCharType="begin"/>
          </w:r>
          <w:r>
            <w:instrText xml:space="preserve"> PAGEREF _Toc6392 \h </w:instrText>
          </w:r>
          <w:r>
            <w:fldChar w:fldCharType="separate"/>
          </w:r>
          <w:r>
            <w:t>23</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_Toc26454 </w:instrText>
          </w:r>
          <w:r>
            <w:rPr>
              <w:rFonts w:hint="eastAsia" w:ascii="仿宋" w:hAnsi="仿宋" w:eastAsia="仿宋" w:cs="仿宋"/>
              <w:bCs/>
              <w:szCs w:val="28"/>
              <w:lang w:val="zh-CN"/>
            </w:rPr>
            <w:fldChar w:fldCharType="separate"/>
          </w:r>
          <w:r>
            <w:rPr>
              <w:rFonts w:hint="eastAsia"/>
            </w:rPr>
            <w:t xml:space="preserve">（五） </w:t>
          </w:r>
          <w:r>
            <w:rPr>
              <w:rFonts w:hint="eastAsia"/>
              <w:lang w:val="en-US" w:eastAsia="zh-CN"/>
            </w:rPr>
            <w:t>资源禀赋现状概况</w:t>
          </w:r>
          <w:r>
            <w:tab/>
          </w:r>
          <w:r>
            <w:fldChar w:fldCharType="begin"/>
          </w:r>
          <w:r>
            <w:instrText xml:space="preserve"> PAGEREF _Toc26454 \h </w:instrText>
          </w:r>
          <w:r>
            <w:fldChar w:fldCharType="separate"/>
          </w:r>
          <w:r>
            <w:t>23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_Toc29612 </w:instrText>
          </w:r>
          <w:r>
            <w:rPr>
              <w:rFonts w:hint="eastAsia" w:ascii="仿宋" w:hAnsi="仿宋" w:eastAsia="仿宋" w:cs="仿宋"/>
              <w:bCs/>
              <w:szCs w:val="28"/>
              <w:lang w:val="zh-CN"/>
            </w:rPr>
            <w:fldChar w:fldCharType="separate"/>
          </w:r>
          <w:r>
            <w:rPr>
              <w:rFonts w:hint="eastAsia"/>
            </w:rPr>
            <w:t>三、 停车位现状</w:t>
          </w:r>
          <w:r>
            <w:tab/>
          </w:r>
          <w:r>
            <w:fldChar w:fldCharType="begin"/>
          </w:r>
          <w:r>
            <w:instrText xml:space="preserve"> PAGEREF _Toc29612 \h </w:instrText>
          </w:r>
          <w:r>
            <w:fldChar w:fldCharType="separate"/>
          </w:r>
          <w:r>
            <w:t>25</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_Toc19718 </w:instrText>
          </w:r>
          <w:r>
            <w:rPr>
              <w:rFonts w:hint="eastAsia" w:ascii="仿宋" w:hAnsi="仿宋" w:eastAsia="仿宋" w:cs="仿宋"/>
              <w:bCs/>
              <w:szCs w:val="28"/>
              <w:lang w:val="zh-CN"/>
            </w:rPr>
            <w:fldChar w:fldCharType="separate"/>
          </w:r>
          <w:r>
            <w:rPr>
              <w:rFonts w:hint="eastAsia"/>
            </w:rPr>
            <w:t xml:space="preserve">（一） </w:t>
          </w:r>
          <w:r>
            <w:rPr>
              <w:rFonts w:hint="eastAsia"/>
              <w:lang w:eastAsia="zh-CN"/>
            </w:rPr>
            <w:t>岫岩县</w:t>
          </w:r>
          <w:r>
            <w:rPr>
              <w:rFonts w:hint="eastAsia"/>
            </w:rPr>
            <w:t>老旧小区停车规模现状</w:t>
          </w:r>
          <w:r>
            <w:tab/>
          </w:r>
          <w:r>
            <w:fldChar w:fldCharType="begin"/>
          </w:r>
          <w:r>
            <w:instrText xml:space="preserve"> PAGEREF _Toc19718 \h </w:instrText>
          </w:r>
          <w:r>
            <w:fldChar w:fldCharType="separate"/>
          </w:r>
          <w:r>
            <w:t>25</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_Toc22486 </w:instrText>
          </w:r>
          <w:r>
            <w:rPr>
              <w:rFonts w:hint="eastAsia" w:ascii="仿宋" w:hAnsi="仿宋" w:eastAsia="仿宋" w:cs="仿宋"/>
              <w:bCs/>
              <w:szCs w:val="28"/>
              <w:lang w:val="zh-CN"/>
            </w:rPr>
            <w:fldChar w:fldCharType="separate"/>
          </w:r>
          <w:r>
            <w:rPr>
              <w:rFonts w:hint="eastAsia"/>
            </w:rPr>
            <w:t>（二） 重点</w:t>
          </w:r>
          <w:r>
            <w:rPr>
              <w:rFonts w:hint="eastAsia"/>
              <w:lang w:val="en-US" w:eastAsia="zh-CN"/>
            </w:rPr>
            <w:t>商圈停车场规模现状</w:t>
          </w:r>
          <w:r>
            <w:tab/>
          </w:r>
          <w:r>
            <w:fldChar w:fldCharType="begin"/>
          </w:r>
          <w:r>
            <w:instrText xml:space="preserve"> PAGEREF _Toc22486 \h </w:instrText>
          </w:r>
          <w:r>
            <w:fldChar w:fldCharType="separate"/>
          </w:r>
          <w:r>
            <w:t>25</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_Toc31999 </w:instrText>
          </w:r>
          <w:r>
            <w:rPr>
              <w:rFonts w:hint="eastAsia" w:ascii="仿宋" w:hAnsi="仿宋" w:eastAsia="仿宋" w:cs="仿宋"/>
              <w:bCs/>
              <w:szCs w:val="28"/>
              <w:lang w:val="zh-CN"/>
            </w:rPr>
            <w:fldChar w:fldCharType="separate"/>
          </w:r>
          <w:r>
            <w:rPr>
              <w:rFonts w:hint="eastAsia"/>
            </w:rPr>
            <w:t>（三） 重点机关单位停车场规模现状</w:t>
          </w:r>
          <w:r>
            <w:tab/>
          </w:r>
          <w:r>
            <w:fldChar w:fldCharType="begin"/>
          </w:r>
          <w:r>
            <w:instrText xml:space="preserve"> PAGEREF _Toc31999 \h </w:instrText>
          </w:r>
          <w:r>
            <w:fldChar w:fldCharType="separate"/>
          </w:r>
          <w:r>
            <w:t>26</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_Toc24102 </w:instrText>
          </w:r>
          <w:r>
            <w:rPr>
              <w:rFonts w:hint="eastAsia" w:ascii="仿宋" w:hAnsi="仿宋" w:eastAsia="仿宋" w:cs="仿宋"/>
              <w:bCs/>
              <w:szCs w:val="28"/>
              <w:lang w:val="zh-CN"/>
            </w:rPr>
            <w:fldChar w:fldCharType="separate"/>
          </w:r>
          <w:r>
            <w:rPr>
              <w:rFonts w:hint="eastAsia"/>
            </w:rPr>
            <w:t xml:space="preserve">（四） </w:t>
          </w:r>
          <w:r>
            <w:rPr>
              <w:rFonts w:hint="eastAsia"/>
              <w:lang w:eastAsia="zh-CN"/>
            </w:rPr>
            <w:t>岫岩</w:t>
          </w:r>
          <w:r>
            <w:rPr>
              <w:rFonts w:hint="eastAsia"/>
            </w:rPr>
            <w:t>企业园区</w:t>
          </w:r>
          <w:r>
            <w:rPr>
              <w:rFonts w:hint="eastAsia"/>
              <w:lang w:val="en-US" w:eastAsia="zh-CN"/>
            </w:rPr>
            <w:t>/物流园</w:t>
          </w:r>
          <w:r>
            <w:rPr>
              <w:rFonts w:hint="eastAsia"/>
            </w:rPr>
            <w:t>停车规模现状</w:t>
          </w:r>
          <w:r>
            <w:tab/>
          </w:r>
          <w:r>
            <w:fldChar w:fldCharType="begin"/>
          </w:r>
          <w:r>
            <w:instrText xml:space="preserve"> PAGEREF _Toc24102 \h </w:instrText>
          </w:r>
          <w:r>
            <w:fldChar w:fldCharType="separate"/>
          </w:r>
          <w:r>
            <w:t>26</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_Toc9337 </w:instrText>
          </w:r>
          <w:r>
            <w:rPr>
              <w:rFonts w:hint="eastAsia" w:ascii="仿宋" w:hAnsi="仿宋" w:eastAsia="仿宋" w:cs="仿宋"/>
              <w:bCs/>
              <w:szCs w:val="28"/>
              <w:lang w:val="zh-CN"/>
            </w:rPr>
            <w:fldChar w:fldCharType="separate"/>
          </w:r>
          <w:r>
            <w:rPr>
              <w:rFonts w:hint="eastAsia"/>
              <w:lang w:val="en-US" w:eastAsia="zh-CN"/>
            </w:rPr>
            <w:t>（五） 重点景区停车规模现状</w:t>
          </w:r>
          <w:r>
            <w:tab/>
          </w:r>
          <w:r>
            <w:fldChar w:fldCharType="begin"/>
          </w:r>
          <w:r>
            <w:instrText xml:space="preserve"> PAGEREF _Toc9337 \h </w:instrText>
          </w:r>
          <w:r>
            <w:fldChar w:fldCharType="separate"/>
          </w:r>
          <w:r>
            <w:t>26</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_Toc16668 </w:instrText>
          </w:r>
          <w:r>
            <w:rPr>
              <w:rFonts w:hint="eastAsia" w:ascii="仿宋" w:hAnsi="仿宋" w:eastAsia="仿宋" w:cs="仿宋"/>
              <w:bCs/>
              <w:szCs w:val="28"/>
              <w:lang w:val="zh-CN"/>
            </w:rPr>
            <w:fldChar w:fldCharType="separate"/>
          </w:r>
          <w:r>
            <w:rPr>
              <w:rFonts w:hint="eastAsia"/>
            </w:rPr>
            <w:t>四、 汽车保有量现状</w:t>
          </w:r>
          <w:r>
            <w:tab/>
          </w:r>
          <w:r>
            <w:fldChar w:fldCharType="begin"/>
          </w:r>
          <w:r>
            <w:instrText xml:space="preserve"> PAGEREF _Toc16668 \h </w:instrText>
          </w:r>
          <w:r>
            <w:fldChar w:fldCharType="separate"/>
          </w:r>
          <w:r>
            <w:t>26</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_Toc21902 </w:instrText>
          </w:r>
          <w:r>
            <w:rPr>
              <w:rFonts w:hint="eastAsia" w:ascii="仿宋" w:hAnsi="仿宋" w:eastAsia="仿宋" w:cs="仿宋"/>
              <w:bCs/>
              <w:szCs w:val="28"/>
              <w:lang w:val="zh-CN"/>
            </w:rPr>
            <w:fldChar w:fldCharType="separate"/>
          </w:r>
          <w:r>
            <w:rPr>
              <w:rFonts w:hint="eastAsia"/>
            </w:rPr>
            <w:t>五、 电动汽车推广应用情况</w:t>
          </w:r>
          <w:r>
            <w:tab/>
          </w:r>
          <w:r>
            <w:fldChar w:fldCharType="begin"/>
          </w:r>
          <w:r>
            <w:instrText xml:space="preserve"> PAGEREF _Toc21902 \h </w:instrText>
          </w:r>
          <w:r>
            <w:fldChar w:fldCharType="separate"/>
          </w:r>
          <w:r>
            <w:t>27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_Toc28056 </w:instrText>
          </w:r>
          <w:r>
            <w:rPr>
              <w:rFonts w:hint="eastAsia" w:ascii="仿宋" w:hAnsi="仿宋" w:eastAsia="仿宋" w:cs="仿宋"/>
              <w:bCs/>
              <w:szCs w:val="28"/>
              <w:lang w:val="zh-CN"/>
            </w:rPr>
            <w:fldChar w:fldCharType="separate"/>
          </w:r>
          <w:r>
            <w:rPr>
              <w:rFonts w:hint="eastAsia"/>
            </w:rPr>
            <w:t>（一） 电动汽车发展现状</w:t>
          </w:r>
          <w:r>
            <w:tab/>
          </w:r>
          <w:r>
            <w:fldChar w:fldCharType="begin"/>
          </w:r>
          <w:r>
            <w:instrText xml:space="preserve"> PAGEREF _Toc28056 \h </w:instrText>
          </w:r>
          <w:r>
            <w:fldChar w:fldCharType="separate"/>
          </w:r>
          <w:r>
            <w:t>27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_Toc10246 </w:instrText>
          </w:r>
          <w:r>
            <w:rPr>
              <w:rFonts w:hint="eastAsia" w:ascii="仿宋" w:hAnsi="仿宋" w:eastAsia="仿宋" w:cs="仿宋"/>
              <w:bCs/>
              <w:szCs w:val="28"/>
              <w:lang w:val="zh-CN"/>
            </w:rPr>
            <w:fldChar w:fldCharType="separate"/>
          </w:r>
          <w:r>
            <w:rPr>
              <w:rFonts w:hint="eastAsia"/>
            </w:rPr>
            <w:t>（二） 充电基础设施发展情况</w:t>
          </w:r>
          <w:r>
            <w:tab/>
          </w:r>
          <w:r>
            <w:fldChar w:fldCharType="begin"/>
          </w:r>
          <w:r>
            <w:instrText xml:space="preserve"> PAGEREF _Toc10246 \h </w:instrText>
          </w:r>
          <w:r>
            <w:fldChar w:fldCharType="separate"/>
          </w:r>
          <w:r>
            <w:t>27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_Toc10501 </w:instrText>
          </w:r>
          <w:r>
            <w:rPr>
              <w:rFonts w:hint="eastAsia" w:ascii="仿宋" w:hAnsi="仿宋" w:eastAsia="仿宋" w:cs="仿宋"/>
              <w:bCs/>
              <w:szCs w:val="28"/>
              <w:lang w:val="zh-CN"/>
            </w:rPr>
            <w:fldChar w:fldCharType="separate"/>
          </w:r>
          <w:r>
            <w:rPr>
              <w:rFonts w:hint="eastAsia"/>
            </w:rPr>
            <w:t>（三） 电动汽车推广应用趋势</w:t>
          </w:r>
          <w:r>
            <w:tab/>
          </w:r>
          <w:r>
            <w:fldChar w:fldCharType="begin"/>
          </w:r>
          <w:r>
            <w:instrText xml:space="preserve"> PAGEREF _Toc10501 \h </w:instrText>
          </w:r>
          <w:r>
            <w:fldChar w:fldCharType="separate"/>
          </w:r>
          <w:r>
            <w:t>28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_Toc11617 </w:instrText>
          </w:r>
          <w:r>
            <w:rPr>
              <w:rFonts w:hint="eastAsia" w:ascii="仿宋" w:hAnsi="仿宋" w:eastAsia="仿宋" w:cs="仿宋"/>
              <w:bCs/>
              <w:szCs w:val="28"/>
              <w:lang w:val="zh-CN"/>
            </w:rPr>
            <w:fldChar w:fldCharType="separate"/>
          </w:r>
          <w:r>
            <w:rPr>
              <w:rFonts w:hint="eastAsia"/>
            </w:rPr>
            <w:t>（四） 问题及挑战</w:t>
          </w:r>
          <w:r>
            <w:tab/>
          </w:r>
          <w:r>
            <w:fldChar w:fldCharType="begin"/>
          </w:r>
          <w:r>
            <w:instrText xml:space="preserve"> PAGEREF _Toc11617 \h </w:instrText>
          </w:r>
          <w:r>
            <w:fldChar w:fldCharType="separate"/>
          </w:r>
          <w:r>
            <w:t>29</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_Toc439 </w:instrText>
          </w:r>
          <w:r>
            <w:rPr>
              <w:rFonts w:hint="eastAsia" w:ascii="仿宋" w:hAnsi="仿宋" w:eastAsia="仿宋" w:cs="仿宋"/>
              <w:bCs/>
              <w:szCs w:val="28"/>
              <w:lang w:val="zh-CN"/>
            </w:rPr>
            <w:fldChar w:fldCharType="separate"/>
          </w:r>
          <w:r>
            <w:rPr>
              <w:rFonts w:hint="eastAsia"/>
              <w:lang w:val="en-US" w:eastAsia="zh-CN"/>
            </w:rPr>
            <w:t>六、 规划分区</w:t>
          </w:r>
          <w:r>
            <w:tab/>
          </w:r>
          <w:r>
            <w:fldChar w:fldCharType="begin"/>
          </w:r>
          <w:r>
            <w:instrText xml:space="preserve"> PAGEREF _Toc439 \h </w:instrText>
          </w:r>
          <w:r>
            <w:fldChar w:fldCharType="separate"/>
          </w:r>
          <w:r>
            <w:t>30</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_Toc14884 </w:instrText>
          </w:r>
          <w:r>
            <w:rPr>
              <w:rFonts w:hint="eastAsia" w:ascii="仿宋" w:hAnsi="仿宋" w:eastAsia="仿宋" w:cs="仿宋"/>
              <w:bCs/>
              <w:szCs w:val="28"/>
              <w:lang w:val="zh-CN"/>
            </w:rPr>
            <w:fldChar w:fldCharType="separate"/>
          </w:r>
          <w:r>
            <w:rPr>
              <w:rFonts w:hint="eastAsia"/>
              <w:lang w:val="en-US" w:eastAsia="zh-CN"/>
            </w:rPr>
            <w:t>（一） 分区原则</w:t>
          </w:r>
          <w:r>
            <w:tab/>
          </w:r>
          <w:r>
            <w:fldChar w:fldCharType="begin"/>
          </w:r>
          <w:r>
            <w:instrText xml:space="preserve"> PAGEREF _Toc14884 \h </w:instrText>
          </w:r>
          <w:r>
            <w:fldChar w:fldCharType="separate"/>
          </w:r>
          <w:r>
            <w:t>30</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_Toc9085 </w:instrText>
          </w:r>
          <w:r>
            <w:rPr>
              <w:rFonts w:hint="eastAsia" w:ascii="仿宋" w:hAnsi="仿宋" w:eastAsia="仿宋" w:cs="仿宋"/>
              <w:bCs/>
              <w:szCs w:val="28"/>
              <w:lang w:val="zh-CN"/>
            </w:rPr>
            <w:fldChar w:fldCharType="separate"/>
          </w:r>
          <w:r>
            <w:rPr>
              <w:rFonts w:hint="eastAsia"/>
              <w:lang w:val="en-US" w:eastAsia="zh-CN"/>
            </w:rPr>
            <w:t>（二） 片区划分结果</w:t>
          </w:r>
          <w:r>
            <w:tab/>
          </w:r>
          <w:r>
            <w:fldChar w:fldCharType="begin"/>
          </w:r>
          <w:r>
            <w:instrText xml:space="preserve"> PAGEREF _Toc9085 \h </w:instrText>
          </w:r>
          <w:r>
            <w:fldChar w:fldCharType="separate"/>
          </w:r>
          <w:r>
            <w:t>31</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_Toc22211 </w:instrText>
          </w:r>
          <w:r>
            <w:rPr>
              <w:rFonts w:hint="eastAsia" w:ascii="仿宋" w:hAnsi="仿宋" w:eastAsia="仿宋" w:cs="仿宋"/>
              <w:bCs/>
              <w:szCs w:val="28"/>
              <w:lang w:val="zh-CN"/>
            </w:rPr>
            <w:fldChar w:fldCharType="separate"/>
          </w:r>
          <w:r>
            <w:rPr>
              <w:rFonts w:hint="eastAsia"/>
            </w:rPr>
            <w:t>第五章 需求预测</w:t>
          </w:r>
          <w:r>
            <w:tab/>
          </w:r>
          <w:r>
            <w:fldChar w:fldCharType="begin"/>
          </w:r>
          <w:r>
            <w:instrText xml:space="preserve"> PAGEREF _Toc22211 \h </w:instrText>
          </w:r>
          <w:r>
            <w:fldChar w:fldCharType="separate"/>
          </w:r>
          <w:r>
            <w:t>33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_Toc14704 </w:instrText>
          </w:r>
          <w:r>
            <w:rPr>
              <w:rFonts w:hint="eastAsia" w:ascii="仿宋" w:hAnsi="仿宋" w:eastAsia="仿宋" w:cs="仿宋"/>
              <w:bCs/>
              <w:szCs w:val="28"/>
              <w:lang w:val="zh-CN"/>
            </w:rPr>
            <w:fldChar w:fldCharType="separate"/>
          </w:r>
          <w:r>
            <w:rPr>
              <w:rFonts w:hint="eastAsia"/>
            </w:rPr>
            <w:t>一、 汽车保有量预测</w:t>
          </w:r>
          <w:r>
            <w:tab/>
          </w:r>
          <w:r>
            <w:fldChar w:fldCharType="begin"/>
          </w:r>
          <w:r>
            <w:instrText xml:space="preserve"> PAGEREF _Toc14704 \h </w:instrText>
          </w:r>
          <w:r>
            <w:fldChar w:fldCharType="separate"/>
          </w:r>
          <w:r>
            <w:t>33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_Toc31896 </w:instrText>
          </w:r>
          <w:r>
            <w:rPr>
              <w:rFonts w:hint="eastAsia" w:ascii="仿宋" w:hAnsi="仿宋" w:eastAsia="仿宋" w:cs="仿宋"/>
              <w:bCs/>
              <w:szCs w:val="28"/>
              <w:lang w:val="zh-CN"/>
            </w:rPr>
            <w:fldChar w:fldCharType="separate"/>
          </w:r>
          <w:r>
            <w:rPr>
              <w:rFonts w:hint="eastAsia"/>
            </w:rPr>
            <w:t xml:space="preserve">二、 </w:t>
          </w:r>
          <w:r>
            <w:rPr>
              <w:rFonts w:hint="eastAsia"/>
              <w:highlight w:val="none"/>
            </w:rPr>
            <w:t>电动汽车保有量预测</w:t>
          </w:r>
          <w:r>
            <w:tab/>
          </w:r>
          <w:r>
            <w:fldChar w:fldCharType="begin"/>
          </w:r>
          <w:r>
            <w:instrText xml:space="preserve"> PAGEREF _Toc31896 \h </w:instrText>
          </w:r>
          <w:r>
            <w:fldChar w:fldCharType="separate"/>
          </w:r>
          <w:r>
            <w:t>35</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_Toc3974 </w:instrText>
          </w:r>
          <w:r>
            <w:rPr>
              <w:rFonts w:hint="eastAsia" w:ascii="仿宋" w:hAnsi="仿宋" w:eastAsia="仿宋" w:cs="仿宋"/>
              <w:bCs/>
              <w:szCs w:val="28"/>
              <w:lang w:val="zh-CN"/>
            </w:rPr>
            <w:fldChar w:fldCharType="separate"/>
          </w:r>
          <w:r>
            <w:rPr>
              <w:rFonts w:hint="eastAsia"/>
              <w:lang w:val="en-US" w:eastAsia="zh-CN"/>
            </w:rPr>
            <w:t xml:space="preserve">（一） </w:t>
          </w:r>
          <w:r>
            <w:rPr>
              <w:rFonts w:hint="eastAsia"/>
              <w:highlight w:val="none"/>
              <w:lang w:val="en-US" w:eastAsia="zh-CN"/>
            </w:rPr>
            <w:t>新能源汽车保有量预测</w:t>
          </w:r>
          <w:r>
            <w:tab/>
          </w:r>
          <w:r>
            <w:fldChar w:fldCharType="begin"/>
          </w:r>
          <w:r>
            <w:instrText xml:space="preserve"> PAGEREF _Toc3974 \h </w:instrText>
          </w:r>
          <w:r>
            <w:fldChar w:fldCharType="separate"/>
          </w:r>
          <w:r>
            <w:t>35</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_Toc10177 </w:instrText>
          </w:r>
          <w:r>
            <w:rPr>
              <w:rFonts w:hint="eastAsia" w:ascii="仿宋" w:hAnsi="仿宋" w:eastAsia="仿宋" w:cs="仿宋"/>
              <w:bCs/>
              <w:szCs w:val="28"/>
              <w:lang w:val="zh-CN"/>
            </w:rPr>
            <w:fldChar w:fldCharType="separate"/>
          </w:r>
          <w:r>
            <w:rPr>
              <w:rFonts w:hint="eastAsia"/>
            </w:rPr>
            <w:t>（二） 电动公交车保有量预测</w:t>
          </w:r>
          <w:r>
            <w:tab/>
          </w:r>
          <w:r>
            <w:fldChar w:fldCharType="begin"/>
          </w:r>
          <w:r>
            <w:instrText xml:space="preserve"> PAGEREF _Toc10177 \h </w:instrText>
          </w:r>
          <w:r>
            <w:fldChar w:fldCharType="separate"/>
          </w:r>
          <w:r>
            <w:t>37</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_Toc31090 </w:instrText>
          </w:r>
          <w:r>
            <w:rPr>
              <w:rFonts w:hint="eastAsia" w:ascii="仿宋" w:hAnsi="仿宋" w:eastAsia="仿宋" w:cs="仿宋"/>
              <w:bCs/>
              <w:szCs w:val="28"/>
              <w:lang w:val="zh-CN"/>
            </w:rPr>
            <w:fldChar w:fldCharType="separate"/>
          </w:r>
          <w:r>
            <w:rPr>
              <w:rFonts w:hint="eastAsia"/>
            </w:rPr>
            <w:t>（三） 电动出租车保有量预测</w:t>
          </w:r>
          <w:r>
            <w:tab/>
          </w:r>
          <w:r>
            <w:fldChar w:fldCharType="begin"/>
          </w:r>
          <w:r>
            <w:instrText xml:space="preserve"> PAGEREF _Toc31090 \h </w:instrText>
          </w:r>
          <w:r>
            <w:fldChar w:fldCharType="separate"/>
          </w:r>
          <w:r>
            <w:t>37</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_Toc19688 </w:instrText>
          </w:r>
          <w:r>
            <w:rPr>
              <w:rFonts w:hint="eastAsia" w:ascii="仿宋" w:hAnsi="仿宋" w:eastAsia="仿宋" w:cs="仿宋"/>
              <w:bCs/>
              <w:szCs w:val="28"/>
              <w:lang w:val="zh-CN"/>
            </w:rPr>
            <w:fldChar w:fldCharType="separate"/>
          </w:r>
          <w:r>
            <w:rPr>
              <w:rFonts w:hint="eastAsia"/>
            </w:rPr>
            <w:t>三、 电动汽车充电基础设施需求预测</w:t>
          </w:r>
          <w:r>
            <w:tab/>
          </w:r>
          <w:r>
            <w:fldChar w:fldCharType="begin"/>
          </w:r>
          <w:r>
            <w:instrText xml:space="preserve"> PAGEREF _Toc19688 \h </w:instrText>
          </w:r>
          <w:r>
            <w:fldChar w:fldCharType="separate"/>
          </w:r>
          <w:r>
            <w:t>38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_Toc29146 </w:instrText>
          </w:r>
          <w:r>
            <w:rPr>
              <w:rFonts w:hint="eastAsia" w:ascii="仿宋" w:hAnsi="仿宋" w:eastAsia="仿宋" w:cs="仿宋"/>
              <w:bCs/>
              <w:szCs w:val="28"/>
              <w:lang w:val="zh-CN"/>
            </w:rPr>
            <w:fldChar w:fldCharType="separate"/>
          </w:r>
          <w:r>
            <w:rPr>
              <w:rFonts w:hint="eastAsia"/>
            </w:rPr>
            <w:t>（一） 预测原则</w:t>
          </w:r>
          <w:r>
            <w:tab/>
          </w:r>
          <w:r>
            <w:fldChar w:fldCharType="begin"/>
          </w:r>
          <w:r>
            <w:instrText xml:space="preserve"> PAGEREF _Toc29146 \h </w:instrText>
          </w:r>
          <w:r>
            <w:fldChar w:fldCharType="separate"/>
          </w:r>
          <w:r>
            <w:t>38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_Toc31289 </w:instrText>
          </w:r>
          <w:r>
            <w:rPr>
              <w:rFonts w:hint="eastAsia" w:ascii="仿宋" w:hAnsi="仿宋" w:eastAsia="仿宋" w:cs="仿宋"/>
              <w:bCs/>
              <w:szCs w:val="28"/>
              <w:lang w:val="zh-CN"/>
            </w:rPr>
            <w:fldChar w:fldCharType="separate"/>
          </w:r>
          <w:r>
            <w:rPr>
              <w:rFonts w:hint="eastAsia"/>
            </w:rPr>
            <w:t>（二） “以车定桩”预测</w:t>
          </w:r>
          <w:r>
            <w:tab/>
          </w:r>
          <w:r>
            <w:fldChar w:fldCharType="begin"/>
          </w:r>
          <w:r>
            <w:instrText xml:space="preserve"> PAGEREF _Toc31289 \h </w:instrText>
          </w:r>
          <w:r>
            <w:fldChar w:fldCharType="separate"/>
          </w:r>
          <w:r>
            <w:t>38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_Toc15340 </w:instrText>
          </w:r>
          <w:r>
            <w:rPr>
              <w:rFonts w:hint="eastAsia" w:ascii="仿宋" w:hAnsi="仿宋" w:eastAsia="仿宋" w:cs="仿宋"/>
              <w:bCs/>
              <w:szCs w:val="28"/>
              <w:lang w:val="zh-CN"/>
            </w:rPr>
            <w:fldChar w:fldCharType="separate"/>
          </w:r>
          <w:r>
            <w:rPr>
              <w:rFonts w:hint="eastAsia"/>
            </w:rPr>
            <w:t xml:space="preserve">（三） </w:t>
          </w:r>
          <w:r>
            <w:t>充电量预测法</w:t>
          </w:r>
          <w:r>
            <w:tab/>
          </w:r>
          <w:r>
            <w:fldChar w:fldCharType="begin"/>
          </w:r>
          <w:r>
            <w:instrText xml:space="preserve"> PAGEREF _Toc15340 \h </w:instrText>
          </w:r>
          <w:r>
            <w:fldChar w:fldCharType="separate"/>
          </w:r>
          <w:r>
            <w:t>39</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_Toc25873 </w:instrText>
          </w:r>
          <w:r>
            <w:rPr>
              <w:rFonts w:hint="eastAsia" w:ascii="仿宋" w:hAnsi="仿宋" w:eastAsia="仿宋" w:cs="仿宋"/>
              <w:bCs/>
              <w:szCs w:val="28"/>
              <w:lang w:val="zh-CN"/>
            </w:rPr>
            <w:fldChar w:fldCharType="separate"/>
          </w:r>
          <w:r>
            <w:rPr>
              <w:rFonts w:hint="eastAsia"/>
            </w:rPr>
            <w:t xml:space="preserve">（四） </w:t>
          </w:r>
          <w:r>
            <w:rPr>
              <w:rFonts w:hint="eastAsia"/>
              <w:highlight w:val="none"/>
            </w:rPr>
            <w:t>需求预测结果</w:t>
          </w:r>
          <w:r>
            <w:tab/>
          </w:r>
          <w:r>
            <w:fldChar w:fldCharType="begin"/>
          </w:r>
          <w:r>
            <w:instrText xml:space="preserve"> PAGEREF _Toc25873 \h </w:instrText>
          </w:r>
          <w:r>
            <w:fldChar w:fldCharType="separate"/>
          </w:r>
          <w:r>
            <w:t>41</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_Toc25297 </w:instrText>
          </w:r>
          <w:r>
            <w:rPr>
              <w:rFonts w:hint="eastAsia" w:ascii="仿宋" w:hAnsi="仿宋" w:eastAsia="仿宋" w:cs="仿宋"/>
              <w:bCs/>
              <w:szCs w:val="28"/>
              <w:lang w:val="zh-CN"/>
            </w:rPr>
            <w:fldChar w:fldCharType="separate"/>
          </w:r>
          <w:r>
            <w:rPr>
              <w:rFonts w:hint="eastAsia"/>
            </w:rPr>
            <w:t>第六章 电动汽车充电基础设施规划布局</w:t>
          </w:r>
          <w:r>
            <w:tab/>
          </w:r>
          <w:r>
            <w:fldChar w:fldCharType="begin"/>
          </w:r>
          <w:r>
            <w:instrText xml:space="preserve"> PAGEREF _Toc25297 \h </w:instrText>
          </w:r>
          <w:r>
            <w:fldChar w:fldCharType="separate"/>
          </w:r>
          <w:r>
            <w:t>42</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_Toc29235 </w:instrText>
          </w:r>
          <w:r>
            <w:rPr>
              <w:rFonts w:hint="eastAsia" w:ascii="仿宋" w:hAnsi="仿宋" w:eastAsia="仿宋" w:cs="仿宋"/>
              <w:bCs/>
              <w:szCs w:val="28"/>
              <w:lang w:val="zh-CN"/>
            </w:rPr>
            <w:fldChar w:fldCharType="separate"/>
          </w:r>
          <w:r>
            <w:rPr>
              <w:rFonts w:hint="eastAsia"/>
            </w:rPr>
            <w:t>一、 城市公共</w:t>
          </w:r>
          <w:r>
            <w:t>充电桩与充电站规划布局</w:t>
          </w:r>
          <w:r>
            <w:rPr>
              <w:rFonts w:hint="eastAsia"/>
              <w:lang w:val="en-US" w:eastAsia="zh-CN"/>
            </w:rPr>
            <w:t>规划</w:t>
          </w:r>
          <w:r>
            <w:t>原则</w:t>
          </w:r>
          <w:r>
            <w:tab/>
          </w:r>
          <w:r>
            <w:fldChar w:fldCharType="begin"/>
          </w:r>
          <w:r>
            <w:instrText xml:space="preserve"> PAGEREF _Toc29235 \h </w:instrText>
          </w:r>
          <w:r>
            <w:fldChar w:fldCharType="separate"/>
          </w:r>
          <w:r>
            <w:t>42</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_Toc3480 </w:instrText>
          </w:r>
          <w:r>
            <w:rPr>
              <w:rFonts w:hint="eastAsia" w:ascii="仿宋" w:hAnsi="仿宋" w:eastAsia="仿宋" w:cs="仿宋"/>
              <w:bCs/>
              <w:szCs w:val="28"/>
              <w:lang w:val="zh-CN"/>
            </w:rPr>
            <w:fldChar w:fldCharType="separate"/>
          </w:r>
          <w:r>
            <w:rPr>
              <w:rFonts w:hint="eastAsia"/>
            </w:rPr>
            <w:t>二、 充电基础设施配建要求</w:t>
          </w:r>
          <w:r>
            <w:tab/>
          </w:r>
          <w:r>
            <w:fldChar w:fldCharType="begin"/>
          </w:r>
          <w:r>
            <w:instrText xml:space="preserve"> PAGEREF _Toc3480 \h </w:instrText>
          </w:r>
          <w:r>
            <w:fldChar w:fldCharType="separate"/>
          </w:r>
          <w:r>
            <w:t>44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_Toc29820 </w:instrText>
          </w:r>
          <w:r>
            <w:rPr>
              <w:rFonts w:hint="eastAsia" w:ascii="仿宋" w:hAnsi="仿宋" w:eastAsia="仿宋" w:cs="仿宋"/>
              <w:bCs/>
              <w:szCs w:val="28"/>
              <w:lang w:val="zh-CN"/>
            </w:rPr>
            <w:fldChar w:fldCharType="separate"/>
          </w:r>
          <w:r>
            <w:rPr>
              <w:rFonts w:hint="eastAsia"/>
            </w:rPr>
            <w:t>三、 充电基础设施布局方案</w:t>
          </w:r>
          <w:r>
            <w:tab/>
          </w:r>
          <w:r>
            <w:fldChar w:fldCharType="begin"/>
          </w:r>
          <w:r>
            <w:instrText xml:space="preserve"> PAGEREF _Toc29820 \h </w:instrText>
          </w:r>
          <w:r>
            <w:fldChar w:fldCharType="separate"/>
          </w:r>
          <w:r>
            <w:t>46</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_Toc4998 </w:instrText>
          </w:r>
          <w:r>
            <w:rPr>
              <w:rFonts w:hint="eastAsia" w:ascii="仿宋" w:hAnsi="仿宋" w:eastAsia="仿宋" w:cs="仿宋"/>
              <w:bCs/>
              <w:szCs w:val="28"/>
              <w:lang w:val="zh-CN"/>
            </w:rPr>
            <w:fldChar w:fldCharType="separate"/>
          </w:r>
          <w:r>
            <w:rPr>
              <w:rFonts w:hint="eastAsia"/>
            </w:rPr>
            <w:t>第七章 重点任务</w:t>
          </w:r>
          <w:r>
            <w:tab/>
          </w:r>
          <w:r>
            <w:fldChar w:fldCharType="begin"/>
          </w:r>
          <w:r>
            <w:instrText xml:space="preserve"> PAGEREF _Toc4998 \h </w:instrText>
          </w:r>
          <w:r>
            <w:fldChar w:fldCharType="separate"/>
          </w:r>
          <w:r>
            <w:t>62</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_Toc32372 </w:instrText>
          </w:r>
          <w:r>
            <w:rPr>
              <w:rFonts w:hint="eastAsia" w:ascii="仿宋" w:hAnsi="仿宋" w:eastAsia="仿宋" w:cs="仿宋"/>
              <w:bCs/>
              <w:szCs w:val="28"/>
              <w:lang w:val="zh-CN"/>
            </w:rPr>
            <w:fldChar w:fldCharType="separate"/>
          </w:r>
          <w:r>
            <w:rPr>
              <w:rFonts w:hint="eastAsia"/>
            </w:rPr>
            <w:t>一、 全面推进充电基础设施网络布局和建设</w:t>
          </w:r>
          <w:r>
            <w:tab/>
          </w:r>
          <w:r>
            <w:fldChar w:fldCharType="begin"/>
          </w:r>
          <w:r>
            <w:instrText xml:space="preserve"> PAGEREF _Toc32372 \h </w:instrText>
          </w:r>
          <w:r>
            <w:fldChar w:fldCharType="separate"/>
          </w:r>
          <w:r>
            <w:t>62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_Toc23544 </w:instrText>
          </w:r>
          <w:r>
            <w:rPr>
              <w:rFonts w:hint="eastAsia" w:ascii="仿宋" w:hAnsi="仿宋" w:eastAsia="仿宋" w:cs="仿宋"/>
              <w:bCs/>
              <w:szCs w:val="28"/>
              <w:lang w:val="zh-CN"/>
            </w:rPr>
            <w:fldChar w:fldCharType="separate"/>
          </w:r>
          <w:r>
            <w:rPr>
              <w:rFonts w:hint="eastAsia"/>
            </w:rPr>
            <w:t>（一） 着力推进公交车和出租车充电基础设施建设</w:t>
          </w:r>
          <w:r>
            <w:tab/>
          </w:r>
          <w:r>
            <w:fldChar w:fldCharType="begin"/>
          </w:r>
          <w:r>
            <w:instrText xml:space="preserve"> PAGEREF _Toc23544 \h </w:instrText>
          </w:r>
          <w:r>
            <w:fldChar w:fldCharType="separate"/>
          </w:r>
          <w:r>
            <w:t>62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_Toc17711 </w:instrText>
          </w:r>
          <w:r>
            <w:rPr>
              <w:rFonts w:hint="eastAsia" w:ascii="仿宋" w:hAnsi="仿宋" w:eastAsia="仿宋" w:cs="仿宋"/>
              <w:bCs/>
              <w:szCs w:val="28"/>
              <w:lang w:val="zh-CN"/>
            </w:rPr>
            <w:fldChar w:fldCharType="separate"/>
          </w:r>
          <w:r>
            <w:rPr>
              <w:rFonts w:hint="eastAsia"/>
            </w:rPr>
            <w:t>（二） 鼓励建设行业专用车充电站</w:t>
          </w:r>
          <w:r>
            <w:tab/>
          </w:r>
          <w:r>
            <w:fldChar w:fldCharType="begin"/>
          </w:r>
          <w:r>
            <w:instrText xml:space="preserve"> PAGEREF _Toc17711 \h </w:instrText>
          </w:r>
          <w:r>
            <w:fldChar w:fldCharType="separate"/>
          </w:r>
          <w:r>
            <w:t>62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_Toc11829 </w:instrText>
          </w:r>
          <w:r>
            <w:rPr>
              <w:rFonts w:hint="eastAsia" w:ascii="仿宋" w:hAnsi="仿宋" w:eastAsia="仿宋" w:cs="仿宋"/>
              <w:bCs/>
              <w:szCs w:val="28"/>
              <w:lang w:val="zh-CN"/>
            </w:rPr>
            <w:fldChar w:fldCharType="separate"/>
          </w:r>
          <w:r>
            <w:rPr>
              <w:rFonts w:hint="eastAsia"/>
            </w:rPr>
            <w:t>（三） 加快推动用户居住地充电基础设施建设</w:t>
          </w:r>
          <w:r>
            <w:tab/>
          </w:r>
          <w:r>
            <w:fldChar w:fldCharType="begin"/>
          </w:r>
          <w:r>
            <w:instrText xml:space="preserve"> PAGEREF _Toc11829 \h </w:instrText>
          </w:r>
          <w:r>
            <w:fldChar w:fldCharType="separate"/>
          </w:r>
          <w:r>
            <w:t>62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_Toc18257 </w:instrText>
          </w:r>
          <w:r>
            <w:rPr>
              <w:rFonts w:hint="eastAsia" w:ascii="仿宋" w:hAnsi="仿宋" w:eastAsia="仿宋" w:cs="仿宋"/>
              <w:bCs/>
              <w:szCs w:val="28"/>
              <w:lang w:val="zh-CN"/>
            </w:rPr>
            <w:fldChar w:fldCharType="separate"/>
          </w:r>
          <w:r>
            <w:rPr>
              <w:rFonts w:hint="eastAsia"/>
            </w:rPr>
            <w:t>（四） 积极开展单位内部停车场充电基础设施建设</w:t>
          </w:r>
          <w:r>
            <w:tab/>
          </w:r>
          <w:r>
            <w:fldChar w:fldCharType="begin"/>
          </w:r>
          <w:r>
            <w:instrText xml:space="preserve"> PAGEREF _Toc18257 \h </w:instrText>
          </w:r>
          <w:r>
            <w:fldChar w:fldCharType="separate"/>
          </w:r>
          <w:r>
            <w:t>63</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_Toc30944 </w:instrText>
          </w:r>
          <w:r>
            <w:rPr>
              <w:rFonts w:hint="eastAsia" w:ascii="仿宋" w:hAnsi="仿宋" w:eastAsia="仿宋" w:cs="仿宋"/>
              <w:bCs/>
              <w:szCs w:val="28"/>
              <w:lang w:val="zh-CN"/>
            </w:rPr>
            <w:fldChar w:fldCharType="separate"/>
          </w:r>
          <w:r>
            <w:rPr>
              <w:rFonts w:hint="eastAsia"/>
            </w:rPr>
            <w:t>（五） 加快推进城市公共充电网络建设</w:t>
          </w:r>
          <w:r>
            <w:tab/>
          </w:r>
          <w:r>
            <w:fldChar w:fldCharType="begin"/>
          </w:r>
          <w:r>
            <w:instrText xml:space="preserve"> PAGEREF _Toc30944 \h </w:instrText>
          </w:r>
          <w:r>
            <w:fldChar w:fldCharType="separate"/>
          </w:r>
          <w:r>
            <w:t>63</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_Toc16705 </w:instrText>
          </w:r>
          <w:r>
            <w:rPr>
              <w:rFonts w:hint="eastAsia" w:ascii="仿宋" w:hAnsi="仿宋" w:eastAsia="仿宋" w:cs="仿宋"/>
              <w:bCs/>
              <w:szCs w:val="28"/>
              <w:lang w:val="zh-CN"/>
            </w:rPr>
            <w:fldChar w:fldCharType="separate"/>
          </w:r>
          <w:r>
            <w:rPr>
              <w:rFonts w:hint="eastAsia"/>
            </w:rPr>
            <w:t>（六） 引导旅游行业和客运车充电设施建设</w:t>
          </w:r>
          <w:r>
            <w:tab/>
          </w:r>
          <w:r>
            <w:fldChar w:fldCharType="begin"/>
          </w:r>
          <w:r>
            <w:instrText xml:space="preserve"> PAGEREF _Toc16705 \h </w:instrText>
          </w:r>
          <w:r>
            <w:fldChar w:fldCharType="separate"/>
          </w:r>
          <w:r>
            <w:t>64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_Toc5608 </w:instrText>
          </w:r>
          <w:r>
            <w:rPr>
              <w:rFonts w:hint="eastAsia" w:ascii="仿宋" w:hAnsi="仿宋" w:eastAsia="仿宋" w:cs="仿宋"/>
              <w:bCs/>
              <w:szCs w:val="28"/>
              <w:lang w:val="zh-CN"/>
            </w:rPr>
            <w:fldChar w:fldCharType="separate"/>
          </w:r>
          <w:r>
            <w:rPr>
              <w:rFonts w:hint="eastAsia"/>
              <w:lang w:val="en-US" w:eastAsia="zh-CN"/>
            </w:rPr>
            <w:t>二、 新技术推广示范</w:t>
          </w:r>
          <w:r>
            <w:tab/>
          </w:r>
          <w:r>
            <w:fldChar w:fldCharType="begin"/>
          </w:r>
          <w:r>
            <w:instrText xml:space="preserve"> PAGEREF _Toc5608 \h </w:instrText>
          </w:r>
          <w:r>
            <w:fldChar w:fldCharType="separate"/>
          </w:r>
          <w:r>
            <w:t>64</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_Toc32706 </w:instrText>
          </w:r>
          <w:r>
            <w:rPr>
              <w:rFonts w:hint="eastAsia" w:ascii="仿宋" w:hAnsi="仿宋" w:eastAsia="仿宋" w:cs="仿宋"/>
              <w:bCs/>
              <w:szCs w:val="28"/>
              <w:lang w:val="zh-CN"/>
            </w:rPr>
            <w:fldChar w:fldCharType="separate"/>
          </w:r>
          <w:r>
            <w:rPr>
              <w:rFonts w:hint="eastAsia"/>
              <w:lang w:val="en-US" w:eastAsia="zh-CN"/>
            </w:rPr>
            <w:t>（一） 光</w:t>
          </w:r>
          <w:r>
            <w:rPr>
              <w:rFonts w:hint="default"/>
              <w:lang w:val="en-US" w:eastAsia="zh-CN"/>
            </w:rPr>
            <w:t>储充一体化停车场</w:t>
          </w:r>
          <w:r>
            <w:tab/>
          </w:r>
          <w:r>
            <w:fldChar w:fldCharType="begin"/>
          </w:r>
          <w:r>
            <w:instrText xml:space="preserve"> PAGEREF _Toc32706 \h </w:instrText>
          </w:r>
          <w:r>
            <w:fldChar w:fldCharType="separate"/>
          </w:r>
          <w:r>
            <w:t>64</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_Toc30516 </w:instrText>
          </w:r>
          <w:r>
            <w:rPr>
              <w:rFonts w:hint="eastAsia" w:ascii="仿宋" w:hAnsi="仿宋" w:eastAsia="仿宋" w:cs="仿宋"/>
              <w:bCs/>
              <w:szCs w:val="28"/>
              <w:lang w:val="zh-CN"/>
            </w:rPr>
            <w:fldChar w:fldCharType="separate"/>
          </w:r>
          <w:r>
            <w:rPr>
              <w:rFonts w:hint="eastAsia"/>
              <w:lang w:val="en-US" w:eastAsia="zh-CN"/>
            </w:rPr>
            <w:t>（二） 液冷超冲技术</w:t>
          </w:r>
          <w:r>
            <w:tab/>
          </w:r>
          <w:r>
            <w:fldChar w:fldCharType="begin"/>
          </w:r>
          <w:r>
            <w:instrText xml:space="preserve"> PAGEREF _Toc30516 \h </w:instrText>
          </w:r>
          <w:r>
            <w:fldChar w:fldCharType="separate"/>
          </w:r>
          <w:r>
            <w:t>67</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_Toc27792 </w:instrText>
          </w:r>
          <w:r>
            <w:rPr>
              <w:rFonts w:hint="eastAsia" w:ascii="仿宋" w:hAnsi="仿宋" w:eastAsia="仿宋" w:cs="仿宋"/>
              <w:bCs/>
              <w:szCs w:val="28"/>
              <w:lang w:val="zh-CN"/>
            </w:rPr>
            <w:fldChar w:fldCharType="separate"/>
          </w:r>
          <w:r>
            <w:rPr>
              <w:rFonts w:hint="eastAsia"/>
            </w:rPr>
            <w:t>三、 加强配套电网保障能力</w:t>
          </w:r>
          <w:r>
            <w:tab/>
          </w:r>
          <w:r>
            <w:fldChar w:fldCharType="begin"/>
          </w:r>
          <w:r>
            <w:instrText xml:space="preserve"> PAGEREF _Toc27792 \h </w:instrText>
          </w:r>
          <w:r>
            <w:fldChar w:fldCharType="separate"/>
          </w:r>
          <w:r>
            <w:t>70</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_Toc18771 </w:instrText>
          </w:r>
          <w:r>
            <w:rPr>
              <w:rFonts w:hint="eastAsia" w:ascii="仿宋" w:hAnsi="仿宋" w:eastAsia="仿宋" w:cs="仿宋"/>
              <w:bCs/>
              <w:szCs w:val="28"/>
              <w:lang w:val="zh-CN"/>
            </w:rPr>
            <w:fldChar w:fldCharType="separate"/>
          </w:r>
          <w:r>
            <w:rPr>
              <w:rFonts w:hint="eastAsia"/>
            </w:rPr>
            <w:t>（一） 加强配套电网建设</w:t>
          </w:r>
          <w:r>
            <w:tab/>
          </w:r>
          <w:r>
            <w:fldChar w:fldCharType="begin"/>
          </w:r>
          <w:r>
            <w:instrText xml:space="preserve"> PAGEREF _Toc18771 \h </w:instrText>
          </w:r>
          <w:r>
            <w:fldChar w:fldCharType="separate"/>
          </w:r>
          <w:r>
            <w:t>70</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_Toc19639 </w:instrText>
          </w:r>
          <w:r>
            <w:rPr>
              <w:rFonts w:hint="eastAsia" w:ascii="仿宋" w:hAnsi="仿宋" w:eastAsia="仿宋" w:cs="仿宋"/>
              <w:bCs/>
              <w:szCs w:val="28"/>
              <w:lang w:val="zh-CN"/>
            </w:rPr>
            <w:fldChar w:fldCharType="separate"/>
          </w:r>
          <w:r>
            <w:rPr>
              <w:rFonts w:hint="eastAsia"/>
            </w:rPr>
            <w:t>（二） 完善供电服务</w:t>
          </w:r>
          <w:r>
            <w:tab/>
          </w:r>
          <w:r>
            <w:fldChar w:fldCharType="begin"/>
          </w:r>
          <w:r>
            <w:instrText xml:space="preserve"> PAGEREF _Toc19639 \h </w:instrText>
          </w:r>
          <w:r>
            <w:fldChar w:fldCharType="separate"/>
          </w:r>
          <w:r>
            <w:t>70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_Toc17651 </w:instrText>
          </w:r>
          <w:r>
            <w:rPr>
              <w:rFonts w:hint="eastAsia" w:ascii="仿宋" w:hAnsi="仿宋" w:eastAsia="仿宋" w:cs="仿宋"/>
              <w:bCs/>
              <w:szCs w:val="28"/>
              <w:lang w:val="zh-CN"/>
            </w:rPr>
            <w:fldChar w:fldCharType="separate"/>
          </w:r>
          <w:r>
            <w:rPr>
              <w:rFonts w:hint="eastAsia"/>
            </w:rPr>
            <w:t>四、 统一设计建设标准</w:t>
          </w:r>
          <w:r>
            <w:tab/>
          </w:r>
          <w:r>
            <w:fldChar w:fldCharType="begin"/>
          </w:r>
          <w:r>
            <w:instrText xml:space="preserve"> PAGEREF _Toc17651 \h </w:instrText>
          </w:r>
          <w:r>
            <w:fldChar w:fldCharType="separate"/>
          </w:r>
          <w:r>
            <w:t>70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_Toc9910 </w:instrText>
          </w:r>
          <w:r>
            <w:rPr>
              <w:rFonts w:hint="eastAsia" w:ascii="仿宋" w:hAnsi="仿宋" w:eastAsia="仿宋" w:cs="仿宋"/>
              <w:bCs/>
              <w:szCs w:val="28"/>
              <w:lang w:val="zh-CN"/>
            </w:rPr>
            <w:fldChar w:fldCharType="separate"/>
          </w:r>
          <w:r>
            <w:rPr>
              <w:rFonts w:hint="eastAsia"/>
            </w:rPr>
            <w:t>五、 探索可持续商业模式</w:t>
          </w:r>
          <w:r>
            <w:tab/>
          </w:r>
          <w:r>
            <w:fldChar w:fldCharType="begin"/>
          </w:r>
          <w:r>
            <w:instrText xml:space="preserve"> PAGEREF _Toc9910 \h </w:instrText>
          </w:r>
          <w:r>
            <w:fldChar w:fldCharType="separate"/>
          </w:r>
          <w:r>
            <w:t>71</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_Toc27900 </w:instrText>
          </w:r>
          <w:r>
            <w:rPr>
              <w:rFonts w:hint="eastAsia" w:ascii="仿宋" w:hAnsi="仿宋" w:eastAsia="仿宋" w:cs="仿宋"/>
              <w:bCs/>
              <w:szCs w:val="28"/>
              <w:lang w:val="zh-CN"/>
            </w:rPr>
            <w:fldChar w:fldCharType="separate"/>
          </w:r>
          <w:r>
            <w:rPr>
              <w:rFonts w:hint="eastAsia"/>
            </w:rPr>
            <w:t>（一） 积极引入社会资本</w:t>
          </w:r>
          <w:r>
            <w:tab/>
          </w:r>
          <w:r>
            <w:fldChar w:fldCharType="begin"/>
          </w:r>
          <w:r>
            <w:instrText xml:space="preserve"> PAGEREF _Toc27900 \h </w:instrText>
          </w:r>
          <w:r>
            <w:fldChar w:fldCharType="separate"/>
          </w:r>
          <w:r>
            <w:t>71</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_Toc13999 </w:instrText>
          </w:r>
          <w:r>
            <w:rPr>
              <w:rFonts w:hint="eastAsia" w:ascii="仿宋" w:hAnsi="仿宋" w:eastAsia="仿宋" w:cs="仿宋"/>
              <w:bCs/>
              <w:szCs w:val="28"/>
              <w:lang w:val="zh-CN"/>
            </w:rPr>
            <w:fldChar w:fldCharType="separate"/>
          </w:r>
          <w:r>
            <w:rPr>
              <w:rFonts w:hint="eastAsia"/>
            </w:rPr>
            <w:t>（二） 鼓励探索多种商业模式</w:t>
          </w:r>
          <w:r>
            <w:tab/>
          </w:r>
          <w:r>
            <w:fldChar w:fldCharType="begin"/>
          </w:r>
          <w:r>
            <w:instrText xml:space="preserve"> PAGEREF _Toc13999 \h </w:instrText>
          </w:r>
          <w:r>
            <w:fldChar w:fldCharType="separate"/>
          </w:r>
          <w:r>
            <w:t>71</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_Toc9844 </w:instrText>
          </w:r>
          <w:r>
            <w:rPr>
              <w:rFonts w:hint="eastAsia" w:ascii="仿宋" w:hAnsi="仿宋" w:eastAsia="仿宋" w:cs="仿宋"/>
              <w:bCs/>
              <w:szCs w:val="28"/>
              <w:lang w:val="zh-CN"/>
            </w:rPr>
            <w:fldChar w:fldCharType="separate"/>
          </w:r>
          <w:r>
            <w:rPr>
              <w:rFonts w:hint="eastAsia"/>
            </w:rPr>
            <w:t>六、 建设信息服务平台，提高设施利用率</w:t>
          </w:r>
          <w:r>
            <w:tab/>
          </w:r>
          <w:r>
            <w:fldChar w:fldCharType="begin"/>
          </w:r>
          <w:r>
            <w:instrText xml:space="preserve"> PAGEREF _Toc9844 \h </w:instrText>
          </w:r>
          <w:r>
            <w:fldChar w:fldCharType="separate"/>
          </w:r>
          <w:r>
            <w:t>71</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_Toc18744 </w:instrText>
          </w:r>
          <w:r>
            <w:rPr>
              <w:rFonts w:hint="eastAsia" w:ascii="仿宋" w:hAnsi="仿宋" w:eastAsia="仿宋" w:cs="仿宋"/>
              <w:bCs/>
              <w:szCs w:val="28"/>
              <w:lang w:val="zh-CN"/>
            </w:rPr>
            <w:fldChar w:fldCharType="separate"/>
          </w:r>
          <w:r>
            <w:rPr>
              <w:rFonts w:hint="eastAsia"/>
            </w:rPr>
            <w:t>七、 大力推动重点示范工程建设</w:t>
          </w:r>
          <w:r>
            <w:tab/>
          </w:r>
          <w:r>
            <w:fldChar w:fldCharType="begin"/>
          </w:r>
          <w:r>
            <w:instrText xml:space="preserve"> PAGEREF _Toc18744 \h </w:instrText>
          </w:r>
          <w:r>
            <w:fldChar w:fldCharType="separate"/>
          </w:r>
          <w:r>
            <w:t>72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_Toc16543 </w:instrText>
          </w:r>
          <w:r>
            <w:rPr>
              <w:rFonts w:hint="eastAsia" w:ascii="仿宋" w:hAnsi="仿宋" w:eastAsia="仿宋" w:cs="仿宋"/>
              <w:bCs/>
              <w:szCs w:val="28"/>
              <w:lang w:val="zh-CN"/>
            </w:rPr>
            <w:fldChar w:fldCharType="separate"/>
          </w:r>
          <w:r>
            <w:rPr>
              <w:rFonts w:hint="eastAsia"/>
            </w:rPr>
            <w:t>（一） 开展建设与运营模式示范</w:t>
          </w:r>
          <w:r>
            <w:tab/>
          </w:r>
          <w:r>
            <w:fldChar w:fldCharType="begin"/>
          </w:r>
          <w:r>
            <w:instrText xml:space="preserve"> PAGEREF _Toc16543 \h </w:instrText>
          </w:r>
          <w:r>
            <w:fldChar w:fldCharType="separate"/>
          </w:r>
          <w:r>
            <w:t>72</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_Toc22918 </w:instrText>
          </w:r>
          <w:r>
            <w:rPr>
              <w:rFonts w:hint="eastAsia" w:ascii="仿宋" w:hAnsi="仿宋" w:eastAsia="仿宋" w:cs="仿宋"/>
              <w:bCs/>
              <w:szCs w:val="28"/>
              <w:lang w:val="zh-CN"/>
            </w:rPr>
            <w:fldChar w:fldCharType="separate"/>
          </w:r>
          <w:r>
            <w:rPr>
              <w:rFonts w:hint="eastAsia"/>
            </w:rPr>
            <w:t>（二） 加强示范经验总结与交流推广</w:t>
          </w:r>
          <w:r>
            <w:tab/>
          </w:r>
          <w:r>
            <w:fldChar w:fldCharType="begin"/>
          </w:r>
          <w:r>
            <w:instrText xml:space="preserve"> PAGEREF _Toc22918 \h </w:instrText>
          </w:r>
          <w:r>
            <w:fldChar w:fldCharType="separate"/>
          </w:r>
          <w:r>
            <w:t>73</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_Toc30448 </w:instrText>
          </w:r>
          <w:r>
            <w:rPr>
              <w:rFonts w:hint="eastAsia" w:ascii="仿宋" w:hAnsi="仿宋" w:eastAsia="仿宋" w:cs="仿宋"/>
              <w:bCs/>
              <w:szCs w:val="28"/>
              <w:lang w:val="zh-CN"/>
            </w:rPr>
            <w:fldChar w:fldCharType="separate"/>
          </w:r>
          <w:r>
            <w:rPr>
              <w:rFonts w:hint="eastAsia"/>
            </w:rPr>
            <w:t>八、 积极孵化培育电动汽车完整产业链</w:t>
          </w:r>
          <w:r>
            <w:tab/>
          </w:r>
          <w:r>
            <w:fldChar w:fldCharType="begin"/>
          </w:r>
          <w:r>
            <w:instrText xml:space="preserve"> PAGEREF _Toc30448 \h </w:instrText>
          </w:r>
          <w:r>
            <w:fldChar w:fldCharType="separate"/>
          </w:r>
          <w:r>
            <w:t>73</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_Toc30209 </w:instrText>
          </w:r>
          <w:r>
            <w:rPr>
              <w:rFonts w:hint="eastAsia" w:ascii="仿宋" w:hAnsi="仿宋" w:eastAsia="仿宋" w:cs="仿宋"/>
              <w:bCs/>
              <w:szCs w:val="28"/>
              <w:lang w:val="zh-CN"/>
            </w:rPr>
            <w:fldChar w:fldCharType="separate"/>
          </w:r>
          <w:r>
            <w:rPr>
              <w:rFonts w:hint="eastAsia"/>
            </w:rPr>
            <w:t>第八章 建设投资规模及实施效果</w:t>
          </w:r>
          <w:r>
            <w:tab/>
          </w:r>
          <w:r>
            <w:fldChar w:fldCharType="begin"/>
          </w:r>
          <w:r>
            <w:instrText xml:space="preserve"> PAGEREF _Toc30209 \h </w:instrText>
          </w:r>
          <w:r>
            <w:fldChar w:fldCharType="separate"/>
          </w:r>
          <w:r>
            <w:t>74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_Toc976 </w:instrText>
          </w:r>
          <w:r>
            <w:rPr>
              <w:rFonts w:hint="eastAsia" w:ascii="仿宋" w:hAnsi="仿宋" w:eastAsia="仿宋" w:cs="仿宋"/>
              <w:bCs/>
              <w:szCs w:val="28"/>
              <w:lang w:val="zh-CN"/>
            </w:rPr>
            <w:fldChar w:fldCharType="separate"/>
          </w:r>
          <w:r>
            <w:rPr>
              <w:rFonts w:hint="eastAsia"/>
            </w:rPr>
            <w:t>一、 建设规模</w:t>
          </w:r>
          <w:r>
            <w:tab/>
          </w:r>
          <w:r>
            <w:fldChar w:fldCharType="begin"/>
          </w:r>
          <w:r>
            <w:instrText xml:space="preserve"> PAGEREF _Toc976 \h </w:instrText>
          </w:r>
          <w:r>
            <w:fldChar w:fldCharType="separate"/>
          </w:r>
          <w:r>
            <w:t>74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_Toc18062 </w:instrText>
          </w:r>
          <w:r>
            <w:rPr>
              <w:rFonts w:hint="eastAsia" w:ascii="仿宋" w:hAnsi="仿宋" w:eastAsia="仿宋" w:cs="仿宋"/>
              <w:bCs/>
              <w:szCs w:val="28"/>
              <w:lang w:val="zh-CN"/>
            </w:rPr>
            <w:fldChar w:fldCharType="separate"/>
          </w:r>
          <w:r>
            <w:rPr>
              <w:rFonts w:hint="eastAsia"/>
            </w:rPr>
            <w:t xml:space="preserve">二、 </w:t>
          </w:r>
          <w:r>
            <w:rPr>
              <w:rFonts w:hint="eastAsia"/>
              <w:highlight w:val="none"/>
            </w:rPr>
            <w:t>投资估算</w:t>
          </w:r>
          <w:r>
            <w:tab/>
          </w:r>
          <w:r>
            <w:fldChar w:fldCharType="begin"/>
          </w:r>
          <w:r>
            <w:instrText xml:space="preserve"> PAGEREF _Toc18062 \h </w:instrText>
          </w:r>
          <w:r>
            <w:fldChar w:fldCharType="separate"/>
          </w:r>
          <w:r>
            <w:t>74</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_Toc21057 </w:instrText>
          </w:r>
          <w:r>
            <w:rPr>
              <w:rFonts w:hint="eastAsia" w:ascii="仿宋" w:hAnsi="仿宋" w:eastAsia="仿宋" w:cs="仿宋"/>
              <w:bCs/>
              <w:szCs w:val="28"/>
              <w:lang w:val="zh-CN"/>
            </w:rPr>
            <w:fldChar w:fldCharType="separate"/>
          </w:r>
          <w:r>
            <w:rPr>
              <w:rFonts w:hint="eastAsia"/>
            </w:rPr>
            <w:t xml:space="preserve">三、 </w:t>
          </w:r>
          <w:r>
            <w:rPr>
              <w:rFonts w:hint="eastAsia"/>
              <w:highlight w:val="none"/>
              <w:lang w:val="en-US" w:eastAsia="zh-CN"/>
            </w:rPr>
            <w:t>成效评估</w:t>
          </w:r>
          <w:r>
            <w:tab/>
          </w:r>
          <w:r>
            <w:fldChar w:fldCharType="begin"/>
          </w:r>
          <w:r>
            <w:instrText xml:space="preserve"> PAGEREF _Toc21057 \h </w:instrText>
          </w:r>
          <w:r>
            <w:fldChar w:fldCharType="separate"/>
          </w:r>
          <w:r>
            <w:t>75</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_Toc10767 </w:instrText>
          </w:r>
          <w:r>
            <w:rPr>
              <w:rFonts w:hint="eastAsia" w:ascii="仿宋" w:hAnsi="仿宋" w:eastAsia="仿宋" w:cs="仿宋"/>
              <w:bCs/>
              <w:szCs w:val="28"/>
              <w:lang w:val="zh-CN"/>
            </w:rPr>
            <w:fldChar w:fldCharType="separate"/>
          </w:r>
          <w:r>
            <w:rPr>
              <w:rFonts w:hint="eastAsia"/>
            </w:rPr>
            <w:t>第九章 环境影响初步评价</w:t>
          </w:r>
          <w:r>
            <w:tab/>
          </w:r>
          <w:r>
            <w:fldChar w:fldCharType="begin"/>
          </w:r>
          <w:r>
            <w:instrText xml:space="preserve"> PAGEREF _Toc10767 \h </w:instrText>
          </w:r>
          <w:r>
            <w:fldChar w:fldCharType="separate"/>
          </w:r>
          <w:r>
            <w:t>78</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_Toc3554 </w:instrText>
          </w:r>
          <w:r>
            <w:rPr>
              <w:rFonts w:hint="eastAsia" w:ascii="仿宋" w:hAnsi="仿宋" w:eastAsia="仿宋" w:cs="仿宋"/>
              <w:bCs/>
              <w:szCs w:val="28"/>
              <w:lang w:val="zh-CN"/>
            </w:rPr>
            <w:fldChar w:fldCharType="separate"/>
          </w:r>
          <w:r>
            <w:rPr>
              <w:rFonts w:hint="eastAsia"/>
            </w:rPr>
            <w:t>一、 建设/运营阶段环境影响分析</w:t>
          </w:r>
          <w:r>
            <w:tab/>
          </w:r>
          <w:r>
            <w:fldChar w:fldCharType="begin"/>
          </w:r>
          <w:r>
            <w:instrText xml:space="preserve"> PAGEREF _Toc3554 \h </w:instrText>
          </w:r>
          <w:r>
            <w:fldChar w:fldCharType="separate"/>
          </w:r>
          <w:r>
            <w:t>78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_Toc19682 </w:instrText>
          </w:r>
          <w:r>
            <w:rPr>
              <w:rFonts w:hint="eastAsia" w:ascii="仿宋" w:hAnsi="仿宋" w:eastAsia="仿宋" w:cs="仿宋"/>
              <w:bCs/>
              <w:szCs w:val="28"/>
              <w:lang w:val="zh-CN"/>
            </w:rPr>
            <w:fldChar w:fldCharType="separate"/>
          </w:r>
          <w:r>
            <w:rPr>
              <w:rFonts w:hint="eastAsia"/>
            </w:rPr>
            <w:t>（一） 建设阶段</w:t>
          </w:r>
          <w:r>
            <w:tab/>
          </w:r>
          <w:r>
            <w:fldChar w:fldCharType="begin"/>
          </w:r>
          <w:r>
            <w:instrText xml:space="preserve"> PAGEREF _Toc19682 \h </w:instrText>
          </w:r>
          <w:r>
            <w:fldChar w:fldCharType="separate"/>
          </w:r>
          <w:r>
            <w:t>78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_Toc3049 </w:instrText>
          </w:r>
          <w:r>
            <w:rPr>
              <w:rFonts w:hint="eastAsia" w:ascii="仿宋" w:hAnsi="仿宋" w:eastAsia="仿宋" w:cs="仿宋"/>
              <w:bCs/>
              <w:szCs w:val="28"/>
              <w:lang w:val="zh-CN"/>
            </w:rPr>
            <w:fldChar w:fldCharType="separate"/>
          </w:r>
          <w:r>
            <w:rPr>
              <w:rFonts w:hint="eastAsia"/>
            </w:rPr>
            <w:t>（二） 运营阶段</w:t>
          </w:r>
          <w:r>
            <w:tab/>
          </w:r>
          <w:r>
            <w:fldChar w:fldCharType="begin"/>
          </w:r>
          <w:r>
            <w:instrText xml:space="preserve"> PAGEREF _Toc3049 \h </w:instrText>
          </w:r>
          <w:r>
            <w:fldChar w:fldCharType="separate"/>
          </w:r>
          <w:r>
            <w:t>78</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_Toc26733 </w:instrText>
          </w:r>
          <w:r>
            <w:rPr>
              <w:rFonts w:hint="eastAsia" w:ascii="仿宋" w:hAnsi="仿宋" w:eastAsia="仿宋" w:cs="仿宋"/>
              <w:bCs/>
              <w:szCs w:val="28"/>
              <w:lang w:val="zh-CN"/>
            </w:rPr>
            <w:fldChar w:fldCharType="separate"/>
          </w:r>
          <w:r>
            <w:rPr>
              <w:rFonts w:hint="eastAsia"/>
            </w:rPr>
            <w:t>二、 生态环境影响分析</w:t>
          </w:r>
          <w:r>
            <w:tab/>
          </w:r>
          <w:r>
            <w:fldChar w:fldCharType="begin"/>
          </w:r>
          <w:r>
            <w:instrText xml:space="preserve"> PAGEREF _Toc26733 \h </w:instrText>
          </w:r>
          <w:r>
            <w:fldChar w:fldCharType="separate"/>
          </w:r>
          <w:r>
            <w:t>78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_Toc7432 </w:instrText>
          </w:r>
          <w:r>
            <w:rPr>
              <w:rFonts w:hint="eastAsia" w:ascii="仿宋" w:hAnsi="仿宋" w:eastAsia="仿宋" w:cs="仿宋"/>
              <w:bCs/>
              <w:szCs w:val="28"/>
              <w:lang w:val="zh-CN"/>
            </w:rPr>
            <w:fldChar w:fldCharType="separate"/>
          </w:r>
          <w:r>
            <w:rPr>
              <w:rFonts w:hint="eastAsia"/>
            </w:rPr>
            <w:t>（一） 土地利用影响分析</w:t>
          </w:r>
          <w:r>
            <w:tab/>
          </w:r>
          <w:r>
            <w:fldChar w:fldCharType="begin"/>
          </w:r>
          <w:r>
            <w:instrText xml:space="preserve"> PAGEREF _Toc7432 \h </w:instrText>
          </w:r>
          <w:r>
            <w:fldChar w:fldCharType="separate"/>
          </w:r>
          <w:r>
            <w:t>78</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_Toc7159 </w:instrText>
          </w:r>
          <w:r>
            <w:rPr>
              <w:rFonts w:hint="eastAsia" w:ascii="仿宋" w:hAnsi="仿宋" w:eastAsia="仿宋" w:cs="仿宋"/>
              <w:bCs/>
              <w:szCs w:val="28"/>
              <w:lang w:val="zh-CN"/>
            </w:rPr>
            <w:fldChar w:fldCharType="separate"/>
          </w:r>
          <w:r>
            <w:rPr>
              <w:rFonts w:hint="eastAsia"/>
            </w:rPr>
            <w:t>（二） 生态保护影响分析</w:t>
          </w:r>
          <w:r>
            <w:tab/>
          </w:r>
          <w:r>
            <w:fldChar w:fldCharType="begin"/>
          </w:r>
          <w:r>
            <w:instrText xml:space="preserve"> PAGEREF _Toc7159 \h </w:instrText>
          </w:r>
          <w:r>
            <w:fldChar w:fldCharType="separate"/>
          </w:r>
          <w:r>
            <w:t>79</w:t>
          </w:r>
          <w:r>
            <w:fldChar w:fldCharType="end"/>
          </w:r>
          <w:r>
            <w:rPr>
              <w:rFonts w:hint="eastAsia" w:ascii="仿宋" w:hAnsi="仿宋" w:eastAsia="仿宋" w:cs="仿宋"/>
              <w:bCs/>
              <w:szCs w:val="28"/>
              <w:lang w:val="zh-CN"/>
            </w:rPr>
            <w:fldChar w:fldCharType="end"/>
          </w:r>
        </w:p>
        <w:p>
          <w:pPr>
            <w:pStyle w:val="17"/>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_Toc5974 </w:instrText>
          </w:r>
          <w:r>
            <w:rPr>
              <w:rFonts w:hint="eastAsia" w:ascii="仿宋" w:hAnsi="仿宋" w:eastAsia="仿宋" w:cs="仿宋"/>
              <w:bCs/>
              <w:szCs w:val="28"/>
              <w:lang w:val="zh-CN"/>
            </w:rPr>
            <w:fldChar w:fldCharType="separate"/>
          </w:r>
          <w:r>
            <w:rPr>
              <w:rFonts w:hint="eastAsia"/>
            </w:rPr>
            <w:t>（三） 评价结论</w:t>
          </w:r>
          <w:r>
            <w:tab/>
          </w:r>
          <w:r>
            <w:fldChar w:fldCharType="begin"/>
          </w:r>
          <w:r>
            <w:instrText xml:space="preserve"> PAGEREF _Toc5974 \h </w:instrText>
          </w:r>
          <w:r>
            <w:fldChar w:fldCharType="separate"/>
          </w:r>
          <w:r>
            <w:t>79</w:t>
          </w:r>
          <w:r>
            <w:fldChar w:fldCharType="end"/>
          </w:r>
          <w:r>
            <w:rPr>
              <w:rFonts w:hint="eastAsia" w:ascii="仿宋" w:hAnsi="仿宋" w:eastAsia="仿宋" w:cs="仿宋"/>
              <w:bCs/>
              <w:szCs w:val="28"/>
              <w:lang w:val="zh-CN"/>
            </w:rPr>
            <w:fldChar w:fldCharType="end"/>
          </w:r>
        </w:p>
        <w:p>
          <w:pPr>
            <w:pStyle w:val="22"/>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_Toc4449 </w:instrText>
          </w:r>
          <w:r>
            <w:rPr>
              <w:rFonts w:hint="eastAsia" w:ascii="仿宋" w:hAnsi="仿宋" w:eastAsia="仿宋" w:cs="仿宋"/>
              <w:bCs/>
              <w:szCs w:val="28"/>
              <w:lang w:val="zh-CN"/>
            </w:rPr>
            <w:fldChar w:fldCharType="separate"/>
          </w:r>
          <w:r>
            <w:rPr>
              <w:rFonts w:hint="eastAsia"/>
            </w:rPr>
            <w:t>第十章 保障措施</w:t>
          </w:r>
          <w:r>
            <w:tab/>
          </w:r>
          <w:r>
            <w:fldChar w:fldCharType="begin"/>
          </w:r>
          <w:r>
            <w:instrText xml:space="preserve"> PAGEREF _Toc4449 \h </w:instrText>
          </w:r>
          <w:r>
            <w:fldChar w:fldCharType="separate"/>
          </w:r>
          <w:r>
            <w:t>80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_Toc8378 </w:instrText>
          </w:r>
          <w:r>
            <w:rPr>
              <w:rFonts w:hint="eastAsia" w:ascii="仿宋" w:hAnsi="仿宋" w:eastAsia="仿宋" w:cs="仿宋"/>
              <w:bCs/>
              <w:szCs w:val="28"/>
              <w:lang w:val="zh-CN"/>
            </w:rPr>
            <w:fldChar w:fldCharType="separate"/>
          </w:r>
          <w:r>
            <w:rPr>
              <w:rFonts w:hint="eastAsia"/>
            </w:rPr>
            <w:t>一、 加强规划指导</w:t>
          </w:r>
          <w:r>
            <w:tab/>
          </w:r>
          <w:r>
            <w:fldChar w:fldCharType="begin"/>
          </w:r>
          <w:r>
            <w:instrText xml:space="preserve"> PAGEREF _Toc8378 \h </w:instrText>
          </w:r>
          <w:r>
            <w:fldChar w:fldCharType="separate"/>
          </w:r>
          <w:r>
            <w:t>80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_Toc29812 </w:instrText>
          </w:r>
          <w:r>
            <w:rPr>
              <w:rFonts w:hint="eastAsia" w:ascii="仿宋" w:hAnsi="仿宋" w:eastAsia="仿宋" w:cs="仿宋"/>
              <w:bCs/>
              <w:szCs w:val="28"/>
              <w:lang w:val="zh-CN"/>
            </w:rPr>
            <w:fldChar w:fldCharType="separate"/>
          </w:r>
          <w:r>
            <w:rPr>
              <w:rFonts w:hint="eastAsia"/>
            </w:rPr>
            <w:t>二、 保障土地供应</w:t>
          </w:r>
          <w:r>
            <w:tab/>
          </w:r>
          <w:r>
            <w:fldChar w:fldCharType="begin"/>
          </w:r>
          <w:r>
            <w:instrText xml:space="preserve"> PAGEREF _Toc29812 \h </w:instrText>
          </w:r>
          <w:r>
            <w:fldChar w:fldCharType="separate"/>
          </w:r>
          <w:r>
            <w:t>80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_Toc17765 </w:instrText>
          </w:r>
          <w:r>
            <w:rPr>
              <w:rFonts w:hint="eastAsia" w:ascii="仿宋" w:hAnsi="仿宋" w:eastAsia="仿宋" w:cs="仿宋"/>
              <w:bCs/>
              <w:szCs w:val="28"/>
              <w:lang w:val="zh-CN"/>
            </w:rPr>
            <w:fldChar w:fldCharType="separate"/>
          </w:r>
          <w:r>
            <w:rPr>
              <w:rFonts w:hint="eastAsia"/>
            </w:rPr>
            <w:t>三、 简化规划建设审批</w:t>
          </w:r>
          <w:r>
            <w:tab/>
          </w:r>
          <w:r>
            <w:fldChar w:fldCharType="begin"/>
          </w:r>
          <w:r>
            <w:instrText xml:space="preserve"> PAGEREF _Toc17765 \h </w:instrText>
          </w:r>
          <w:r>
            <w:fldChar w:fldCharType="separate"/>
          </w:r>
          <w:r>
            <w:t>80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_Toc14822 </w:instrText>
          </w:r>
          <w:r>
            <w:rPr>
              <w:rFonts w:hint="eastAsia" w:ascii="仿宋" w:hAnsi="仿宋" w:eastAsia="仿宋" w:cs="仿宋"/>
              <w:bCs/>
              <w:szCs w:val="28"/>
              <w:lang w:val="zh-CN"/>
            </w:rPr>
            <w:fldChar w:fldCharType="separate"/>
          </w:r>
          <w:r>
            <w:rPr>
              <w:rFonts w:hint="eastAsia"/>
            </w:rPr>
            <w:t>四、 强化安全管理</w:t>
          </w:r>
          <w:r>
            <w:tab/>
          </w:r>
          <w:r>
            <w:fldChar w:fldCharType="begin"/>
          </w:r>
          <w:r>
            <w:instrText xml:space="preserve"> PAGEREF _Toc14822 \h </w:instrText>
          </w:r>
          <w:r>
            <w:fldChar w:fldCharType="separate"/>
          </w:r>
          <w:r>
            <w:t>80</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_Toc858 </w:instrText>
          </w:r>
          <w:r>
            <w:rPr>
              <w:rFonts w:hint="eastAsia" w:ascii="仿宋" w:hAnsi="仿宋" w:eastAsia="仿宋" w:cs="仿宋"/>
              <w:bCs/>
              <w:szCs w:val="28"/>
              <w:lang w:val="zh-CN"/>
            </w:rPr>
            <w:fldChar w:fldCharType="separate"/>
          </w:r>
          <w:r>
            <w:rPr>
              <w:rFonts w:hint="eastAsia"/>
            </w:rPr>
            <w:t>五、 加强供用电监管力度</w:t>
          </w:r>
          <w:r>
            <w:tab/>
          </w:r>
          <w:r>
            <w:fldChar w:fldCharType="begin"/>
          </w:r>
          <w:r>
            <w:instrText xml:space="preserve"> PAGEREF _Toc858 \h </w:instrText>
          </w:r>
          <w:r>
            <w:fldChar w:fldCharType="separate"/>
          </w:r>
          <w:r>
            <w:t>81</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_Toc23364 </w:instrText>
          </w:r>
          <w:r>
            <w:rPr>
              <w:rFonts w:hint="eastAsia" w:ascii="仿宋" w:hAnsi="仿宋" w:eastAsia="仿宋" w:cs="仿宋"/>
              <w:bCs/>
              <w:szCs w:val="28"/>
              <w:lang w:val="zh-CN"/>
            </w:rPr>
            <w:fldChar w:fldCharType="separate"/>
          </w:r>
          <w:r>
            <w:rPr>
              <w:rFonts w:hint="eastAsia"/>
            </w:rPr>
            <w:t>六、 完善财政价格政策</w:t>
          </w:r>
          <w:r>
            <w:tab/>
          </w:r>
          <w:r>
            <w:fldChar w:fldCharType="begin"/>
          </w:r>
          <w:r>
            <w:instrText xml:space="preserve"> PAGEREF _Toc23364 \h </w:instrText>
          </w:r>
          <w:r>
            <w:fldChar w:fldCharType="separate"/>
          </w:r>
          <w:r>
            <w:t>81</w:t>
          </w:r>
          <w:r>
            <w:fldChar w:fldCharType="end"/>
          </w:r>
          <w:r>
            <w:rPr>
              <w:rFonts w:hint="eastAsia" w:ascii="仿宋" w:hAnsi="仿宋" w:eastAsia="仿宋" w:cs="仿宋"/>
              <w:bCs/>
              <w:szCs w:val="28"/>
              <w:lang w:val="zh-CN"/>
            </w:rPr>
            <w:fldChar w:fldCharType="end"/>
          </w:r>
        </w:p>
        <w:p>
          <w:pPr>
            <w:pStyle w:val="25"/>
            <w:tabs>
              <w:tab w:val="right" w:leader="dot" w:pos="8306"/>
            </w:tabs>
          </w:pPr>
          <w:r>
            <w:rPr>
              <w:rFonts w:hint="eastAsia" w:ascii="仿宋" w:hAnsi="仿宋" w:eastAsia="仿宋" w:cs="仿宋"/>
              <w:bCs/>
              <w:szCs w:val="28"/>
              <w:lang w:val="zh-CN"/>
            </w:rPr>
            <w:fldChar w:fldCharType="begin"/>
          </w:r>
          <w:r>
            <w:rPr>
              <w:rFonts w:hint="eastAsia" w:ascii="仿宋" w:hAnsi="仿宋" w:eastAsia="仿宋" w:cs="仿宋"/>
              <w:bCs/>
              <w:szCs w:val="28"/>
              <w:lang w:val="zh-CN"/>
            </w:rPr>
            <w:instrText xml:space="preserve"> HYPERLINK \l _Toc31524 </w:instrText>
          </w:r>
          <w:r>
            <w:rPr>
              <w:rFonts w:hint="eastAsia" w:ascii="仿宋" w:hAnsi="仿宋" w:eastAsia="仿宋" w:cs="仿宋"/>
              <w:bCs/>
              <w:szCs w:val="28"/>
              <w:lang w:val="zh-CN"/>
            </w:rPr>
            <w:fldChar w:fldCharType="separate"/>
          </w:r>
          <w:r>
            <w:rPr>
              <w:rFonts w:hint="eastAsia"/>
            </w:rPr>
            <w:t>七、 加强组织保障</w:t>
          </w:r>
          <w:r>
            <w:tab/>
          </w:r>
          <w:r>
            <w:fldChar w:fldCharType="begin"/>
          </w:r>
          <w:r>
            <w:instrText xml:space="preserve"> PAGEREF _Toc31524 \h </w:instrText>
          </w:r>
          <w:r>
            <w:fldChar w:fldCharType="separate"/>
          </w:r>
          <w:r>
            <w:t>81</w:t>
          </w:r>
          <w:r>
            <w:fldChar w:fldCharType="end"/>
          </w:r>
          <w:r>
            <w:rPr>
              <w:rFonts w:hint="eastAsia" w:ascii="仿宋" w:hAnsi="仿宋" w:eastAsia="仿宋" w:cs="仿宋"/>
              <w:bCs/>
              <w:szCs w:val="28"/>
              <w:lang w:val="zh-CN"/>
            </w:rPr>
            <w:fldChar w:fldCharType="end"/>
          </w:r>
        </w:p>
        <w:p>
          <w:pPr>
            <w:ind w:firstLine="560"/>
            <w:rPr>
              <w:rFonts w:ascii="仿宋" w:hAnsi="仿宋"/>
              <w:b/>
              <w:bCs/>
              <w:lang w:val="zh-CN"/>
            </w:rPr>
          </w:pPr>
          <w:r>
            <w:rPr>
              <w:rFonts w:hint="eastAsia" w:ascii="仿宋" w:hAnsi="仿宋" w:eastAsia="仿宋" w:cs="仿宋"/>
              <w:bCs/>
              <w:szCs w:val="28"/>
              <w:lang w:val="zh-CN"/>
            </w:rPr>
            <w:fldChar w:fldCharType="end"/>
          </w:r>
        </w:p>
      </w:sdtContent>
    </w:sdt>
    <w:p>
      <w:pPr>
        <w:ind w:firstLine="560"/>
        <w:rPr>
          <w:rFonts w:ascii="仿宋" w:hAnsi="仿宋"/>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bidi w:val="0"/>
        <w:ind w:left="0" w:leftChars="0" w:firstLine="0" w:firstLineChars="0"/>
      </w:pPr>
      <w:bookmarkStart w:id="13" w:name="_Toc29163"/>
      <w:r>
        <w:rPr>
          <w:rFonts w:hint="eastAsia"/>
        </w:rPr>
        <w:t>总则</w:t>
      </w:r>
      <w:bookmarkEnd w:id="13"/>
    </w:p>
    <w:p>
      <w:pPr>
        <w:pStyle w:val="3"/>
        <w:bidi w:val="0"/>
        <w:ind w:left="0" w:leftChars="0" w:firstLine="0" w:firstLineChars="0"/>
      </w:pPr>
      <w:bookmarkStart w:id="14" w:name="_Toc20094"/>
      <w:r>
        <w:rPr>
          <w:rFonts w:hint="eastAsia"/>
        </w:rPr>
        <w:t>规划背景</w:t>
      </w:r>
      <w:bookmarkEnd w:id="14"/>
    </w:p>
    <w:p>
      <w:pPr>
        <w:spacing w:line="360" w:lineRule="auto"/>
        <w:ind w:firstLine="560" w:firstLineChars="200"/>
        <w:jc w:val="left"/>
        <w:rPr>
          <w:rFonts w:hint="eastAsia" w:cs="仿宋_GB2312"/>
          <w:szCs w:val="22"/>
        </w:rPr>
      </w:pPr>
      <w:r>
        <w:rPr>
          <w:rFonts w:hint="eastAsia" w:ascii="仿宋" w:hAnsi="仿宋" w:eastAsia="仿宋" w:cs="仿宋"/>
          <w:szCs w:val="22"/>
        </w:rPr>
        <w:t>在能源问题和环境保护问题的双重制约下，发展电动汽车已经成为全世界的必然趋势。电动汽车作为实现节能减排的有效途径，已被国家上升为战略层面，受到了我国各级政府的高度重视。为大力推广电动汽车的应用，2020年11月2日，国务院办公厅印发了《新能源汽车产业发展规划（2021-2035）》</w:t>
      </w:r>
      <w:r>
        <w:rPr>
          <w:rFonts w:cs="仿宋_GB2312"/>
          <w:szCs w:val="22"/>
        </w:rPr>
        <w:t>，规划提出，全面推进蓝天、碧水、净土、静音保卫战，推动绿色发展和生态文明建设，加快电动汽车产业的发展和电动汽车推广应用步伐。</w:t>
      </w:r>
      <w:r>
        <w:drawing>
          <wp:inline distT="0" distB="0" distL="0" distR="0">
            <wp:extent cx="5274310" cy="2967355"/>
            <wp:effectExtent l="0" t="0" r="2540" b="4445"/>
            <wp:docPr id="9548200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0075"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spacing w:line="360" w:lineRule="auto"/>
        <w:ind w:firstLine="560" w:firstLineChars="200"/>
        <w:jc w:val="left"/>
        <w:rPr>
          <w:rFonts w:hint="eastAsia" w:ascii="仿宋" w:hAnsi="仿宋" w:eastAsia="仿宋" w:cs="仿宋"/>
          <w:szCs w:val="22"/>
        </w:rPr>
      </w:pPr>
      <w:r>
        <w:rPr>
          <w:rFonts w:hint="eastAsia" w:ascii="仿宋" w:hAnsi="仿宋" w:eastAsia="仿宋" w:cs="仿宋"/>
          <w:szCs w:val="22"/>
        </w:rPr>
        <w:t>与此同时，作为电动汽车能源输入端，电动汽车充电设施的建设在近几年也得到飞速地发展。十四五以来，国家将电动汽车充电桩建设列入“新基建”工程名单，电动汽车充电桩建设迎来进一步的发展机遇。</w:t>
      </w:r>
    </w:p>
    <w:p>
      <w:pPr>
        <w:spacing w:line="360" w:lineRule="auto"/>
        <w:ind w:firstLine="560" w:firstLineChars="200"/>
        <w:rPr>
          <w:rFonts w:hint="eastAsia" w:ascii="仿宋" w:hAnsi="仿宋" w:eastAsia="仿宋" w:cs="仿宋"/>
          <w:szCs w:val="22"/>
        </w:rPr>
      </w:pPr>
      <w:r>
        <w:rPr>
          <w:rFonts w:hint="eastAsia" w:ascii="仿宋" w:hAnsi="仿宋" w:eastAsia="仿宋" w:cs="仿宋"/>
          <w:szCs w:val="22"/>
        </w:rPr>
        <w:t>电动汽车充电设施的建设及布局对推动电动汽车的发展起着重要作用。科学合理地确定充电站的位置及规模，不仅影响着充电站的服务质量、运营效益以及运营安全性，还将直接关系到电动汽车用户出行的便捷性和资源配置的有效性。随着电动汽车充电桩的大规模接入电网，其将对电网的运行质量及运营模式产生巨大的影响，并带来可靠性、安全性等一系列的问题。电动汽车充电站的选址及充电设施同电网协调发展已成为当前普遍关注的重点及热点问题。为贯彻落实国务院办公厅《新能源汽车产业发展规划（2021</w:t>
      </w:r>
      <w:r>
        <w:rPr>
          <w:rFonts w:hint="eastAsia" w:ascii="仿宋" w:hAnsi="仿宋" w:eastAsia="仿宋" w:cs="仿宋"/>
          <w:szCs w:val="22"/>
          <w:lang w:val="en-US" w:eastAsia="zh-CN"/>
        </w:rPr>
        <w:t>-</w:t>
      </w:r>
      <w:r>
        <w:rPr>
          <w:rFonts w:hint="eastAsia" w:ascii="仿宋" w:hAnsi="仿宋" w:eastAsia="仿宋" w:cs="仿宋"/>
          <w:szCs w:val="22"/>
        </w:rPr>
        <w:t>2035年）》、省发改委《辽宁省“十四五”电动汽车充电基础设施专项规划》等文件精神，促进</w:t>
      </w:r>
      <w:r>
        <w:rPr>
          <w:rFonts w:hint="eastAsia" w:ascii="仿宋" w:hAnsi="仿宋" w:eastAsia="仿宋" w:cs="仿宋"/>
          <w:szCs w:val="22"/>
          <w:lang w:val="en-US" w:eastAsia="zh-CN"/>
        </w:rPr>
        <w:t>岫岩</w:t>
      </w:r>
      <w:r>
        <w:rPr>
          <w:rFonts w:hint="eastAsia" w:ascii="仿宋" w:hAnsi="仿宋" w:eastAsia="仿宋" w:cs="仿宋"/>
          <w:szCs w:val="22"/>
        </w:rPr>
        <w:t>县电动汽车充电设施稳定快速发展，特编制本次</w:t>
      </w:r>
      <w:r>
        <w:rPr>
          <w:rFonts w:hint="eastAsia" w:ascii="仿宋" w:hAnsi="仿宋" w:eastAsia="仿宋" w:cs="仿宋"/>
          <w:szCs w:val="22"/>
          <w:highlight w:val="none"/>
        </w:rPr>
        <w:t>《</w:t>
      </w:r>
      <w:r>
        <w:rPr>
          <w:rFonts w:hint="eastAsia" w:ascii="仿宋" w:hAnsi="仿宋" w:eastAsia="仿宋" w:cs="仿宋"/>
          <w:szCs w:val="22"/>
          <w:highlight w:val="none"/>
          <w:lang w:val="en-US" w:eastAsia="zh-CN"/>
        </w:rPr>
        <w:t>岫岩</w:t>
      </w:r>
      <w:r>
        <w:rPr>
          <w:rFonts w:hint="eastAsia" w:ascii="仿宋" w:hAnsi="仿宋" w:eastAsia="仿宋" w:cs="仿宋"/>
          <w:szCs w:val="22"/>
          <w:highlight w:val="none"/>
        </w:rPr>
        <w:t>县电动汽车充电设施布局规划（202</w:t>
      </w:r>
      <w:r>
        <w:rPr>
          <w:rFonts w:hint="eastAsia" w:ascii="仿宋" w:hAnsi="仿宋" w:eastAsia="仿宋" w:cs="仿宋"/>
          <w:szCs w:val="22"/>
          <w:highlight w:val="none"/>
          <w:lang w:val="en-US" w:eastAsia="zh-CN"/>
        </w:rPr>
        <w:t>4-</w:t>
      </w:r>
      <w:r>
        <w:rPr>
          <w:rFonts w:hint="eastAsia" w:ascii="仿宋" w:hAnsi="仿宋" w:eastAsia="仿宋" w:cs="仿宋"/>
          <w:szCs w:val="22"/>
          <w:highlight w:val="none"/>
        </w:rPr>
        <w:t>202</w:t>
      </w:r>
      <w:r>
        <w:rPr>
          <w:rFonts w:hint="eastAsia" w:ascii="仿宋" w:hAnsi="仿宋" w:cs="仿宋"/>
          <w:szCs w:val="22"/>
          <w:highlight w:val="none"/>
          <w:lang w:val="en-US" w:eastAsia="zh-CN"/>
        </w:rPr>
        <w:t>8</w:t>
      </w:r>
      <w:r>
        <w:rPr>
          <w:rFonts w:hint="eastAsia" w:ascii="仿宋" w:hAnsi="仿宋" w:eastAsia="仿宋" w:cs="仿宋"/>
          <w:szCs w:val="22"/>
          <w:highlight w:val="none"/>
        </w:rPr>
        <w:t>年）》</w:t>
      </w:r>
      <w:r>
        <w:rPr>
          <w:rFonts w:hint="eastAsia" w:ascii="仿宋" w:hAnsi="仿宋" w:eastAsia="仿宋" w:cs="仿宋"/>
          <w:szCs w:val="22"/>
        </w:rPr>
        <w:t>。</w:t>
      </w:r>
    </w:p>
    <w:p>
      <w:pPr>
        <w:pStyle w:val="3"/>
        <w:bidi w:val="0"/>
        <w:ind w:left="0" w:leftChars="0" w:firstLine="0" w:firstLineChars="0"/>
        <w:rPr>
          <w:rFonts w:hint="eastAsia"/>
          <w:lang w:val="en-US" w:eastAsia="zh-CN"/>
        </w:rPr>
      </w:pPr>
      <w:bookmarkStart w:id="15" w:name="_Toc3283"/>
      <w:r>
        <w:rPr>
          <w:rFonts w:hint="eastAsia"/>
        </w:rPr>
        <w:t>规划依据及标准规范</w:t>
      </w:r>
      <w:bookmarkEnd w:id="15"/>
    </w:p>
    <w:p>
      <w:pPr>
        <w:numPr>
          <w:ilvl w:val="0"/>
          <w:numId w:val="2"/>
        </w:numPr>
        <w:rPr>
          <w:rFonts w:hint="eastAsia"/>
          <w:lang w:val="en-US" w:eastAsia="zh-CN"/>
        </w:rPr>
      </w:pPr>
      <w:r>
        <w:rPr>
          <w:rFonts w:hint="eastAsia" w:ascii="仿宋" w:hAnsi="仿宋" w:eastAsia="仿宋" w:cs="仿宋"/>
          <w:lang w:val="en-US" w:eastAsia="zh-CN"/>
        </w:rPr>
        <w:t>法规文件</w:t>
      </w:r>
    </w:p>
    <w:p>
      <w:pPr>
        <w:numPr>
          <w:ilvl w:val="0"/>
          <w:numId w:val="3"/>
        </w:numPr>
        <w:ind w:left="0" w:leftChars="0" w:firstLine="560" w:firstLineChars="0"/>
        <w:rPr>
          <w:rFonts w:hint="eastAsia"/>
          <w:lang w:val="en-US" w:eastAsia="zh-CN"/>
        </w:rPr>
      </w:pPr>
      <w:r>
        <w:rPr>
          <w:rFonts w:hint="eastAsia" w:ascii="仿宋" w:hAnsi="仿宋" w:eastAsia="仿宋" w:cs="仿宋"/>
          <w:lang w:val="en-US" w:eastAsia="zh-CN"/>
        </w:rPr>
        <w:t>中华人民共和国城乡规划法（中华人民共和国主席令第 74 号）；</w:t>
      </w:r>
    </w:p>
    <w:p>
      <w:pPr>
        <w:numPr>
          <w:ilvl w:val="0"/>
          <w:numId w:val="3"/>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城市规划编制办法（建设部令第 146 号）。</w:t>
      </w:r>
    </w:p>
    <w:p>
      <w:pPr>
        <w:numPr>
          <w:ilvl w:val="0"/>
          <w:numId w:val="2"/>
        </w:numPr>
        <w:rPr>
          <w:rFonts w:hint="eastAsia" w:ascii="仿宋" w:hAnsi="仿宋" w:eastAsia="仿宋" w:cs="仿宋"/>
          <w:lang w:val="en-US" w:eastAsia="zh-CN"/>
        </w:rPr>
      </w:pPr>
      <w:r>
        <w:rPr>
          <w:rFonts w:hint="eastAsia" w:ascii="仿宋" w:hAnsi="仿宋" w:eastAsia="仿宋" w:cs="仿宋"/>
          <w:lang w:val="en-US" w:eastAsia="zh-CN"/>
        </w:rPr>
        <w:t>政策文件</w:t>
      </w:r>
    </w:p>
    <w:p>
      <w:pPr>
        <w:numPr>
          <w:ilvl w:val="0"/>
          <w:numId w:val="4"/>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《国务院办公厅关于加快新能源汽车推广应用的指导意见》（国办发35号）；</w:t>
      </w:r>
    </w:p>
    <w:p>
      <w:pPr>
        <w:numPr>
          <w:ilvl w:val="0"/>
          <w:numId w:val="4"/>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《关于印发&lt;提升新能源电动汽车充电保障能力行动计划&gt;的通知》（发改能源〔2018〕1698号）；</w:t>
      </w:r>
    </w:p>
    <w:p>
      <w:pPr>
        <w:numPr>
          <w:ilvl w:val="0"/>
          <w:numId w:val="4"/>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《关于调整完善新能源汽车推广应用财政补贴政策的通知》（财建〔2018〕18号）；</w:t>
      </w:r>
    </w:p>
    <w:p>
      <w:pPr>
        <w:numPr>
          <w:ilvl w:val="0"/>
          <w:numId w:val="4"/>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《新能源汽车产业发展规划（2021～2035年）》（国办发〔2020〕39号）</w:t>
      </w:r>
      <w:r>
        <w:rPr>
          <w:rFonts w:hint="eastAsia" w:ascii="仿宋" w:hAnsi="仿宋" w:cs="仿宋"/>
          <w:lang w:val="en-US" w:eastAsia="zh-CN"/>
        </w:rPr>
        <w:t>；</w:t>
      </w:r>
    </w:p>
    <w:p>
      <w:pPr>
        <w:numPr>
          <w:ilvl w:val="0"/>
          <w:numId w:val="4"/>
        </w:numPr>
        <w:ind w:left="0" w:leftChars="0" w:firstLine="560" w:firstLineChars="0"/>
        <w:rPr>
          <w:rFonts w:hint="eastAsia" w:ascii="仿宋" w:hAnsi="仿宋" w:cs="仿宋"/>
          <w:lang w:val="en-US" w:eastAsia="zh-CN"/>
        </w:rPr>
      </w:pPr>
      <w:r>
        <w:rPr>
          <w:rFonts w:hint="eastAsia" w:ascii="仿宋" w:hAnsi="仿宋" w:cs="仿宋"/>
          <w:lang w:val="en-US" w:eastAsia="zh-CN"/>
        </w:rPr>
        <w:t>《关于进一步提升电动汽车充电基础设施服务保障能力的实施意见》（发改能源规〔2022〕53号）；</w:t>
      </w:r>
    </w:p>
    <w:p>
      <w:pPr>
        <w:numPr>
          <w:ilvl w:val="0"/>
          <w:numId w:val="4"/>
        </w:numPr>
        <w:ind w:left="0" w:leftChars="0" w:firstLine="560" w:firstLineChars="0"/>
        <w:rPr>
          <w:rFonts w:hint="eastAsia" w:ascii="仿宋" w:hAnsi="仿宋" w:cs="仿宋"/>
          <w:lang w:val="en-US" w:eastAsia="zh-CN"/>
        </w:rPr>
      </w:pPr>
      <w:r>
        <w:rPr>
          <w:rFonts w:hint="eastAsia" w:ascii="仿宋" w:hAnsi="仿宋" w:cs="仿宋"/>
          <w:lang w:val="en-US" w:eastAsia="zh-CN"/>
        </w:rPr>
        <w:t>《关于加快推进充电基础设施建设 更好支持新能源汽车下乡和乡村振兴的实施意见》（发改综合〔2023〕545号）；</w:t>
      </w:r>
    </w:p>
    <w:p>
      <w:pPr>
        <w:numPr>
          <w:ilvl w:val="0"/>
          <w:numId w:val="4"/>
        </w:numPr>
        <w:ind w:left="0" w:leftChars="0" w:firstLine="560" w:firstLineChars="0"/>
        <w:rPr>
          <w:rFonts w:hint="eastAsia" w:ascii="仿宋" w:hAnsi="仿宋" w:eastAsia="仿宋" w:cs="仿宋"/>
          <w:lang w:val="en-US" w:eastAsia="zh-CN"/>
        </w:rPr>
      </w:pPr>
      <w:r>
        <w:rPr>
          <w:rFonts w:hint="eastAsia" w:ascii="仿宋" w:hAnsi="仿宋" w:cs="仿宋"/>
          <w:lang w:val="en-US" w:eastAsia="zh-CN"/>
        </w:rPr>
        <w:t>《</w:t>
      </w:r>
      <w:r>
        <w:rPr>
          <w:rFonts w:hint="eastAsia" w:ascii="仿宋" w:hAnsi="仿宋" w:eastAsia="仿宋" w:cs="仿宋"/>
          <w:lang w:val="en-US" w:eastAsia="zh-CN"/>
        </w:rPr>
        <w:t>国务院办公厅关于进一步构建高质量充电基础设施体系的指导意见</w:t>
      </w:r>
      <w:r>
        <w:rPr>
          <w:rFonts w:hint="eastAsia" w:ascii="仿宋" w:hAnsi="仿宋" w:cs="仿宋"/>
          <w:lang w:val="en-US" w:eastAsia="zh-CN"/>
        </w:rPr>
        <w:t>》（国办发〔2023〕19号）；</w:t>
      </w:r>
    </w:p>
    <w:p>
      <w:pPr>
        <w:numPr>
          <w:ilvl w:val="0"/>
          <w:numId w:val="4"/>
        </w:numPr>
        <w:ind w:left="0" w:leftChars="0" w:firstLine="560" w:firstLineChars="0"/>
        <w:rPr>
          <w:rFonts w:hint="eastAsia" w:ascii="仿宋" w:hAnsi="仿宋" w:cs="仿宋"/>
          <w:lang w:val="en-US" w:eastAsia="zh-CN"/>
        </w:rPr>
      </w:pPr>
      <w:r>
        <w:rPr>
          <w:rFonts w:hint="eastAsia" w:ascii="仿宋" w:hAnsi="仿宋" w:cs="仿宋"/>
          <w:lang w:val="en-US" w:eastAsia="zh-CN"/>
        </w:rPr>
        <w:t>《关于加快推进交通运输领域充电基础设施建设和新能源汽车推广应用的实施意见》（辽交服务〔2023〕286号）。</w:t>
      </w:r>
    </w:p>
    <w:p>
      <w:pPr>
        <w:numPr>
          <w:ilvl w:val="0"/>
          <w:numId w:val="2"/>
        </w:numPr>
        <w:rPr>
          <w:rFonts w:hint="eastAsia" w:ascii="仿宋" w:hAnsi="仿宋" w:eastAsia="仿宋" w:cs="仿宋"/>
          <w:lang w:val="en-US" w:eastAsia="zh-CN"/>
        </w:rPr>
      </w:pPr>
      <w:r>
        <w:rPr>
          <w:rFonts w:hint="eastAsia" w:ascii="仿宋" w:hAnsi="仿宋" w:eastAsia="仿宋" w:cs="仿宋"/>
          <w:lang w:val="en-US" w:eastAsia="zh-CN"/>
        </w:rPr>
        <w:t>规划文件</w:t>
      </w:r>
    </w:p>
    <w:p>
      <w:pPr>
        <w:numPr>
          <w:ilvl w:val="0"/>
          <w:numId w:val="5"/>
        </w:numPr>
        <w:ind w:left="0" w:leftChars="0" w:firstLine="560" w:firstLineChars="0"/>
        <w:rPr>
          <w:rFonts w:hint="eastAsia" w:ascii="仿宋" w:hAnsi="仿宋" w:eastAsia="仿宋" w:cs="仿宋"/>
          <w:lang w:val="en-US" w:eastAsia="zh-CN"/>
        </w:rPr>
      </w:pPr>
      <w:r>
        <w:rPr>
          <w:rFonts w:hint="eastAsia" w:ascii="仿宋" w:hAnsi="仿宋" w:cs="仿宋"/>
          <w:lang w:val="en-US" w:eastAsia="zh-CN"/>
        </w:rPr>
        <w:t>《</w:t>
      </w:r>
      <w:r>
        <w:rPr>
          <w:rFonts w:hint="eastAsia" w:ascii="仿宋" w:hAnsi="仿宋" w:eastAsia="仿宋" w:cs="仿宋"/>
          <w:lang w:val="en-US" w:eastAsia="zh-CN"/>
        </w:rPr>
        <w:t>辽宁省加快发展新能源汽车的实施方案</w:t>
      </w:r>
      <w:r>
        <w:rPr>
          <w:rFonts w:hint="eastAsia" w:ascii="仿宋" w:hAnsi="仿宋" w:cs="仿宋"/>
          <w:lang w:val="en-US" w:eastAsia="zh-CN"/>
        </w:rPr>
        <w:t>》</w:t>
      </w:r>
      <w:r>
        <w:rPr>
          <w:rFonts w:hint="eastAsia" w:ascii="仿宋" w:hAnsi="仿宋" w:eastAsia="仿宋" w:cs="仿宋"/>
          <w:lang w:val="en-US" w:eastAsia="zh-CN"/>
        </w:rPr>
        <w:t>；</w:t>
      </w:r>
    </w:p>
    <w:p>
      <w:pPr>
        <w:numPr>
          <w:ilvl w:val="0"/>
          <w:numId w:val="5"/>
        </w:numPr>
        <w:ind w:left="0" w:leftChars="0" w:firstLine="560" w:firstLineChars="0"/>
        <w:rPr>
          <w:rFonts w:hint="eastAsia" w:ascii="仿宋" w:hAnsi="仿宋" w:eastAsia="仿宋" w:cs="仿宋"/>
          <w:lang w:val="en-US" w:eastAsia="zh-CN"/>
        </w:rPr>
      </w:pPr>
      <w:r>
        <w:rPr>
          <w:rFonts w:hint="eastAsia" w:ascii="仿宋" w:hAnsi="仿宋" w:cs="仿宋"/>
          <w:lang w:val="en-US" w:eastAsia="zh-CN"/>
        </w:rPr>
        <w:t>《鞍山</w:t>
      </w:r>
      <w:r>
        <w:rPr>
          <w:rFonts w:hint="eastAsia" w:ascii="仿宋" w:hAnsi="仿宋" w:eastAsia="仿宋" w:cs="仿宋"/>
          <w:lang w:val="en-US" w:eastAsia="zh-CN"/>
        </w:rPr>
        <w:t>市</w:t>
      </w:r>
      <w:r>
        <w:rPr>
          <w:rFonts w:hint="eastAsia" w:ascii="仿宋" w:hAnsi="仿宋" w:cs="仿宋"/>
          <w:lang w:val="en-US" w:eastAsia="zh-CN"/>
        </w:rPr>
        <w:t>岫岩县</w:t>
      </w:r>
      <w:r>
        <w:rPr>
          <w:rFonts w:hint="eastAsia" w:ascii="仿宋" w:hAnsi="仿宋" w:eastAsia="仿宋" w:cs="仿宋"/>
          <w:lang w:val="en-US" w:eastAsia="zh-CN"/>
        </w:rPr>
        <w:t>城市总体规划（2021—2035）</w:t>
      </w:r>
      <w:r>
        <w:rPr>
          <w:rFonts w:hint="eastAsia" w:ascii="仿宋" w:hAnsi="仿宋" w:cs="仿宋"/>
          <w:lang w:val="en-US" w:eastAsia="zh-CN"/>
        </w:rPr>
        <w:t>》</w:t>
      </w:r>
      <w:r>
        <w:rPr>
          <w:rFonts w:hint="eastAsia" w:ascii="仿宋" w:hAnsi="仿宋" w:eastAsia="仿宋" w:cs="仿宋"/>
          <w:lang w:val="en-US" w:eastAsia="zh-CN"/>
        </w:rPr>
        <w:t>；</w:t>
      </w:r>
    </w:p>
    <w:p>
      <w:pPr>
        <w:numPr>
          <w:ilvl w:val="0"/>
          <w:numId w:val="5"/>
        </w:numPr>
        <w:ind w:left="0" w:leftChars="0" w:firstLine="560" w:firstLineChars="0"/>
        <w:rPr>
          <w:rFonts w:hint="eastAsia" w:ascii="仿宋" w:hAnsi="仿宋" w:eastAsia="仿宋" w:cs="仿宋"/>
          <w:lang w:val="en-US" w:eastAsia="zh-CN"/>
        </w:rPr>
      </w:pPr>
      <w:r>
        <w:rPr>
          <w:rFonts w:hint="eastAsia" w:ascii="仿宋" w:hAnsi="仿宋" w:cs="仿宋"/>
          <w:lang w:val="en-US" w:eastAsia="zh-CN"/>
        </w:rPr>
        <w:t>《鞍山</w:t>
      </w:r>
      <w:r>
        <w:rPr>
          <w:rFonts w:hint="eastAsia" w:ascii="仿宋" w:hAnsi="仿宋" w:eastAsia="仿宋" w:cs="仿宋"/>
          <w:lang w:val="en-US" w:eastAsia="zh-CN"/>
        </w:rPr>
        <w:t>市综合立体交通网规划</w:t>
      </w:r>
      <w:r>
        <w:rPr>
          <w:rFonts w:hint="eastAsia" w:ascii="仿宋" w:hAnsi="仿宋" w:cs="仿宋"/>
          <w:lang w:val="en-US" w:eastAsia="zh-CN"/>
        </w:rPr>
        <w:t>》</w:t>
      </w:r>
      <w:r>
        <w:rPr>
          <w:rFonts w:hint="eastAsia" w:ascii="仿宋" w:hAnsi="仿宋" w:eastAsia="仿宋" w:cs="仿宋"/>
          <w:lang w:val="en-US" w:eastAsia="zh-CN"/>
        </w:rPr>
        <w:t>；</w:t>
      </w:r>
    </w:p>
    <w:p>
      <w:pPr>
        <w:numPr>
          <w:ilvl w:val="0"/>
          <w:numId w:val="5"/>
        </w:numPr>
        <w:ind w:left="0" w:leftChars="0" w:firstLine="560" w:firstLineChars="0"/>
        <w:rPr>
          <w:rFonts w:hint="eastAsia"/>
          <w:lang w:val="en-US" w:eastAsia="zh-CN"/>
        </w:rPr>
      </w:pPr>
      <w:r>
        <w:rPr>
          <w:rFonts w:hint="eastAsia" w:ascii="仿宋" w:hAnsi="仿宋" w:eastAsia="仿宋" w:cs="仿宋"/>
          <w:lang w:val="en-US" w:eastAsia="zh-CN"/>
        </w:rPr>
        <w:t>《</w:t>
      </w:r>
      <w:r>
        <w:rPr>
          <w:rFonts w:hint="eastAsia" w:ascii="仿宋" w:hAnsi="仿宋" w:cs="仿宋"/>
          <w:lang w:val="en-US" w:eastAsia="zh-CN"/>
        </w:rPr>
        <w:t>岫岩县</w:t>
      </w:r>
      <w:r>
        <w:rPr>
          <w:rFonts w:hint="eastAsia" w:ascii="仿宋" w:hAnsi="仿宋" w:eastAsia="仿宋" w:cs="仿宋"/>
          <w:lang w:val="en-US" w:eastAsia="zh-CN"/>
        </w:rPr>
        <w:t>国民经济和社会发展第十四个五年规划和二〇三五年远景目标纲要（草案）》</w:t>
      </w:r>
      <w:r>
        <w:rPr>
          <w:rFonts w:hint="eastAsia" w:ascii="仿宋" w:hAnsi="仿宋" w:cs="仿宋"/>
          <w:lang w:val="en-US" w:eastAsia="zh-CN"/>
        </w:rPr>
        <w:t>。</w:t>
      </w:r>
    </w:p>
    <w:p>
      <w:pPr>
        <w:numPr>
          <w:ilvl w:val="0"/>
          <w:numId w:val="2"/>
        </w:numPr>
        <w:rPr>
          <w:rFonts w:hint="eastAsia" w:ascii="仿宋" w:hAnsi="仿宋" w:eastAsia="仿宋" w:cs="仿宋"/>
          <w:lang w:val="en-US" w:eastAsia="zh-CN"/>
        </w:rPr>
      </w:pPr>
      <w:r>
        <w:rPr>
          <w:rFonts w:hint="eastAsia" w:ascii="仿宋" w:hAnsi="仿宋" w:eastAsia="仿宋" w:cs="仿宋"/>
          <w:lang w:val="en-US" w:eastAsia="zh-CN"/>
        </w:rPr>
        <w:t>规范、导则和标准</w:t>
      </w:r>
    </w:p>
    <w:p>
      <w:pPr>
        <w:numPr>
          <w:ilvl w:val="0"/>
          <w:numId w:val="6"/>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《电动汽车充电站设计规范》（GB50966-2014）；</w:t>
      </w:r>
    </w:p>
    <w:p>
      <w:pPr>
        <w:numPr>
          <w:ilvl w:val="0"/>
          <w:numId w:val="6"/>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《电动汽车充电站通用要求》（GB/T29781-2013）；</w:t>
      </w:r>
    </w:p>
    <w:p>
      <w:pPr>
        <w:numPr>
          <w:ilvl w:val="0"/>
          <w:numId w:val="6"/>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《电动汽车充电基础设施建设技术导则》（国家能源局，NB/T 33009-2013）；</w:t>
      </w:r>
    </w:p>
    <w:p>
      <w:pPr>
        <w:numPr>
          <w:ilvl w:val="0"/>
          <w:numId w:val="6"/>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《电动汽车充电基础设施运行管理规范》（国家能源局，NB/T 33019-2015）；</w:t>
      </w:r>
    </w:p>
    <w:p>
      <w:pPr>
        <w:numPr>
          <w:ilvl w:val="0"/>
          <w:numId w:val="6"/>
        </w:numPr>
        <w:ind w:left="0" w:leftChars="0" w:firstLine="560" w:firstLineChars="0"/>
        <w:rPr>
          <w:rFonts w:hint="eastAsia" w:ascii="仿宋" w:hAnsi="仿宋" w:eastAsia="仿宋" w:cs="仿宋"/>
          <w:lang w:val="en-US" w:eastAsia="zh-CN"/>
        </w:rPr>
      </w:pPr>
      <w:r>
        <w:rPr>
          <w:rFonts w:hint="eastAsia" w:ascii="仿宋" w:hAnsi="仿宋" w:eastAsia="仿宋" w:cs="仿宋"/>
          <w:lang w:val="en-US" w:eastAsia="zh-CN"/>
        </w:rPr>
        <w:t>《电动汽车交流充电桩技术条件》（NB/T 33002-2010）；</w:t>
      </w:r>
    </w:p>
    <w:p>
      <w:pPr>
        <w:numPr>
          <w:ilvl w:val="0"/>
          <w:numId w:val="6"/>
        </w:numPr>
        <w:ind w:left="0" w:leftChars="0" w:firstLine="560" w:firstLineChars="0"/>
        <w:rPr>
          <w:rFonts w:hint="eastAsia"/>
          <w:lang w:val="en-US" w:eastAsia="zh-CN"/>
        </w:rPr>
      </w:pPr>
      <w:r>
        <w:rPr>
          <w:rFonts w:hint="eastAsia" w:ascii="仿宋" w:hAnsi="仿宋" w:eastAsia="仿宋" w:cs="仿宋"/>
          <w:lang w:val="en-US" w:eastAsia="zh-CN"/>
        </w:rPr>
        <w:t>《电动汽车智能充电服务网络运营监控系统技术规范》（NB/T 33017-2015）</w:t>
      </w:r>
      <w:r>
        <w:rPr>
          <w:rFonts w:hint="eastAsia" w:ascii="仿宋" w:hAnsi="仿宋" w:cs="仿宋"/>
          <w:lang w:val="en-US" w:eastAsia="zh-CN"/>
        </w:rPr>
        <w:t>。</w:t>
      </w:r>
    </w:p>
    <w:p>
      <w:pPr>
        <w:pStyle w:val="3"/>
        <w:bidi w:val="0"/>
        <w:ind w:left="0" w:leftChars="0" w:firstLine="0" w:firstLineChars="0"/>
      </w:pPr>
      <w:bookmarkStart w:id="16" w:name="_Toc10199"/>
      <w:r>
        <w:rPr>
          <w:rFonts w:hint="eastAsia"/>
        </w:rPr>
        <w:t>规划范围及年限</w:t>
      </w:r>
      <w:bookmarkEnd w:id="16"/>
    </w:p>
    <w:p>
      <w:pPr>
        <w:pStyle w:val="4"/>
        <w:bidi w:val="0"/>
        <w:ind w:left="0" w:leftChars="0" w:firstLine="0" w:firstLineChars="0"/>
      </w:pPr>
      <w:bookmarkStart w:id="17" w:name="_Toc7727"/>
      <w:r>
        <w:rPr>
          <w:rFonts w:hint="eastAsia"/>
        </w:rPr>
        <w:t>规划范围</w:t>
      </w:r>
      <w:bookmarkEnd w:id="17"/>
    </w:p>
    <w:p>
      <w:r>
        <w:rPr>
          <w:rFonts w:hint="eastAsia" w:ascii="仿宋" w:hAnsi="仿宋"/>
        </w:rPr>
        <w:t>本次规划范围为</w:t>
      </w:r>
      <w:r>
        <w:rPr>
          <w:rFonts w:hint="eastAsia" w:ascii="仿宋" w:hAnsi="仿宋"/>
          <w:lang w:val="en-US" w:eastAsia="zh-CN"/>
        </w:rPr>
        <w:t>岫岩</w:t>
      </w:r>
      <w:r>
        <w:rPr>
          <w:rFonts w:hint="eastAsia" w:ascii="仿宋" w:hAnsi="仿宋"/>
        </w:rPr>
        <w:t>县所辖行政范围，</w:t>
      </w:r>
      <w:r>
        <w:rPr>
          <w:rFonts w:hint="eastAsia" w:ascii="仿宋" w:hAnsi="仿宋"/>
          <w:lang w:val="en-US" w:eastAsia="zh-CN"/>
        </w:rPr>
        <w:t>岫岩</w:t>
      </w:r>
      <w:r>
        <w:rPr>
          <w:rFonts w:hint="eastAsia"/>
        </w:rPr>
        <w:t>县管辖地域面积为</w:t>
      </w:r>
      <w:r>
        <w:rPr>
          <w:rFonts w:hint="eastAsia" w:ascii="仿宋" w:hAnsi="仿宋"/>
        </w:rPr>
        <w:t>4502平方千米</w:t>
      </w:r>
      <w:r>
        <w:rPr>
          <w:rFonts w:hint="eastAsia" w:ascii="仿宋" w:hAnsi="仿宋"/>
          <w:lang w:eastAsia="zh-CN"/>
        </w:rPr>
        <w:t>，</w:t>
      </w:r>
      <w:r>
        <w:rPr>
          <w:rFonts w:hint="eastAsia" w:ascii="仿宋" w:hAnsi="仿宋"/>
          <w:lang w:val="en-US" w:eastAsia="zh-CN"/>
        </w:rPr>
        <w:t>下</w:t>
      </w:r>
      <w:r>
        <w:rPr>
          <w:rFonts w:hint="eastAsia" w:ascii="仿宋" w:hAnsi="仿宋"/>
        </w:rPr>
        <w:t>辖3个街道</w:t>
      </w:r>
      <w:r>
        <w:rPr>
          <w:rFonts w:hint="eastAsia" w:ascii="仿宋" w:hAnsi="仿宋"/>
          <w:lang w:eastAsia="zh-CN"/>
        </w:rPr>
        <w:t>（阜昌街道、兴隆街道、雅河街道）</w:t>
      </w:r>
      <w:r>
        <w:rPr>
          <w:rFonts w:hint="eastAsia" w:ascii="仿宋" w:hAnsi="仿宋"/>
        </w:rPr>
        <w:t>、18个镇</w:t>
      </w:r>
      <w:r>
        <w:rPr>
          <w:rFonts w:hint="eastAsia" w:ascii="仿宋" w:hAnsi="仿宋"/>
          <w:lang w:eastAsia="zh-CN"/>
        </w:rPr>
        <w:t>（三家子镇、石庙子镇、黄花甸镇、大营子镇、苏子沟镇、偏岭镇、哈达碑镇、新甸镇、洋河镇、杨家堡镇、清凉山镇、石灰窑镇、前营镇、龙潭镇、牧牛镇、药山镇、大房身镇、朝阳镇）</w:t>
      </w:r>
      <w:r>
        <w:rPr>
          <w:rFonts w:hint="eastAsia" w:ascii="仿宋" w:hAnsi="仿宋"/>
        </w:rPr>
        <w:t>、3个乡</w:t>
      </w:r>
      <w:r>
        <w:rPr>
          <w:rFonts w:hint="eastAsia" w:ascii="仿宋" w:hAnsi="仿宋"/>
          <w:lang w:eastAsia="zh-CN"/>
        </w:rPr>
        <w:t>（红旗营子乡、岭沟乡、哨子河乡）</w:t>
      </w:r>
      <w:r>
        <w:rPr>
          <w:rFonts w:hint="eastAsia" w:ascii="仿宋" w:hAnsi="仿宋"/>
        </w:rPr>
        <w:t>。</w:t>
      </w:r>
    </w:p>
    <w:p>
      <w:pPr>
        <w:pStyle w:val="4"/>
        <w:bidi w:val="0"/>
        <w:ind w:left="0" w:leftChars="0" w:firstLine="0" w:firstLineChars="0"/>
      </w:pPr>
      <w:bookmarkStart w:id="18" w:name="_Toc18600"/>
      <w:r>
        <w:rPr>
          <w:rFonts w:hint="eastAsia"/>
        </w:rPr>
        <w:t>规划年限</w:t>
      </w:r>
      <w:bookmarkEnd w:id="18"/>
    </w:p>
    <w:p>
      <w:r>
        <w:rPr>
          <w:rFonts w:hint="eastAsia" w:ascii="仿宋" w:hAnsi="仿宋"/>
          <w:szCs w:val="32"/>
        </w:rPr>
        <w:t>规划以202</w:t>
      </w:r>
      <w:r>
        <w:rPr>
          <w:rFonts w:hint="eastAsia" w:ascii="仿宋" w:hAnsi="仿宋"/>
          <w:szCs w:val="32"/>
          <w:lang w:val="en-US" w:eastAsia="zh-CN"/>
        </w:rPr>
        <w:t>4</w:t>
      </w:r>
      <w:r>
        <w:rPr>
          <w:rFonts w:hint="eastAsia" w:ascii="仿宋" w:hAnsi="仿宋"/>
          <w:szCs w:val="32"/>
        </w:rPr>
        <w:t>年为规划基准年，规划水平年为202</w:t>
      </w:r>
      <w:r>
        <w:rPr>
          <w:rFonts w:hint="eastAsia" w:ascii="仿宋" w:hAnsi="仿宋"/>
          <w:szCs w:val="32"/>
          <w:lang w:val="en-US" w:eastAsia="zh-CN"/>
        </w:rPr>
        <w:t>8</w:t>
      </w:r>
      <w:r>
        <w:rPr>
          <w:rFonts w:hint="eastAsia" w:ascii="仿宋" w:hAnsi="仿宋"/>
          <w:szCs w:val="32"/>
        </w:rPr>
        <w:t>年，远期展望至2035年。</w:t>
      </w:r>
    </w:p>
    <w:p>
      <w:pPr>
        <w:pStyle w:val="3"/>
        <w:bidi w:val="0"/>
        <w:ind w:left="0" w:leftChars="0" w:firstLine="0" w:firstLineChars="0"/>
        <w:rPr>
          <w:rFonts w:hint="default"/>
          <w:lang w:val="en-US" w:eastAsia="zh-CN"/>
        </w:rPr>
      </w:pPr>
      <w:bookmarkStart w:id="19" w:name="_Toc13741"/>
      <w:r>
        <w:rPr>
          <w:rFonts w:hint="eastAsia"/>
          <w:lang w:val="en-US" w:eastAsia="zh-CN"/>
        </w:rPr>
        <w:t>规划对象</w:t>
      </w:r>
      <w:bookmarkEnd w:id="19"/>
    </w:p>
    <w:p>
      <w:pPr>
        <w:ind w:firstLine="560"/>
        <w:rPr>
          <w:rFonts w:hint="default" w:ascii="仿宋" w:hAnsi="仿宋"/>
          <w:szCs w:val="32"/>
          <w:lang w:val="en-US" w:eastAsia="zh-CN"/>
        </w:rPr>
      </w:pPr>
      <w:r>
        <w:rPr>
          <w:rFonts w:hint="default" w:ascii="仿宋" w:hAnsi="仿宋"/>
          <w:szCs w:val="32"/>
          <w:lang w:val="en-US" w:eastAsia="zh-CN"/>
        </w:rPr>
        <w:t>1.新能源汽车。新能源汽车是指采用新型动力系统，完全或主要依靠新型能源驱动的汽车，主要包括纯电动汽车、</w:t>
      </w:r>
    </w:p>
    <w:p>
      <w:pPr>
        <w:ind w:firstLine="560"/>
        <w:rPr>
          <w:rFonts w:hint="default" w:ascii="仿宋" w:hAnsi="仿宋"/>
          <w:szCs w:val="32"/>
          <w:lang w:val="en-US" w:eastAsia="zh-CN"/>
        </w:rPr>
      </w:pPr>
      <w:r>
        <w:rPr>
          <w:rFonts w:hint="default" w:ascii="仿宋" w:hAnsi="仿宋"/>
          <w:szCs w:val="32"/>
          <w:lang w:val="en-US" w:eastAsia="zh-CN"/>
        </w:rPr>
        <w:t>插电式混合动力汽车及燃料电池汽车等。本规划对象仅指包括纯电动汽车和插电式混合动力汽车在内的电动汽车。</w:t>
      </w:r>
    </w:p>
    <w:p>
      <w:pPr>
        <w:rPr>
          <w:rFonts w:hint="default"/>
          <w:lang w:val="en-US" w:eastAsia="zh-CN"/>
        </w:rPr>
      </w:pPr>
      <w:r>
        <w:rPr>
          <w:rFonts w:hint="default" w:ascii="仿宋" w:hAnsi="仿宋"/>
          <w:szCs w:val="32"/>
          <w:lang w:val="en-US" w:eastAsia="zh-CN"/>
        </w:rPr>
        <w:t>2.充电基础设施。按照使用特性，可将充电基础设施分为3类，公共充电设施、专用充电设施和自用充电设施。</w:t>
      </w:r>
      <w:r>
        <w:rPr>
          <w:rFonts w:hint="eastAsia" w:ascii="仿宋" w:hAnsi="仿宋"/>
          <w:szCs w:val="32"/>
          <w:lang w:val="en-US" w:eastAsia="zh-CN"/>
        </w:rPr>
        <w:t>①</w:t>
      </w:r>
      <w:r>
        <w:rPr>
          <w:rFonts w:hint="default" w:ascii="仿宋" w:hAnsi="仿宋"/>
          <w:szCs w:val="32"/>
          <w:lang w:val="en-US" w:eastAsia="zh-CN"/>
        </w:rPr>
        <w:t>公共充电设施，指为社会公众车辆提供充电服务的充电设施包括独立占地的经营性集中式充电设施和非独立占地的经营性分散式充电设施;②专用充电设施，指专为某个法人单位车辆或特定群体用户车辆提供充电服务的充电设施;③自用充电设施，指为私人用户车辆提供充电服务的充电设施。</w:t>
      </w:r>
    </w:p>
    <w:p>
      <w:pPr>
        <w:pStyle w:val="3"/>
        <w:bidi w:val="0"/>
        <w:ind w:left="0" w:leftChars="0" w:firstLine="0" w:firstLineChars="0"/>
        <w:rPr>
          <w:rFonts w:hint="default"/>
          <w:lang w:val="en-US" w:eastAsia="zh-CN"/>
        </w:rPr>
      </w:pPr>
      <w:bookmarkStart w:id="20" w:name="_Toc10881"/>
      <w:r>
        <w:rPr>
          <w:rFonts w:hint="eastAsia"/>
          <w:lang w:val="en-US" w:eastAsia="zh-CN"/>
        </w:rPr>
        <w:t>规划主要内容</w:t>
      </w:r>
      <w:bookmarkEnd w:id="20"/>
    </w:p>
    <w:p>
      <w:pPr>
        <w:ind w:firstLine="560"/>
        <w:rPr>
          <w:rFonts w:ascii="仿宋" w:hAnsi="仿宋"/>
          <w:szCs w:val="32"/>
        </w:rPr>
      </w:pPr>
      <w:r>
        <w:rPr>
          <w:rFonts w:ascii="仿宋" w:hAnsi="仿宋"/>
          <w:szCs w:val="32"/>
        </w:rPr>
        <w:t>根据</w:t>
      </w:r>
      <w:r>
        <w:rPr>
          <w:rFonts w:hint="eastAsia" w:ascii="仿宋" w:hAnsi="仿宋"/>
          <w:szCs w:val="32"/>
          <w:lang w:val="en-US" w:eastAsia="zh-CN"/>
        </w:rPr>
        <w:t>岫岩</w:t>
      </w:r>
      <w:r>
        <w:rPr>
          <w:rFonts w:hint="eastAsia" w:ascii="仿宋" w:hAnsi="仿宋"/>
          <w:szCs w:val="32"/>
        </w:rPr>
        <w:t>县</w:t>
      </w:r>
      <w:r>
        <w:rPr>
          <w:rFonts w:ascii="仿宋" w:hAnsi="仿宋"/>
          <w:szCs w:val="32"/>
        </w:rPr>
        <w:t>的社会经济发展</w:t>
      </w:r>
      <w:r>
        <w:rPr>
          <w:rFonts w:hint="eastAsia" w:ascii="仿宋" w:hAnsi="仿宋"/>
          <w:szCs w:val="32"/>
        </w:rPr>
        <w:t>总体</w:t>
      </w:r>
      <w:r>
        <w:rPr>
          <w:rFonts w:ascii="仿宋" w:hAnsi="仿宋"/>
          <w:szCs w:val="32"/>
        </w:rPr>
        <w:t>情况、城市建设情况、道路交通规划情况，对</w:t>
      </w:r>
      <w:r>
        <w:rPr>
          <w:rFonts w:hint="eastAsia" w:ascii="仿宋" w:hAnsi="仿宋"/>
          <w:szCs w:val="32"/>
          <w:lang w:val="en-US" w:eastAsia="zh-CN"/>
        </w:rPr>
        <w:t>2024年-2028年岫岩</w:t>
      </w:r>
      <w:r>
        <w:rPr>
          <w:rFonts w:hint="eastAsia" w:ascii="仿宋" w:hAnsi="仿宋"/>
          <w:szCs w:val="32"/>
        </w:rPr>
        <w:t>县</w:t>
      </w:r>
      <w:r>
        <w:rPr>
          <w:rFonts w:ascii="仿宋" w:hAnsi="仿宋"/>
          <w:szCs w:val="32"/>
        </w:rPr>
        <w:t>电动汽车公共充电设施建设的规模和布局进行规划。</w:t>
      </w:r>
    </w:p>
    <w:p>
      <w:pPr>
        <w:ind w:firstLine="560"/>
        <w:rPr>
          <w:rFonts w:ascii="仿宋" w:hAnsi="仿宋"/>
          <w:szCs w:val="32"/>
        </w:rPr>
      </w:pPr>
      <w:r>
        <w:rPr>
          <w:rFonts w:ascii="仿宋" w:hAnsi="仿宋"/>
          <w:szCs w:val="32"/>
        </w:rPr>
        <w:t>本次规划主要内容包括：</w:t>
      </w:r>
    </w:p>
    <w:p>
      <w:pPr>
        <w:ind w:firstLine="560"/>
        <w:rPr>
          <w:rFonts w:hint="eastAsia" w:ascii="仿宋" w:hAnsi="仿宋"/>
          <w:szCs w:val="32"/>
          <w:lang w:val="en-US"/>
        </w:rPr>
      </w:pPr>
      <w:r>
        <w:rPr>
          <w:rFonts w:hint="eastAsia" w:ascii="仿宋" w:hAnsi="仿宋"/>
          <w:szCs w:val="32"/>
          <w:lang w:val="en-US"/>
        </w:rPr>
        <w:t>相关研究；</w:t>
      </w:r>
    </w:p>
    <w:p>
      <w:pPr>
        <w:ind w:firstLine="560"/>
        <w:rPr>
          <w:rFonts w:hint="default" w:ascii="仿宋" w:hAnsi="仿宋"/>
          <w:szCs w:val="32"/>
          <w:lang w:val="en-US" w:eastAsia="zh-CN"/>
        </w:rPr>
      </w:pPr>
      <w:r>
        <w:rPr>
          <w:rFonts w:hint="eastAsia" w:ascii="仿宋" w:hAnsi="仿宋"/>
          <w:szCs w:val="32"/>
          <w:lang w:val="en-US" w:eastAsia="zh-CN"/>
        </w:rPr>
        <w:t>发展现状；</w:t>
      </w:r>
    </w:p>
    <w:p>
      <w:pPr>
        <w:ind w:firstLine="560"/>
        <w:rPr>
          <w:rFonts w:ascii="仿宋" w:hAnsi="仿宋"/>
          <w:szCs w:val="32"/>
        </w:rPr>
      </w:pPr>
      <w:r>
        <w:rPr>
          <w:rFonts w:hint="eastAsia" w:ascii="仿宋" w:hAnsi="仿宋"/>
          <w:szCs w:val="32"/>
          <w:lang w:val="en-US" w:eastAsia="zh-CN"/>
        </w:rPr>
        <w:t>需求预测</w:t>
      </w:r>
      <w:r>
        <w:rPr>
          <w:rFonts w:ascii="仿宋" w:hAnsi="仿宋"/>
          <w:szCs w:val="32"/>
        </w:rPr>
        <w:t>；</w:t>
      </w:r>
    </w:p>
    <w:p>
      <w:pPr>
        <w:ind w:firstLine="560"/>
        <w:rPr>
          <w:rFonts w:ascii="仿宋" w:hAnsi="仿宋"/>
          <w:szCs w:val="32"/>
          <w:lang w:val="en-US"/>
        </w:rPr>
      </w:pPr>
      <w:r>
        <w:rPr>
          <w:rFonts w:hint="eastAsia" w:ascii="仿宋" w:hAnsi="仿宋"/>
          <w:szCs w:val="32"/>
          <w:lang w:val="en-US"/>
        </w:rPr>
        <w:t>城市公共充电桩与充电站规划布局选址原则；</w:t>
      </w:r>
    </w:p>
    <w:p>
      <w:pPr>
        <w:ind w:firstLine="560"/>
        <w:rPr>
          <w:rFonts w:ascii="仿宋" w:hAnsi="仿宋"/>
          <w:szCs w:val="32"/>
        </w:rPr>
      </w:pPr>
      <w:r>
        <w:rPr>
          <w:rFonts w:ascii="仿宋" w:hAnsi="仿宋"/>
          <w:szCs w:val="32"/>
        </w:rPr>
        <w:t>电动汽车公共充电设施建设规模需求预测分析；</w:t>
      </w:r>
    </w:p>
    <w:p>
      <w:pPr>
        <w:ind w:firstLine="560"/>
        <w:rPr>
          <w:rFonts w:ascii="仿宋" w:hAnsi="仿宋"/>
          <w:szCs w:val="32"/>
          <w:lang w:val="en-US"/>
        </w:rPr>
      </w:pPr>
      <w:r>
        <w:rPr>
          <w:rFonts w:hint="eastAsia" w:ascii="仿宋" w:hAnsi="仿宋"/>
          <w:szCs w:val="32"/>
          <w:lang w:val="en-US"/>
        </w:rPr>
        <w:t>电动汽车充电基础设施规划布局；</w:t>
      </w:r>
    </w:p>
    <w:p>
      <w:pPr>
        <w:ind w:firstLine="560"/>
        <w:rPr>
          <w:rFonts w:ascii="仿宋" w:hAnsi="仿宋"/>
          <w:szCs w:val="32"/>
        </w:rPr>
      </w:pPr>
      <w:r>
        <w:rPr>
          <w:rFonts w:ascii="仿宋" w:hAnsi="仿宋"/>
          <w:szCs w:val="32"/>
        </w:rPr>
        <w:t>电动汽车公共充电设施建设重点任务；</w:t>
      </w:r>
    </w:p>
    <w:p>
      <w:pPr>
        <w:ind w:firstLine="560"/>
        <w:rPr>
          <w:rFonts w:ascii="仿宋" w:hAnsi="仿宋"/>
          <w:szCs w:val="32"/>
        </w:rPr>
      </w:pPr>
      <w:r>
        <w:rPr>
          <w:rFonts w:ascii="仿宋" w:hAnsi="仿宋"/>
          <w:szCs w:val="32"/>
        </w:rPr>
        <w:t>规划实施保障措施及实施效果</w:t>
      </w:r>
      <w:r>
        <w:rPr>
          <w:rFonts w:hint="eastAsia" w:ascii="仿宋" w:hAnsi="仿宋"/>
          <w:szCs w:val="32"/>
        </w:rPr>
        <w:t>；</w:t>
      </w:r>
    </w:p>
    <w:p>
      <w:pPr>
        <w:ind w:firstLine="560"/>
        <w:rPr>
          <w:rFonts w:ascii="仿宋" w:hAnsi="仿宋"/>
          <w:szCs w:val="32"/>
          <w:lang w:val="en-US"/>
        </w:rPr>
      </w:pPr>
      <w:r>
        <w:rPr>
          <w:rFonts w:hint="eastAsia" w:ascii="仿宋" w:hAnsi="仿宋"/>
          <w:szCs w:val="32"/>
          <w:lang w:val="en-US"/>
        </w:rPr>
        <w:t>建设投资及规模；</w:t>
      </w:r>
    </w:p>
    <w:p>
      <w:pPr>
        <w:ind w:firstLine="560"/>
        <w:rPr>
          <w:rFonts w:hint="default"/>
          <w:lang w:val="en-US" w:eastAsia="zh-CN"/>
        </w:rPr>
        <w:sectPr>
          <w:footerReference r:id="rId12" w:type="default"/>
          <w:pgSz w:w="11906" w:h="16838"/>
          <w:pgMar w:top="1440" w:right="1800" w:bottom="1440" w:left="1800" w:header="851" w:footer="992" w:gutter="0"/>
          <w:pgNumType w:start="1"/>
          <w:cols w:space="425" w:num="1"/>
          <w:docGrid w:type="lines" w:linePitch="312" w:charSpace="0"/>
        </w:sectPr>
      </w:pPr>
      <w:r>
        <w:rPr>
          <w:rFonts w:hint="eastAsia" w:ascii="仿宋" w:hAnsi="仿宋"/>
          <w:szCs w:val="32"/>
          <w:lang w:val="en-US" w:eastAsia="zh-CN"/>
        </w:rPr>
        <w:t>环境影响评价。</w:t>
      </w:r>
    </w:p>
    <w:p>
      <w:pPr>
        <w:pStyle w:val="2"/>
        <w:bidi w:val="0"/>
        <w:ind w:left="0" w:leftChars="0" w:firstLine="0" w:firstLineChars="0"/>
      </w:pPr>
      <w:bookmarkStart w:id="21" w:name="_Toc21705"/>
      <w:r>
        <w:rPr>
          <w:rFonts w:hint="eastAsia"/>
        </w:rPr>
        <w:t>总体要求</w:t>
      </w:r>
      <w:bookmarkEnd w:id="21"/>
    </w:p>
    <w:p>
      <w:pPr>
        <w:pStyle w:val="3"/>
        <w:bidi w:val="0"/>
        <w:ind w:left="0" w:leftChars="0" w:firstLine="0" w:firstLineChars="0"/>
      </w:pPr>
      <w:bookmarkStart w:id="22" w:name="_Toc18008"/>
      <w:r>
        <w:rPr>
          <w:rFonts w:hint="eastAsia"/>
        </w:rPr>
        <w:t>指导思想</w:t>
      </w:r>
      <w:bookmarkEnd w:id="22"/>
    </w:p>
    <w:p>
      <w:r>
        <w:rPr>
          <w:rFonts w:hint="eastAsia"/>
          <w:sz w:val="28"/>
          <w:szCs w:val="28"/>
          <w:lang w:val="en-US"/>
        </w:rPr>
        <w:t>以习近平新时代中国特色社会主义思想为指导，贯彻落实党的二十大和二十届</w:t>
      </w:r>
      <w:r>
        <w:rPr>
          <w:rFonts w:hint="eastAsia"/>
          <w:sz w:val="28"/>
          <w:szCs w:val="28"/>
          <w:lang w:val="en-US" w:eastAsia="zh-CN"/>
        </w:rPr>
        <w:t>历次</w:t>
      </w:r>
      <w:r>
        <w:rPr>
          <w:rFonts w:hint="eastAsia"/>
          <w:sz w:val="28"/>
          <w:szCs w:val="28"/>
          <w:lang w:val="en-US"/>
        </w:rPr>
        <w:t>全会精神，全面践行新发展理念，积极推动绿色低碳高质量发展，认真贯彻国务院和省政府的新能源汽车推广应用和充电基础设施建设总体部署，遵循“适度超前、布局均衡、智能高效”的原则，加强公共资源整合，科学确定建设规模和空间布局，建立完善的充电基础设施服务体系，促进电动汽车产业的发展和电力消费，实现惠及民生的目标，为建设清洁能源强省、实现“双碳”目标提供强有力的支撑，</w:t>
      </w:r>
      <w:r>
        <w:rPr>
          <w:sz w:val="28"/>
          <w:szCs w:val="28"/>
        </w:rPr>
        <w:t>建设</w:t>
      </w:r>
      <w:r>
        <w:rPr>
          <w:rFonts w:hint="eastAsia"/>
          <w:sz w:val="28"/>
          <w:szCs w:val="28"/>
          <w:lang w:eastAsia="zh-CN"/>
        </w:rPr>
        <w:t>岫岩县</w:t>
      </w:r>
      <w:r>
        <w:rPr>
          <w:sz w:val="28"/>
          <w:szCs w:val="28"/>
        </w:rPr>
        <w:t>电动汽车公共充电设施网络。</w:t>
      </w:r>
    </w:p>
    <w:p>
      <w:pPr>
        <w:pStyle w:val="3"/>
        <w:bidi w:val="0"/>
        <w:ind w:left="0" w:leftChars="0" w:firstLine="0" w:firstLineChars="0"/>
      </w:pPr>
      <w:bookmarkStart w:id="23" w:name="_Toc16485"/>
      <w:r>
        <w:rPr>
          <w:rFonts w:hint="eastAsia"/>
        </w:rPr>
        <w:t>规划思路</w:t>
      </w:r>
      <w:bookmarkEnd w:id="23"/>
    </w:p>
    <w:p>
      <w:r>
        <w:rPr>
          <w:rFonts w:hint="eastAsia"/>
        </w:rPr>
        <w:t>以</w:t>
      </w:r>
      <w:r>
        <w:rPr>
          <w:rFonts w:hint="eastAsia"/>
          <w:lang w:val="en-US" w:eastAsia="zh-CN"/>
        </w:rPr>
        <w:t>岫岩</w:t>
      </w:r>
      <w:r>
        <w:rPr>
          <w:rFonts w:hint="eastAsia"/>
        </w:rPr>
        <w:t>县内相关规划为指导，结合国内新能源汽车发展趋势及县内实际，兼顾旅游景区、</w:t>
      </w:r>
      <w:r>
        <w:rPr>
          <w:rFonts w:hint="eastAsia"/>
          <w:lang w:val="en-US" w:eastAsia="zh-CN"/>
        </w:rPr>
        <w:t>企业园</w:t>
      </w:r>
      <w:r>
        <w:rPr>
          <w:rFonts w:hint="eastAsia"/>
        </w:rPr>
        <w:t>区</w:t>
      </w:r>
      <w:r>
        <w:rPr>
          <w:rFonts w:hint="eastAsia"/>
          <w:lang w:eastAsia="zh-CN"/>
        </w:rPr>
        <w:t>、</w:t>
      </w:r>
      <w:r>
        <w:rPr>
          <w:rFonts w:hint="eastAsia"/>
          <w:lang w:val="en-US" w:eastAsia="zh-CN"/>
        </w:rPr>
        <w:t>交通枢纽</w:t>
      </w:r>
      <w:r>
        <w:rPr>
          <w:rFonts w:hint="eastAsia"/>
        </w:rPr>
        <w:t>等固定停车位配置情况，从“以车定桩”角度对全县充电基础设施的需求进行预测，并以预测结果为基础布局规划充电基础设施。</w:t>
      </w:r>
    </w:p>
    <w:p>
      <w:pPr>
        <w:pStyle w:val="3"/>
        <w:bidi w:val="0"/>
        <w:ind w:left="0" w:leftChars="0" w:firstLine="0" w:firstLineChars="0"/>
      </w:pPr>
      <w:bookmarkStart w:id="24" w:name="_Toc17982"/>
      <w:r>
        <w:rPr>
          <w:rFonts w:hint="eastAsia"/>
        </w:rPr>
        <w:t>基本原则</w:t>
      </w:r>
      <w:bookmarkEnd w:id="24"/>
    </w:p>
    <w:p>
      <w:pPr>
        <w:pStyle w:val="4"/>
        <w:bidi w:val="0"/>
        <w:ind w:left="0" w:leftChars="0" w:firstLine="0" w:firstLineChars="0"/>
      </w:pPr>
      <w:bookmarkStart w:id="25" w:name="_Toc30753"/>
      <w:r>
        <w:rPr>
          <w:rFonts w:hint="eastAsia"/>
        </w:rPr>
        <w:t>科学合理</w:t>
      </w:r>
      <w:bookmarkEnd w:id="25"/>
    </w:p>
    <w:p>
      <w:r>
        <w:t>贯彻执行国家有关法律法规、技术标准、产业发展规划和节能环保政策，</w:t>
      </w:r>
      <w:r>
        <w:rPr>
          <w:rFonts w:hint="eastAsia"/>
          <w:szCs w:val="28"/>
        </w:rPr>
        <w:t>分析</w:t>
      </w:r>
      <w:r>
        <w:rPr>
          <w:rFonts w:hint="eastAsia"/>
          <w:szCs w:val="28"/>
          <w:lang w:eastAsia="zh-CN"/>
        </w:rPr>
        <w:t>岫岩县</w:t>
      </w:r>
      <w:r>
        <w:rPr>
          <w:szCs w:val="28"/>
        </w:rPr>
        <w:t>电动汽车及充电设施发展现状和趋势</w:t>
      </w:r>
      <w:r>
        <w:rPr>
          <w:rFonts w:hint="eastAsia"/>
          <w:szCs w:val="28"/>
        </w:rPr>
        <w:t>，预测</w:t>
      </w:r>
      <w:r>
        <w:rPr>
          <w:rFonts w:hint="eastAsia"/>
          <w:szCs w:val="28"/>
          <w:lang w:eastAsia="zh-CN"/>
        </w:rPr>
        <w:t>岫岩县</w:t>
      </w:r>
      <w:r>
        <w:rPr>
          <w:szCs w:val="28"/>
        </w:rPr>
        <w:t>电动汽车充电设施建设需求</w:t>
      </w:r>
      <w:r>
        <w:rPr>
          <w:rFonts w:hint="eastAsia"/>
          <w:szCs w:val="28"/>
        </w:rPr>
        <w:t>以及投资规模，同时做出</w:t>
      </w:r>
      <w:r>
        <w:rPr>
          <w:rFonts w:hint="eastAsia"/>
          <w:szCs w:val="28"/>
          <w:lang w:eastAsia="zh-CN"/>
        </w:rPr>
        <w:t>岫岩县</w:t>
      </w:r>
      <w:r>
        <w:rPr>
          <w:szCs w:val="28"/>
        </w:rPr>
        <w:t>电动汽车充换电服务网络发展规划</w:t>
      </w:r>
      <w:r>
        <w:rPr>
          <w:rFonts w:hint="eastAsia"/>
          <w:szCs w:val="28"/>
        </w:rPr>
        <w:t>，以此达到</w:t>
      </w:r>
      <w:r>
        <w:t>技术先进、安全可靠、经济合理、使用便利</w:t>
      </w:r>
      <w:r>
        <w:rPr>
          <w:rFonts w:hint="eastAsia"/>
        </w:rPr>
        <w:t>的</w:t>
      </w:r>
      <w:r>
        <w:t>充电设施布局规划。</w:t>
      </w:r>
    </w:p>
    <w:p>
      <w:pPr>
        <w:pStyle w:val="4"/>
        <w:bidi w:val="0"/>
        <w:ind w:left="0" w:leftChars="0" w:firstLine="0" w:firstLineChars="0"/>
      </w:pPr>
      <w:bookmarkStart w:id="26" w:name="_Toc31203"/>
      <w:r>
        <w:rPr>
          <w:rFonts w:hint="eastAsia"/>
        </w:rPr>
        <w:t>多规协同</w:t>
      </w:r>
      <w:bookmarkEnd w:id="26"/>
    </w:p>
    <w:p>
      <w:r>
        <w:t>公共充电设施布局规划</w:t>
      </w:r>
      <w:r>
        <w:rPr>
          <w:rFonts w:hint="eastAsia"/>
        </w:rPr>
        <w:t>要</w:t>
      </w:r>
      <w:r>
        <w:t>符合国民经济和社会发展规划，</w:t>
      </w:r>
      <w:r>
        <w:rPr>
          <w:rFonts w:hint="eastAsia"/>
          <w:szCs w:val="28"/>
        </w:rPr>
        <w:t>需将规划有关内容纳入</w:t>
      </w:r>
      <w:r>
        <w:t>国土空间规划、电网规划、停车规划、道路交通规划以及其他相关规划</w:t>
      </w:r>
      <w:r>
        <w:rPr>
          <w:rFonts w:hint="eastAsia"/>
        </w:rPr>
        <w:t>中</w:t>
      </w:r>
      <w:r>
        <w:t>，与城市公交、公路客运、停车场、加油站等设施建设有机结合，</w:t>
      </w:r>
      <w:r>
        <w:rPr>
          <w:rFonts w:hint="eastAsia"/>
          <w:szCs w:val="28"/>
        </w:rPr>
        <w:t>完善独立占地的充电基础设施布局。同时明确各类建筑物配建停车场及社会公共停车场中充电设施的建设比例或预留建设安装条件要求。以用户居住地停车位、单位停车场、公交及出租车场站等配建的专用充电设施为主体，以公共建筑物停车场、社会公共停车场、临时停车位等配建的公共充电设施为辅助，</w:t>
      </w:r>
      <w:r>
        <w:t>避免对城市交通、景观造成负面干扰和影响</w:t>
      </w:r>
      <w:r>
        <w:rPr>
          <w:rFonts w:hint="eastAsia"/>
          <w:lang w:eastAsia="zh-CN"/>
        </w:rPr>
        <w:t>。</w:t>
      </w:r>
    </w:p>
    <w:p>
      <w:pPr>
        <w:pStyle w:val="4"/>
        <w:bidi w:val="0"/>
        <w:ind w:left="0" w:leftChars="0" w:firstLine="0" w:firstLineChars="0"/>
      </w:pPr>
      <w:bookmarkStart w:id="27" w:name="_Toc18766"/>
      <w:r>
        <w:rPr>
          <w:rFonts w:hint="eastAsia"/>
        </w:rPr>
        <w:t>因地制宜</w:t>
      </w:r>
      <w:bookmarkEnd w:id="27"/>
    </w:p>
    <w:p>
      <w:r>
        <w:t>根据</w:t>
      </w:r>
      <w:r>
        <w:rPr>
          <w:rFonts w:hint="eastAsia"/>
          <w:lang w:eastAsia="zh-CN"/>
        </w:rPr>
        <w:t>岫岩县</w:t>
      </w:r>
      <w:r>
        <w:rPr>
          <w:rFonts w:hint="eastAsia"/>
        </w:rPr>
        <w:t>的</w:t>
      </w:r>
      <w:r>
        <w:t>发展需求和应用特点，紧密结合不同</w:t>
      </w:r>
      <w:r>
        <w:rPr>
          <w:rFonts w:hint="eastAsia"/>
        </w:rPr>
        <w:t>区域</w:t>
      </w:r>
      <w:r>
        <w:t>、不同层次的充电需求，</w:t>
      </w:r>
      <w:r>
        <w:rPr>
          <w:rFonts w:ascii="仿宋_GB2312"/>
          <w:szCs w:val="28"/>
        </w:rPr>
        <w:t>遵循</w:t>
      </w:r>
      <w:r>
        <w:rPr>
          <w:szCs w:val="28"/>
        </w:rPr>
        <w:t>“</w:t>
      </w:r>
      <w:r>
        <w:rPr>
          <w:rFonts w:ascii="仿宋_GB2312"/>
          <w:szCs w:val="28"/>
        </w:rPr>
        <w:t>市场主导、快慢互济</w:t>
      </w:r>
      <w:r>
        <w:rPr>
          <w:szCs w:val="28"/>
        </w:rPr>
        <w:t>”</w:t>
      </w:r>
      <w:r>
        <w:rPr>
          <w:rFonts w:ascii="仿宋_GB2312"/>
          <w:szCs w:val="28"/>
        </w:rPr>
        <w:t>的技术导向，科学把握发展节奏，</w:t>
      </w:r>
      <w:r>
        <w:t>分类有序实施，</w:t>
      </w:r>
      <w:r>
        <w:rPr>
          <w:rFonts w:ascii="仿宋_GB2312"/>
          <w:szCs w:val="28"/>
        </w:rPr>
        <w:t>加大交通、市政、电力等公共资源整合力度，</w:t>
      </w:r>
      <w:r>
        <w:t>合理布局充电基础设施，科学确定建设规模和空间布局。</w:t>
      </w:r>
    </w:p>
    <w:p>
      <w:pPr>
        <w:pStyle w:val="4"/>
        <w:bidi w:val="0"/>
        <w:ind w:left="0" w:leftChars="0" w:firstLine="0" w:firstLineChars="0"/>
      </w:pPr>
      <w:bookmarkStart w:id="28" w:name="_Toc19496"/>
      <w:r>
        <w:rPr>
          <w:rFonts w:hint="eastAsia"/>
        </w:rPr>
        <w:t>适度超前</w:t>
      </w:r>
      <w:bookmarkEnd w:id="28"/>
    </w:p>
    <w:p>
      <w:r>
        <w:t>对电动汽车推广应用进度快的地方，</w:t>
      </w:r>
      <w:r>
        <w:rPr>
          <w:rFonts w:ascii="仿宋_GB2312"/>
          <w:szCs w:val="28"/>
        </w:rPr>
        <w:t>加强充电基础设施发展的顶层设计，将充电基础设施放在更加重要的位置，从发展全局的高度进行整体统筹，建立政府有关部门与相关企业各司其职、各尽所能、群策群力、合作共赢的系统推进机制，按照</w:t>
      </w:r>
      <w:r>
        <w:rPr>
          <w:szCs w:val="28"/>
        </w:rPr>
        <w:t>“</w:t>
      </w:r>
      <w:r>
        <w:rPr>
          <w:rFonts w:ascii="仿宋_GB2312"/>
          <w:szCs w:val="28"/>
        </w:rPr>
        <w:t>桩站先行</w:t>
      </w:r>
      <w:r>
        <w:rPr>
          <w:szCs w:val="28"/>
        </w:rPr>
        <w:t>”</w:t>
      </w:r>
      <w:r>
        <w:rPr>
          <w:rFonts w:ascii="仿宋_GB2312"/>
          <w:szCs w:val="28"/>
        </w:rPr>
        <w:t>的原则，适度超前建设，</w:t>
      </w:r>
      <w:r>
        <w:t>适应电动汽车产业发展的需要，保证居民放心购买、使用电动汽车。</w:t>
      </w:r>
    </w:p>
    <w:p>
      <w:pPr>
        <w:pStyle w:val="3"/>
        <w:bidi w:val="0"/>
        <w:ind w:left="0" w:leftChars="0" w:firstLine="0" w:firstLineChars="0"/>
      </w:pPr>
      <w:bookmarkStart w:id="29" w:name="_Toc25275"/>
      <w:r>
        <w:rPr>
          <w:rFonts w:hint="eastAsia"/>
        </w:rPr>
        <w:t>规划目标</w:t>
      </w:r>
      <w:bookmarkEnd w:id="29"/>
    </w:p>
    <w:p>
      <w:pPr>
        <w:keepNext/>
        <w:keepLines/>
        <w:widowControl w:val="0"/>
        <w:numPr>
          <w:ilvl w:val="2"/>
          <w:numId w:val="7"/>
        </w:numPr>
        <w:adjustRightInd w:val="0"/>
        <w:snapToGrid w:val="0"/>
        <w:spacing w:line="415" w:lineRule="auto"/>
        <w:ind w:left="0" w:firstLine="200" w:firstLineChars="0"/>
        <w:jc w:val="both"/>
        <w:outlineLvl w:val="2"/>
        <w:rPr>
          <w:rFonts w:ascii="仿宋" w:hAnsi="仿宋" w:eastAsia="仿宋" w:cs="Times New Roman"/>
          <w:b/>
          <w:bCs/>
          <w:kern w:val="2"/>
          <w:sz w:val="32"/>
          <w:szCs w:val="32"/>
          <w:highlight w:val="none"/>
          <w:lang w:val="en-US" w:eastAsia="zh-CN" w:bidi="ar-SA"/>
        </w:rPr>
      </w:pPr>
      <w:bookmarkStart w:id="30" w:name="_Toc10828"/>
      <w:r>
        <w:rPr>
          <w:rFonts w:hint="eastAsia" w:ascii="仿宋" w:hAnsi="仿宋" w:eastAsia="仿宋" w:cs="Times New Roman"/>
          <w:b/>
          <w:bCs/>
          <w:kern w:val="2"/>
          <w:sz w:val="32"/>
          <w:szCs w:val="32"/>
          <w:highlight w:val="none"/>
          <w:lang w:val="en-US" w:eastAsia="zh-CN" w:bidi="ar-SA"/>
        </w:rPr>
        <w:t>总体目标</w:t>
      </w:r>
      <w:bookmarkEnd w:id="30"/>
    </w:p>
    <w:p>
      <w:pPr>
        <w:ind w:firstLine="560"/>
        <w:rPr>
          <w:rFonts w:ascii="仿宋" w:hAnsi="仿宋" w:cs="Times New Roman"/>
          <w:highlight w:val="none"/>
        </w:rPr>
      </w:pPr>
      <w:r>
        <w:rPr>
          <w:rFonts w:ascii="仿宋" w:hAnsi="仿宋" w:cs="Times New Roman"/>
          <w:highlight w:val="none"/>
        </w:rPr>
        <w:t>到202</w:t>
      </w:r>
      <w:r>
        <w:rPr>
          <w:rFonts w:hint="eastAsia" w:ascii="仿宋" w:hAnsi="仿宋" w:cs="Times New Roman"/>
          <w:highlight w:val="none"/>
          <w:lang w:val="en-US" w:eastAsia="zh-CN"/>
        </w:rPr>
        <w:t>8</w:t>
      </w:r>
      <w:r>
        <w:rPr>
          <w:rFonts w:ascii="仿宋" w:hAnsi="仿宋" w:cs="Times New Roman"/>
          <w:highlight w:val="none"/>
        </w:rPr>
        <w:t>年，</w:t>
      </w:r>
      <w:r>
        <w:rPr>
          <w:rFonts w:cs="Times New Roman"/>
          <w:highlight w:val="none"/>
        </w:rPr>
        <w:t>基本建成适度超前、互联互通、智能高效的电动汽车公共充电设施服务网络，有效保障</w:t>
      </w:r>
      <w:r>
        <w:rPr>
          <w:rFonts w:hint="eastAsia" w:cs="Times New Roman"/>
          <w:highlight w:val="none"/>
          <w:lang w:val="en-US" w:eastAsia="zh-CN"/>
        </w:rPr>
        <w:t>岫岩县</w:t>
      </w:r>
      <w:r>
        <w:rPr>
          <w:rFonts w:cs="Times New Roman"/>
          <w:highlight w:val="none"/>
        </w:rPr>
        <w:t>电动汽车的公共充电需求，安全可靠的公共充电设施服务体系不断完善。通过公共充电设施的建设，倡导低碳绿色出行，加快构建与新发展时期相适应的绿色交通体系，即促进</w:t>
      </w:r>
      <w:r>
        <w:rPr>
          <w:rFonts w:hint="eastAsia" w:cs="Times New Roman"/>
          <w:highlight w:val="none"/>
          <w:lang w:val="en-US" w:eastAsia="zh-CN"/>
        </w:rPr>
        <w:t>岫岩</w:t>
      </w:r>
      <w:r>
        <w:rPr>
          <w:rFonts w:hint="eastAsia" w:cs="Times New Roman"/>
          <w:highlight w:val="none"/>
        </w:rPr>
        <w:t>县</w:t>
      </w:r>
      <w:r>
        <w:rPr>
          <w:rFonts w:cs="Times New Roman"/>
          <w:highlight w:val="none"/>
        </w:rPr>
        <w:t>交通、环境和经济的可持续发展，又能够带动能源与汽车产业的发展。</w:t>
      </w:r>
    </w:p>
    <w:p>
      <w:pPr>
        <w:keepNext/>
        <w:keepLines/>
        <w:widowControl w:val="0"/>
        <w:numPr>
          <w:ilvl w:val="2"/>
          <w:numId w:val="7"/>
        </w:numPr>
        <w:adjustRightInd w:val="0"/>
        <w:snapToGrid w:val="0"/>
        <w:spacing w:line="415" w:lineRule="auto"/>
        <w:ind w:left="0" w:firstLine="200" w:firstLineChars="0"/>
        <w:jc w:val="both"/>
        <w:outlineLvl w:val="2"/>
        <w:rPr>
          <w:rFonts w:ascii="仿宋" w:hAnsi="仿宋" w:eastAsia="仿宋" w:cs="Times New Roman"/>
          <w:b/>
          <w:bCs/>
          <w:kern w:val="2"/>
          <w:sz w:val="32"/>
          <w:szCs w:val="32"/>
          <w:highlight w:val="none"/>
          <w:lang w:val="en-US" w:eastAsia="zh-CN" w:bidi="ar-SA"/>
        </w:rPr>
      </w:pPr>
      <w:bookmarkStart w:id="31" w:name="_Toc14253"/>
      <w:r>
        <w:rPr>
          <w:rFonts w:hint="eastAsia" w:ascii="仿宋" w:hAnsi="仿宋" w:eastAsia="仿宋" w:cs="Times New Roman"/>
          <w:b/>
          <w:bCs/>
          <w:kern w:val="2"/>
          <w:sz w:val="32"/>
          <w:szCs w:val="32"/>
          <w:highlight w:val="none"/>
          <w:lang w:val="en-US" w:eastAsia="zh-CN" w:bidi="ar-SA"/>
        </w:rPr>
        <w:t>数量目标</w:t>
      </w:r>
      <w:bookmarkEnd w:id="31"/>
    </w:p>
    <w:p>
      <w:pPr>
        <w:ind w:firstLine="560"/>
        <w:rPr>
          <w:rFonts w:hint="eastAsia" w:ascii="仿宋" w:hAnsi="仿宋" w:cs="Times New Roman"/>
          <w:highlight w:val="none"/>
        </w:rPr>
      </w:pPr>
      <w:r>
        <w:rPr>
          <w:rFonts w:hint="eastAsia" w:ascii="仿宋" w:hAnsi="仿宋" w:cs="Times New Roman"/>
          <w:highlight w:val="none"/>
          <w:lang w:val="en-US" w:eastAsia="zh-CN"/>
        </w:rPr>
        <w:t>1</w:t>
      </w:r>
      <w:r>
        <w:rPr>
          <w:rFonts w:ascii="仿宋" w:hAnsi="仿宋" w:cs="Times New Roman"/>
          <w:highlight w:val="none"/>
        </w:rPr>
        <w:t>.</w:t>
      </w:r>
      <w:r>
        <w:rPr>
          <w:rFonts w:hint="eastAsia" w:ascii="仿宋" w:hAnsi="仿宋" w:cs="Times New Roman"/>
          <w:highlight w:val="none"/>
        </w:rPr>
        <w:t>在</w:t>
      </w:r>
      <w:r>
        <w:rPr>
          <w:rFonts w:hint="eastAsia" w:ascii="仿宋" w:hAnsi="仿宋" w:cs="Times New Roman"/>
          <w:highlight w:val="none"/>
          <w:lang w:val="en-US" w:eastAsia="zh-CN"/>
        </w:rPr>
        <w:t>机关政府、学校、医院、商圈等重要的场景计划选取50个充电基础设施点位，共计356充电桩，其中配建液冷充电桩156个</w:t>
      </w:r>
      <w:r>
        <w:rPr>
          <w:rFonts w:hint="eastAsia" w:ascii="仿宋" w:hAnsi="仿宋" w:cs="Times New Roman"/>
          <w:highlight w:val="none"/>
        </w:rPr>
        <w:t>。</w:t>
      </w:r>
    </w:p>
    <w:p>
      <w:pPr>
        <w:ind w:firstLine="560"/>
        <w:rPr>
          <w:rFonts w:ascii="仿宋" w:hAnsi="仿宋" w:cs="Times New Roman"/>
          <w:highlight w:val="none"/>
        </w:rPr>
      </w:pPr>
      <w:r>
        <w:rPr>
          <w:rFonts w:hint="eastAsia" w:ascii="仿宋" w:hAnsi="仿宋" w:cs="Times New Roman"/>
          <w:highlight w:val="none"/>
          <w:lang w:val="en-US" w:eastAsia="zh-CN"/>
        </w:rPr>
        <w:t>2</w:t>
      </w:r>
      <w:r>
        <w:rPr>
          <w:rFonts w:hint="eastAsia" w:ascii="仿宋" w:hAnsi="仿宋" w:cs="Times New Roman"/>
          <w:highlight w:val="none"/>
        </w:rPr>
        <w:t>.</w:t>
      </w:r>
      <w:r>
        <w:rPr>
          <w:rFonts w:hint="eastAsia" w:ascii="仿宋" w:hAnsi="仿宋" w:cs="Times New Roman"/>
          <w:highlight w:val="none"/>
          <w:lang w:val="en-US" w:eastAsia="zh-CN"/>
        </w:rPr>
        <w:t>在重点景区计划选取5个充电基础设施点位，共计50个充电桩，其中3处点位进行充电站建设，配建液冷充电桩44个。</w:t>
      </w:r>
    </w:p>
    <w:p>
      <w:pPr>
        <w:ind w:firstLine="560"/>
        <w:rPr>
          <w:rFonts w:hint="default" w:ascii="仿宋" w:hAnsi="仿宋" w:eastAsia="仿宋" w:cs="Times New Roman"/>
          <w:highlight w:val="none"/>
          <w:lang w:val="en-US" w:eastAsia="zh-CN"/>
        </w:rPr>
      </w:pPr>
      <w:r>
        <w:rPr>
          <w:rFonts w:hint="eastAsia" w:ascii="仿宋" w:hAnsi="仿宋" w:cs="Times New Roman"/>
          <w:highlight w:val="none"/>
          <w:lang w:val="en-US" w:eastAsia="zh-CN"/>
        </w:rPr>
        <w:t>3</w:t>
      </w:r>
      <w:r>
        <w:rPr>
          <w:rFonts w:hint="eastAsia" w:ascii="仿宋" w:hAnsi="仿宋" w:cs="Times New Roman"/>
          <w:highlight w:val="none"/>
        </w:rPr>
        <w:t>.</w:t>
      </w:r>
      <w:r>
        <w:rPr>
          <w:rFonts w:hint="eastAsia" w:ascii="仿宋" w:hAnsi="仿宋" w:cs="Times New Roman"/>
          <w:highlight w:val="none"/>
          <w:lang w:val="en-US" w:eastAsia="zh-CN"/>
        </w:rPr>
        <w:t>在产业园区和物流节点重要的场景计划建设6个充电基础设施点位，共计48个充电桩，其中配建液冷充电桩24个。</w:t>
      </w:r>
    </w:p>
    <w:p>
      <w:pPr>
        <w:ind w:firstLine="560"/>
        <w:rPr>
          <w:rFonts w:ascii="仿宋" w:hAnsi="仿宋" w:cs="Times New Roman"/>
          <w:highlight w:val="none"/>
        </w:rPr>
      </w:pPr>
      <w:r>
        <w:rPr>
          <w:rFonts w:hint="eastAsia" w:ascii="仿宋" w:hAnsi="仿宋" w:cs="Times New Roman"/>
          <w:highlight w:val="none"/>
          <w:lang w:val="en-US" w:eastAsia="zh-CN"/>
        </w:rPr>
        <w:t>4</w:t>
      </w:r>
      <w:r>
        <w:rPr>
          <w:rFonts w:hint="eastAsia" w:ascii="仿宋" w:hAnsi="仿宋" w:cs="Times New Roman"/>
          <w:highlight w:val="none"/>
        </w:rPr>
        <w:t>.</w:t>
      </w:r>
      <w:r>
        <w:rPr>
          <w:rFonts w:hint="eastAsia" w:ascii="仿宋" w:hAnsi="仿宋" w:cs="Times New Roman"/>
          <w:highlight w:val="none"/>
          <w:lang w:val="en-US" w:eastAsia="zh-CN"/>
        </w:rPr>
        <w:t>在交通枢纽的重要节点计划选取2个充电基础设施点位，共计32个充电桩，并结合实际情况，采用液冷以及光储充一体的新型充电技术，配建液冷充电桩24个</w:t>
      </w:r>
      <w:r>
        <w:rPr>
          <w:rFonts w:hint="eastAsia" w:ascii="仿宋" w:hAnsi="仿宋" w:cs="Times New Roman"/>
          <w:highlight w:val="none"/>
        </w:rPr>
        <w:t>。</w:t>
      </w:r>
    </w:p>
    <w:p>
      <w:pPr>
        <w:ind w:firstLine="560"/>
        <w:rPr>
          <w:rFonts w:hint="eastAsia" w:ascii="仿宋" w:hAnsi="仿宋" w:cs="Times New Roman"/>
          <w:highlight w:val="none"/>
        </w:rPr>
      </w:pPr>
      <w:r>
        <w:rPr>
          <w:rFonts w:hint="eastAsia" w:ascii="仿宋" w:hAnsi="仿宋" w:cs="Times New Roman"/>
          <w:highlight w:val="none"/>
          <w:lang w:val="en-US" w:eastAsia="zh-CN"/>
        </w:rPr>
        <w:t>5</w:t>
      </w:r>
      <w:r>
        <w:rPr>
          <w:rFonts w:ascii="仿宋" w:hAnsi="仿宋" w:cs="Times New Roman"/>
          <w:highlight w:val="none"/>
        </w:rPr>
        <w:t>.</w:t>
      </w:r>
      <w:r>
        <w:rPr>
          <w:rFonts w:hint="eastAsia" w:ascii="仿宋" w:hAnsi="仿宋" w:cs="Times New Roman"/>
          <w:highlight w:val="none"/>
          <w:lang w:val="en-US" w:eastAsia="zh-CN"/>
        </w:rPr>
        <w:t>在旅游公路沿线的重要节点、“四好农村路”沿线计划选取11个充电基础设施点位，共计38充电桩，其中配建液冷充电桩16个</w:t>
      </w:r>
      <w:r>
        <w:rPr>
          <w:rFonts w:hint="eastAsia" w:ascii="仿宋" w:hAnsi="仿宋" w:cs="Times New Roman"/>
          <w:highlight w:val="none"/>
        </w:rPr>
        <w:t>。</w:t>
      </w:r>
    </w:p>
    <w:p>
      <w:pPr>
        <w:keepNext/>
        <w:keepLines/>
        <w:widowControl w:val="0"/>
        <w:numPr>
          <w:ilvl w:val="2"/>
          <w:numId w:val="7"/>
        </w:numPr>
        <w:adjustRightInd w:val="0"/>
        <w:snapToGrid w:val="0"/>
        <w:spacing w:line="415" w:lineRule="auto"/>
        <w:ind w:left="0" w:firstLine="200" w:firstLineChars="0"/>
        <w:jc w:val="both"/>
        <w:outlineLvl w:val="2"/>
        <w:rPr>
          <w:rFonts w:hint="eastAsia" w:ascii="仿宋" w:hAnsi="仿宋" w:eastAsia="仿宋" w:cs="Times New Roman"/>
          <w:b/>
          <w:bCs/>
          <w:kern w:val="2"/>
          <w:sz w:val="32"/>
          <w:szCs w:val="32"/>
          <w:highlight w:val="none"/>
          <w:lang w:val="en-US" w:eastAsia="zh-CN" w:bidi="ar-SA"/>
        </w:rPr>
      </w:pPr>
      <w:bookmarkStart w:id="32" w:name="_Toc4473"/>
      <w:r>
        <w:rPr>
          <w:rFonts w:hint="eastAsia" w:ascii="仿宋" w:hAnsi="仿宋" w:eastAsia="仿宋" w:cs="Times New Roman"/>
          <w:b/>
          <w:bCs/>
          <w:kern w:val="2"/>
          <w:sz w:val="32"/>
          <w:szCs w:val="32"/>
          <w:highlight w:val="none"/>
          <w:lang w:val="en-US" w:eastAsia="zh-CN" w:bidi="ar-SA"/>
        </w:rPr>
        <w:t>布局目标</w:t>
      </w:r>
      <w:bookmarkEnd w:id="32"/>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firstLine="560" w:firstLineChars="200"/>
        <w:jc w:val="left"/>
        <w:textAlignment w:val="auto"/>
        <w:rPr>
          <w:rFonts w:hint="default" w:ascii="仿宋" w:hAnsi="仿宋" w:eastAsia="仿宋" w:cs="仿宋"/>
          <w:color w:val="auto"/>
          <w:kern w:val="0"/>
          <w:sz w:val="32"/>
          <w:szCs w:val="32"/>
          <w:highlight w:val="none"/>
          <w:lang w:val="en-US" w:eastAsia="zh-CN" w:bidi="ar"/>
        </w:rPr>
      </w:pPr>
      <w:r>
        <w:rPr>
          <w:rFonts w:hint="default" w:ascii="仿宋" w:hAnsi="仿宋" w:eastAsia="仿宋" w:cs="仿宋"/>
          <w:color w:val="auto"/>
          <w:kern w:val="0"/>
          <w:sz w:val="28"/>
          <w:szCs w:val="28"/>
          <w:lang w:val="en-US" w:eastAsia="zh-CN" w:bidi="ar"/>
        </w:rPr>
        <w:t>结合区域位置分布，考虑在核心商圈、交通枢纽综合服务站、旅游景区、商务办公场所、加油站、产业园区周边等区域</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车辆多为临时停靠补电，充电桩以快充为主，</w:t>
      </w:r>
      <w:r>
        <w:rPr>
          <w:rFonts w:hint="eastAsia" w:ascii="仿宋" w:hAnsi="仿宋" w:eastAsia="仿宋" w:cs="仿宋"/>
          <w:color w:val="auto"/>
          <w:kern w:val="0"/>
          <w:sz w:val="28"/>
          <w:szCs w:val="28"/>
          <w:lang w:val="en-US" w:eastAsia="zh-CN" w:bidi="ar"/>
        </w:rPr>
        <w:t>缩短充电时间，提升充电效率，满足临时停靠需求</w:t>
      </w:r>
      <w:r>
        <w:rPr>
          <w:rFonts w:hint="default" w:ascii="仿宋" w:hAnsi="仿宋" w:eastAsia="仿宋" w:cs="仿宋"/>
          <w:color w:val="auto"/>
          <w:kern w:val="0"/>
          <w:sz w:val="28"/>
          <w:szCs w:val="28"/>
          <w:lang w:val="en-US" w:eastAsia="zh-CN" w:bidi="ar"/>
        </w:rPr>
        <w:t>，慢充</w:t>
      </w:r>
      <w:r>
        <w:rPr>
          <w:rFonts w:hint="eastAsia" w:ascii="仿宋" w:hAnsi="仿宋" w:eastAsia="仿宋" w:cs="仿宋"/>
          <w:color w:val="auto"/>
          <w:kern w:val="0"/>
          <w:sz w:val="28"/>
          <w:szCs w:val="28"/>
          <w:lang w:val="en-US" w:eastAsia="zh-CN" w:bidi="ar"/>
        </w:rPr>
        <w:t>少量布置</w:t>
      </w:r>
      <w:r>
        <w:rPr>
          <w:rFonts w:hint="default" w:ascii="仿宋" w:hAnsi="仿宋" w:eastAsia="仿宋" w:cs="仿宋"/>
          <w:color w:val="auto"/>
          <w:kern w:val="0"/>
          <w:sz w:val="28"/>
          <w:szCs w:val="28"/>
          <w:lang w:val="en-US" w:eastAsia="zh-CN" w:bidi="ar"/>
        </w:rPr>
        <w:t>的原则，</w:t>
      </w:r>
      <w:r>
        <w:rPr>
          <w:rFonts w:hint="default" w:ascii="仿宋" w:hAnsi="仿宋" w:eastAsia="仿宋" w:cs="仿宋"/>
          <w:b/>
          <w:bCs/>
          <w:color w:val="auto"/>
          <w:kern w:val="0"/>
          <w:sz w:val="28"/>
          <w:szCs w:val="28"/>
          <w:lang w:val="en-US" w:eastAsia="zh-CN" w:bidi="ar"/>
        </w:rPr>
        <w:t>根据《辽宁省“十四五”电动汽车充电基础设施专项规划》</w:t>
      </w:r>
      <w:r>
        <w:rPr>
          <w:rFonts w:hint="eastAsia" w:ascii="仿宋" w:hAnsi="仿宋" w:eastAsia="仿宋" w:cs="仿宋"/>
          <w:b/>
          <w:bCs/>
          <w:color w:val="auto"/>
          <w:kern w:val="0"/>
          <w:sz w:val="28"/>
          <w:szCs w:val="28"/>
          <w:lang w:val="en-US" w:eastAsia="zh-CN" w:bidi="ar"/>
        </w:rPr>
        <w:t>以及鞍山</w:t>
      </w:r>
      <w:r>
        <w:rPr>
          <w:rFonts w:hint="default" w:ascii="仿宋" w:hAnsi="仿宋" w:eastAsia="仿宋" w:cs="仿宋"/>
          <w:b/>
          <w:bCs/>
          <w:color w:val="auto"/>
          <w:kern w:val="0"/>
          <w:sz w:val="28"/>
          <w:szCs w:val="28"/>
          <w:lang w:val="en-US" w:eastAsia="zh-CN" w:bidi="ar"/>
        </w:rPr>
        <w:t>市电动汽车充电基础设施</w:t>
      </w:r>
      <w:r>
        <w:rPr>
          <w:rFonts w:hint="eastAsia" w:ascii="仿宋" w:hAnsi="仿宋" w:eastAsia="仿宋" w:cs="仿宋"/>
          <w:b/>
          <w:bCs/>
          <w:color w:val="auto"/>
          <w:kern w:val="0"/>
          <w:sz w:val="28"/>
          <w:szCs w:val="28"/>
          <w:lang w:val="en-US" w:eastAsia="zh-CN" w:bidi="ar"/>
        </w:rPr>
        <w:t>规划建设相关工作精神</w:t>
      </w:r>
      <w:r>
        <w:rPr>
          <w:rFonts w:hint="default" w:ascii="仿宋" w:hAnsi="仿宋" w:eastAsia="仿宋" w:cs="仿宋"/>
          <w:b/>
          <w:bCs/>
          <w:color w:val="auto"/>
          <w:kern w:val="0"/>
          <w:sz w:val="28"/>
          <w:szCs w:val="28"/>
          <w:lang w:val="en-US" w:eastAsia="zh-CN" w:bidi="ar"/>
        </w:rPr>
        <w:t>，</w:t>
      </w:r>
      <w:r>
        <w:rPr>
          <w:rFonts w:hint="eastAsia" w:ascii="仿宋" w:hAnsi="仿宋" w:eastAsia="仿宋" w:cs="仿宋"/>
          <w:b/>
          <w:bCs/>
          <w:color w:val="auto"/>
          <w:kern w:val="0"/>
          <w:sz w:val="28"/>
          <w:szCs w:val="28"/>
          <w:lang w:val="en-US" w:eastAsia="zh-CN" w:bidi="ar"/>
        </w:rPr>
        <w:t>为实现充换电基础设施‘乡乡全覆盖’目标，以适度超前为前提，</w:t>
      </w:r>
      <w:r>
        <w:rPr>
          <w:rFonts w:hint="default" w:ascii="仿宋" w:hAnsi="仿宋" w:eastAsia="仿宋" w:cs="仿宋"/>
          <w:b/>
          <w:bCs/>
          <w:color w:val="auto"/>
          <w:kern w:val="0"/>
          <w:sz w:val="28"/>
          <w:szCs w:val="28"/>
          <w:lang w:val="en-US" w:eastAsia="zh-CN" w:bidi="ar"/>
        </w:rPr>
        <w:t>按照全县充电服务半径不超过</w:t>
      </w:r>
      <w:r>
        <w:rPr>
          <w:rFonts w:hint="eastAsia" w:ascii="仿宋" w:hAnsi="仿宋" w:eastAsia="仿宋" w:cs="仿宋"/>
          <w:b/>
          <w:bCs/>
          <w:color w:val="auto"/>
          <w:kern w:val="0"/>
          <w:sz w:val="28"/>
          <w:szCs w:val="28"/>
          <w:lang w:val="en-US" w:eastAsia="zh-CN" w:bidi="ar"/>
        </w:rPr>
        <w:t>8公里，中心城区不超过4公里</w:t>
      </w:r>
      <w:r>
        <w:rPr>
          <w:rFonts w:hint="default" w:ascii="仿宋" w:hAnsi="仿宋" w:eastAsia="仿宋" w:cs="仿宋"/>
          <w:b/>
          <w:bCs/>
          <w:color w:val="auto"/>
          <w:kern w:val="0"/>
          <w:sz w:val="28"/>
          <w:szCs w:val="28"/>
          <w:lang w:val="en-US" w:eastAsia="zh-CN" w:bidi="ar"/>
        </w:rPr>
        <w:t>的原则，</w:t>
      </w:r>
      <w:r>
        <w:rPr>
          <w:rFonts w:hint="default" w:ascii="仿宋" w:hAnsi="仿宋" w:eastAsia="仿宋" w:cs="仿宋"/>
          <w:color w:val="auto"/>
          <w:kern w:val="0"/>
          <w:sz w:val="28"/>
          <w:szCs w:val="28"/>
          <w:highlight w:val="none"/>
          <w:lang w:val="en-US" w:eastAsia="zh-CN" w:bidi="ar"/>
        </w:rPr>
        <w:t>2024-202</w:t>
      </w:r>
      <w:r>
        <w:rPr>
          <w:rFonts w:hint="eastAsia" w:ascii="仿宋" w:hAnsi="仿宋" w:eastAsia="仿宋" w:cs="仿宋"/>
          <w:color w:val="auto"/>
          <w:kern w:val="0"/>
          <w:sz w:val="28"/>
          <w:szCs w:val="28"/>
          <w:highlight w:val="none"/>
          <w:lang w:val="en-US" w:eastAsia="zh-CN" w:bidi="ar"/>
        </w:rPr>
        <w:t>8</w:t>
      </w:r>
      <w:r>
        <w:rPr>
          <w:rFonts w:hint="default" w:ascii="仿宋" w:hAnsi="仿宋" w:eastAsia="仿宋" w:cs="仿宋"/>
          <w:color w:val="auto"/>
          <w:kern w:val="0"/>
          <w:sz w:val="28"/>
          <w:szCs w:val="28"/>
          <w:highlight w:val="none"/>
          <w:lang w:val="en-US" w:eastAsia="zh-CN" w:bidi="ar"/>
        </w:rPr>
        <w:t>年</w:t>
      </w:r>
      <w:r>
        <w:rPr>
          <w:rFonts w:hint="eastAsia" w:ascii="仿宋" w:hAnsi="仿宋" w:eastAsia="仿宋" w:cs="仿宋"/>
          <w:color w:val="auto"/>
          <w:kern w:val="0"/>
          <w:sz w:val="28"/>
          <w:szCs w:val="28"/>
          <w:highlight w:val="none"/>
          <w:lang w:val="en-US" w:eastAsia="zh-CN" w:bidi="ar"/>
        </w:rPr>
        <w:t>岫岩县拟</w:t>
      </w:r>
      <w:r>
        <w:rPr>
          <w:rFonts w:hint="default" w:ascii="仿宋" w:hAnsi="仿宋" w:eastAsia="仿宋" w:cs="仿宋"/>
          <w:color w:val="auto"/>
          <w:kern w:val="0"/>
          <w:sz w:val="28"/>
          <w:szCs w:val="28"/>
          <w:highlight w:val="none"/>
          <w:lang w:val="en-US" w:eastAsia="zh-CN" w:bidi="ar"/>
        </w:rPr>
        <w:t>规划新建公共</w:t>
      </w:r>
      <w:r>
        <w:rPr>
          <w:rFonts w:hint="eastAsia" w:ascii="仿宋" w:hAnsi="仿宋" w:eastAsia="仿宋" w:cs="仿宋"/>
          <w:color w:val="auto"/>
          <w:kern w:val="0"/>
          <w:sz w:val="28"/>
          <w:szCs w:val="28"/>
          <w:highlight w:val="none"/>
          <w:lang w:val="en-US" w:eastAsia="zh-CN" w:bidi="ar"/>
        </w:rPr>
        <w:t>充换电点位74处</w:t>
      </w:r>
      <w:r>
        <w:rPr>
          <w:rFonts w:hint="default" w:ascii="仿宋" w:hAnsi="仿宋" w:eastAsia="仿宋" w:cs="仿宋"/>
          <w:color w:val="auto"/>
          <w:kern w:val="0"/>
          <w:sz w:val="28"/>
          <w:szCs w:val="28"/>
          <w:highlight w:val="none"/>
          <w:lang w:val="en-US" w:eastAsia="zh-CN" w:bidi="ar"/>
        </w:rPr>
        <w:t>，新增公共充电</w:t>
      </w:r>
      <w:r>
        <w:rPr>
          <w:rFonts w:hint="eastAsia" w:ascii="仿宋" w:hAnsi="仿宋" w:eastAsia="仿宋" w:cs="仿宋"/>
          <w:color w:val="auto"/>
          <w:kern w:val="0"/>
          <w:sz w:val="28"/>
          <w:szCs w:val="28"/>
          <w:highlight w:val="none"/>
          <w:lang w:val="en-US" w:eastAsia="zh-CN" w:bidi="ar"/>
        </w:rPr>
        <w:t>桩524</w:t>
      </w:r>
      <w:r>
        <w:rPr>
          <w:rFonts w:hint="default" w:ascii="仿宋" w:hAnsi="仿宋" w:eastAsia="仿宋" w:cs="仿宋"/>
          <w:color w:val="auto"/>
          <w:kern w:val="0"/>
          <w:sz w:val="28"/>
          <w:szCs w:val="28"/>
          <w:highlight w:val="none"/>
          <w:lang w:val="en-US" w:eastAsia="zh-CN" w:bidi="ar"/>
        </w:rPr>
        <w:t>个，</w:t>
      </w:r>
      <w:r>
        <w:rPr>
          <w:rFonts w:hint="eastAsia" w:ascii="仿宋" w:hAnsi="仿宋" w:eastAsia="仿宋" w:cs="仿宋"/>
          <w:color w:val="auto"/>
          <w:kern w:val="0"/>
          <w:sz w:val="28"/>
          <w:szCs w:val="28"/>
          <w:highlight w:val="none"/>
          <w:lang w:val="en-US" w:eastAsia="zh-CN" w:bidi="ar"/>
        </w:rPr>
        <w:t>其中快充260个，液冷264个</w:t>
      </w:r>
      <w:r>
        <w:rPr>
          <w:rFonts w:hint="default" w:ascii="仿宋" w:hAnsi="仿宋" w:eastAsia="仿宋" w:cs="仿宋"/>
          <w:color w:val="auto"/>
          <w:kern w:val="0"/>
          <w:sz w:val="28"/>
          <w:szCs w:val="28"/>
          <w:highlight w:val="none"/>
          <w:lang w:val="en-US" w:eastAsia="zh-CN" w:bidi="ar"/>
        </w:rPr>
        <w:t>。</w:t>
      </w:r>
      <w:r>
        <w:rPr>
          <w:rFonts w:hint="eastAsia" w:ascii="仿宋" w:hAnsi="仿宋" w:eastAsia="仿宋" w:cs="仿宋"/>
          <w:color w:val="auto"/>
          <w:kern w:val="0"/>
          <w:sz w:val="28"/>
          <w:szCs w:val="28"/>
          <w:highlight w:val="none"/>
          <w:lang w:val="en-US" w:eastAsia="zh-CN" w:bidi="ar"/>
        </w:rPr>
        <w:t>未来建设期间通过实际情况、建设条件等因素，对所选点位进行适当调整，以满足岫岩县对公共充电基础设施的实际发展需求。岫岩县</w:t>
      </w:r>
      <w:r>
        <w:rPr>
          <w:rFonts w:hint="default" w:ascii="仿宋" w:hAnsi="仿宋" w:eastAsia="仿宋" w:cs="仿宋"/>
          <w:color w:val="auto"/>
          <w:kern w:val="0"/>
          <w:sz w:val="28"/>
          <w:szCs w:val="28"/>
          <w:highlight w:val="none"/>
          <w:lang w:val="en-US" w:eastAsia="zh-CN" w:bidi="ar"/>
        </w:rPr>
        <w:t>规划公共充电设施站点如下所示</w:t>
      </w:r>
      <w:r>
        <w:rPr>
          <w:rFonts w:hint="eastAsia" w:ascii="仿宋" w:hAnsi="仿宋" w:eastAsia="仿宋" w:cs="仿宋"/>
          <w:color w:val="auto"/>
          <w:kern w:val="0"/>
          <w:sz w:val="28"/>
          <w:szCs w:val="28"/>
          <w:highlight w:val="none"/>
          <w:lang w:val="en-US" w:eastAsia="zh-CN" w:bidi="ar"/>
        </w:rPr>
        <w:t>：</w:t>
      </w:r>
    </w:p>
    <w:p>
      <w:pPr>
        <w:pStyle w:val="15"/>
        <w:adjustRightInd w:val="0"/>
        <w:snapToGrid w:val="0"/>
        <w:spacing w:line="360" w:lineRule="auto"/>
        <w:ind w:firstLine="0"/>
        <w:jc w:val="left"/>
        <w:rPr>
          <w:rFonts w:hint="default" w:ascii="仿宋" w:hAnsi="仿宋" w:eastAsia="仿宋" w:cs="仿宋"/>
          <w:color w:val="auto"/>
          <w:kern w:val="0"/>
          <w:sz w:val="32"/>
          <w:szCs w:val="32"/>
          <w:highlight w:val="none"/>
          <w:lang w:val="en-US" w:eastAsia="zh-CN" w:bidi="ar"/>
        </w:rPr>
      </w:pPr>
      <w:r>
        <w:rPr>
          <w:rFonts w:hint="default" w:ascii="仿宋" w:hAnsi="仿宋" w:eastAsia="仿宋" w:cs="仿宋"/>
          <w:color w:val="auto"/>
          <w:kern w:val="0"/>
          <w:sz w:val="32"/>
          <w:szCs w:val="32"/>
          <w:highlight w:val="none"/>
          <w:lang w:val="en-US" w:eastAsia="zh-CN" w:bidi="ar"/>
        </w:rPr>
        <w:drawing>
          <wp:inline distT="0" distB="0" distL="114300" distR="114300">
            <wp:extent cx="5220970" cy="5550535"/>
            <wp:effectExtent l="0" t="0" r="0" b="0"/>
            <wp:docPr id="17" name="图片 17" descr="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布局"/>
                    <pic:cNvPicPr>
                      <a:picLocks noChangeAspect="1"/>
                    </pic:cNvPicPr>
                  </pic:nvPicPr>
                  <pic:blipFill>
                    <a:blip r:embed="rId15"/>
                    <a:srcRect l="18910" t="1271" r="16994" b="2254"/>
                    <a:stretch>
                      <a:fillRect/>
                    </a:stretch>
                  </pic:blipFill>
                  <pic:spPr>
                    <a:xfrm>
                      <a:off x="0" y="0"/>
                      <a:ext cx="5220970" cy="555053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岫岩县公共充电设施规划布局点位图</w:t>
      </w:r>
    </w:p>
    <w:p>
      <w:pPr>
        <w:pStyle w:val="19"/>
        <w:ind w:left="0" w:leftChars="0" w:firstLine="0" w:firstLineChars="0"/>
        <w:rPr>
          <w:rFonts w:hint="eastAsia"/>
          <w:highlight w:val="green"/>
          <w:lang w:val="en-US" w:eastAsia="zh-CN"/>
        </w:rPr>
      </w:pPr>
      <w:r>
        <w:rPr>
          <w:rFonts w:hint="eastAsia"/>
          <w:highlight w:val="none"/>
          <w:lang w:val="en-US" w:eastAsia="zh-CN"/>
        </w:rPr>
        <w:drawing>
          <wp:inline distT="0" distB="0" distL="114300" distR="114300">
            <wp:extent cx="5275580" cy="5575300"/>
            <wp:effectExtent l="0" t="0" r="1270" b="6350"/>
            <wp:docPr id="18" name="图片 18" descr="服务半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服务半径"/>
                    <pic:cNvPicPr>
                      <a:picLocks noChangeAspect="1"/>
                    </pic:cNvPicPr>
                  </pic:nvPicPr>
                  <pic:blipFill>
                    <a:blip r:embed="rId16"/>
                    <a:srcRect l="18850" t="1468" r="17320" b="3020"/>
                    <a:stretch>
                      <a:fillRect/>
                    </a:stretch>
                  </pic:blipFill>
                  <pic:spPr>
                    <a:xfrm>
                      <a:off x="0" y="0"/>
                      <a:ext cx="5275580" cy="5575300"/>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岫岩县公共充电设施服务半径覆盖图</w:t>
      </w:r>
    </w:p>
    <w:p>
      <w:pPr>
        <w:pStyle w:val="3"/>
        <w:bidi w:val="0"/>
        <w:ind w:left="0" w:leftChars="0" w:firstLine="0" w:firstLineChars="0"/>
      </w:pPr>
      <w:bookmarkStart w:id="33" w:name="_Toc13243"/>
      <w:r>
        <w:rPr>
          <w:rFonts w:hint="eastAsia"/>
        </w:rPr>
        <w:t>发展策略</w:t>
      </w:r>
      <w:bookmarkEnd w:id="33"/>
    </w:p>
    <w:p>
      <w:pPr>
        <w:ind w:firstLine="560"/>
        <w:rPr>
          <w:rFonts w:ascii="仿宋" w:hAnsi="仿宋"/>
        </w:rPr>
      </w:pPr>
      <w:r>
        <w:rPr>
          <w:rFonts w:hint="eastAsia" w:ascii="仿宋" w:hAnsi="仿宋"/>
        </w:rPr>
        <w:t>1.结合</w:t>
      </w:r>
      <w:r>
        <w:rPr>
          <w:rFonts w:hint="eastAsia" w:ascii="仿宋" w:hAnsi="仿宋"/>
          <w:lang w:eastAsia="zh-CN"/>
        </w:rPr>
        <w:t>岫岩县</w:t>
      </w:r>
      <w:r>
        <w:rPr>
          <w:rFonts w:hint="eastAsia" w:ascii="仿宋" w:hAnsi="仿宋"/>
        </w:rPr>
        <w:t>国土空间总体规划，完善当前充电设施覆盖不足的区域，优先结合大型商场、文体场馆等建筑物配建停车场，建设公共充换电基础设施，适当新建独立占地的公共快充站和换电站，作为私人充电桩的重要补充。</w:t>
      </w:r>
    </w:p>
    <w:p>
      <w:pPr>
        <w:ind w:firstLine="560"/>
        <w:rPr>
          <w:rFonts w:ascii="仿宋" w:hAnsi="仿宋"/>
          <w:highlight w:val="none"/>
        </w:rPr>
      </w:pPr>
      <w:r>
        <w:rPr>
          <w:rFonts w:hint="eastAsia" w:ascii="仿宋" w:hAnsi="仿宋"/>
          <w:highlight w:val="none"/>
        </w:rPr>
        <w:t>2.新增独立占地的充电站，选址应与城市总体规划和土地利用总体规划相协调，尽量不改变原有的用地性质，优先选择现有公共停车场、公园绿化区域或交通枢纽设施用地</w:t>
      </w:r>
      <w:r>
        <w:rPr>
          <w:rFonts w:hint="eastAsia" w:ascii="仿宋" w:hAnsi="仿宋"/>
          <w:highlight w:val="none"/>
          <w:lang w:val="en-US" w:eastAsia="zh-CN"/>
        </w:rPr>
        <w:t>以及国有土地或中心城区闲置用地</w:t>
      </w:r>
      <w:r>
        <w:rPr>
          <w:rFonts w:hint="eastAsia" w:ascii="仿宋" w:hAnsi="仿宋"/>
          <w:highlight w:val="none"/>
        </w:rPr>
        <w:t>。</w:t>
      </w:r>
    </w:p>
    <w:p>
      <w:pPr>
        <w:ind w:firstLine="560"/>
        <w:rPr>
          <w:rFonts w:ascii="仿宋" w:hAnsi="仿宋"/>
        </w:rPr>
      </w:pPr>
      <w:r>
        <w:rPr>
          <w:rFonts w:hint="eastAsia" w:ascii="仿宋" w:hAnsi="仿宋"/>
        </w:rPr>
        <w:t>3.根据电动汽车增长趋势，有序推进充电设施建设，提高充电桩平均利用率，坚决防止因过度建设造成充电设施利用低效益。</w:t>
      </w:r>
    </w:p>
    <w:p>
      <w:pPr>
        <w:pStyle w:val="12"/>
        <w:ind w:firstLine="600"/>
        <w:rPr>
          <w:rFonts w:ascii="仿宋" w:hAnsi="仿宋"/>
          <w:lang w:val="en-US"/>
        </w:rPr>
      </w:pPr>
      <w:r>
        <w:rPr>
          <w:rFonts w:ascii="仿宋" w:hAnsi="仿宋"/>
          <w:lang w:val="en-US"/>
        </w:rPr>
        <w:t>4</w:t>
      </w:r>
      <w:r>
        <w:rPr>
          <w:rFonts w:hint="eastAsia" w:ascii="仿宋" w:hAnsi="仿宋"/>
          <w:lang w:val="en-US"/>
        </w:rPr>
        <w:t>.结合电网负载情况，充分考虑本区域的配电网现状,与电网规划和建设密切结合，避免加大重载线路负荷。</w:t>
      </w:r>
    </w:p>
    <w:p>
      <w:r>
        <w:rPr>
          <w:rFonts w:ascii="仿宋" w:hAnsi="仿宋"/>
        </w:rPr>
        <w:t>5</w:t>
      </w:r>
      <w:r>
        <w:rPr>
          <w:rFonts w:hint="eastAsia" w:ascii="仿宋" w:hAnsi="仿宋"/>
        </w:rPr>
        <w:t>.在建设充电基础设施时同步考虑融合互联网、物联网、智能交通、大数据等技术，通过“互联网+充换基础设施”，积极推进电动汽车与智能电网融合互动，提升充电服务智能化水平。</w:t>
      </w:r>
    </w:p>
    <w:p>
      <w:r>
        <w:rPr>
          <w:rFonts w:hint="eastAsia"/>
        </w:rPr>
        <w:br w:type="page"/>
      </w:r>
    </w:p>
    <w:p>
      <w:pPr>
        <w:pStyle w:val="2"/>
        <w:bidi w:val="0"/>
        <w:ind w:left="0" w:leftChars="0" w:firstLine="0" w:firstLineChars="0"/>
      </w:pPr>
      <w:bookmarkStart w:id="34" w:name="_Toc23992"/>
      <w:r>
        <w:rPr>
          <w:rFonts w:hint="eastAsia"/>
        </w:rPr>
        <w:t>相关研究</w:t>
      </w:r>
      <w:bookmarkEnd w:id="34"/>
    </w:p>
    <w:p>
      <w:pPr>
        <w:pStyle w:val="3"/>
        <w:bidi w:val="0"/>
        <w:ind w:left="0" w:leftChars="0" w:firstLine="0" w:firstLineChars="0"/>
      </w:pPr>
      <w:bookmarkStart w:id="35" w:name="_Toc3685"/>
      <w:r>
        <w:rPr>
          <w:rFonts w:hint="eastAsia"/>
        </w:rPr>
        <w:t>相关概念解析</w:t>
      </w:r>
      <w:bookmarkEnd w:id="35"/>
    </w:p>
    <w:p>
      <w:pPr>
        <w:numPr>
          <w:ilvl w:val="0"/>
          <w:numId w:val="8"/>
        </w:numPr>
        <w:ind w:firstLine="562"/>
        <w:rPr>
          <w:b/>
          <w:bCs/>
        </w:rPr>
      </w:pPr>
      <w:r>
        <w:rPr>
          <w:b/>
          <w:bCs/>
        </w:rPr>
        <w:t>新能源汽车概念</w:t>
      </w:r>
    </w:p>
    <w:p>
      <w:pPr>
        <w:ind w:firstLine="560"/>
        <w:rPr>
          <w:rFonts w:ascii="仿宋" w:hAnsi="仿宋"/>
        </w:rPr>
      </w:pPr>
      <w:r>
        <w:rPr>
          <w:rFonts w:ascii="仿宋" w:hAnsi="仿宋"/>
        </w:rPr>
        <w:t>采用非常规的车用燃料作为动力来源（或使用常规的车用燃料，采用新型车载动力装置），综合车辆的动力控制和驱动方面的先进技术，形成的技术原理先进、具有新技术、新结构的汽车。新能源汽车包括五大类型：混合动力电动汽车（HEV），纯电动汽车（BEV），燃料电池电动汽车（FCEV），其他非常规燃料新能源汽车。在日本称为“低公害汽车”，在美国称为“代用燃料汽车”。</w:t>
      </w:r>
    </w:p>
    <w:p>
      <w:pPr>
        <w:ind w:firstLine="560"/>
        <w:rPr>
          <w:rFonts w:ascii="仿宋" w:hAnsi="仿宋"/>
        </w:rPr>
      </w:pPr>
      <w:r>
        <w:rPr>
          <w:rFonts w:ascii="仿宋" w:hAnsi="仿宋"/>
        </w:rPr>
        <w:t>（1）混合动力汽车（HEV）指车辆驱动系统由两个或多个能同时运转的单个驱动系统联合组成的车辆、车辆的行驶功率依据实际的车辆行驶状态由单个驱动系统单独或共同提供。根据混合动力驱动的联结方式，一般把混合动力汽车分为三类：串联式（增程式）混合动力汽车（SHEV）：由发动机、发电机、驱动电机等三大动力总成用串联的方式组成HEV动力系统。并联式混合动力汽车（PHEV）：发动机、驱动电机都是动力总成，两大动力总成的功率可以互相叠加输出，也可以单独输出。混联式混合动力电动汽车（CHEV）：综合了串联式和并联式的结构而组成的电动汽车，主要由发动机、电动——发电机和驱动电机三大动力总成组成。根据有无外接充电电源部分分类，一般把混合动力汽车分为两类：插电式混合动力汽车（Plug-inHybridVehicle）：介于电动汽车与燃油汽车两者之间，既有传统汽车的发动机、变速箱、传动系统、油路、油箱，也有电动汽车的电池、电机、控制电路，电池容量较大，有充电接口。非插电式混合动力汽车（NonPlug-inHybrid）：非插电式混合动力汽车必须加油，通过发动机驱动发电机给电池充电，低速时可靠电动机驱动行驶。优点：油耗较低、电池成本较低、排放量较低。缺点：环保效果低于纯电动汽车。</w:t>
      </w:r>
    </w:p>
    <w:p>
      <w:pPr>
        <w:ind w:firstLine="560"/>
        <w:rPr>
          <w:rFonts w:ascii="仿宋" w:hAnsi="仿宋"/>
        </w:rPr>
      </w:pPr>
      <w:r>
        <w:rPr>
          <w:rFonts w:ascii="仿宋" w:hAnsi="仿宋"/>
        </w:rPr>
        <w:t>（2）纯电动汽车（EV）采用单一蓄电池作为储能动力源的汽车，利用蓄电池作为储能动力源，通过电池向电机提供电能、驱动电动机运转，从而推动汽车前进。优点：无污染、噪音小、能源利用率高、提高发电设备使用效率；缺点：续航里程短，蓄电池寿命短。</w:t>
      </w:r>
    </w:p>
    <w:p>
      <w:pPr>
        <w:ind w:firstLine="560"/>
        <w:rPr>
          <w:rFonts w:ascii="仿宋" w:hAnsi="仿宋"/>
        </w:rPr>
      </w:pPr>
      <w:r>
        <w:rPr>
          <w:rFonts w:ascii="仿宋" w:hAnsi="仿宋"/>
        </w:rPr>
        <w:t>（3）燃料电池电动汽车（FCEV）用氢气、甲醇、天然气、汽油等作为反应物与空气中的氧气在电池中燃烧，进而电能为汽车提供动力源。优点：近似零排放、续驶历程长。缺点：制造及使用成本高、基础设施弱。</w:t>
      </w:r>
    </w:p>
    <w:p>
      <w:pPr>
        <w:ind w:firstLine="560"/>
        <w:rPr>
          <w:rFonts w:ascii="仿宋" w:hAnsi="仿宋"/>
        </w:rPr>
      </w:pPr>
      <w:r>
        <w:rPr>
          <w:rFonts w:ascii="仿宋" w:hAnsi="仿宋"/>
        </w:rPr>
        <w:t>（4）其他其他非常规燃料新能源汽车使用超级电容器、飞轮等高效储能器的汽车。按照国务院决策部署，发展新能源汽车时我国从汽车大国迈向汽车强国的必由之路，是应对气候变化，推动绿色发展的战略举措。</w:t>
      </w:r>
    </w:p>
    <w:p>
      <w:pPr>
        <w:pStyle w:val="12"/>
        <w:ind w:firstLine="602"/>
        <w:rPr>
          <w:b/>
          <w:bCs/>
        </w:rPr>
      </w:pPr>
      <w:r>
        <w:rPr>
          <w:b/>
          <w:bCs/>
        </w:rPr>
        <w:t>2.充电设施概念</w:t>
      </w:r>
    </w:p>
    <w:p>
      <w:pPr>
        <w:pStyle w:val="12"/>
        <w:keepNext w:val="0"/>
        <w:keepLines w:val="0"/>
        <w:pageBreakBefore w:val="0"/>
        <w:widowControl w:val="0"/>
        <w:kinsoku/>
        <w:wordWrap/>
        <w:overflowPunct/>
        <w:topLinePunct w:val="0"/>
        <w:autoSpaceDE/>
        <w:autoSpaceDN/>
        <w:bidi w:val="0"/>
        <w:adjustRightInd w:val="0"/>
        <w:snapToGrid w:val="0"/>
        <w:ind w:firstLine="560"/>
        <w:textAlignment w:val="auto"/>
        <w:rPr>
          <w:rFonts w:hint="eastAsia" w:ascii="仿宋" w:hAnsi="仿宋" w:eastAsia="仿宋" w:cs="仿宋"/>
          <w:b w:val="0"/>
          <w:bCs w:val="0"/>
          <w:sz w:val="28"/>
          <w:szCs w:val="28"/>
          <w:lang w:val="en-US"/>
        </w:rPr>
      </w:pPr>
      <w:r>
        <w:rPr>
          <w:rFonts w:hint="eastAsia" w:ascii="仿宋" w:hAnsi="仿宋" w:eastAsia="仿宋" w:cs="仿宋"/>
          <w:b w:val="0"/>
          <w:bCs w:val="0"/>
          <w:sz w:val="28"/>
          <w:szCs w:val="28"/>
          <w:lang w:val="en-US"/>
        </w:rPr>
        <w:t>（1）按照充电设施类型划分充电桩：实用型充电设备，具有硬件和占地成本低、单个充电桩充电时对电网冲击小等特点，可安装于各类室内外停车场所，适合在小区停车库、公共停车场、路边停车场、大型商业中心停车场、公交与出租车停车区域等有大规模用户集中停车的场合。按安装方式分为落地式和壁挂式，按充电接口数不同分为一桩一充式和一桩多充式，按充电方式可分为直流式与交流式两种。</w:t>
      </w:r>
    </w:p>
    <w:p>
      <w:pPr>
        <w:pStyle w:val="12"/>
        <w:keepNext w:val="0"/>
        <w:keepLines w:val="0"/>
        <w:pageBreakBefore w:val="0"/>
        <w:widowControl w:val="0"/>
        <w:kinsoku/>
        <w:wordWrap/>
        <w:overflowPunct/>
        <w:topLinePunct w:val="0"/>
        <w:autoSpaceDE/>
        <w:autoSpaceDN/>
        <w:bidi w:val="0"/>
        <w:adjustRightInd w:val="0"/>
        <w:snapToGrid w:val="0"/>
        <w:ind w:firstLine="560"/>
        <w:textAlignment w:val="auto"/>
        <w:rPr>
          <w:sz w:val="28"/>
          <w:szCs w:val="28"/>
          <w:lang w:val="en-US"/>
        </w:rPr>
      </w:pPr>
      <w:r>
        <w:rPr>
          <w:sz w:val="28"/>
          <w:szCs w:val="28"/>
          <w:lang w:val="en-US"/>
        </w:rPr>
        <w:t>充电站：充电站一般同时具备慢充和快充两种服务方式，但主要是以快速充电为主。充电站快速充电方式可以满足汽车用户充电需求，降低其充电的时间成本，但会大大降低电动汽车车用电池的使用寿命。由于充电站快速充电的时间较传统加油站更长，需要更大面积的能源加注工作和等候区，同时为减少对电网的影响，需要配备谐波处理装置等措施，因此大大增加充电站的建设成本。</w:t>
      </w:r>
    </w:p>
    <w:p>
      <w:pPr>
        <w:pStyle w:val="12"/>
        <w:ind w:firstLine="0" w:firstLineChars="0"/>
        <w:rPr>
          <w:lang w:val="en-US"/>
        </w:rPr>
      </w:pPr>
      <w:r>
        <w:rPr>
          <w:rFonts w:ascii="宋体" w:hAnsi="宋体" w:eastAsia="宋体" w:cs="宋体"/>
          <w:sz w:val="24"/>
          <w:szCs w:val="24"/>
        </w:rPr>
        <w:drawing>
          <wp:inline distT="0" distB="0" distL="114300" distR="114300">
            <wp:extent cx="5266690" cy="2960370"/>
            <wp:effectExtent l="0" t="0" r="10160" b="1143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7"/>
                    <a:stretch>
                      <a:fillRect/>
                    </a:stretch>
                  </pic:blipFill>
                  <pic:spPr>
                    <a:xfrm>
                      <a:off x="0" y="0"/>
                      <a:ext cx="5266690" cy="2960370"/>
                    </a:xfrm>
                    <a:prstGeom prst="rect">
                      <a:avLst/>
                    </a:prstGeom>
                    <a:noFill/>
                    <a:ln w="9525">
                      <a:noFill/>
                    </a:ln>
                  </pic:spPr>
                </pic:pic>
              </a:graphicData>
            </a:graphic>
          </wp:inline>
        </w:drawing>
      </w:r>
    </w:p>
    <w:p>
      <w:pPr>
        <w:pStyle w:val="12"/>
        <w:ind w:firstLine="0" w:firstLineChars="0"/>
        <w:jc w:val="center"/>
        <w:rPr>
          <w:sz w:val="21"/>
          <w:szCs w:val="21"/>
          <w:lang w:val="en-US"/>
        </w:rPr>
      </w:pPr>
      <w:r>
        <w:rPr>
          <w:rFonts w:hint="eastAsia"/>
          <w:sz w:val="21"/>
          <w:szCs w:val="21"/>
          <w:lang w:val="en-US"/>
        </w:rPr>
        <w:t>充电站图</w:t>
      </w:r>
    </w:p>
    <w:p>
      <w:pPr>
        <w:pStyle w:val="12"/>
        <w:ind w:firstLine="560"/>
        <w:rPr>
          <w:rFonts w:hint="eastAsia" w:ascii="仿宋" w:hAnsi="仿宋" w:eastAsia="仿宋" w:cs="仿宋"/>
          <w:sz w:val="28"/>
          <w:szCs w:val="28"/>
          <w:lang w:val="en-US"/>
        </w:rPr>
      </w:pPr>
      <w:r>
        <w:rPr>
          <w:rFonts w:hint="eastAsia" w:ascii="仿宋" w:hAnsi="仿宋" w:eastAsia="仿宋" w:cs="仿宋"/>
          <w:sz w:val="28"/>
          <w:szCs w:val="28"/>
          <w:lang w:val="en-US"/>
        </w:rPr>
        <w:t>充电站应包括3台及以上电动汽车充电设备，以及相关供电设备、监控设备等配套设施。平面布局包括站内建筑、站内外行车道、充电区、临时停车区及供配电设施等。换电站：换电站电池更换时间为分钟左右，并能实现在负荷低谷时段进行统一充电，既缩短了充电时间并延缓电池寿命，同时实现了电池的统一维护、回收与电网错避峰。但换电模式的前提是实现车用充电电池的规格标准、电池类型标准、接口标准、安装位置标准等。</w:t>
      </w:r>
    </w:p>
    <w:p>
      <w:pPr>
        <w:pStyle w:val="12"/>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三种类型充电设施比较表</w:t>
      </w:r>
    </w:p>
    <w:tbl>
      <w:tblPr>
        <w:tblStyle w:val="30"/>
        <w:tblW w:w="5000" w:type="pct"/>
        <w:tblInd w:w="0" w:type="dxa"/>
        <w:tblLayout w:type="fixed"/>
        <w:tblCellMar>
          <w:top w:w="0" w:type="dxa"/>
          <w:left w:w="108" w:type="dxa"/>
          <w:bottom w:w="0" w:type="dxa"/>
          <w:right w:w="108" w:type="dxa"/>
        </w:tblCellMar>
      </w:tblPr>
      <w:tblGrid>
        <w:gridCol w:w="1088"/>
        <w:gridCol w:w="2573"/>
        <w:gridCol w:w="2536"/>
        <w:gridCol w:w="2325"/>
      </w:tblGrid>
      <w:tr>
        <w:tblPrEx>
          <w:tblCellMar>
            <w:top w:w="0" w:type="dxa"/>
            <w:left w:w="108" w:type="dxa"/>
            <w:bottom w:w="0" w:type="dxa"/>
            <w:right w:w="108" w:type="dxa"/>
          </w:tblCellMar>
        </w:tblPrEx>
        <w:trPr>
          <w:trHeight w:val="459" w:hRule="atLeast"/>
        </w:trPr>
        <w:tc>
          <w:tcPr>
            <w:tcW w:w="6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p>
        </w:tc>
        <w:tc>
          <w:tcPr>
            <w:tcW w:w="150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充电桩</w:t>
            </w:r>
          </w:p>
        </w:tc>
        <w:tc>
          <w:tcPr>
            <w:tcW w:w="1487"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充电站</w:t>
            </w:r>
          </w:p>
        </w:tc>
        <w:tc>
          <w:tcPr>
            <w:tcW w:w="136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换电站</w:t>
            </w:r>
          </w:p>
        </w:tc>
      </w:tr>
      <w:tr>
        <w:tblPrEx>
          <w:tblCellMar>
            <w:top w:w="0" w:type="dxa"/>
            <w:left w:w="108" w:type="dxa"/>
            <w:bottom w:w="0" w:type="dxa"/>
            <w:right w:w="108" w:type="dxa"/>
          </w:tblCellMar>
        </w:tblPrEx>
        <w:trPr>
          <w:trHeight w:val="555" w:hRule="atLeast"/>
        </w:trPr>
        <w:tc>
          <w:tcPr>
            <w:tcW w:w="638"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主要特征</w:t>
            </w:r>
          </w:p>
        </w:tc>
        <w:tc>
          <w:tcPr>
            <w:tcW w:w="150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慢充、快充</w:t>
            </w:r>
          </w:p>
        </w:tc>
        <w:tc>
          <w:tcPr>
            <w:tcW w:w="148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慢充、快充</w:t>
            </w:r>
          </w:p>
        </w:tc>
        <w:tc>
          <w:tcPr>
            <w:tcW w:w="13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电池更换</w:t>
            </w:r>
          </w:p>
        </w:tc>
      </w:tr>
      <w:tr>
        <w:tblPrEx>
          <w:tblCellMar>
            <w:top w:w="0" w:type="dxa"/>
            <w:left w:w="108" w:type="dxa"/>
            <w:bottom w:w="0" w:type="dxa"/>
            <w:right w:w="108" w:type="dxa"/>
          </w:tblCellMar>
        </w:tblPrEx>
        <w:trPr>
          <w:trHeight w:val="724" w:hRule="atLeast"/>
        </w:trPr>
        <w:tc>
          <w:tcPr>
            <w:tcW w:w="638"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优点</w:t>
            </w:r>
          </w:p>
        </w:tc>
        <w:tc>
          <w:tcPr>
            <w:tcW w:w="150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占地面积小网点密度大</w:t>
            </w:r>
          </w:p>
        </w:tc>
        <w:tc>
          <w:tcPr>
            <w:tcW w:w="148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设备利用率较高</w:t>
            </w:r>
          </w:p>
        </w:tc>
        <w:tc>
          <w:tcPr>
            <w:tcW w:w="136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换电速度快设备利用率高</w:t>
            </w:r>
          </w:p>
        </w:tc>
      </w:tr>
      <w:tr>
        <w:tblPrEx>
          <w:tblCellMar>
            <w:top w:w="0" w:type="dxa"/>
            <w:left w:w="108" w:type="dxa"/>
            <w:bottom w:w="0" w:type="dxa"/>
            <w:right w:w="108" w:type="dxa"/>
          </w:tblCellMar>
        </w:tblPrEx>
        <w:trPr>
          <w:trHeight w:val="561" w:hRule="atLeast"/>
        </w:trPr>
        <w:tc>
          <w:tcPr>
            <w:tcW w:w="638"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缺点</w:t>
            </w:r>
          </w:p>
        </w:tc>
        <w:tc>
          <w:tcPr>
            <w:tcW w:w="150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充电速度慢设备利用率低</w:t>
            </w:r>
          </w:p>
        </w:tc>
        <w:tc>
          <w:tcPr>
            <w:tcW w:w="148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占地面积大建设难度较大</w:t>
            </w:r>
          </w:p>
        </w:tc>
        <w:tc>
          <w:tcPr>
            <w:tcW w:w="136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投资较大专业性要求高</w:t>
            </w:r>
          </w:p>
        </w:tc>
      </w:tr>
    </w:tbl>
    <w:p>
      <w:pPr>
        <w:pStyle w:val="12"/>
        <w:ind w:firstLine="560"/>
        <w:rPr>
          <w:sz w:val="28"/>
          <w:szCs w:val="28"/>
          <w:lang w:val="en-US"/>
        </w:rPr>
      </w:pPr>
      <w:r>
        <w:rPr>
          <w:rFonts w:hint="eastAsia"/>
          <w:sz w:val="28"/>
          <w:szCs w:val="28"/>
          <w:lang w:val="en-US"/>
        </w:rPr>
        <w:t>根据</w:t>
      </w:r>
      <w:r>
        <w:rPr>
          <w:rFonts w:hint="eastAsia"/>
          <w:sz w:val="28"/>
          <w:szCs w:val="28"/>
          <w:lang w:val="en-US" w:eastAsia="zh-CN"/>
        </w:rPr>
        <w:t>岫岩县</w:t>
      </w:r>
      <w:r>
        <w:rPr>
          <w:rFonts w:hint="eastAsia"/>
          <w:sz w:val="28"/>
          <w:szCs w:val="28"/>
          <w:lang w:val="en-US"/>
        </w:rPr>
        <w:t>电动汽车实际保有情况，权衡换电站成本、使用情况等因素，发现换电站并不符合</w:t>
      </w:r>
      <w:r>
        <w:rPr>
          <w:rFonts w:hint="eastAsia"/>
          <w:sz w:val="28"/>
          <w:szCs w:val="28"/>
          <w:lang w:val="en-US" w:eastAsia="zh-CN"/>
        </w:rPr>
        <w:t>岫岩县</w:t>
      </w:r>
      <w:r>
        <w:rPr>
          <w:rFonts w:hint="eastAsia"/>
          <w:sz w:val="28"/>
          <w:szCs w:val="28"/>
          <w:lang w:val="en-US"/>
        </w:rPr>
        <w:t>现有发展状况，故暂时并没有考虑换电站建设，只考虑充电站相关建设。</w:t>
      </w:r>
    </w:p>
    <w:p>
      <w:pPr>
        <w:pStyle w:val="12"/>
        <w:ind w:firstLine="560"/>
        <w:rPr>
          <w:sz w:val="28"/>
          <w:szCs w:val="28"/>
          <w:lang w:val="en-US"/>
        </w:rPr>
      </w:pPr>
      <w:r>
        <w:rPr>
          <w:sz w:val="28"/>
          <w:szCs w:val="28"/>
          <w:lang w:val="en-US"/>
        </w:rPr>
        <w:t>（2）按充电设施建设位置划分按照国务院办公厅关于加快电动汽车充电基础设施建设的指导意见，充电设施按照建设类型分为四类：用户居住地充电设施；单位内部充电设施；公共服务领域充电设施；城市公共充电设施。</w:t>
      </w:r>
    </w:p>
    <w:p>
      <w:pPr>
        <w:pStyle w:val="12"/>
        <w:ind w:firstLine="560"/>
        <w:rPr>
          <w:rFonts w:ascii="仿宋" w:hAnsi="仿宋"/>
          <w:sz w:val="28"/>
          <w:szCs w:val="28"/>
          <w:lang w:val="en-US"/>
        </w:rPr>
      </w:pPr>
      <w:r>
        <w:rPr>
          <w:rFonts w:ascii="仿宋" w:hAnsi="仿宋"/>
          <w:sz w:val="28"/>
          <w:szCs w:val="28"/>
          <w:lang w:val="en-US"/>
        </w:rPr>
        <w:t>（3）按充电方式划分根据动力电池组技术和使用特性分为慢速充电、快速充电、电池更换三种充电模式</w:t>
      </w:r>
      <w:r>
        <w:rPr>
          <w:rFonts w:hint="eastAsia" w:ascii="仿宋" w:hAnsi="仿宋"/>
          <w:sz w:val="28"/>
          <w:szCs w:val="28"/>
          <w:lang w:val="en-US"/>
        </w:rPr>
        <w:t>。</w:t>
      </w:r>
    </w:p>
    <w:p>
      <w:pPr>
        <w:pStyle w:val="12"/>
        <w:ind w:firstLine="560"/>
        <w:rPr>
          <w:rFonts w:ascii="仿宋" w:hAnsi="仿宋"/>
          <w:sz w:val="28"/>
          <w:szCs w:val="28"/>
          <w:lang w:val="en-US"/>
        </w:rPr>
      </w:pPr>
      <w:r>
        <w:rPr>
          <w:rFonts w:ascii="仿宋" w:hAnsi="仿宋"/>
          <w:sz w:val="28"/>
          <w:szCs w:val="28"/>
          <w:lang w:val="en-US"/>
        </w:rPr>
        <w:t>慢速充电：慢速充电使用单相交流电源，标准电压为220V，充电功率一般在3-10KW之间。分为便携式与固定式两大类，其中固定式慢速充电站工作电流范围32A与16A两种。</w:t>
      </w:r>
    </w:p>
    <w:p>
      <w:pPr>
        <w:pStyle w:val="12"/>
        <w:ind w:firstLine="560"/>
        <w:rPr>
          <w:rFonts w:ascii="仿宋" w:hAnsi="仿宋"/>
          <w:sz w:val="28"/>
          <w:szCs w:val="28"/>
          <w:lang w:val="en-US"/>
        </w:rPr>
      </w:pPr>
      <w:r>
        <w:rPr>
          <w:rFonts w:ascii="仿宋" w:hAnsi="仿宋"/>
          <w:sz w:val="28"/>
          <w:szCs w:val="28"/>
          <w:lang w:val="en-US"/>
        </w:rPr>
        <w:t>快速充电：快速充电使用直流电源，标准电压为380V，充电功率一般在30-120KW之间，甚至更高，充电速度较快。工作电流范围在80A-240A之间。</w:t>
      </w:r>
    </w:p>
    <w:p>
      <w:pPr>
        <w:pStyle w:val="12"/>
        <w:ind w:firstLine="560"/>
        <w:rPr>
          <w:sz w:val="28"/>
          <w:szCs w:val="28"/>
          <w:lang w:val="en-US"/>
        </w:rPr>
      </w:pPr>
      <w:r>
        <w:rPr>
          <w:sz w:val="28"/>
          <w:szCs w:val="28"/>
          <w:lang w:val="en-US"/>
        </w:rPr>
        <w:t>在目前技术条件下，无论是慢充还是快充，电池容量都会在使用过程中慢慢降低，尤其对快充而言，长期使用快速充电桩会加快减少电池寿命。</w:t>
      </w:r>
    </w:p>
    <w:p>
      <w:pPr>
        <w:pStyle w:val="12"/>
        <w:ind w:firstLine="560"/>
        <w:rPr>
          <w:sz w:val="28"/>
          <w:szCs w:val="28"/>
          <w:lang w:val="en-US"/>
        </w:rPr>
      </w:pPr>
      <w:r>
        <w:rPr>
          <w:sz w:val="28"/>
          <w:szCs w:val="28"/>
          <w:lang w:val="en-US"/>
        </w:rPr>
        <w:t>电池更换：对电池和车辆实行标准化、快速化的分离，对车辆进行迅速补电，节省补电时间。</w:t>
      </w:r>
    </w:p>
    <w:p>
      <w:pPr>
        <w:pStyle w:val="12"/>
        <w:ind w:firstLine="0" w:firstLineChars="0"/>
        <w:jc w:val="center"/>
        <w:rPr>
          <w:rFonts w:hint="eastAsia" w:ascii="仿宋" w:hAnsi="仿宋" w:eastAsia="仿宋" w:cs="仿宋"/>
          <w:b w:val="0"/>
          <w:bCs w:val="0"/>
          <w:sz w:val="21"/>
          <w:szCs w:val="21"/>
          <w:lang w:val="en-US"/>
        </w:rPr>
      </w:pPr>
      <w:r>
        <w:rPr>
          <w:rFonts w:hint="eastAsia" w:ascii="仿宋" w:hAnsi="仿宋" w:eastAsia="仿宋" w:cs="仿宋"/>
          <w:b w:val="0"/>
          <w:bCs w:val="0"/>
          <w:sz w:val="21"/>
          <w:szCs w:val="21"/>
          <w:lang w:val="en-US"/>
        </w:rPr>
        <w:t>充电特性表</w:t>
      </w:r>
    </w:p>
    <w:tbl>
      <w:tblPr>
        <w:tblStyle w:val="30"/>
        <w:tblW w:w="5000" w:type="pct"/>
        <w:tblInd w:w="0" w:type="dxa"/>
        <w:tblLayout w:type="autofit"/>
        <w:tblCellMar>
          <w:top w:w="0" w:type="dxa"/>
          <w:left w:w="108" w:type="dxa"/>
          <w:bottom w:w="0" w:type="dxa"/>
          <w:right w:w="108" w:type="dxa"/>
        </w:tblCellMar>
      </w:tblPr>
      <w:tblGrid>
        <w:gridCol w:w="2698"/>
        <w:gridCol w:w="2794"/>
        <w:gridCol w:w="3030"/>
      </w:tblGrid>
      <w:tr>
        <w:tblPrEx>
          <w:tblCellMar>
            <w:top w:w="0" w:type="dxa"/>
            <w:left w:w="108" w:type="dxa"/>
            <w:bottom w:w="0" w:type="dxa"/>
            <w:right w:w="108" w:type="dxa"/>
          </w:tblCellMar>
        </w:tblPrEx>
        <w:trPr>
          <w:trHeight w:val="344" w:hRule="atLeast"/>
        </w:trPr>
        <w:tc>
          <w:tcPr>
            <w:tcW w:w="158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慢速充电</w:t>
            </w:r>
          </w:p>
        </w:tc>
        <w:tc>
          <w:tcPr>
            <w:tcW w:w="163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快速充电</w:t>
            </w:r>
          </w:p>
        </w:tc>
        <w:tc>
          <w:tcPr>
            <w:tcW w:w="177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电池更换</w:t>
            </w:r>
          </w:p>
        </w:tc>
      </w:tr>
      <w:tr>
        <w:tblPrEx>
          <w:tblCellMar>
            <w:top w:w="0" w:type="dxa"/>
            <w:left w:w="108" w:type="dxa"/>
            <w:bottom w:w="0" w:type="dxa"/>
            <w:right w:w="108" w:type="dxa"/>
          </w:tblCellMar>
        </w:tblPrEx>
        <w:trPr>
          <w:trHeight w:val="926" w:hRule="atLeast"/>
        </w:trPr>
        <w:tc>
          <w:tcPr>
            <w:tcW w:w="158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利用停运时间充电，难以满足紧急或长距离行驶要求。</w:t>
            </w:r>
          </w:p>
        </w:tc>
        <w:tc>
          <w:tcPr>
            <w:tcW w:w="163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在运行间随快速补充电力，电流较大，对电池损害大，对技术、安全性要求较高。</w:t>
            </w:r>
          </w:p>
        </w:tc>
        <w:tc>
          <w:tcPr>
            <w:tcW w:w="177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对电池和车辆实行标准化、快速化的分离，专业性要求较高。</w:t>
            </w:r>
          </w:p>
        </w:tc>
      </w:tr>
    </w:tbl>
    <w:p>
      <w:pPr>
        <w:pStyle w:val="12"/>
        <w:ind w:firstLine="602"/>
        <w:rPr>
          <w:b/>
          <w:bCs/>
        </w:rPr>
      </w:pPr>
    </w:p>
    <w:p>
      <w:pPr>
        <w:pStyle w:val="3"/>
        <w:bidi w:val="0"/>
        <w:ind w:left="0" w:leftChars="0" w:firstLine="0" w:firstLineChars="0"/>
      </w:pPr>
      <w:bookmarkStart w:id="36" w:name="_Toc3485"/>
      <w:r>
        <w:rPr>
          <w:rFonts w:hint="eastAsia"/>
        </w:rPr>
        <w:t>相关案例研究</w:t>
      </w:r>
      <w:bookmarkEnd w:id="36"/>
    </w:p>
    <w:p>
      <w:pPr>
        <w:numPr>
          <w:ilvl w:val="0"/>
          <w:numId w:val="9"/>
        </w:numPr>
        <w:ind w:firstLine="562"/>
        <w:rPr>
          <w:b/>
          <w:bCs/>
        </w:rPr>
      </w:pPr>
      <w:r>
        <w:rPr>
          <w:b/>
          <w:bCs/>
        </w:rPr>
        <w:t>嘉善县电动汽车充电设施规划案例</w:t>
      </w:r>
    </w:p>
    <w:p>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rPr>
      </w:pPr>
      <w:r>
        <w:rPr>
          <w:rFonts w:hint="eastAsia" w:ascii="仿宋" w:hAnsi="仿宋" w:eastAsia="仿宋" w:cs="仿宋"/>
        </w:rPr>
        <w:t>近期以试点为主，积极探索规划选址的可操作性，并及时根据现实情况调整规划选址位置，建立规划-建设-管理过程中的协调机制。规划策略：充电服务差别化，建立充电设施发展分区，明确差别化的充电设施发展政策；充电设施多样化，建设多模式多样化的充电设施系统，以满足不同类型车辆的需求；建设模式标准化，确立充电设施的标准化建设模式；充电资源共享化，建立充电资源共享调解机制，充分发挥充电资源效能；充电产业制度化，建立保障充电设施健康发展的规章和执法力量。从中心城区和各镇区两个层面分别考虑设置布点。</w:t>
      </w:r>
    </w:p>
    <w:p>
      <w:pPr>
        <w:pStyle w:val="12"/>
        <w:numPr>
          <w:ilvl w:val="0"/>
          <w:numId w:val="9"/>
        </w:numPr>
        <w:ind w:left="0" w:leftChars="0" w:firstLine="562" w:firstLineChars="200"/>
        <w:rPr>
          <w:rFonts w:hint="eastAsia"/>
          <w:b/>
          <w:bCs/>
          <w:sz w:val="28"/>
          <w:szCs w:val="22"/>
          <w:lang w:val="en-US"/>
        </w:rPr>
      </w:pPr>
      <w:r>
        <w:rPr>
          <w:rFonts w:hint="eastAsia"/>
          <w:b/>
          <w:bCs/>
          <w:sz w:val="28"/>
          <w:szCs w:val="22"/>
          <w:lang w:val="en-US"/>
        </w:rPr>
        <w:t>桓仁满族自治县“十四五”电动汽车充电基础设施规划</w:t>
      </w:r>
    </w:p>
    <w:p>
      <w:pPr>
        <w:bidi w:val="0"/>
        <w:rPr>
          <w:rFonts w:hint="eastAsia"/>
          <w:lang w:val="en-US"/>
        </w:rPr>
      </w:pPr>
      <w:r>
        <w:rPr>
          <w:rFonts w:hint="eastAsia" w:cs="仿宋_GB2312"/>
          <w:color w:val="000000" w:themeColor="text1"/>
          <w:szCs w:val="22"/>
          <w14:textFill>
            <w14:solidFill>
              <w14:schemeClr w14:val="tx1"/>
            </w14:solidFill>
          </w14:textFill>
        </w:rPr>
        <w:t>在进行充电站布局规划时</w:t>
      </w:r>
      <w:r>
        <w:rPr>
          <w:rFonts w:hint="eastAsia" w:cs="仿宋_GB2312"/>
          <w:color w:val="000000" w:themeColor="text1"/>
          <w:szCs w:val="22"/>
          <w:lang w:eastAsia="zh-CN"/>
          <w14:textFill>
            <w14:solidFill>
              <w14:schemeClr w14:val="tx1"/>
            </w14:solidFill>
          </w14:textFill>
        </w:rPr>
        <w:t>，</w:t>
      </w:r>
      <w:r>
        <w:rPr>
          <w:rFonts w:hint="eastAsia" w:cs="仿宋_GB2312"/>
          <w:color w:val="000000" w:themeColor="text1"/>
          <w:szCs w:val="22"/>
          <w:lang w:val="en-US" w:eastAsia="zh-CN"/>
          <w14:textFill>
            <w14:solidFill>
              <w14:schemeClr w14:val="tx1"/>
            </w14:solidFill>
          </w14:textFill>
        </w:rPr>
        <w:t>充分考虑</w:t>
      </w:r>
      <w:r>
        <w:rPr>
          <w:rFonts w:hint="eastAsia" w:cs="仿宋_GB2312"/>
          <w:color w:val="000000" w:themeColor="text1"/>
          <w:szCs w:val="22"/>
          <w14:textFill>
            <w14:solidFill>
              <w14:schemeClr w14:val="tx1"/>
            </w14:solidFill>
          </w14:textFill>
        </w:rPr>
        <w:t>规划地区用户、充电车辆间不同的充电需求特征</w:t>
      </w:r>
      <w:r>
        <w:rPr>
          <w:rFonts w:hint="eastAsia" w:cs="仿宋_GB2312"/>
          <w:color w:val="000000" w:themeColor="text1"/>
          <w:szCs w:val="22"/>
          <w:lang w:eastAsia="zh-CN"/>
          <w14:textFill>
            <w14:solidFill>
              <w14:schemeClr w14:val="tx1"/>
            </w14:solidFill>
          </w14:textFill>
        </w:rPr>
        <w:t>。</w:t>
      </w:r>
      <w:r>
        <w:rPr>
          <w:rFonts w:hint="eastAsia" w:cs="仿宋_GB2312"/>
          <w:color w:val="000000" w:themeColor="text1"/>
          <w:szCs w:val="22"/>
          <w14:textFill>
            <w14:solidFill>
              <w14:schemeClr w14:val="tx1"/>
            </w14:solidFill>
          </w14:textFill>
        </w:rPr>
        <w:t>以行政区划为基础，形成“充电网络、充电片区、充电块区”三级规划分区体系。城市公共充电网络按照充电需求规模适度、管理责任明确的原则进行划分，主要考虑分区独立性、管理便利性等需求。充电片区应以区、县为基本单元。电块区应以街道、乡镇为基本单元。当街道、乡镇充电需求较小时，可多个街道、乡镇合并为一个充电块区。</w:t>
      </w:r>
      <w:r>
        <w:rPr>
          <w:rFonts w:cs="仿宋_GB2312"/>
          <w:color w:val="000000" w:themeColor="text1"/>
          <w:szCs w:val="22"/>
          <w14:textFill>
            <w14:solidFill>
              <w14:schemeClr w14:val="tx1"/>
            </w14:solidFill>
          </w14:textFill>
        </w:rPr>
        <w:t>考虑区域用地性质。由于不同的用地性质对充电用户的吸引力不同，而且对充电站的建造类型也有影响，所以充电需求小区可根据用地性质相同或者相近来组合。</w:t>
      </w:r>
      <w:r>
        <w:rPr>
          <w:rFonts w:hint="eastAsia" w:cs="仿宋_GB2312"/>
          <w:color w:val="000000" w:themeColor="text1"/>
          <w:szCs w:val="22"/>
          <w14:textFill>
            <w14:solidFill>
              <w14:schemeClr w14:val="tx1"/>
            </w14:solidFill>
          </w14:textFill>
        </w:rPr>
        <w:t>充电网络、充电片区、充电块区各级间应相互衔接、上下协调。</w:t>
      </w:r>
    </w:p>
    <w:p>
      <w:pPr>
        <w:pStyle w:val="12"/>
        <w:numPr>
          <w:ilvl w:val="0"/>
          <w:numId w:val="9"/>
        </w:numPr>
        <w:ind w:left="0" w:leftChars="0" w:firstLine="562" w:firstLineChars="200"/>
        <w:rPr>
          <w:rFonts w:hint="eastAsia"/>
          <w:b/>
          <w:bCs/>
          <w:sz w:val="28"/>
          <w:szCs w:val="22"/>
          <w:lang w:val="en-US"/>
        </w:rPr>
      </w:pPr>
      <w:r>
        <w:rPr>
          <w:rFonts w:hint="eastAsia"/>
          <w:b/>
          <w:bCs/>
          <w:sz w:val="28"/>
          <w:szCs w:val="22"/>
          <w:lang w:val="en-US"/>
        </w:rPr>
        <w:t>案例借鉴</w:t>
      </w:r>
    </w:p>
    <w:p>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rPr>
      </w:pPr>
      <w:r>
        <w:rPr>
          <w:rFonts w:hint="eastAsia" w:ascii="仿宋" w:hAnsi="仿宋" w:eastAsia="仿宋" w:cs="仿宋"/>
        </w:rPr>
        <w:t>政策借鉴：调整收费标准，减免增容补贴，完善报建管理制度，提供</w:t>
      </w:r>
      <w:r>
        <w:rPr>
          <w:rFonts w:hint="eastAsia" w:ascii="仿宋" w:hAnsi="仿宋" w:eastAsia="仿宋" w:cs="仿宋"/>
          <w:lang w:val="en-US"/>
        </w:rPr>
        <w:t>运营</w:t>
      </w:r>
      <w:r>
        <w:rPr>
          <w:rFonts w:hint="eastAsia" w:ascii="仿宋" w:hAnsi="仿宋" w:eastAsia="仿宋" w:cs="仿宋"/>
        </w:rPr>
        <w:t>补贴。</w:t>
      </w:r>
    </w:p>
    <w:p>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pPr>
      <w:r>
        <w:rPr>
          <w:rFonts w:hint="eastAsia" w:ascii="仿宋" w:hAnsi="仿宋" w:eastAsia="仿宋" w:cs="仿宋"/>
        </w:rPr>
        <w:t>模式借鉴：采用PPP模式建设公共充电桩；统一充电站接口标准；规划借鉴：近期以试点为主，积极探索规划选址的可操作性。配比建设充电站，形成与需求市场相对应的多层次充电服务体系。围绕各类停车设施进行充电设施的优化布置。注重发展策略，引导充电设施合理发展。从中心城区和各</w:t>
      </w:r>
      <w:r>
        <w:rPr>
          <w:rFonts w:hint="eastAsia" w:ascii="仿宋" w:hAnsi="仿宋" w:cs="仿宋"/>
          <w:lang w:val="en-US" w:eastAsia="zh-CN"/>
        </w:rPr>
        <w:t>乡</w:t>
      </w:r>
      <w:r>
        <w:rPr>
          <w:rFonts w:hint="eastAsia" w:ascii="仿宋" w:hAnsi="仿宋" w:eastAsia="仿宋" w:cs="仿宋"/>
        </w:rPr>
        <w:t>镇两个层面分别考虑设置布点。</w:t>
      </w:r>
      <w:r>
        <w:rPr>
          <w:rFonts w:hint="eastAsia"/>
        </w:rPr>
        <w:br w:type="page"/>
      </w:r>
    </w:p>
    <w:p>
      <w:pPr>
        <w:pStyle w:val="2"/>
        <w:bidi w:val="0"/>
        <w:ind w:left="0" w:leftChars="0" w:firstLine="0" w:firstLineChars="0"/>
      </w:pPr>
      <w:bookmarkStart w:id="37" w:name="_Toc17576"/>
      <w:r>
        <w:rPr>
          <w:rFonts w:hint="eastAsia"/>
        </w:rPr>
        <w:t>发展现状</w:t>
      </w:r>
      <w:bookmarkEnd w:id="37"/>
    </w:p>
    <w:p>
      <w:pPr>
        <w:pStyle w:val="3"/>
        <w:bidi w:val="0"/>
        <w:ind w:left="0" w:leftChars="0" w:firstLine="0" w:firstLineChars="0"/>
      </w:pPr>
      <w:bookmarkStart w:id="38" w:name="_Toc2082"/>
      <w:r>
        <w:rPr>
          <w:rFonts w:hint="eastAsia"/>
        </w:rPr>
        <w:t>政策环境现状</w:t>
      </w:r>
      <w:bookmarkEnd w:id="38"/>
    </w:p>
    <w:p>
      <w:pPr>
        <w:numPr>
          <w:ilvl w:val="0"/>
          <w:numId w:val="10"/>
        </w:numPr>
        <w:ind w:left="0" w:leftChars="0" w:firstLine="562" w:firstLineChars="0"/>
        <w:rPr>
          <w:rFonts w:hint="eastAsia" w:ascii="仿宋" w:hAnsi="仿宋"/>
          <w:b/>
          <w:bCs/>
        </w:rPr>
      </w:pPr>
      <w:r>
        <w:rPr>
          <w:rFonts w:hint="eastAsia" w:ascii="仿宋" w:hAnsi="仿宋"/>
          <w:b/>
          <w:bCs/>
        </w:rPr>
        <w:t>国家层面</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2014年7月，国务院印发《关于加快新能源汽车推广应用的指导意见》，提出要加强我国新能源汽车的推广工作，对全面贯彻落实并加快新能源汽车的推广应用工作提出指导意见；新能源推广应用城市新增或更新车辆中的新能源汽车比例不低于30%。</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2015年9月，国务院办公厅发布《关于加快电动汽车充电基础设施建设的指导意见》，明确了充电基础设施建设的基本原则：“统筹规划、科学布局；适度超前、有序建设；统一标准、通用开放；依托市场、创新机制”。规划到2020年，基本建成适度超前、车桩相随，智能高效的充电基础设施体系，满足超过500万辆电动汽车的充电需求。新建住宅配建停车位应100%建设充电设施或预留建设安装条件，大型公共建筑物配建停车场、社会公共停车场建设充电设施或预留建设安装条件的车位例不低于10%，每2000辆电动汽车至少配套建设一座公共充电站。</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2015年10月，国家发展改革委、国家能源局、工业和信息化部、住房和城乡建设部发布《电动汽车充电基础设施发展指南（2015-2020年）》，进一步分解充电基础设施发展目标，明确发展领域并提出“四纵四横”城际快充网络建设目标。海南省与北京、上海等共12个沿海省份被列为加快发展地区，预计到2020年，推广电动汽车规模将达到266万辆，需要新建充换电站7400座，充电桩250万个。在新能源汽车推广应用加快发展地区，公共充电桩与电动汽车比例不低于1:7，城市核心区公共充电服务半径小于0.9公里。</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2020年10月，国务院办公厅印发《新能源汽车产业发展规划（2021—2035年）》，指出科学布局充换电基础设施，加强与城乡建设规划、电网规划及物业管理、城市停车等的统筹协调。加快形成适度超前、快充为主、慢充为辅的高速公路和城乡公共充电网络，鼓励开展换电模式应用，加强智能有序充电、大功率充电、无线充电等新型充电技术研发，提高充电便利性和产品可靠性。</w:t>
      </w:r>
    </w:p>
    <w:p>
      <w:pPr>
        <w:numPr>
          <w:ilvl w:val="0"/>
          <w:numId w:val="10"/>
        </w:numPr>
        <w:ind w:left="0" w:leftChars="0" w:firstLine="562" w:firstLineChars="0"/>
        <w:rPr>
          <w:rFonts w:hint="eastAsia" w:ascii="仿宋" w:hAnsi="仿宋"/>
          <w:b/>
          <w:bCs/>
          <w:szCs w:val="28"/>
        </w:rPr>
      </w:pPr>
      <w:r>
        <w:rPr>
          <w:rFonts w:hint="eastAsia" w:ascii="仿宋" w:hAnsi="仿宋"/>
          <w:b/>
          <w:bCs/>
          <w:szCs w:val="28"/>
        </w:rPr>
        <w:t>辽宁省层面</w:t>
      </w:r>
    </w:p>
    <w:p>
      <w:pPr>
        <w:bidi w:val="0"/>
        <w:rPr>
          <w:rFonts w:hint="eastAsia" w:ascii="仿宋" w:hAnsi="仿宋" w:eastAsia="仿宋" w:cs="仿宋"/>
        </w:rPr>
      </w:pPr>
      <w:r>
        <w:rPr>
          <w:rFonts w:hint="eastAsia" w:ascii="仿宋" w:hAnsi="仿宋" w:eastAsia="仿宋" w:cs="仿宋"/>
        </w:rPr>
        <w:t>2016年12月，《关于印发辽宁省加快发展新能源汽车实施方案的通知》（辽政办发﹝2016﹞139号）提出，除鼓励新能源汽车产业发展外，要加快新能源汽车充电设施建设，以沈阳、大连为重点，在城市公共服务领域、单位停车场、住宅小区等重点区域加快建设充电设施。原则上新建住宅配建停车场应100%建设充电设施或预留建设安装条件，大型公共建筑物配建停车场、社会公共停车场建设充电设施或预留安装建设条件的车位比例不低于10%。各部门在简化充电设施建设审批手续、优先安排土地供应、加强配套电网接入服务、完善电价优惠政策等方面，要制定具体的政策措施和管理办法，务实解决充电设施建设的瓶颈问题。</w:t>
      </w:r>
    </w:p>
    <w:p>
      <w:pPr>
        <w:bidi w:val="0"/>
        <w:rPr>
          <w:rFonts w:hint="eastAsia" w:ascii="仿宋" w:hAnsi="仿宋" w:eastAsia="仿宋" w:cs="仿宋"/>
        </w:rPr>
      </w:pPr>
      <w:r>
        <w:rPr>
          <w:rFonts w:hint="eastAsia" w:ascii="仿宋" w:hAnsi="仿宋" w:eastAsia="仿宋" w:cs="仿宋"/>
        </w:rPr>
        <w:t>2017年7月，《关于印发电化辽宁、气化辽宁和煤电企业转型转产工作方案的通知》（辽政办发﹝2017﹞75号）指出，加快新能源汽车充电设施建设，加强规划指导，加大扶持力度，鼓励商业创新。按照适度超前、车桩相随、智能高效的原则，建设充电基础设施体系，基本满足电动汽车充换电需要。原则上新建住宅配建停车场应100%建设充电设施或预留建设安装条件，大型公共建筑物配建停车场、社会公共停车场建设充电设施或预留安装建设条件的车位比例不低于10%。</w:t>
      </w:r>
    </w:p>
    <w:p>
      <w:pPr>
        <w:pStyle w:val="12"/>
        <w:numPr>
          <w:ilvl w:val="0"/>
          <w:numId w:val="10"/>
        </w:numPr>
        <w:ind w:left="0" w:leftChars="0" w:firstLine="562" w:firstLineChars="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鞍山市层面</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leftChars="0" w:firstLine="560" w:firstLineChars="200"/>
        <w:textAlignment w:val="auto"/>
        <w:rPr>
          <w:rFonts w:hint="eastAsia" w:ascii="仿宋" w:hAnsi="仿宋" w:eastAsia="仿宋" w:cs="仿宋"/>
          <w:kern w:val="2"/>
          <w:sz w:val="28"/>
          <w:szCs w:val="22"/>
          <w:highlight w:val="none"/>
          <w:lang w:val="en-US" w:eastAsia="zh-CN" w:bidi="ar-SA"/>
        </w:rPr>
      </w:pPr>
      <w:r>
        <w:rPr>
          <w:rFonts w:hint="eastAsia" w:ascii="仿宋" w:hAnsi="仿宋" w:eastAsia="仿宋" w:cs="仿宋"/>
          <w:kern w:val="2"/>
          <w:sz w:val="28"/>
          <w:szCs w:val="22"/>
          <w:highlight w:val="none"/>
          <w:lang w:val="en-US" w:eastAsia="zh-CN" w:bidi="ar-SA"/>
        </w:rPr>
        <w:t>2023年11月，《鞍山市“十四五节能减排综合工作方案》提出，深入打好污染防治攻坚战加快建立健全绿色低碳循环发展经济体系，推进经济社会发展全面绿色转型，助力实现碳达峰、碳中和目标，积极主动加快公共机构能效水平提升。包括新建和既有停车场要配备电动汽车充电设施或预留充电设施安装条件。到2025年，单位建筑面积能耗下降6%，人均综合能耗下降6%等内容。</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ind w:leftChars="0" w:firstLine="560" w:firstLineChars="200"/>
        <w:textAlignment w:val="auto"/>
        <w:rPr>
          <w:rFonts w:hint="eastAsia" w:ascii="仿宋" w:hAnsi="仿宋" w:eastAsia="仿宋" w:cs="仿宋"/>
          <w:kern w:val="2"/>
          <w:sz w:val="28"/>
          <w:szCs w:val="22"/>
          <w:highlight w:val="none"/>
          <w:lang w:val="en-US" w:eastAsia="zh-CN" w:bidi="ar-SA"/>
        </w:rPr>
      </w:pPr>
      <w:r>
        <w:rPr>
          <w:rFonts w:hint="eastAsia" w:ascii="仿宋" w:hAnsi="仿宋" w:eastAsia="仿宋" w:cs="仿宋"/>
          <w:i w:val="0"/>
          <w:iCs w:val="0"/>
          <w:caps w:val="0"/>
          <w:color w:val="333333"/>
          <w:spacing w:val="0"/>
          <w:sz w:val="28"/>
          <w:szCs w:val="28"/>
          <w:shd w:val="clear" w:fill="FFFFFF"/>
        </w:rPr>
        <w:t>202</w:t>
      </w:r>
      <w:r>
        <w:rPr>
          <w:rFonts w:hint="eastAsia" w:ascii="仿宋" w:hAnsi="仿宋" w:eastAsia="仿宋" w:cs="仿宋"/>
          <w:i w:val="0"/>
          <w:iCs w:val="0"/>
          <w:caps w:val="0"/>
          <w:color w:val="333333"/>
          <w:spacing w:val="0"/>
          <w:sz w:val="28"/>
          <w:szCs w:val="28"/>
          <w:shd w:val="clear" w:fill="FFFFFF"/>
          <w:lang w:val="en-US" w:eastAsia="zh-CN"/>
        </w:rPr>
        <w:t>0年12月，</w:t>
      </w:r>
      <w:r>
        <w:rPr>
          <w:rFonts w:hint="eastAsia" w:ascii="仿宋" w:hAnsi="仿宋" w:eastAsia="仿宋" w:cs="仿宋"/>
          <w:kern w:val="2"/>
          <w:sz w:val="28"/>
          <w:szCs w:val="22"/>
          <w:highlight w:val="none"/>
          <w:lang w:val="en-US" w:eastAsia="zh-CN" w:bidi="ar-SA"/>
        </w:rPr>
        <w:t>《岫岩满族自治县国民经济和社会发展第十四个五年规划纲要》提出，落实绿色发展理念，推动绿色交通发展。落实绿色发展理念，提高绿色出行比例。一是大力推广应用清洁能源和新能源车辆，推进节能减排和资源节约利用，推动形成交通绿色发展的体制机制。二是实施绿色交通基础设施建设，强化交通生态环境保护修复，促进全县交通运输行业绿色发展。</w:t>
      </w:r>
    </w:p>
    <w:p>
      <w:pPr>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从上述策要点的情况来看，鞍山对电动汽车推广配置、充电基础设施建设非常重视，在建设标准方面基本沿用国家配建标准，部分地区超过国家配建标准。本次电动汽车公共充电设施规划将沿用国家及省级配建标准，参考其他市县配建要求及岫岩县实际情况进行配建布点。</w:t>
      </w:r>
    </w:p>
    <w:p>
      <w:pPr>
        <w:pStyle w:val="3"/>
        <w:bidi w:val="0"/>
        <w:ind w:left="0" w:leftChars="0" w:firstLine="0" w:firstLineChars="0"/>
      </w:pPr>
      <w:bookmarkStart w:id="39" w:name="_Toc12244"/>
      <w:r>
        <w:rPr>
          <w:rFonts w:hint="eastAsia"/>
        </w:rPr>
        <w:t>总体概况</w:t>
      </w:r>
      <w:bookmarkEnd w:id="39"/>
    </w:p>
    <w:p>
      <w:pPr>
        <w:pStyle w:val="4"/>
        <w:bidi w:val="0"/>
        <w:ind w:left="0" w:leftChars="0" w:firstLine="0" w:firstLineChars="0"/>
        <w:rPr>
          <w:rFonts w:hint="default"/>
          <w:lang w:val="en-US" w:eastAsia="zh-CN"/>
        </w:rPr>
      </w:pPr>
      <w:bookmarkStart w:id="40" w:name="_Toc7820"/>
      <w:r>
        <w:rPr>
          <w:rFonts w:hint="eastAsia"/>
          <w:lang w:val="en-US" w:eastAsia="zh-CN"/>
        </w:rPr>
        <w:t>岫岩县基本概况</w:t>
      </w:r>
      <w:bookmarkEnd w:id="40"/>
    </w:p>
    <w:p>
      <w:pPr>
        <w:bidi w:val="0"/>
        <w:rPr>
          <w:rFonts w:hint="default" w:ascii="仿宋" w:hAnsi="仿宋" w:eastAsia="仿宋" w:cs="仿宋"/>
          <w:highlight w:val="none"/>
          <w:lang w:val="en-US" w:eastAsia="zh-CN"/>
        </w:rPr>
      </w:pPr>
      <w:r>
        <w:rPr>
          <w:rFonts w:hint="default" w:ascii="仿宋" w:hAnsi="仿宋" w:eastAsia="仿宋" w:cs="仿宋"/>
          <w:highlight w:val="none"/>
          <w:lang w:val="en-US" w:eastAsia="zh-CN"/>
        </w:rPr>
        <w:t>岫岩县，隶属于辽宁省</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"https://baike.baidu.com/item/%E9%9E%8D%E5%B1%B1%E5%B8%82/12425675?fromModule=lemma_inlink"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鞍山市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，地处</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"https://baike.baidu.com/item/%E8%BE%BD%E4%B8%9C%E5%8D%8A%E5%B2%9B/1969849?fromModule=lemma_inlink"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辽东半岛</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的北部。东及东南与</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"https://baike.baidu.com/item/%E5%87%A4%E5%9F%8E%E5%B8%82/10893452?fromModule=lemma_inlink"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凤城市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"https://baike.baidu.com/item/%E4%B8%9C%E6%B8%AF%E5%B8%82/7260892?fromModule=lemma_inlink"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东港市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毗连，西与</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"https://baike.baidu.com/item/%E5%A4%A7%E7%9F%B3%E6%A1%A5%E5%B8%82/4942460?fromModule=lemma_inlink"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大石桥市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"https://baike.baidu.com/item/%E7%9B%96%E5%B7%9E%E5%B8%82/3002517?fromModule=lemma_inlink"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盖州市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为邻，南与</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"https://baike.baidu.com/item/%E5%BA%84%E6%B2%B3%E5%B8%82/7260476?fromModule=lemma_inlink"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庄河市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相接，北及西北与</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"https://baike.baidu.com/item/%E8%BE%BD%E9%98%B3%E5%8E%BF/7261173?fromModule=lemma_inlink"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辽阳县</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w:t>
      </w:r>
      <w:r>
        <w:rPr>
          <w:rFonts w:hint="default" w:ascii="仿宋" w:hAnsi="仿宋" w:eastAsia="仿宋" w:cs="仿宋"/>
          <w:highlight w:val="none"/>
          <w:lang w:val="en-US" w:eastAsia="zh-CN"/>
        </w:rPr>
        <w:fldChar w:fldCharType="begin"/>
      </w:r>
      <w:r>
        <w:rPr>
          <w:rFonts w:hint="default" w:ascii="仿宋" w:hAnsi="仿宋" w:eastAsia="仿宋" w:cs="仿宋"/>
          <w:highlight w:val="none"/>
          <w:lang w:val="en-US" w:eastAsia="zh-CN"/>
        </w:rPr>
        <w:instrText xml:space="preserve"> HYPERLINK "https://baike.baidu.com/item/%E6%B5%B7%E5%9F%8E%E5%B8%82/2397070?fromModule=lemma_inlink" \t "https://baike.baidu.com/item/%E5%B2%AB%E5%B2%A9%E6%BB%A1%E6%97%8F%E8%87%AA%E6%B2%BB%E5%8E%BF/_blank" </w:instrText>
      </w:r>
      <w:r>
        <w:rPr>
          <w:rFonts w:hint="default" w:ascii="仿宋" w:hAnsi="仿宋" w:eastAsia="仿宋" w:cs="仿宋"/>
          <w:highlight w:val="none"/>
          <w:lang w:val="en-US" w:eastAsia="zh-CN"/>
        </w:rPr>
        <w:fldChar w:fldCharType="separate"/>
      </w:r>
      <w:r>
        <w:rPr>
          <w:rFonts w:hint="default" w:ascii="仿宋" w:hAnsi="仿宋" w:eastAsia="仿宋" w:cs="仿宋"/>
          <w:highlight w:val="none"/>
          <w:lang w:val="en-US" w:eastAsia="zh-CN"/>
        </w:rPr>
        <w:t>海城市</w:t>
      </w:r>
      <w:r>
        <w:rPr>
          <w:rFonts w:hint="default" w:ascii="仿宋" w:hAnsi="仿宋" w:eastAsia="仿宋" w:cs="仿宋"/>
          <w:highlight w:val="none"/>
          <w:lang w:val="en-US" w:eastAsia="zh-CN"/>
        </w:rPr>
        <w:fldChar w:fldCharType="end"/>
      </w:r>
      <w:r>
        <w:rPr>
          <w:rFonts w:hint="default" w:ascii="仿宋" w:hAnsi="仿宋" w:eastAsia="仿宋" w:cs="仿宋"/>
          <w:highlight w:val="none"/>
          <w:lang w:val="en-US" w:eastAsia="zh-CN"/>
        </w:rPr>
        <w:t>接壤。地理坐标北纬40°～40°39′，东经122°52′～123°41′。位于辽宁省沈阳市、大连市、鞍山市、本溪市、丹东市、营口市、辽阳市、盘锦市八大城市的中间地带，是一个具有非工业化特征、自然生态以及文化生态保存相对完好的地区，是这八大城市之间的“绿色斑廊”和“生态飞地”。属北温带湿润地区季风气候，雨量充沛，日照适中，四季分明，年平均气温在8摄氏度，年均降水量约820毫米，是一个“八山半水一分田，半分道路和庄园”的山区近海县。</w:t>
      </w:r>
    </w:p>
    <w:p>
      <w:pPr>
        <w:pStyle w:val="4"/>
        <w:bidi w:val="0"/>
        <w:ind w:left="0" w:leftChars="0" w:firstLine="0" w:firstLineChars="0"/>
      </w:pPr>
      <w:bookmarkStart w:id="41" w:name="_Toc11376"/>
      <w:r>
        <w:rPr>
          <w:rFonts w:hint="eastAsia"/>
          <w:lang w:val="en-US" w:eastAsia="zh-CN"/>
        </w:rPr>
        <w:t>道路</w:t>
      </w:r>
      <w:r>
        <w:rPr>
          <w:rFonts w:hint="eastAsia"/>
        </w:rPr>
        <w:t>交通</w:t>
      </w:r>
      <w:r>
        <w:rPr>
          <w:rFonts w:hint="eastAsia"/>
          <w:lang w:val="en-US" w:eastAsia="zh-CN"/>
        </w:rPr>
        <w:t>现状概况</w:t>
      </w:r>
      <w:bookmarkEnd w:id="41"/>
    </w:p>
    <w:p>
      <w:pPr>
        <w:rPr>
          <w:rFonts w:hint="eastAsia" w:ascii="仿宋" w:hAnsi="仿宋" w:eastAsia="仿宋" w:cs="仿宋"/>
          <w:b w:val="0"/>
          <w:bCs w:val="0"/>
          <w:highlight w:val="none"/>
        </w:rPr>
      </w:pPr>
      <w:r>
        <w:rPr>
          <w:rFonts w:hint="eastAsia" w:ascii="仿宋" w:hAnsi="仿宋" w:eastAsia="仿宋" w:cs="仿宋"/>
          <w:b w:val="0"/>
          <w:bCs w:val="0"/>
          <w:highlight w:val="none"/>
        </w:rPr>
        <w:t>截至2019年底</w:t>
      </w:r>
      <w:r>
        <w:rPr>
          <w:rFonts w:hint="eastAsia" w:ascii="仿宋" w:hAnsi="仿宋" w:cs="仿宋"/>
          <w:b w:val="0"/>
          <w:bCs w:val="0"/>
          <w:highlight w:val="none"/>
          <w:lang w:eastAsia="zh-CN"/>
        </w:rPr>
        <w:t>，</w:t>
      </w:r>
      <w:r>
        <w:rPr>
          <w:rFonts w:hint="eastAsia" w:ascii="仿宋" w:hAnsi="仿宋" w:eastAsia="仿宋" w:cs="仿宋"/>
          <w:b w:val="0"/>
          <w:bCs w:val="0"/>
          <w:highlight w:val="none"/>
        </w:rPr>
        <w:t>全县共有公路里程3238.4公里。其中:各级公路581条，公路总里程2788.4公里，桥梁1453座30842延米;网外油路450公里。公路密度达到71.9公里/百平方公里。各级公路分布情况如下:高速公路1条73公里:国家级公路1条97.2公里:省级公路6条382.2公里:县级公路4条104.8公里;乡级公路56条759.7公里;村级公路513条1371.6公里。</w:t>
      </w:r>
    </w:p>
    <w:p>
      <w:pPr>
        <w:rPr>
          <w:rFonts w:hint="eastAsia" w:ascii="仿宋" w:hAnsi="仿宋" w:eastAsia="仿宋" w:cs="仿宋"/>
          <w:b w:val="0"/>
          <w:bCs w:val="0"/>
          <w:highlight w:val="none"/>
        </w:rPr>
      </w:pPr>
      <w:r>
        <w:rPr>
          <w:rFonts w:hint="eastAsia" w:ascii="仿宋" w:hAnsi="仿宋" w:eastAsia="仿宋" w:cs="仿宋"/>
          <w:b w:val="0"/>
          <w:bCs w:val="0"/>
          <w:highlight w:val="none"/>
        </w:rPr>
        <w:t>截至2019年底，岫岩县已新建一级客运站1个;客运班车203台;出租车500台;公交车94台;年客运量617万人/次，年客运周转量56157人/公里;已开通客运线路145条;公交线路6条。行政村通客车率为100%，基本形成了城乡交通一体的公路客运网络。</w:t>
      </w:r>
    </w:p>
    <w:p>
      <w:pPr>
        <w:bidi w:val="0"/>
        <w:rPr>
          <w:rFonts w:hint="eastAsia" w:ascii="仿宋" w:hAnsi="仿宋" w:eastAsia="仿宋" w:cs="仿宋"/>
        </w:rPr>
      </w:pPr>
      <w:r>
        <w:rPr>
          <w:rFonts w:hint="eastAsia" w:ascii="仿宋" w:hAnsi="仿宋" w:eastAsia="仿宋" w:cs="仿宋"/>
          <w:lang w:val="en-US" w:eastAsia="zh-CN"/>
        </w:rPr>
        <w:t>通往清凉山的马青线长8.495公里；通往龙潭湾的红龙线长6公里；通往药山的山药线5公里；通往陨石坑的树罗线4.504公里；通往石湖瀑布的荒后线长7.4公里；通往龙泉湖的八汤线6.1公里。</w:t>
      </w:r>
    </w:p>
    <w:p>
      <w:pPr>
        <w:pStyle w:val="4"/>
        <w:bidi w:val="0"/>
        <w:ind w:left="0" w:leftChars="0" w:firstLine="0" w:firstLineChars="0"/>
      </w:pPr>
      <w:bookmarkStart w:id="42" w:name="_Toc4688"/>
      <w:r>
        <w:rPr>
          <w:rFonts w:hint="eastAsia"/>
          <w:lang w:val="en-US" w:eastAsia="zh-CN"/>
        </w:rPr>
        <w:t>社会经济发展现状</w:t>
      </w:r>
      <w:bookmarkEnd w:id="42"/>
    </w:p>
    <w:p>
      <w:r>
        <w:rPr>
          <w:rFonts w:hint="eastAsia" w:ascii="仿宋" w:hAnsi="仿宋" w:eastAsia="仿宋" w:cs="仿宋"/>
        </w:rPr>
        <w:t>202</w:t>
      </w:r>
      <w:r>
        <w:rPr>
          <w:rFonts w:hint="eastAsia" w:ascii="仿宋" w:hAnsi="仿宋" w:cs="仿宋"/>
          <w:lang w:val="en-US" w:eastAsia="zh-CN"/>
        </w:rPr>
        <w:t>3</w:t>
      </w:r>
      <w:r>
        <w:rPr>
          <w:rFonts w:hint="eastAsia" w:ascii="仿宋" w:hAnsi="仿宋" w:eastAsia="仿宋" w:cs="仿宋"/>
        </w:rPr>
        <w:t>年，岫岩满族自治县地区生产总值157亿元，按不变价计算，比上年增长</w:t>
      </w:r>
      <w:r>
        <w:rPr>
          <w:rFonts w:hint="eastAsia" w:ascii="仿宋" w:hAnsi="仿宋" w:cs="仿宋"/>
          <w:lang w:val="en-US" w:eastAsia="zh-CN"/>
        </w:rPr>
        <w:t>2</w:t>
      </w:r>
      <w:r>
        <w:rPr>
          <w:rFonts w:hint="eastAsia" w:ascii="仿宋" w:hAnsi="仿宋" w:eastAsia="仿宋" w:cs="仿宋"/>
        </w:rPr>
        <w:t>.</w:t>
      </w:r>
      <w:r>
        <w:rPr>
          <w:rFonts w:hint="eastAsia" w:ascii="仿宋" w:hAnsi="仿宋" w:cs="仿宋"/>
          <w:lang w:val="en-US" w:eastAsia="zh-CN"/>
        </w:rPr>
        <w:t>1</w:t>
      </w:r>
      <w:r>
        <w:rPr>
          <w:rFonts w:hint="eastAsia" w:ascii="仿宋" w:hAnsi="仿宋" w:eastAsia="仿宋" w:cs="仿宋"/>
        </w:rPr>
        <w:t>%。其中，第三产业增加值实现9</w:t>
      </w:r>
      <w:r>
        <w:rPr>
          <w:rFonts w:hint="eastAsia" w:ascii="仿宋" w:hAnsi="仿宋" w:cs="仿宋"/>
          <w:lang w:val="en-US" w:eastAsia="zh-CN"/>
        </w:rPr>
        <w:t>5.4</w:t>
      </w:r>
      <w:r>
        <w:rPr>
          <w:rFonts w:hint="eastAsia" w:ascii="仿宋" w:hAnsi="仿宋" w:eastAsia="仿宋" w:cs="仿宋"/>
        </w:rPr>
        <w:t>亿元，比上年增长</w:t>
      </w:r>
      <w:r>
        <w:rPr>
          <w:rFonts w:hint="eastAsia" w:ascii="仿宋" w:hAnsi="仿宋" w:cs="仿宋"/>
          <w:lang w:val="en-US" w:eastAsia="zh-CN"/>
        </w:rPr>
        <w:t>3</w:t>
      </w:r>
      <w:r>
        <w:rPr>
          <w:rFonts w:hint="eastAsia" w:ascii="仿宋" w:hAnsi="仿宋" w:eastAsia="仿宋" w:cs="仿宋"/>
        </w:rPr>
        <w:t>.</w:t>
      </w:r>
      <w:r>
        <w:rPr>
          <w:rFonts w:hint="eastAsia" w:ascii="仿宋" w:hAnsi="仿宋" w:cs="仿宋"/>
          <w:lang w:val="en-US" w:eastAsia="zh-CN"/>
        </w:rPr>
        <w:t>7</w:t>
      </w:r>
      <w:r>
        <w:rPr>
          <w:rFonts w:hint="eastAsia" w:ascii="仿宋" w:hAnsi="仿宋" w:eastAsia="仿宋" w:cs="仿宋"/>
        </w:rPr>
        <w:t>%。</w:t>
      </w:r>
    </w:p>
    <w:p>
      <w:pPr>
        <w:pStyle w:val="4"/>
        <w:bidi w:val="0"/>
        <w:ind w:left="0" w:leftChars="0" w:firstLine="0" w:firstLineChars="0"/>
      </w:pPr>
      <w:bookmarkStart w:id="43" w:name="_Toc6392"/>
      <w:r>
        <w:rPr>
          <w:rFonts w:hint="eastAsia"/>
        </w:rPr>
        <w:t>产业</w:t>
      </w:r>
      <w:r>
        <w:rPr>
          <w:rFonts w:hint="eastAsia"/>
          <w:lang w:val="en-US" w:eastAsia="zh-CN"/>
        </w:rPr>
        <w:t>结构发展现状</w:t>
      </w:r>
      <w:bookmarkEnd w:id="4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rPr>
      </w:pPr>
      <w:r>
        <w:rPr>
          <w:rFonts w:hint="eastAsia" w:ascii="仿宋" w:hAnsi="仿宋" w:eastAsia="仿宋" w:cs="仿宋"/>
        </w:rPr>
        <w:t>产业结构持续优化。产业转型升级和结构调整加快，产业结构持续优化，三次产业结构比由2016年的24.3：28.0：47.7调整为2020年的17.3：26.0：56.7。一是农业做精做特。在控制总量、提升质量的基础上，积极探索农民增收致富新产业。坚持农业发展基础地位，严格落实国家惠农支农政策，粮食年产量稳定在5亿斤左右，食用菌年产量稳定在40万吨左右，被评为“全省农业标准化生产示范县”“全国优秀香菇出口基地县”。二是工业经济提质增效。坚持“存量优化”与“增量提升”并重，强化企业帮扶脱困，帮助企业解决难点问题500多项，青花、万成、鞍山电磁阀等老企业稳步发展。狠抓项目建设，坚持“项目为王”理念，落实县级领导包项目制度，项目质量提高，新开工玉都古城系列开发、鸿科镁业新型碱性耐火材料等亿元以上项目83个，永安高强瓦楞原纸、佳合鹏程一期等项目竣工投产。三是现代服务业加速发展。树立“旅游+”理念，坚持把以旅游业为主的现代服务业作为发展的核心力量、突破口，完成海岫铁路、新客运站等旅游基础设施建设，岫岩水巷、仙人谷温泉度假村等项目建成投入使用，全县3A级以上旅游景区发展到12家，岫岩被评为“全省旅游产业发展示范县”。</w:t>
      </w:r>
    </w:p>
    <w:p>
      <w:pPr>
        <w:pStyle w:val="4"/>
        <w:bidi w:val="0"/>
        <w:ind w:left="0" w:leftChars="0" w:firstLine="0" w:firstLineChars="0"/>
      </w:pPr>
      <w:bookmarkStart w:id="44" w:name="_Toc26454"/>
      <w:r>
        <w:rPr>
          <w:rFonts w:hint="eastAsia"/>
          <w:lang w:val="en-US" w:eastAsia="zh-CN"/>
        </w:rPr>
        <w:t>资源禀赋现状概况</w:t>
      </w:r>
      <w:bookmarkEnd w:id="44"/>
    </w:p>
    <w:p>
      <w:pPr>
        <w:pStyle w:val="5"/>
        <w:keepNext/>
        <w:keepLines/>
        <w:pageBreakBefore w:val="0"/>
        <w:widowControl w:val="0"/>
        <w:numPr>
          <w:ilvl w:val="0"/>
          <w:numId w:val="11"/>
        </w:numPr>
        <w:kinsoku/>
        <w:wordWrap/>
        <w:overflowPunct/>
        <w:topLinePunct w:val="0"/>
        <w:autoSpaceDE/>
        <w:autoSpaceDN/>
        <w:bidi w:val="0"/>
        <w:adjustRightInd w:val="0"/>
        <w:snapToGrid w:val="0"/>
        <w:spacing w:before="0" w:beforeLines="0" w:after="0" w:line="360" w:lineRule="auto"/>
        <w:ind w:left="0" w:leftChars="0" w:firstLine="643" w:firstLineChars="200"/>
        <w:textAlignment w:val="auto"/>
        <w:outlineLvl w:val="3"/>
        <w:rPr>
          <w:rFonts w:hint="eastAsia" w:ascii="仿宋" w:hAnsi="仿宋" w:eastAsia="仿宋" w:cs="仿宋"/>
          <w:sz w:val="32"/>
          <w:szCs w:val="32"/>
          <w:lang w:val="en-US" w:eastAsia="zh-CN"/>
        </w:rPr>
      </w:pPr>
      <w:r>
        <w:rPr>
          <w:rFonts w:hint="eastAsia" w:ascii="仿宋" w:hAnsi="仿宋" w:eastAsia="仿宋" w:cs="仿宋"/>
          <w:sz w:val="32"/>
          <w:szCs w:val="32"/>
        </w:rPr>
        <w:t>矿产资源</w:t>
      </w:r>
      <w:r>
        <w:rPr>
          <w:rFonts w:hint="eastAsia" w:ascii="仿宋" w:hAnsi="仿宋" w:eastAsia="仿宋" w:cs="仿宋"/>
          <w:sz w:val="32"/>
          <w:szCs w:val="32"/>
          <w:lang w:val="en-US" w:eastAsia="zh-CN"/>
        </w:rPr>
        <w:t>概况</w:t>
      </w:r>
    </w:p>
    <w:p>
      <w:pPr>
        <w:bidi w:val="0"/>
        <w:rPr>
          <w:rFonts w:hint="default" w:ascii="仿宋" w:hAnsi="仿宋" w:eastAsia="仿宋" w:cs="仿宋"/>
          <w:highlight w:val="none"/>
          <w:lang w:val="en-US" w:eastAsia="zh-CN"/>
        </w:rPr>
      </w:pPr>
      <w:r>
        <w:rPr>
          <w:rFonts w:hint="eastAsia" w:ascii="仿宋" w:hAnsi="仿宋" w:eastAsia="仿宋" w:cs="仿宋"/>
          <w:highlight w:val="none"/>
          <w:lang w:val="en-US" w:eastAsia="zh-CN"/>
        </w:rPr>
        <w:t>全县现已探明的地下矿藏多达43种，已开发利用22种，其中菱镁石、玉石、铁矿石、方解石、白云石和钾纳长石储量丰富。菱镁石前景储量约11亿吨，其中含镁量在45%以上的矿石占总储量77%以上，居中国第一位，被誉为“菱镁之乡”。岫岩是全国最大的玉石产地，储量300万吨，现有玉石矿山企业6家、大型玉器交易市场8处和省级电商直播基地1处、玉雕加工企业2115户、玉器销售业户3050余家，行业从业人员10万余人，玉产业总产值约45亿元。2006年，岫岩被中国矿业联合会冠名“中国玉都”称号。</w:t>
      </w:r>
    </w:p>
    <w:p>
      <w:pPr>
        <w:pStyle w:val="5"/>
        <w:keepNext/>
        <w:keepLines/>
        <w:pageBreakBefore w:val="0"/>
        <w:widowControl w:val="0"/>
        <w:numPr>
          <w:ilvl w:val="0"/>
          <w:numId w:val="11"/>
        </w:numPr>
        <w:kinsoku/>
        <w:wordWrap/>
        <w:overflowPunct/>
        <w:topLinePunct w:val="0"/>
        <w:autoSpaceDE/>
        <w:autoSpaceDN/>
        <w:bidi w:val="0"/>
        <w:adjustRightInd w:val="0"/>
        <w:snapToGrid w:val="0"/>
        <w:spacing w:before="0" w:beforeLines="0" w:after="0" w:line="360" w:lineRule="auto"/>
        <w:ind w:left="0" w:leftChars="0" w:firstLine="643" w:firstLineChars="200"/>
        <w:textAlignment w:val="auto"/>
        <w:outlineLvl w:val="3"/>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农业资源概况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rPr>
      </w:pPr>
      <w:r>
        <w:rPr>
          <w:rFonts w:hint="eastAsia" w:ascii="仿宋" w:hAnsi="仿宋" w:eastAsia="仿宋" w:cs="仿宋"/>
        </w:rPr>
        <w:t>岫岩农业资源丰富，现已形成柞蚕、畜牧业、干鲜果、食用菌四大农事主导产业，是绒山羊养殖基地县、柞蚕之乡、全国食用菌生产大县、中国滑菇第一县，年种植食用菌约3亿袋，年产量约30万吨。</w:t>
      </w:r>
    </w:p>
    <w:p>
      <w:pPr>
        <w:pStyle w:val="5"/>
        <w:keepNext/>
        <w:keepLines/>
        <w:pageBreakBefore w:val="0"/>
        <w:widowControl w:val="0"/>
        <w:numPr>
          <w:ilvl w:val="0"/>
          <w:numId w:val="11"/>
        </w:numPr>
        <w:kinsoku/>
        <w:wordWrap/>
        <w:overflowPunct/>
        <w:topLinePunct w:val="0"/>
        <w:autoSpaceDE/>
        <w:autoSpaceDN/>
        <w:bidi w:val="0"/>
        <w:adjustRightInd w:val="0"/>
        <w:snapToGrid w:val="0"/>
        <w:spacing w:before="0" w:beforeLines="0" w:after="0" w:line="360" w:lineRule="auto"/>
        <w:ind w:left="0" w:leftChars="0" w:firstLine="643" w:firstLineChars="200"/>
        <w:textAlignment w:val="auto"/>
        <w:outlineLvl w:val="3"/>
        <w:rPr>
          <w:rFonts w:hint="eastAsia" w:ascii="仿宋" w:hAnsi="仿宋" w:eastAsia="仿宋" w:cs="仿宋"/>
          <w:sz w:val="32"/>
          <w:szCs w:val="32"/>
          <w:lang w:val="en-US" w:eastAsia="zh-CN"/>
        </w:rPr>
      </w:pPr>
      <w:r>
        <w:rPr>
          <w:rFonts w:hint="eastAsia" w:ascii="仿宋" w:hAnsi="仿宋" w:eastAsia="仿宋" w:cs="仿宋"/>
          <w:sz w:val="32"/>
          <w:szCs w:val="32"/>
        </w:rPr>
        <w:t>文旅资源</w:t>
      </w:r>
      <w:r>
        <w:rPr>
          <w:rFonts w:hint="eastAsia" w:ascii="仿宋" w:hAnsi="仿宋" w:eastAsia="仿宋" w:cs="仿宋"/>
          <w:sz w:val="32"/>
          <w:szCs w:val="32"/>
          <w:lang w:val="en-US" w:eastAsia="zh-CN"/>
        </w:rPr>
        <w:t>概况</w:t>
      </w:r>
    </w:p>
    <w:p>
      <w:pPr>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建制始于辽代，已逾千载，1115年（辽天庆五年）在境内设大宁镇。1193年（金明昌四年）升大宁镇为秀岩县。1375年（明洪武八年）改“秀岩”为“岫岩”，设岫岩堡。1947年6月岫岩解放后，先后隶属辽东省、辽宁省安东专区、辽宁省安东市（丹东市）。1992年2月20日，岫岩满族自治县由原丹东市管辖划归鞍山市管辖。岫岩文化底蕴厚重，史前文化、岫岩玉文化、满族文化、非遗文化、红色文化与郊野风光有机交融，共发现新石器时期以来的古遗址、古墓葬、古碑刻等近500处。岫岩玉历史悠久，从海城小孤山古人制作玉石工具至今已万年之久，从清中叶有规模开发至今亦有200余年。岫岩是满族聚居的地方，满族风情浓郁厚重，民风淳朴，至今仍保留着满族一些传统的古老风习。岫岩还是中国民间文化艺术之乡，岫岩玉雕素活工艺、满族剪纸、满族刺绣、东北大鼓、皮影被列为国家级非物质文化遗产。岫岩红色底蕴深厚，境内有东北民众自卫军诞生地遗址、抗联一师西征部队会址、黄显声将军故居等红色遗址10余处。</w:t>
      </w:r>
    </w:p>
    <w:p>
      <w:pPr>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岫岩山川秀美，峰峦叠嶂，群山滴翠，平均海拔79.6米，森林覆盖率71.26%。岫岩旅游资源丰富，境内有清凉山、龙泉湖、药山、龙潭湾等国家4A级景区3处、3A级景区11处；岫岩陨石坑是中国目前唯一被科学证实、且已被国际地质学界承认的陨石撞击坑，被誉为“神州第一坑”。岫岩水资源丰富，总量18.92亿立方米，水能蕴藏量7.5万千瓦。岫岩地热资源丰富，地下热水资源约35万立方米，全县摄氏24-50度的温泉水有12处，极具开发价值。岫岩是首批国家级生态保护与建设示范区和省级水源涵养型重点生态功能区，是中国绿色名县、辽宁省全域旅游示范区，2020年被辽宁省纳入“辽东绿色经济区”9县（市）之一。</w:t>
      </w:r>
    </w:p>
    <w:p>
      <w:pPr>
        <w:pStyle w:val="3"/>
        <w:bidi w:val="0"/>
        <w:ind w:left="0" w:leftChars="0" w:firstLine="0" w:firstLineChars="0"/>
      </w:pPr>
      <w:bookmarkStart w:id="45" w:name="_Toc29612"/>
      <w:r>
        <w:rPr>
          <w:rFonts w:hint="eastAsia"/>
        </w:rPr>
        <w:t>停车位现状</w:t>
      </w:r>
      <w:bookmarkEnd w:id="45"/>
    </w:p>
    <w:p>
      <w:pPr>
        <w:pStyle w:val="4"/>
        <w:bidi w:val="0"/>
        <w:ind w:left="0" w:leftChars="0" w:firstLine="0" w:firstLineChars="0"/>
      </w:pPr>
      <w:bookmarkStart w:id="46" w:name="_Toc19718"/>
      <w:r>
        <w:rPr>
          <w:rFonts w:hint="eastAsia"/>
          <w:lang w:eastAsia="zh-CN"/>
        </w:rPr>
        <w:t>岫岩县</w:t>
      </w:r>
      <w:r>
        <w:rPr>
          <w:rFonts w:hint="eastAsia"/>
        </w:rPr>
        <w:t>老旧小区停车规模现状</w:t>
      </w:r>
      <w:bookmarkEnd w:id="46"/>
    </w:p>
    <w:p>
      <w:pPr>
        <w:ind w:firstLine="560"/>
        <w:rPr>
          <w:rFonts w:hint="eastAsia" w:ascii="仿宋" w:hAnsi="仿宋"/>
          <w:highlight w:val="none"/>
        </w:rPr>
      </w:pPr>
      <w:r>
        <w:rPr>
          <w:rFonts w:hint="eastAsia" w:ascii="仿宋" w:hAnsi="仿宋"/>
          <w:highlight w:val="none"/>
        </w:rPr>
        <w:t>县内重点老旧小区</w:t>
      </w:r>
      <w:r>
        <w:rPr>
          <w:rFonts w:hint="eastAsia" w:ascii="仿宋" w:hAnsi="仿宋"/>
          <w:highlight w:val="none"/>
          <w:lang w:val="en-US" w:eastAsia="zh-CN"/>
        </w:rPr>
        <w:t>共7个，</w:t>
      </w:r>
      <w:r>
        <w:rPr>
          <w:rFonts w:hint="eastAsia" w:ascii="仿宋" w:hAnsi="仿宋"/>
          <w:highlight w:val="none"/>
        </w:rPr>
        <w:t>规划停车位</w:t>
      </w:r>
      <w:r>
        <w:rPr>
          <w:rFonts w:hint="eastAsia" w:ascii="仿宋" w:hAnsi="仿宋"/>
          <w:highlight w:val="none"/>
          <w:lang w:val="en-US" w:eastAsia="zh-CN"/>
        </w:rPr>
        <w:t>数量</w:t>
      </w:r>
      <w:r>
        <w:rPr>
          <w:rFonts w:hint="eastAsia" w:ascii="仿宋" w:hAnsi="仿宋"/>
          <w:highlight w:val="none"/>
        </w:rPr>
        <w:t>共计</w:t>
      </w:r>
      <w:r>
        <w:rPr>
          <w:rFonts w:hint="eastAsia" w:ascii="仿宋" w:hAnsi="仿宋"/>
          <w:highlight w:val="none"/>
          <w:lang w:val="en-US" w:eastAsia="zh-CN"/>
        </w:rPr>
        <w:t>275</w:t>
      </w:r>
      <w:r>
        <w:rPr>
          <w:rFonts w:hint="eastAsia" w:ascii="仿宋" w:hAnsi="仿宋"/>
          <w:highlight w:val="none"/>
        </w:rPr>
        <w:t>个，</w:t>
      </w:r>
      <w:r>
        <w:rPr>
          <w:rFonts w:hint="eastAsia" w:ascii="仿宋" w:hAnsi="仿宋"/>
          <w:highlight w:val="none"/>
          <w:lang w:val="en-US" w:eastAsia="zh-CN"/>
        </w:rPr>
        <w:t>均未建充电设施，</w:t>
      </w:r>
      <w:r>
        <w:rPr>
          <w:rFonts w:hint="eastAsia" w:ascii="仿宋" w:hAnsi="仿宋"/>
          <w:highlight w:val="none"/>
        </w:rPr>
        <w:t>详情见下表: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499"/>
        <w:gridCol w:w="2081"/>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老旧小区名称</w:t>
            </w:r>
          </w:p>
        </w:tc>
        <w:tc>
          <w:tcPr>
            <w:tcW w:w="1466"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具体位置</w:t>
            </w:r>
          </w:p>
        </w:tc>
        <w:tc>
          <w:tcPr>
            <w:tcW w:w="1221"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停车位数量（个）</w:t>
            </w:r>
          </w:p>
        </w:tc>
        <w:tc>
          <w:tcPr>
            <w:tcW w:w="1276"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已建充电设施情况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锦丝路小区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站前大街与锦丝路交接</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站前物业小区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站前大街与锦丝路交接</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土产小区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西山路与锦丝路交接</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电业小区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站前大街住建局对过</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新岫小区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城东路老客运站对过</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民茂小区</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城东路老客运站对过</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25</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老南所区域</w:t>
            </w:r>
          </w:p>
        </w:tc>
        <w:tc>
          <w:tcPr>
            <w:tcW w:w="146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岫光小学北</w:t>
            </w:r>
          </w:p>
        </w:tc>
        <w:tc>
          <w:tcPr>
            <w:tcW w:w="1221"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40</w:t>
            </w:r>
          </w:p>
        </w:tc>
        <w:tc>
          <w:tcPr>
            <w:tcW w:w="1276"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bl>
    <w:p>
      <w:pPr>
        <w:pStyle w:val="4"/>
        <w:bidi w:val="0"/>
        <w:ind w:left="0" w:leftChars="0" w:firstLine="0" w:firstLineChars="0"/>
      </w:pPr>
      <w:bookmarkStart w:id="47" w:name="_Toc22486"/>
      <w:r>
        <w:rPr>
          <w:rFonts w:hint="eastAsia"/>
        </w:rPr>
        <w:t>重点</w:t>
      </w:r>
      <w:r>
        <w:rPr>
          <w:rFonts w:hint="eastAsia"/>
          <w:lang w:val="en-US" w:eastAsia="zh-CN"/>
        </w:rPr>
        <w:t>商圈停车场规模现状</w:t>
      </w:r>
      <w:bookmarkEnd w:id="47"/>
    </w:p>
    <w:p>
      <w:pPr>
        <w:ind w:firstLine="560"/>
        <w:rPr>
          <w:rFonts w:hint="eastAsia" w:ascii="仿宋" w:hAnsi="仿宋" w:eastAsia="仿宋" w:cs="仿宋"/>
          <w:lang w:val="en-US"/>
        </w:rPr>
      </w:pPr>
      <w:r>
        <w:rPr>
          <w:rFonts w:hint="eastAsia" w:ascii="仿宋" w:hAnsi="仿宋" w:eastAsia="仿宋" w:cs="仿宋"/>
          <w:lang w:val="en-US" w:eastAsia="zh-CN"/>
        </w:rPr>
        <w:t>重点商圈主要集中在万客来至富源附近，共有停车场数量为158个，详情见</w:t>
      </w:r>
      <w:r>
        <w:rPr>
          <w:rFonts w:hint="eastAsia" w:ascii="仿宋" w:hAnsi="仿宋" w:cs="仿宋"/>
          <w:lang w:val="en-US" w:eastAsia="zh-CN"/>
        </w:rPr>
        <w:t>下</w:t>
      </w:r>
      <w:r>
        <w:rPr>
          <w:rFonts w:hint="eastAsia" w:ascii="仿宋" w:hAnsi="仿宋" w:eastAsia="仿宋" w:cs="仿宋"/>
          <w:lang w:val="en-US" w:eastAsia="zh-CN"/>
        </w:rPr>
        <w:t>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096"/>
        <w:gridCol w:w="2483"/>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shd w:val="clear" w:color="auto" w:fill="D7D7D7"/>
          </w:tcPr>
          <w:p>
            <w:pPr>
              <w:shd w:val="clear"/>
              <w:adjustRightInd/>
              <w:snapToGrid/>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商圈名称</w:t>
            </w:r>
          </w:p>
        </w:tc>
        <w:tc>
          <w:tcPr>
            <w:tcW w:w="1230" w:type="pct"/>
            <w:shd w:val="clear" w:color="auto" w:fill="D7D7D7"/>
          </w:tcPr>
          <w:p>
            <w:pPr>
              <w:shd w:val="clear"/>
              <w:adjustRightInd/>
              <w:snapToGrid/>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具体位置</w:t>
            </w:r>
          </w:p>
        </w:tc>
        <w:tc>
          <w:tcPr>
            <w:tcW w:w="1457" w:type="pct"/>
            <w:shd w:val="clear" w:color="auto" w:fill="D7D7D7"/>
          </w:tcPr>
          <w:p>
            <w:pPr>
              <w:shd w:val="clear"/>
              <w:adjustRightInd/>
              <w:snapToGrid/>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停车位数量（个）</w:t>
            </w:r>
          </w:p>
        </w:tc>
        <w:tc>
          <w:tcPr>
            <w:tcW w:w="1277" w:type="pct"/>
            <w:shd w:val="clear" w:color="auto" w:fill="D7D7D7"/>
          </w:tcPr>
          <w:p>
            <w:pPr>
              <w:shd w:val="clear"/>
              <w:adjustRightInd/>
              <w:snapToGrid/>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已建充电设施情况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5"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万客来商业中心</w:t>
            </w:r>
          </w:p>
        </w:tc>
        <w:tc>
          <w:tcPr>
            <w:tcW w:w="1230"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万客来至富源附近</w:t>
            </w:r>
          </w:p>
        </w:tc>
        <w:tc>
          <w:tcPr>
            <w:tcW w:w="1457"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158</w:t>
            </w:r>
          </w:p>
        </w:tc>
        <w:tc>
          <w:tcPr>
            <w:tcW w:w="1277" w:type="pct"/>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无</w:t>
            </w:r>
          </w:p>
        </w:tc>
      </w:tr>
    </w:tbl>
    <w:p>
      <w:pPr>
        <w:pStyle w:val="4"/>
        <w:bidi w:val="0"/>
        <w:ind w:left="0" w:leftChars="0" w:firstLine="0" w:firstLineChars="0"/>
      </w:pPr>
      <w:bookmarkStart w:id="48" w:name="_Toc31999"/>
      <w:r>
        <w:rPr>
          <w:rFonts w:hint="eastAsia"/>
        </w:rPr>
        <w:t>重点机关单位停车场规模现状</w:t>
      </w:r>
      <w:bookmarkEnd w:id="48"/>
    </w:p>
    <w:p>
      <w:pPr>
        <w:ind w:firstLine="560"/>
        <w:rPr>
          <w:rFonts w:hint="eastAsia" w:ascii="仿宋" w:hAnsi="仿宋"/>
          <w:highlight w:val="none"/>
        </w:rPr>
      </w:pPr>
      <w:r>
        <w:rPr>
          <w:rFonts w:hint="eastAsia"/>
          <w:highlight w:val="none"/>
        </w:rPr>
        <w:t>重点机关单位包括县政府、检察院、公安局、法院、中医院等</w:t>
      </w:r>
      <w:r>
        <w:rPr>
          <w:rFonts w:ascii="仿宋" w:hAnsi="仿宋"/>
          <w:highlight w:val="none"/>
        </w:rPr>
        <w:t>27</w:t>
      </w:r>
      <w:r>
        <w:rPr>
          <w:rFonts w:hint="eastAsia"/>
          <w:highlight w:val="none"/>
        </w:rPr>
        <w:t>处，共有停车位数量为</w:t>
      </w:r>
      <w:r>
        <w:rPr>
          <w:rFonts w:hint="eastAsia" w:ascii="仿宋" w:hAnsi="仿宋"/>
          <w:highlight w:val="none"/>
          <w:lang w:val="en-US" w:eastAsia="zh-CN"/>
        </w:rPr>
        <w:t>287</w:t>
      </w:r>
      <w:r>
        <w:rPr>
          <w:rFonts w:hint="eastAsia"/>
          <w:highlight w:val="none"/>
        </w:rPr>
        <w:t>个，</w:t>
      </w:r>
      <w:r>
        <w:rPr>
          <w:rFonts w:hint="eastAsia" w:ascii="仿宋" w:hAnsi="仿宋"/>
          <w:highlight w:val="none"/>
        </w:rPr>
        <w:t>详情见下表: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379"/>
        <w:gridCol w:w="1561"/>
        <w:gridCol w:w="1800"/>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shd w:val="clear" w:color="auto" w:fill="D7D7D7"/>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机关名称</w:t>
            </w:r>
          </w:p>
        </w:tc>
        <w:tc>
          <w:tcPr>
            <w:tcW w:w="809" w:type="pct"/>
            <w:shd w:val="clear" w:color="auto" w:fill="D7D7D7"/>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停车场位置</w:t>
            </w:r>
          </w:p>
        </w:tc>
        <w:tc>
          <w:tcPr>
            <w:tcW w:w="916" w:type="pct"/>
            <w:shd w:val="clear" w:color="auto" w:fill="D7D7D7"/>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停车位个数</w:t>
            </w:r>
          </w:p>
        </w:tc>
        <w:tc>
          <w:tcPr>
            <w:tcW w:w="1056" w:type="pct"/>
            <w:shd w:val="clear" w:color="auto" w:fill="D7D7D7"/>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是否已建充电桩</w:t>
            </w:r>
          </w:p>
        </w:tc>
        <w:tc>
          <w:tcPr>
            <w:tcW w:w="1221" w:type="pct"/>
            <w:shd w:val="clear" w:color="auto" w:fill="D7D7D7"/>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是否预留建设条件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岫岩县人民政府</w:t>
            </w:r>
          </w:p>
        </w:tc>
        <w:tc>
          <w:tcPr>
            <w:tcW w:w="809"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政府门前</w:t>
            </w:r>
          </w:p>
        </w:tc>
        <w:tc>
          <w:tcPr>
            <w:tcW w:w="91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197</w:t>
            </w:r>
          </w:p>
        </w:tc>
        <w:tc>
          <w:tcPr>
            <w:tcW w:w="105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否</w:t>
            </w:r>
          </w:p>
        </w:tc>
        <w:tc>
          <w:tcPr>
            <w:tcW w:w="122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岫岩县人民政府</w:t>
            </w:r>
          </w:p>
        </w:tc>
        <w:tc>
          <w:tcPr>
            <w:tcW w:w="809"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政府楼后</w:t>
            </w:r>
          </w:p>
        </w:tc>
        <w:tc>
          <w:tcPr>
            <w:tcW w:w="91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90</w:t>
            </w:r>
          </w:p>
        </w:tc>
        <w:tc>
          <w:tcPr>
            <w:tcW w:w="105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否</w:t>
            </w:r>
          </w:p>
        </w:tc>
        <w:tc>
          <w:tcPr>
            <w:tcW w:w="122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否</w:t>
            </w:r>
          </w:p>
        </w:tc>
      </w:tr>
    </w:tbl>
    <w:p>
      <w:pPr>
        <w:pStyle w:val="4"/>
        <w:bidi w:val="0"/>
        <w:ind w:left="0" w:leftChars="0" w:firstLine="0" w:firstLineChars="0"/>
      </w:pPr>
      <w:bookmarkStart w:id="49" w:name="_Toc24102"/>
      <w:r>
        <w:rPr>
          <w:rFonts w:hint="eastAsia"/>
          <w:lang w:eastAsia="zh-CN"/>
        </w:rPr>
        <w:t>岫岩</w:t>
      </w:r>
      <w:r>
        <w:rPr>
          <w:rFonts w:hint="eastAsia"/>
        </w:rPr>
        <w:t>企业园区</w:t>
      </w:r>
      <w:r>
        <w:rPr>
          <w:rFonts w:hint="eastAsia"/>
          <w:lang w:val="en-US" w:eastAsia="zh-CN"/>
        </w:rPr>
        <w:t>/物流园</w:t>
      </w:r>
      <w:r>
        <w:rPr>
          <w:rFonts w:hint="eastAsia"/>
        </w:rPr>
        <w:t>停车规模现状</w:t>
      </w:r>
      <w:bookmarkEnd w:id="49"/>
    </w:p>
    <w:p>
      <w:pPr>
        <w:ind w:firstLine="560"/>
        <w:rPr>
          <w:rFonts w:hint="eastAsia" w:ascii="仿宋" w:hAnsi="仿宋" w:eastAsia="仿宋" w:cs="仿宋"/>
          <w:lang w:val="en-US" w:eastAsia="zh-CN"/>
        </w:rPr>
      </w:pPr>
      <w:r>
        <w:rPr>
          <w:rFonts w:hint="eastAsia" w:ascii="仿宋" w:hAnsi="仿宋" w:eastAsia="仿宋" w:cs="仿宋"/>
          <w:lang w:val="en-US" w:eastAsia="zh-CN"/>
        </w:rPr>
        <w:t>岫岩县开发区现有企业92家（包括停产企业），企业用工人数3000人，开发区内无审批公共停车场，所有停车区域（停车场）均为企事业单位自用。</w:t>
      </w:r>
    </w:p>
    <w:p>
      <w:pPr>
        <w:pStyle w:val="4"/>
        <w:bidi w:val="0"/>
        <w:ind w:left="0" w:leftChars="0" w:firstLine="0" w:firstLineChars="0"/>
        <w:rPr>
          <w:rFonts w:hint="default"/>
          <w:lang w:val="en-US" w:eastAsia="zh-CN"/>
        </w:rPr>
      </w:pPr>
      <w:bookmarkStart w:id="50" w:name="_Toc9337"/>
      <w:r>
        <w:rPr>
          <w:rFonts w:hint="eastAsia"/>
          <w:lang w:val="en-US" w:eastAsia="zh-CN"/>
        </w:rPr>
        <w:t>重点景区停车规模现状</w:t>
      </w:r>
      <w:bookmarkEnd w:id="50"/>
    </w:p>
    <w:p>
      <w:pPr>
        <w:ind w:firstLine="560"/>
        <w:rPr>
          <w:rFonts w:hint="default" w:ascii="仿宋" w:hAnsi="仿宋" w:eastAsia="仿宋" w:cs="仿宋"/>
          <w:lang w:val="en-US" w:eastAsia="zh-CN"/>
        </w:rPr>
      </w:pPr>
      <w:r>
        <w:rPr>
          <w:rFonts w:hint="eastAsia" w:ascii="仿宋" w:hAnsi="仿宋" w:eastAsia="仿宋" w:cs="仿宋"/>
          <w:lang w:val="en-US" w:eastAsia="zh-CN"/>
        </w:rPr>
        <w:t>岫岩县重点景区共有5个，包括</w:t>
      </w:r>
      <w:r>
        <w:rPr>
          <w:rFonts w:hint="default" w:ascii="仿宋" w:hAnsi="仿宋" w:eastAsia="仿宋" w:cs="仿宋"/>
          <w:lang w:val="en-US" w:eastAsia="zh-CN"/>
        </w:rPr>
        <w:t>开发区仙人谷温泉旅游度假区、辽宁雨桐玉文化博物馆</w:t>
      </w:r>
      <w:r>
        <w:rPr>
          <w:rFonts w:hint="eastAsia" w:ascii="仿宋" w:hAnsi="仿宋" w:eastAsia="仿宋" w:cs="仿宋"/>
          <w:lang w:val="en-US" w:eastAsia="zh-CN"/>
        </w:rPr>
        <w:t>、清凉山景区、水巷景区、龙潭湾景区。</w:t>
      </w:r>
      <w:r>
        <w:rPr>
          <w:rFonts w:hint="default" w:ascii="仿宋" w:hAnsi="仿宋" w:eastAsia="仿宋" w:cs="仿宋"/>
          <w:lang w:val="en-US" w:eastAsia="zh-CN"/>
        </w:rPr>
        <w:t>停车位数量共计</w:t>
      </w:r>
      <w:r>
        <w:rPr>
          <w:rFonts w:hint="eastAsia" w:ascii="仿宋" w:hAnsi="仿宋" w:eastAsia="仿宋" w:cs="仿宋"/>
          <w:lang w:val="en-US" w:eastAsia="zh-CN"/>
        </w:rPr>
        <w:t>700</w:t>
      </w:r>
      <w:r>
        <w:rPr>
          <w:rFonts w:hint="default" w:ascii="仿宋" w:hAnsi="仿宋" w:eastAsia="仿宋" w:cs="仿宋"/>
          <w:lang w:val="en-US" w:eastAsia="zh-CN"/>
        </w:rPr>
        <w:t>个。详情见小表：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2618"/>
        <w:gridCol w:w="1704"/>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20"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cs="仿宋"/>
                <w:b/>
                <w:sz w:val="19"/>
                <w:szCs w:val="24"/>
                <w:highlight w:val="none"/>
                <w:lang w:val="en-US" w:eastAsia="zh-CN"/>
              </w:rPr>
              <w:t>景区</w:t>
            </w:r>
            <w:r>
              <w:rPr>
                <w:rFonts w:hint="eastAsia" w:ascii="仿宋" w:hAnsi="仿宋" w:eastAsia="仿宋" w:cs="仿宋"/>
                <w:b/>
                <w:sz w:val="19"/>
                <w:szCs w:val="24"/>
                <w:highlight w:val="none"/>
                <w:lang w:val="en-US" w:eastAsia="zh-CN"/>
              </w:rPr>
              <w:t>名称</w:t>
            </w:r>
          </w:p>
        </w:tc>
        <w:tc>
          <w:tcPr>
            <w:tcW w:w="1536"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具体位置</w:t>
            </w:r>
          </w:p>
        </w:tc>
        <w:tc>
          <w:tcPr>
            <w:tcW w:w="1000"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停车位数量（个）</w:t>
            </w:r>
          </w:p>
        </w:tc>
        <w:tc>
          <w:tcPr>
            <w:tcW w:w="1042" w:type="pct"/>
            <w:shd w:val="clear" w:color="auto" w:fill="D7D7D7"/>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已建充电设施情况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20" w:type="pct"/>
          </w:tcPr>
          <w:p>
            <w:pPr>
              <w:spacing w:line="240" w:lineRule="auto"/>
              <w:ind w:firstLine="0" w:firstLineChars="0"/>
              <w:jc w:val="center"/>
              <w:rPr>
                <w:rFonts w:hint="default" w:ascii="仿宋" w:hAnsi="仿宋" w:cs="Times New Roman"/>
                <w:sz w:val="21"/>
                <w:szCs w:val="21"/>
                <w:lang w:val="en-US" w:eastAsia="zh-CN"/>
              </w:rPr>
            </w:pPr>
            <w:r>
              <w:rPr>
                <w:rFonts w:hint="default" w:ascii="仿宋" w:hAnsi="仿宋" w:cs="Times New Roman"/>
                <w:sz w:val="21"/>
                <w:szCs w:val="21"/>
                <w:lang w:val="en-US" w:eastAsia="zh-CN"/>
              </w:rPr>
              <w:t>仙人谷温泉旅游度假区</w:t>
            </w:r>
          </w:p>
        </w:tc>
        <w:tc>
          <w:tcPr>
            <w:tcW w:w="1536" w:type="pct"/>
          </w:tcPr>
          <w:p>
            <w:pPr>
              <w:spacing w:line="240" w:lineRule="auto"/>
              <w:ind w:firstLine="0" w:firstLineChars="0"/>
              <w:jc w:val="center"/>
              <w:rPr>
                <w:rFonts w:hint="default" w:ascii="仿宋" w:hAnsi="仿宋" w:eastAsia="仿宋" w:cs="Times New Roman"/>
                <w:sz w:val="21"/>
                <w:lang w:val="en-US" w:eastAsia="zh-CN"/>
              </w:rPr>
            </w:pPr>
            <w:r>
              <w:rPr>
                <w:rFonts w:hint="default" w:ascii="仿宋" w:hAnsi="仿宋" w:eastAsia="仿宋" w:cs="Times New Roman"/>
                <w:sz w:val="21"/>
                <w:lang w:val="en-US" w:eastAsia="zh-CN"/>
              </w:rPr>
              <w:t>雅河街道办事处仙人咀村</w:t>
            </w:r>
          </w:p>
        </w:tc>
        <w:tc>
          <w:tcPr>
            <w:tcW w:w="1000" w:type="pct"/>
          </w:tcPr>
          <w:p>
            <w:pPr>
              <w:spacing w:line="240" w:lineRule="auto"/>
              <w:ind w:firstLine="0" w:firstLineChars="0"/>
              <w:jc w:val="center"/>
              <w:rPr>
                <w:rFonts w:hint="default" w:ascii="仿宋" w:hAnsi="仿宋" w:cs="Times New Roman"/>
                <w:sz w:val="21"/>
                <w:szCs w:val="21"/>
                <w:lang w:val="en-US" w:eastAsia="zh-CN"/>
              </w:rPr>
            </w:pPr>
            <w:r>
              <w:rPr>
                <w:rFonts w:hint="eastAsia" w:ascii="仿宋" w:hAnsi="仿宋" w:cs="Times New Roman"/>
                <w:sz w:val="21"/>
                <w:szCs w:val="21"/>
                <w:lang w:val="en-US" w:eastAsia="zh-CN"/>
              </w:rPr>
              <w:t>50</w:t>
            </w:r>
          </w:p>
        </w:tc>
        <w:tc>
          <w:tcPr>
            <w:tcW w:w="1042"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pct"/>
          </w:tcPr>
          <w:p>
            <w:pPr>
              <w:spacing w:line="240" w:lineRule="auto"/>
              <w:ind w:firstLine="0" w:firstLineChars="0"/>
              <w:jc w:val="center"/>
              <w:rPr>
                <w:rFonts w:hint="default" w:ascii="仿宋" w:hAnsi="仿宋" w:cs="Times New Roman"/>
                <w:sz w:val="21"/>
                <w:szCs w:val="21"/>
                <w:lang w:val="en-US" w:eastAsia="zh-CN"/>
              </w:rPr>
            </w:pPr>
            <w:r>
              <w:rPr>
                <w:rFonts w:hint="default" w:ascii="仿宋" w:hAnsi="仿宋" w:cs="Times New Roman"/>
                <w:sz w:val="21"/>
                <w:szCs w:val="21"/>
                <w:lang w:val="en-US" w:eastAsia="zh-CN"/>
              </w:rPr>
              <w:t>辽宁雨桐玉文化博物馆</w:t>
            </w:r>
          </w:p>
        </w:tc>
        <w:tc>
          <w:tcPr>
            <w:tcW w:w="1536" w:type="pct"/>
          </w:tcPr>
          <w:p>
            <w:pPr>
              <w:spacing w:line="240" w:lineRule="auto"/>
              <w:ind w:firstLine="0" w:firstLineChars="0"/>
              <w:jc w:val="center"/>
              <w:rPr>
                <w:rFonts w:hint="default" w:ascii="仿宋" w:hAnsi="仿宋" w:eastAsia="仿宋" w:cs="Times New Roman"/>
                <w:sz w:val="21"/>
                <w:lang w:val="en-US" w:eastAsia="zh-CN"/>
              </w:rPr>
            </w:pPr>
            <w:r>
              <w:rPr>
                <w:rFonts w:hint="default" w:ascii="仿宋" w:hAnsi="仿宋" w:eastAsia="仿宋" w:cs="Times New Roman"/>
                <w:sz w:val="21"/>
                <w:lang w:val="en-US" w:eastAsia="zh-CN"/>
              </w:rPr>
              <w:t>经济开发区内</w:t>
            </w:r>
          </w:p>
        </w:tc>
        <w:tc>
          <w:tcPr>
            <w:tcW w:w="1000" w:type="pct"/>
          </w:tcPr>
          <w:p>
            <w:pPr>
              <w:spacing w:line="240" w:lineRule="auto"/>
              <w:ind w:firstLine="0" w:firstLineChars="0"/>
              <w:jc w:val="center"/>
              <w:rPr>
                <w:rFonts w:hint="default" w:ascii="仿宋" w:hAnsi="仿宋" w:cs="Times New Roman"/>
                <w:sz w:val="21"/>
                <w:szCs w:val="21"/>
                <w:lang w:val="en-US" w:eastAsia="zh-CN"/>
              </w:rPr>
            </w:pPr>
            <w:r>
              <w:rPr>
                <w:rFonts w:hint="eastAsia" w:ascii="仿宋" w:hAnsi="仿宋" w:cs="Times New Roman"/>
                <w:sz w:val="21"/>
                <w:szCs w:val="21"/>
                <w:lang w:val="en-US" w:eastAsia="zh-CN"/>
              </w:rPr>
              <w:t>50</w:t>
            </w:r>
          </w:p>
        </w:tc>
        <w:tc>
          <w:tcPr>
            <w:tcW w:w="1042"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20" w:type="pct"/>
          </w:tcPr>
          <w:p>
            <w:pPr>
              <w:spacing w:line="240" w:lineRule="auto"/>
              <w:ind w:firstLine="0" w:firstLineChars="0"/>
              <w:jc w:val="center"/>
              <w:rPr>
                <w:rFonts w:hint="default" w:ascii="仿宋" w:hAnsi="仿宋" w:eastAsia="仿宋" w:cs="Times New Roman"/>
                <w:sz w:val="21"/>
                <w:lang w:val="en-US" w:eastAsia="zh-CN"/>
              </w:rPr>
            </w:pPr>
            <w:r>
              <w:rPr>
                <w:rFonts w:hint="eastAsia" w:ascii="仿宋" w:hAnsi="仿宋" w:eastAsia="仿宋" w:cs="Times New Roman"/>
                <w:sz w:val="21"/>
                <w:lang w:val="en-US" w:eastAsia="zh-CN"/>
              </w:rPr>
              <w:t>清凉山景区</w:t>
            </w:r>
          </w:p>
        </w:tc>
        <w:tc>
          <w:tcPr>
            <w:tcW w:w="1536" w:type="pct"/>
          </w:tcPr>
          <w:p>
            <w:pPr>
              <w:spacing w:line="240" w:lineRule="auto"/>
              <w:ind w:firstLine="0" w:firstLineChars="0"/>
              <w:jc w:val="center"/>
              <w:rPr>
                <w:rFonts w:hint="default" w:ascii="仿宋" w:hAnsi="仿宋" w:eastAsia="仿宋" w:cs="Times New Roman"/>
                <w:sz w:val="21"/>
                <w:lang w:val="en-US" w:eastAsia="zh-CN"/>
              </w:rPr>
            </w:pPr>
            <w:r>
              <w:rPr>
                <w:rFonts w:hint="default" w:ascii="仿宋" w:hAnsi="仿宋" w:eastAsia="仿宋" w:cs="Times New Roman"/>
                <w:sz w:val="21"/>
                <w:lang w:val="en-US" w:eastAsia="zh-CN"/>
              </w:rPr>
              <w:fldChar w:fldCharType="begin"/>
            </w:r>
            <w:r>
              <w:rPr>
                <w:rFonts w:hint="default" w:ascii="仿宋" w:hAnsi="仿宋" w:eastAsia="仿宋" w:cs="Times New Roman"/>
                <w:sz w:val="21"/>
                <w:lang w:val="en-US" w:eastAsia="zh-CN"/>
              </w:rPr>
              <w:instrText xml:space="preserve"> HYPERLINK "https://baike.baidu.com/item/%E5%B2%AB%E5%B2%A9%E5%8E%BF/5735522?fromModule=lemma_inlink" \t "https://baike.baidu.com/item/%E6%B8%85%E5%87%89%E5%B1%B1/_blank" </w:instrText>
            </w:r>
            <w:r>
              <w:rPr>
                <w:rFonts w:hint="default" w:ascii="仿宋" w:hAnsi="仿宋" w:eastAsia="仿宋" w:cs="Times New Roman"/>
                <w:sz w:val="21"/>
                <w:lang w:val="en-US" w:eastAsia="zh-CN"/>
              </w:rPr>
              <w:fldChar w:fldCharType="separate"/>
            </w:r>
            <w:r>
              <w:rPr>
                <w:rFonts w:hint="default" w:ascii="仿宋" w:hAnsi="仿宋" w:eastAsia="仿宋" w:cs="Times New Roman"/>
                <w:sz w:val="21"/>
                <w:lang w:val="en-US" w:eastAsia="zh-CN"/>
              </w:rPr>
              <w:t>岫岩县</w:t>
            </w:r>
            <w:r>
              <w:rPr>
                <w:rFonts w:hint="default" w:ascii="仿宋" w:hAnsi="仿宋" w:eastAsia="仿宋" w:cs="Times New Roman"/>
                <w:sz w:val="21"/>
                <w:lang w:val="en-US" w:eastAsia="zh-CN"/>
              </w:rPr>
              <w:fldChar w:fldCharType="end"/>
            </w:r>
            <w:r>
              <w:rPr>
                <w:rFonts w:hint="default" w:ascii="仿宋" w:hAnsi="仿宋" w:eastAsia="仿宋" w:cs="Times New Roman"/>
                <w:sz w:val="21"/>
                <w:lang w:val="en-US" w:eastAsia="zh-CN"/>
              </w:rPr>
              <w:t>东北部的汤沟镇</w:t>
            </w:r>
          </w:p>
        </w:tc>
        <w:tc>
          <w:tcPr>
            <w:tcW w:w="1000" w:type="pct"/>
          </w:tcPr>
          <w:p>
            <w:pPr>
              <w:spacing w:line="240" w:lineRule="auto"/>
              <w:ind w:firstLine="0" w:firstLineChars="0"/>
              <w:jc w:val="center"/>
              <w:rPr>
                <w:rFonts w:hint="default" w:ascii="仿宋" w:hAnsi="仿宋" w:cs="Times New Roman"/>
                <w:sz w:val="21"/>
                <w:szCs w:val="21"/>
                <w:lang w:val="en-US" w:eastAsia="zh-CN"/>
              </w:rPr>
            </w:pPr>
            <w:r>
              <w:rPr>
                <w:rFonts w:hint="eastAsia" w:ascii="仿宋" w:hAnsi="仿宋" w:cs="Times New Roman"/>
                <w:sz w:val="21"/>
                <w:szCs w:val="21"/>
                <w:lang w:val="en-US" w:eastAsia="zh-CN"/>
              </w:rPr>
              <w:t>100</w:t>
            </w:r>
          </w:p>
        </w:tc>
        <w:tc>
          <w:tcPr>
            <w:tcW w:w="1042"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20" w:type="pct"/>
          </w:tcPr>
          <w:p>
            <w:pPr>
              <w:spacing w:line="240" w:lineRule="auto"/>
              <w:ind w:firstLine="0" w:firstLineChars="0"/>
              <w:jc w:val="center"/>
              <w:rPr>
                <w:rFonts w:hint="default" w:ascii="仿宋" w:hAnsi="仿宋" w:eastAsia="仿宋" w:cs="Times New Roman"/>
                <w:sz w:val="21"/>
                <w:lang w:val="en-US" w:eastAsia="zh-CN"/>
              </w:rPr>
            </w:pPr>
            <w:r>
              <w:rPr>
                <w:rFonts w:hint="eastAsia" w:ascii="仿宋" w:hAnsi="仿宋" w:eastAsia="仿宋" w:cs="Times New Roman"/>
                <w:sz w:val="21"/>
                <w:lang w:val="en-US" w:eastAsia="zh-CN"/>
              </w:rPr>
              <w:t>水巷景区</w:t>
            </w:r>
          </w:p>
        </w:tc>
        <w:tc>
          <w:tcPr>
            <w:tcW w:w="1536" w:type="pct"/>
          </w:tcPr>
          <w:p>
            <w:pPr>
              <w:spacing w:line="240" w:lineRule="auto"/>
              <w:ind w:firstLine="0" w:firstLineChars="0"/>
              <w:jc w:val="center"/>
              <w:rPr>
                <w:rFonts w:hint="default" w:ascii="仿宋" w:hAnsi="仿宋" w:eastAsia="仿宋" w:cs="Times New Roman"/>
                <w:sz w:val="21"/>
                <w:lang w:val="en-US" w:eastAsia="zh-CN"/>
              </w:rPr>
            </w:pPr>
            <w:r>
              <w:rPr>
                <w:rFonts w:hint="default" w:ascii="仿宋" w:hAnsi="仿宋" w:eastAsia="仿宋" w:cs="Times New Roman"/>
                <w:sz w:val="21"/>
                <w:lang w:val="en-US" w:eastAsia="zh-CN"/>
              </w:rPr>
              <w:t>小虎岭村</w:t>
            </w:r>
          </w:p>
        </w:tc>
        <w:tc>
          <w:tcPr>
            <w:tcW w:w="1000" w:type="pct"/>
          </w:tcPr>
          <w:p>
            <w:pPr>
              <w:spacing w:line="240" w:lineRule="auto"/>
              <w:ind w:firstLine="0" w:firstLineChars="0"/>
              <w:jc w:val="center"/>
              <w:rPr>
                <w:rFonts w:hint="default" w:ascii="仿宋" w:hAnsi="仿宋" w:cs="Times New Roman"/>
                <w:sz w:val="21"/>
                <w:szCs w:val="21"/>
                <w:lang w:val="en-US" w:eastAsia="zh-CN"/>
              </w:rPr>
            </w:pPr>
            <w:r>
              <w:rPr>
                <w:rFonts w:hint="eastAsia" w:ascii="仿宋" w:hAnsi="仿宋" w:cs="Times New Roman"/>
                <w:sz w:val="21"/>
                <w:szCs w:val="21"/>
                <w:lang w:val="en-US" w:eastAsia="zh-CN"/>
              </w:rPr>
              <w:t>300</w:t>
            </w:r>
          </w:p>
        </w:tc>
        <w:tc>
          <w:tcPr>
            <w:tcW w:w="1042"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420"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龙潭湾景区</w:t>
            </w:r>
          </w:p>
        </w:tc>
        <w:tc>
          <w:tcPr>
            <w:tcW w:w="1536" w:type="pct"/>
          </w:tcPr>
          <w:p>
            <w:pPr>
              <w:spacing w:line="240" w:lineRule="auto"/>
              <w:ind w:firstLine="0" w:firstLineChars="0"/>
              <w:jc w:val="center"/>
              <w:rPr>
                <w:rFonts w:hint="default" w:ascii="仿宋" w:hAnsi="仿宋" w:eastAsia="仿宋" w:cs="Times New Roman"/>
                <w:sz w:val="21"/>
                <w:lang w:val="en-US" w:eastAsia="zh-CN"/>
              </w:rPr>
            </w:pPr>
            <w:r>
              <w:rPr>
                <w:rFonts w:hint="default" w:ascii="仿宋" w:hAnsi="仿宋" w:eastAsia="仿宋" w:cs="Times New Roman"/>
                <w:sz w:val="21"/>
                <w:lang w:val="en-US" w:eastAsia="zh-CN"/>
              </w:rPr>
              <w:fldChar w:fldCharType="begin"/>
            </w:r>
            <w:r>
              <w:rPr>
                <w:rFonts w:hint="default" w:ascii="仿宋" w:hAnsi="仿宋" w:eastAsia="仿宋" w:cs="Times New Roman"/>
                <w:sz w:val="21"/>
                <w:lang w:val="en-US" w:eastAsia="zh-CN"/>
              </w:rPr>
              <w:instrText xml:space="preserve"> HYPERLINK "https://baike.baidu.com/item/%E5%B2%AB%E5%B2%A9/128252?fromModule=lemma_inlink" \t "https://baike.baidu.com/item/%E5%B2%AB%E5%B2%A9%E9%BE%99%E6%BD%AD%E6%B9%BE%E7%9C%81%E7%BA%A7%E8%87%AA%E7%84%B6%E4%BF%9D%E6%8A%A4%E5%8C%BA/_blank" </w:instrText>
            </w:r>
            <w:r>
              <w:rPr>
                <w:rFonts w:hint="default" w:ascii="仿宋" w:hAnsi="仿宋" w:eastAsia="仿宋" w:cs="Times New Roman"/>
                <w:sz w:val="21"/>
                <w:lang w:val="en-US" w:eastAsia="zh-CN"/>
              </w:rPr>
              <w:fldChar w:fldCharType="separate"/>
            </w:r>
            <w:r>
              <w:rPr>
                <w:rFonts w:hint="default" w:ascii="仿宋" w:hAnsi="仿宋" w:eastAsia="仿宋" w:cs="Times New Roman"/>
                <w:sz w:val="21"/>
                <w:lang w:val="en-US" w:eastAsia="zh-CN"/>
              </w:rPr>
              <w:t>岫岩</w:t>
            </w:r>
            <w:r>
              <w:rPr>
                <w:rFonts w:hint="default" w:ascii="仿宋" w:hAnsi="仿宋" w:eastAsia="仿宋" w:cs="Times New Roman"/>
                <w:sz w:val="21"/>
                <w:lang w:val="en-US" w:eastAsia="zh-CN"/>
              </w:rPr>
              <w:fldChar w:fldCharType="end"/>
            </w:r>
            <w:r>
              <w:rPr>
                <w:rFonts w:hint="default" w:ascii="仿宋" w:hAnsi="仿宋" w:eastAsia="仿宋" w:cs="Times New Roman"/>
                <w:sz w:val="21"/>
                <w:lang w:val="en-US" w:eastAsia="zh-CN"/>
              </w:rPr>
              <w:t>西南部的龙潭镇</w:t>
            </w:r>
          </w:p>
        </w:tc>
        <w:tc>
          <w:tcPr>
            <w:tcW w:w="1000" w:type="pct"/>
          </w:tcPr>
          <w:p>
            <w:pPr>
              <w:spacing w:line="240" w:lineRule="auto"/>
              <w:ind w:firstLine="0" w:firstLineChars="0"/>
              <w:jc w:val="center"/>
              <w:rPr>
                <w:rFonts w:hint="default" w:ascii="仿宋" w:hAnsi="仿宋" w:cs="Times New Roman"/>
                <w:sz w:val="21"/>
                <w:szCs w:val="21"/>
                <w:lang w:val="en-US" w:eastAsia="zh-CN"/>
              </w:rPr>
            </w:pPr>
            <w:r>
              <w:rPr>
                <w:rFonts w:hint="eastAsia" w:ascii="仿宋" w:hAnsi="仿宋" w:cs="Times New Roman"/>
                <w:sz w:val="21"/>
                <w:szCs w:val="21"/>
                <w:lang w:val="en-US" w:eastAsia="zh-CN"/>
              </w:rPr>
              <w:t>200</w:t>
            </w:r>
          </w:p>
        </w:tc>
        <w:tc>
          <w:tcPr>
            <w:tcW w:w="1042" w:type="pct"/>
          </w:tcPr>
          <w:p>
            <w:pPr>
              <w:spacing w:line="240" w:lineRule="auto"/>
              <w:ind w:firstLine="0" w:firstLineChars="0"/>
              <w:jc w:val="center"/>
              <w:rPr>
                <w:rFonts w:hint="eastAsia" w:ascii="仿宋" w:hAnsi="仿宋" w:cs="Times New Roman"/>
                <w:sz w:val="21"/>
                <w:szCs w:val="21"/>
                <w:lang w:val="en-US" w:eastAsia="zh-CN"/>
              </w:rPr>
            </w:pPr>
            <w:r>
              <w:rPr>
                <w:rFonts w:hint="eastAsia" w:ascii="仿宋" w:hAnsi="仿宋" w:cs="Times New Roman"/>
                <w:sz w:val="21"/>
                <w:szCs w:val="21"/>
                <w:lang w:val="en-US" w:eastAsia="zh-CN"/>
              </w:rPr>
              <w:t>无</w:t>
            </w:r>
          </w:p>
        </w:tc>
      </w:tr>
    </w:tbl>
    <w:p>
      <w:pPr>
        <w:pStyle w:val="3"/>
        <w:bidi w:val="0"/>
        <w:ind w:left="0" w:leftChars="0" w:firstLine="0" w:firstLineChars="0"/>
      </w:pPr>
      <w:bookmarkStart w:id="51" w:name="_Toc16668"/>
      <w:r>
        <w:rPr>
          <w:rFonts w:hint="eastAsia"/>
        </w:rPr>
        <w:t>汽车保有量现状</w:t>
      </w:r>
      <w:bookmarkEnd w:id="51"/>
    </w:p>
    <w:p>
      <w:pPr>
        <w:ind w:firstLine="560"/>
        <w:rPr>
          <w:rFonts w:ascii="仿宋" w:hAnsi="仿宋"/>
          <w:highlight w:val="none"/>
        </w:rPr>
      </w:pPr>
      <w:r>
        <w:rPr>
          <w:rFonts w:hint="eastAsia" w:ascii="仿宋" w:hAnsi="仿宋"/>
          <w:highlight w:val="none"/>
        </w:rPr>
        <w:t>截止到2023年，</w:t>
      </w:r>
      <w:r>
        <w:rPr>
          <w:rFonts w:hint="eastAsia" w:ascii="仿宋" w:hAnsi="仿宋"/>
          <w:highlight w:val="none"/>
          <w:lang w:val="en-US" w:eastAsia="zh-CN"/>
        </w:rPr>
        <w:t>岫岩</w:t>
      </w:r>
      <w:r>
        <w:rPr>
          <w:rFonts w:hint="eastAsia" w:ascii="仿宋" w:hAnsi="仿宋"/>
          <w:highlight w:val="none"/>
        </w:rPr>
        <w:t>县拥有各类汽车</w:t>
      </w:r>
      <w:r>
        <w:rPr>
          <w:rFonts w:hint="eastAsia" w:ascii="仿宋" w:hAnsi="仿宋"/>
          <w:highlight w:val="none"/>
          <w:lang w:val="en-US" w:eastAsia="zh-CN"/>
        </w:rPr>
        <w:t>69296</w:t>
      </w:r>
      <w:r>
        <w:rPr>
          <w:rFonts w:hint="eastAsia" w:ascii="仿宋" w:hAnsi="仿宋"/>
          <w:highlight w:val="none"/>
        </w:rPr>
        <w:t>辆，其中大型车1868辆，小型68248辆，低速车514辆，挂车702辆，新能源车334辆。通过数据可以看出，随着电动汽车技术的不断成熟，在国家政策的支持下，</w:t>
      </w:r>
      <w:r>
        <w:rPr>
          <w:rFonts w:hint="eastAsia" w:ascii="仿宋" w:hAnsi="仿宋"/>
          <w:highlight w:val="none"/>
          <w:lang w:val="en-US" w:eastAsia="zh-CN"/>
        </w:rPr>
        <w:t>岫岩</w:t>
      </w:r>
      <w:r>
        <w:rPr>
          <w:rFonts w:hint="eastAsia" w:ascii="仿宋" w:hAnsi="仿宋"/>
          <w:highlight w:val="none"/>
        </w:rPr>
        <w:t>县电动汽车行业具有较大潜力和发展空间。</w:t>
      </w:r>
    </w:p>
    <w:p>
      <w:pPr>
        <w:pStyle w:val="3"/>
        <w:bidi w:val="0"/>
        <w:ind w:left="0" w:leftChars="0" w:firstLine="0" w:firstLineChars="0"/>
      </w:pPr>
      <w:bookmarkStart w:id="52" w:name="_Toc21902"/>
      <w:r>
        <w:rPr>
          <w:rFonts w:hint="eastAsia"/>
        </w:rPr>
        <w:t>电动汽车推广应用情况</w:t>
      </w:r>
      <w:bookmarkEnd w:id="52"/>
    </w:p>
    <w:p>
      <w:pPr>
        <w:pStyle w:val="4"/>
        <w:bidi w:val="0"/>
        <w:ind w:left="0" w:leftChars="0" w:firstLine="0" w:firstLineChars="0"/>
      </w:pPr>
      <w:bookmarkStart w:id="53" w:name="_Toc28056"/>
      <w:r>
        <w:rPr>
          <w:rFonts w:hint="eastAsia"/>
        </w:rPr>
        <w:t>电动汽车发展现状</w:t>
      </w:r>
      <w:bookmarkEnd w:id="53"/>
    </w:p>
    <w:p>
      <w:pPr>
        <w:ind w:firstLine="560"/>
        <w:rPr>
          <w:rFonts w:hint="eastAsia" w:ascii="仿宋" w:hAnsi="仿宋" w:eastAsia="仿宋" w:cs="仿宋"/>
          <w:lang w:val="en-US" w:eastAsia="zh-CN"/>
        </w:rPr>
      </w:pPr>
      <w:r>
        <w:rPr>
          <w:rFonts w:hint="eastAsia" w:ascii="仿宋" w:hAnsi="仿宋" w:eastAsia="仿宋" w:cs="仿宋"/>
          <w:lang w:val="en-US" w:eastAsia="zh-CN"/>
        </w:rPr>
        <w:t>截止到2024年6月，岫岩县拥有小型电动汽车334辆，纯电动公交车70辆，从环卫垃圾运输的的新能源挂桶车8台。电动车占汽车总保有量的比例仅为0.48%，低于0.5%的全国平均水平。</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2032"/>
        <w:gridCol w:w="1267"/>
        <w:gridCol w:w="1267"/>
        <w:gridCol w:w="1273"/>
        <w:gridCol w:w="1260"/>
        <w:gridCol w:w="1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blHeader/>
          <w:jc w:val="center"/>
        </w:trPr>
        <w:tc>
          <w:tcPr>
            <w:tcW w:w="1215" w:type="pct"/>
            <w:shd w:val="clear" w:color="auto" w:fill="D9D9D9"/>
            <w:noWrap w:val="0"/>
            <w:vAlign w:val="center"/>
          </w:tcPr>
          <w:p>
            <w:pPr>
              <w:shd w:val="clear" w:color="auto" w:fill="auto"/>
              <w:adjustRightInd/>
              <w:snapToGrid/>
              <w:spacing w:line="240" w:lineRule="auto"/>
              <w:ind w:firstLine="0" w:firstLineChars="0"/>
              <w:jc w:val="center"/>
              <w:rPr>
                <w:rFonts w:hint="eastAsia" w:ascii="仿宋" w:hAnsi="仿宋" w:eastAsia="仿宋" w:cs="仿宋"/>
                <w:b/>
                <w:sz w:val="19"/>
                <w:szCs w:val="24"/>
                <w:highlight w:val="none"/>
              </w:rPr>
            </w:pPr>
            <w:r>
              <w:rPr>
                <w:rFonts w:hint="eastAsia" w:ascii="仿宋" w:hAnsi="仿宋" w:eastAsia="仿宋" w:cs="仿宋"/>
                <w:b/>
                <w:sz w:val="19"/>
                <w:szCs w:val="24"/>
                <w:highlight w:val="none"/>
              </w:rPr>
              <w:t>类型</w:t>
            </w:r>
          </w:p>
        </w:tc>
        <w:tc>
          <w:tcPr>
            <w:tcW w:w="757" w:type="pct"/>
            <w:shd w:val="clear" w:color="auto" w:fill="D9D9D9"/>
            <w:noWrap w:val="0"/>
            <w:vAlign w:val="center"/>
          </w:tcPr>
          <w:p>
            <w:pPr>
              <w:shd w:val="clear" w:color="auto" w:fill="auto"/>
              <w:adjustRightInd/>
              <w:snapToGrid/>
              <w:spacing w:line="240" w:lineRule="auto"/>
              <w:ind w:firstLine="0" w:firstLineChars="0"/>
              <w:jc w:val="center"/>
              <w:rPr>
                <w:rFonts w:hint="eastAsia" w:ascii="仿宋" w:hAnsi="仿宋" w:eastAsia="仿宋" w:cs="仿宋"/>
                <w:b/>
                <w:sz w:val="19"/>
                <w:szCs w:val="24"/>
                <w:highlight w:val="none"/>
              </w:rPr>
            </w:pPr>
            <w:r>
              <w:rPr>
                <w:rFonts w:hint="eastAsia" w:ascii="仿宋" w:hAnsi="仿宋" w:eastAsia="仿宋" w:cs="仿宋"/>
                <w:b/>
                <w:sz w:val="19"/>
                <w:szCs w:val="24"/>
                <w:highlight w:val="none"/>
              </w:rPr>
              <w:t>2020年</w:t>
            </w:r>
          </w:p>
        </w:tc>
        <w:tc>
          <w:tcPr>
            <w:tcW w:w="757" w:type="pct"/>
            <w:shd w:val="clear" w:color="auto" w:fill="D9D9D9"/>
            <w:noWrap w:val="0"/>
            <w:vAlign w:val="center"/>
          </w:tcPr>
          <w:p>
            <w:pPr>
              <w:shd w:val="clear" w:color="auto" w:fill="auto"/>
              <w:adjustRightInd/>
              <w:snapToGrid/>
              <w:spacing w:line="240" w:lineRule="auto"/>
              <w:ind w:firstLine="0" w:firstLineChars="0"/>
              <w:jc w:val="center"/>
              <w:rPr>
                <w:rFonts w:hint="eastAsia" w:ascii="仿宋" w:hAnsi="仿宋" w:eastAsia="仿宋" w:cs="仿宋"/>
                <w:b/>
                <w:sz w:val="19"/>
                <w:szCs w:val="24"/>
                <w:highlight w:val="none"/>
              </w:rPr>
            </w:pPr>
            <w:r>
              <w:rPr>
                <w:rFonts w:hint="eastAsia" w:ascii="仿宋" w:hAnsi="仿宋" w:eastAsia="仿宋" w:cs="仿宋"/>
                <w:b/>
                <w:sz w:val="19"/>
                <w:szCs w:val="24"/>
                <w:highlight w:val="none"/>
              </w:rPr>
              <w:t>2021年</w:t>
            </w:r>
          </w:p>
        </w:tc>
        <w:tc>
          <w:tcPr>
            <w:tcW w:w="761" w:type="pct"/>
            <w:shd w:val="clear" w:color="auto" w:fill="D9D9D9"/>
            <w:noWrap w:val="0"/>
            <w:vAlign w:val="center"/>
          </w:tcPr>
          <w:p>
            <w:pPr>
              <w:shd w:val="clear" w:color="auto" w:fill="auto"/>
              <w:adjustRightInd/>
              <w:snapToGrid/>
              <w:spacing w:line="240" w:lineRule="auto"/>
              <w:ind w:firstLine="0" w:firstLineChars="0"/>
              <w:jc w:val="center"/>
              <w:rPr>
                <w:rFonts w:hint="eastAsia" w:ascii="仿宋" w:hAnsi="仿宋" w:eastAsia="仿宋" w:cs="仿宋"/>
                <w:b/>
                <w:sz w:val="19"/>
                <w:szCs w:val="24"/>
                <w:highlight w:val="none"/>
              </w:rPr>
            </w:pPr>
            <w:r>
              <w:rPr>
                <w:rFonts w:hint="eastAsia" w:ascii="仿宋" w:hAnsi="仿宋" w:eastAsia="仿宋" w:cs="仿宋"/>
                <w:b/>
                <w:sz w:val="19"/>
                <w:szCs w:val="24"/>
                <w:highlight w:val="none"/>
              </w:rPr>
              <w:t>2022年</w:t>
            </w:r>
          </w:p>
        </w:tc>
        <w:tc>
          <w:tcPr>
            <w:tcW w:w="753" w:type="pct"/>
            <w:shd w:val="clear" w:color="auto" w:fill="D9D9D9"/>
            <w:noWrap w:val="0"/>
            <w:vAlign w:val="top"/>
          </w:tcPr>
          <w:p>
            <w:pPr>
              <w:shd w:val="clear" w:color="auto" w:fill="auto"/>
              <w:adjustRightInd/>
              <w:snapToGrid/>
              <w:spacing w:line="240" w:lineRule="auto"/>
              <w:ind w:firstLine="0" w:firstLineChars="0"/>
              <w:jc w:val="center"/>
              <w:rPr>
                <w:rFonts w:hint="eastAsia" w:ascii="仿宋" w:hAnsi="仿宋" w:eastAsia="仿宋" w:cs="仿宋"/>
                <w:b/>
                <w:sz w:val="19"/>
                <w:szCs w:val="24"/>
                <w:highlight w:val="none"/>
              </w:rPr>
            </w:pPr>
            <w:r>
              <w:rPr>
                <w:rFonts w:hint="eastAsia" w:ascii="仿宋" w:hAnsi="仿宋" w:eastAsia="仿宋" w:cs="仿宋"/>
                <w:b/>
                <w:sz w:val="19"/>
                <w:szCs w:val="24"/>
                <w:highlight w:val="none"/>
              </w:rPr>
              <w:t>2023年</w:t>
            </w:r>
          </w:p>
        </w:tc>
        <w:tc>
          <w:tcPr>
            <w:tcW w:w="753" w:type="pct"/>
            <w:shd w:val="clear" w:color="auto" w:fill="D9D9D9"/>
            <w:noWrap w:val="0"/>
            <w:vAlign w:val="top"/>
          </w:tcPr>
          <w:p>
            <w:pPr>
              <w:shd w:val="clear" w:color="auto" w:fill="auto"/>
              <w:adjustRightInd/>
              <w:snapToGrid/>
              <w:spacing w:line="240" w:lineRule="auto"/>
              <w:ind w:firstLine="0" w:firstLineChars="0"/>
              <w:jc w:val="center"/>
              <w:rPr>
                <w:rFonts w:hint="default" w:ascii="仿宋" w:hAnsi="仿宋" w:eastAsia="仿宋" w:cs="仿宋"/>
                <w:b/>
                <w:sz w:val="19"/>
                <w:szCs w:val="24"/>
                <w:highlight w:val="none"/>
                <w:lang w:val="en-US" w:eastAsia="zh-CN"/>
              </w:rPr>
            </w:pPr>
            <w:r>
              <w:rPr>
                <w:rFonts w:hint="eastAsia" w:ascii="仿宋" w:hAnsi="仿宋" w:eastAsia="仿宋" w:cs="仿宋"/>
                <w:b/>
                <w:sz w:val="19"/>
                <w:szCs w:val="24"/>
                <w:highlight w:val="none"/>
                <w:lang w:val="en-US" w:eastAsia="zh-CN"/>
              </w:rPr>
              <w:t>2024年6月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1" w:hRule="atLeas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私家车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1" w:hRule="atLeas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网约车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租赁车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公交车</w:t>
            </w:r>
          </w:p>
        </w:tc>
        <w:tc>
          <w:tcPr>
            <w:tcW w:w="757"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70</w:t>
            </w:r>
          </w:p>
        </w:tc>
        <w:tc>
          <w:tcPr>
            <w:tcW w:w="757"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70</w:t>
            </w:r>
          </w:p>
        </w:tc>
        <w:tc>
          <w:tcPr>
            <w:tcW w:w="761"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70</w:t>
            </w: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70</w:t>
            </w: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环卫车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0</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0</w:t>
            </w: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出租车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61"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w:t>
            </w: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29</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物流车</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客运班车</w:t>
            </w:r>
          </w:p>
        </w:tc>
        <w:tc>
          <w:tcPr>
            <w:tcW w:w="757"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11</w:t>
            </w:r>
          </w:p>
        </w:tc>
        <w:tc>
          <w:tcPr>
            <w:tcW w:w="757"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11</w:t>
            </w:r>
          </w:p>
        </w:tc>
        <w:tc>
          <w:tcPr>
            <w:tcW w:w="761" w:type="pct"/>
            <w:noWrap/>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11</w:t>
            </w: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11</w:t>
            </w: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215"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总计</w:t>
            </w: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p>
        </w:tc>
        <w:tc>
          <w:tcPr>
            <w:tcW w:w="757"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p>
        </w:tc>
        <w:tc>
          <w:tcPr>
            <w:tcW w:w="761" w:type="pct"/>
            <w:noWrap/>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p>
        </w:tc>
        <w:tc>
          <w:tcPr>
            <w:tcW w:w="753" w:type="pct"/>
            <w:noWrap w:val="0"/>
            <w:vAlign w:val="center"/>
          </w:tcPr>
          <w:p>
            <w:pPr>
              <w:shd w:val="clear" w:color="auto" w:fill="auto"/>
              <w:adjustRightInd/>
              <w:snapToGrid/>
              <w:spacing w:line="240" w:lineRule="auto"/>
              <w:ind w:firstLine="0" w:firstLineChars="0"/>
              <w:jc w:val="center"/>
              <w:rPr>
                <w:rFonts w:hint="eastAsia" w:ascii="仿宋" w:hAnsi="仿宋" w:eastAsia="仿宋" w:cs="仿宋"/>
                <w:sz w:val="19"/>
                <w:szCs w:val="24"/>
                <w:highlight w:val="none"/>
              </w:rPr>
            </w:pPr>
          </w:p>
        </w:tc>
        <w:tc>
          <w:tcPr>
            <w:tcW w:w="753" w:type="pct"/>
            <w:noWrap w:val="0"/>
            <w:vAlign w:val="center"/>
          </w:tcPr>
          <w:p>
            <w:pPr>
              <w:shd w:val="clear" w:color="auto" w:fill="auto"/>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334</w:t>
            </w:r>
          </w:p>
        </w:tc>
      </w:tr>
    </w:tbl>
    <w:p>
      <w:pPr>
        <w:pStyle w:val="4"/>
        <w:bidi w:val="0"/>
        <w:ind w:left="0" w:leftChars="0" w:firstLine="0" w:firstLineChars="0"/>
      </w:pPr>
      <w:bookmarkStart w:id="54" w:name="_Toc10246"/>
      <w:r>
        <w:rPr>
          <w:rFonts w:hint="eastAsia"/>
        </w:rPr>
        <w:t>充电基础设施发展情况</w:t>
      </w:r>
      <w:bookmarkEnd w:id="54"/>
    </w:p>
    <w:p>
      <w:pPr>
        <w:ind w:firstLine="560"/>
        <w:rPr>
          <w:rFonts w:hint="default" w:ascii="仿宋" w:hAnsi="仿宋" w:eastAsia="仿宋" w:cs="仿宋"/>
          <w:lang w:val="en-US" w:eastAsia="zh-CN"/>
        </w:rPr>
      </w:pPr>
      <w:r>
        <w:rPr>
          <w:rFonts w:hint="eastAsia" w:ascii="仿宋" w:hAnsi="仿宋" w:eastAsia="仿宋" w:cs="仿宋"/>
          <w:lang w:val="en-US" w:eastAsia="zh-CN"/>
        </w:rPr>
        <w:t>近年来，随着国家政策的引导，岫岩县电动汽车得到一定发展。作为与电动汽车行业“相辅相成”的充电桩行业，随着电动汽车保有量的增长，充电桩建设也相应得到发展。截止到2024年，全县充电桩共计40个，其中直流充电桩24个，交流充电桩16个，公用充电桩共计4处，专用充电装共计8处。公用充电桩仅有14个，无法满足未来新能源汽车发展需求。</w:t>
      </w:r>
    </w:p>
    <w:p>
      <w:pPr>
        <w:ind w:firstLine="560"/>
        <w:rPr>
          <w:rFonts w:hint="eastAsia" w:ascii="仿宋" w:hAnsi="仿宋" w:eastAsia="仿宋" w:cs="仿宋"/>
          <w:lang w:val="en-US" w:eastAsia="zh-CN"/>
        </w:rPr>
      </w:pPr>
      <w:r>
        <w:rPr>
          <w:rFonts w:hint="eastAsia" w:ascii="仿宋" w:hAnsi="仿宋" w:eastAsia="仿宋" w:cs="仿宋"/>
          <w:lang w:val="en-US" w:eastAsia="zh-CN"/>
        </w:rPr>
        <w:t>在充电设施信息服务平台方面，岫岩县已建立e充电APP，可以提供站点查询、高速路站、充电教程、行程规划、积分商城等功能。</w:t>
      </w:r>
    </w:p>
    <w:p>
      <w:pPr>
        <w:ind w:firstLine="560"/>
        <w:rPr>
          <w:rFonts w:hint="eastAsia" w:ascii="仿宋" w:hAnsi="仿宋" w:eastAsia="仿宋" w:cs="仿宋"/>
          <w:lang w:val="en-US" w:eastAsia="zh-CN"/>
        </w:rPr>
      </w:pPr>
      <w:r>
        <w:rPr>
          <w:rFonts w:hint="eastAsia" w:ascii="仿宋" w:hAnsi="仿宋" w:eastAsia="仿宋" w:cs="仿宋"/>
          <w:lang w:val="en-US" w:eastAsia="zh-CN"/>
        </w:rPr>
        <w:t>岫岩县电动汽车充电基础设施建设主体有供电企业、公共交通系统、充电基础设施运营企业及私人等。</w:t>
      </w:r>
    </w:p>
    <w:p>
      <w:pPr>
        <w:jc w:val="right"/>
        <w:rPr>
          <w:rFonts w:hint="eastAsia"/>
          <w:sz w:val="21"/>
          <w:szCs w:val="21"/>
        </w:rPr>
      </w:pPr>
      <w:r>
        <w:rPr>
          <w:rFonts w:hint="eastAsia"/>
          <w:sz w:val="21"/>
          <w:szCs w:val="21"/>
        </w:rPr>
        <w:t>充电基础设施</w:t>
      </w:r>
      <w:r>
        <w:rPr>
          <w:rFonts w:hint="eastAsia"/>
          <w:sz w:val="21"/>
          <w:szCs w:val="21"/>
          <w:lang w:val="en-US" w:eastAsia="zh-CN"/>
        </w:rPr>
        <w:t xml:space="preserve">现状统计表                 </w:t>
      </w:r>
      <w:r>
        <w:rPr>
          <w:rFonts w:hint="eastAsia"/>
          <w:sz w:val="21"/>
          <w:szCs w:val="21"/>
        </w:rPr>
        <w:t>单位：座、台</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2610"/>
        <w:gridCol w:w="1324"/>
        <w:gridCol w:w="1722"/>
        <w:gridCol w:w="1023"/>
        <w:gridCol w:w="1023"/>
        <w:gridCol w:w="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60" w:hRule="atLeast"/>
          <w:tblHeader/>
          <w:jc w:val="center"/>
        </w:trPr>
        <w:tc>
          <w:tcPr>
            <w:tcW w:w="1567"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详细位置</w:t>
            </w:r>
          </w:p>
        </w:tc>
        <w:tc>
          <w:tcPr>
            <w:tcW w:w="795"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充电桩/充电站</w:t>
            </w:r>
          </w:p>
        </w:tc>
        <w:tc>
          <w:tcPr>
            <w:tcW w:w="1034"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属性（公用/专用）</w:t>
            </w:r>
          </w:p>
        </w:tc>
        <w:tc>
          <w:tcPr>
            <w:tcW w:w="614"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直流充电桩</w:t>
            </w:r>
          </w:p>
        </w:tc>
        <w:tc>
          <w:tcPr>
            <w:tcW w:w="614"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交流充电桩</w:t>
            </w:r>
          </w:p>
        </w:tc>
        <w:tc>
          <w:tcPr>
            <w:tcW w:w="374" w:type="pct"/>
            <w:shd w:val="clear" w:color="auto" w:fill="D9D9D9"/>
            <w:noWrap/>
            <w:tcMar>
              <w:top w:w="12" w:type="dxa"/>
              <w:left w:w="12" w:type="dxa"/>
              <w:right w:w="12" w:type="dxa"/>
            </w:tcMar>
            <w:vAlign w:val="center"/>
          </w:tcPr>
          <w:p>
            <w:pPr>
              <w:adjustRightInd/>
              <w:snapToGrid/>
              <w:spacing w:line="240" w:lineRule="auto"/>
              <w:ind w:firstLine="0" w:firstLineChars="0"/>
              <w:jc w:val="center"/>
              <w:rPr>
                <w:rFonts w:ascii="仿宋" w:hAnsi="仿宋" w:eastAsia="仿宋" w:cs="仿宋"/>
                <w:b/>
                <w:sz w:val="19"/>
                <w:szCs w:val="24"/>
              </w:rPr>
            </w:pPr>
            <w:r>
              <w:rPr>
                <w:rFonts w:hint="eastAsia" w:ascii="仿宋" w:hAnsi="仿宋" w:eastAsia="仿宋" w:cs="仿宋"/>
                <w:b/>
                <w:sz w:val="19"/>
                <w:szCs w:val="24"/>
              </w:rPr>
              <w:t>总桩数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岫岩供电公司</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充电站</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公用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6</w:t>
            </w:r>
          </w:p>
        </w:tc>
        <w:tc>
          <w:tcPr>
            <w:tcW w:w="614" w:type="pct"/>
            <w:shd w:val="clear" w:color="auto" w:fill="auto"/>
            <w:noWrap/>
            <w:tcMar>
              <w:top w:w="12" w:type="dxa"/>
              <w:left w:w="12" w:type="dxa"/>
              <w:right w:w="12" w:type="dxa"/>
            </w:tcMar>
            <w:vAlign w:val="center"/>
          </w:tcPr>
          <w:p>
            <w:pPr>
              <w:adjustRightInd/>
              <w:snapToGrid/>
              <w:spacing w:line="240" w:lineRule="auto"/>
              <w:ind w:firstLine="380" w:firstLineChars="20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乐雪酒店</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充电站</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公用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4</w:t>
            </w:r>
          </w:p>
        </w:tc>
        <w:tc>
          <w:tcPr>
            <w:tcW w:w="614" w:type="pct"/>
            <w:shd w:val="clear" w:color="auto" w:fill="auto"/>
            <w:noWrap/>
            <w:tcMar>
              <w:top w:w="12" w:type="dxa"/>
              <w:left w:w="12" w:type="dxa"/>
              <w:right w:w="12" w:type="dxa"/>
            </w:tcMar>
            <w:vAlign w:val="center"/>
          </w:tcPr>
          <w:p>
            <w:pPr>
              <w:adjustRightInd/>
              <w:snapToGrid/>
              <w:spacing w:line="240" w:lineRule="auto"/>
              <w:ind w:firstLine="380" w:firstLineChars="20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岫岩客运站云快充充电站</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充电站</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公用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2</w:t>
            </w:r>
          </w:p>
        </w:tc>
        <w:tc>
          <w:tcPr>
            <w:tcW w:w="614" w:type="pct"/>
            <w:shd w:val="clear" w:color="auto" w:fill="auto"/>
            <w:noWrap/>
            <w:tcMar>
              <w:top w:w="12" w:type="dxa"/>
              <w:left w:w="12" w:type="dxa"/>
              <w:right w:w="12" w:type="dxa"/>
            </w:tcMar>
            <w:vAlign w:val="center"/>
          </w:tcPr>
          <w:p>
            <w:pPr>
              <w:adjustRightInd/>
              <w:snapToGrid/>
              <w:spacing w:line="240" w:lineRule="auto"/>
              <w:ind w:firstLine="380" w:firstLineChars="200"/>
              <w:jc w:val="center"/>
              <w:rPr>
                <w:rFonts w:hint="eastAsia" w:ascii="仿宋" w:hAnsi="仿宋" w:eastAsia="仿宋" w:cs="仿宋"/>
                <w:sz w:val="19"/>
                <w:szCs w:val="24"/>
                <w:highlight w:val="none"/>
              </w:rPr>
            </w:pPr>
            <w:r>
              <w:rPr>
                <w:rFonts w:hint="eastAsia" w:ascii="仿宋" w:hAnsi="仿宋" w:eastAsia="仿宋" w:cs="仿宋"/>
                <w:sz w:val="19"/>
                <w:szCs w:val="24"/>
                <w:highlight w:val="none"/>
                <w:lang w:val="en-US" w:eastAsia="zh-CN"/>
              </w:rPr>
              <w:t>无</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电动汽车充电桩（岫岩服务器</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充电站</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公用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2</w:t>
            </w:r>
          </w:p>
        </w:tc>
        <w:tc>
          <w:tcPr>
            <w:tcW w:w="614" w:type="pct"/>
            <w:shd w:val="clear" w:color="auto" w:fill="auto"/>
            <w:noWrap/>
            <w:tcMar>
              <w:top w:w="12" w:type="dxa"/>
              <w:left w:w="12" w:type="dxa"/>
              <w:right w:w="12" w:type="dxa"/>
            </w:tcMar>
            <w:vAlign w:val="center"/>
          </w:tcPr>
          <w:p>
            <w:pPr>
              <w:adjustRightInd/>
              <w:snapToGrid/>
              <w:spacing w:line="240" w:lineRule="auto"/>
              <w:ind w:firstLine="380" w:firstLineChars="200"/>
              <w:jc w:val="center"/>
              <w:rPr>
                <w:rFonts w:hint="eastAsia" w:ascii="仿宋" w:hAnsi="仿宋" w:eastAsia="仿宋" w:cs="仿宋"/>
                <w:sz w:val="19"/>
                <w:szCs w:val="24"/>
                <w:highlight w:val="none"/>
              </w:rPr>
            </w:pPr>
            <w:r>
              <w:rPr>
                <w:rFonts w:hint="eastAsia" w:ascii="仿宋" w:hAnsi="仿宋" w:eastAsia="仿宋" w:cs="仿宋"/>
                <w:sz w:val="19"/>
                <w:szCs w:val="24"/>
                <w:highlight w:val="none"/>
                <w:lang w:val="en-US" w:eastAsia="zh-CN"/>
              </w:rPr>
              <w:t>无</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rPr>
            </w:pPr>
            <w:r>
              <w:rPr>
                <w:rFonts w:hint="eastAsia" w:ascii="仿宋" w:hAnsi="仿宋" w:eastAsia="仿宋" w:cs="仿宋"/>
                <w:sz w:val="19"/>
                <w:szCs w:val="24"/>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rPr>
              <w:t>公共汽车充电站</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rPr>
              <w:t>充电站</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10</w:t>
            </w:r>
          </w:p>
        </w:tc>
        <w:tc>
          <w:tcPr>
            <w:tcW w:w="614" w:type="pct"/>
            <w:shd w:val="clear" w:color="auto" w:fill="auto"/>
            <w:noWrap/>
            <w:tcMar>
              <w:top w:w="12" w:type="dxa"/>
              <w:left w:w="12" w:type="dxa"/>
              <w:right w:w="12" w:type="dxa"/>
            </w:tcMar>
            <w:vAlign w:val="center"/>
          </w:tcPr>
          <w:p>
            <w:pPr>
              <w:adjustRightInd/>
              <w:snapToGrid/>
              <w:spacing w:line="240" w:lineRule="auto"/>
              <w:ind w:firstLine="380" w:firstLineChars="200"/>
              <w:jc w:val="center"/>
              <w:rPr>
                <w:rFonts w:hint="eastAsia" w:ascii="仿宋" w:hAnsi="仿宋" w:eastAsia="仿宋" w:cs="仿宋"/>
                <w:sz w:val="19"/>
                <w:szCs w:val="24"/>
                <w:highlight w:val="none"/>
                <w:lang w:val="en-US" w:eastAsia="zh-CN"/>
              </w:rPr>
            </w:pPr>
            <w:r>
              <w:rPr>
                <w:rFonts w:hint="eastAsia" w:ascii="仿宋" w:hAnsi="仿宋" w:eastAsia="仿宋" w:cs="仿宋"/>
                <w:sz w:val="19"/>
                <w:szCs w:val="24"/>
                <w:highlight w:val="none"/>
                <w:lang w:val="en-US" w:eastAsia="zh-CN"/>
              </w:rPr>
              <w:t>无</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highlight w:val="none"/>
                <w:lang w:val="en-US" w:eastAsia="zh-CN"/>
              </w:rPr>
            </w:pPr>
            <w:r>
              <w:rPr>
                <w:rFonts w:hint="eastAsia" w:ascii="仿宋" w:hAnsi="仿宋" w:cs="仿宋"/>
                <w:sz w:val="19"/>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万润水岸豪庭D区</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5</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百家汇小区</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cs="仿宋"/>
                <w:sz w:val="19"/>
                <w:szCs w:val="24"/>
                <w:lang w:val="en-US" w:eastAsia="zh-CN"/>
              </w:rPr>
              <w:t>4</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default" w:ascii="仿宋" w:hAnsi="仿宋" w:eastAsia="仿宋" w:cs="仿宋"/>
                <w:sz w:val="19"/>
                <w:szCs w:val="24"/>
                <w:lang w:val="en-US" w:eastAsia="zh-CN"/>
              </w:rPr>
              <w:t>宝财花园</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default" w:ascii="仿宋" w:hAnsi="仿宋" w:eastAsia="仿宋" w:cs="仿宋"/>
                <w:sz w:val="19"/>
                <w:szCs w:val="24"/>
                <w:lang w:val="en-US" w:eastAsia="zh-CN"/>
              </w:rPr>
              <w:t>宝财二期</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lang w:val="en-US" w:eastAsia="zh-CN"/>
              </w:rPr>
            </w:pPr>
            <w:r>
              <w:rPr>
                <w:rFonts w:hint="eastAsia" w:ascii="仿宋" w:hAnsi="仿宋" w:eastAsia="仿宋" w:cs="仿宋"/>
                <w:sz w:val="19"/>
                <w:szCs w:val="24"/>
                <w:lang w:val="en-US" w:eastAsia="zh-CN"/>
              </w:rPr>
              <w:t>1</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default" w:ascii="仿宋" w:hAnsi="仿宋" w:eastAsia="仿宋" w:cs="仿宋"/>
                <w:sz w:val="19"/>
                <w:szCs w:val="24"/>
                <w:lang w:val="en-US" w:eastAsia="zh-CN"/>
              </w:rPr>
              <w:t>福园小区</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3</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default" w:ascii="仿宋" w:hAnsi="仿宋" w:eastAsia="仿宋" w:cs="仿宋"/>
                <w:sz w:val="19"/>
                <w:szCs w:val="24"/>
                <w:lang w:val="en-US" w:eastAsia="zh-CN"/>
              </w:rPr>
              <w:t>粮库嘉园</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19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康宁御璟嘉苑小区</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充电桩</w:t>
            </w: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专用</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lang w:val="en-US" w:eastAsia="zh-CN"/>
              </w:rPr>
              <w:t>无</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lang w:val="en-US" w:eastAsia="zh-CN"/>
              </w:rPr>
            </w:pPr>
            <w:r>
              <w:rPr>
                <w:rFonts w:hint="eastAsia" w:ascii="仿宋" w:hAnsi="仿宋" w:eastAsia="仿宋" w:cs="仿宋"/>
                <w:sz w:val="19"/>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201" w:hRule="atLeast"/>
          <w:jc w:val="center"/>
        </w:trPr>
        <w:tc>
          <w:tcPr>
            <w:tcW w:w="1567"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r>
              <w:rPr>
                <w:rFonts w:hint="eastAsia" w:ascii="仿宋" w:hAnsi="仿宋" w:eastAsia="仿宋" w:cs="仿宋"/>
                <w:sz w:val="19"/>
                <w:szCs w:val="24"/>
              </w:rPr>
              <w:t>合计</w:t>
            </w:r>
          </w:p>
        </w:tc>
        <w:tc>
          <w:tcPr>
            <w:tcW w:w="795"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p>
        </w:tc>
        <w:tc>
          <w:tcPr>
            <w:tcW w:w="103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eastAsia" w:ascii="仿宋" w:hAnsi="仿宋" w:eastAsia="仿宋" w:cs="仿宋"/>
                <w:sz w:val="19"/>
                <w:szCs w:val="24"/>
              </w:rPr>
            </w:pP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lang w:val="en-US" w:eastAsia="zh-CN"/>
              </w:rPr>
            </w:pPr>
            <w:r>
              <w:rPr>
                <w:rFonts w:hint="eastAsia" w:ascii="仿宋" w:hAnsi="仿宋" w:cs="仿宋"/>
                <w:sz w:val="19"/>
                <w:szCs w:val="24"/>
                <w:lang w:val="en-US" w:eastAsia="zh-CN"/>
              </w:rPr>
              <w:t>24</w:t>
            </w:r>
          </w:p>
        </w:tc>
        <w:tc>
          <w:tcPr>
            <w:tcW w:w="61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lang w:val="en-US" w:eastAsia="zh-CN"/>
              </w:rPr>
            </w:pPr>
            <w:r>
              <w:rPr>
                <w:rFonts w:hint="eastAsia" w:ascii="仿宋" w:hAnsi="仿宋" w:cs="仿宋"/>
                <w:sz w:val="19"/>
                <w:szCs w:val="24"/>
                <w:lang w:val="en-US" w:eastAsia="zh-CN"/>
              </w:rPr>
              <w:t>16</w:t>
            </w:r>
          </w:p>
        </w:tc>
        <w:tc>
          <w:tcPr>
            <w:tcW w:w="374" w:type="pct"/>
            <w:shd w:val="clear" w:color="auto" w:fill="auto"/>
            <w:noWrap/>
            <w:tcMar>
              <w:top w:w="12" w:type="dxa"/>
              <w:left w:w="12" w:type="dxa"/>
              <w:right w:w="12" w:type="dxa"/>
            </w:tcMar>
            <w:vAlign w:val="center"/>
          </w:tcPr>
          <w:p>
            <w:pPr>
              <w:adjustRightInd/>
              <w:snapToGrid/>
              <w:spacing w:line="240" w:lineRule="auto"/>
              <w:ind w:firstLine="0" w:firstLineChars="0"/>
              <w:jc w:val="center"/>
              <w:rPr>
                <w:rFonts w:hint="default" w:ascii="仿宋" w:hAnsi="仿宋" w:eastAsia="仿宋" w:cs="仿宋"/>
                <w:sz w:val="19"/>
                <w:szCs w:val="24"/>
                <w:lang w:val="en-US" w:eastAsia="zh-CN"/>
              </w:rPr>
            </w:pPr>
            <w:r>
              <w:rPr>
                <w:rFonts w:hint="eastAsia" w:ascii="仿宋" w:hAnsi="仿宋" w:cs="仿宋"/>
                <w:sz w:val="19"/>
                <w:szCs w:val="24"/>
                <w:lang w:val="en-US" w:eastAsia="zh-CN"/>
              </w:rPr>
              <w:t>40</w:t>
            </w:r>
          </w:p>
        </w:tc>
      </w:tr>
    </w:tbl>
    <w:tbl>
      <w:tblPr>
        <w:tblStyle w:val="31"/>
        <w:tblpPr w:leftFromText="180" w:rightFromText="180" w:vertAnchor="text" w:horzAnchor="page" w:tblpX="1867" w:tblpY="507"/>
        <w:tblOverlap w:val="never"/>
        <w:tblW w:w="49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1" w:hRule="atLeast"/>
        </w:trPr>
        <w:tc>
          <w:tcPr>
            <w:tcW w:w="50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vertAlign w:val="baseline"/>
                <w:lang w:eastAsia="zh-CN"/>
              </w:rPr>
            </w:pPr>
            <w:r>
              <w:rPr>
                <w:rFonts w:hint="eastAsia" w:eastAsia="仿宋"/>
                <w:lang w:eastAsia="zh-CN"/>
              </w:rPr>
              <w:drawing>
                <wp:inline distT="0" distB="0" distL="114300" distR="114300">
                  <wp:extent cx="5206365" cy="3027045"/>
                  <wp:effectExtent l="0" t="0" r="0" b="0"/>
                  <wp:docPr id="2" name="图片 2" descr="2473258adbcddb7d23c4783638b6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73258adbcddb7d23c4783638b6a12"/>
                          <pic:cNvPicPr>
                            <a:picLocks noChangeAspect="1"/>
                          </pic:cNvPicPr>
                        </pic:nvPicPr>
                        <pic:blipFill>
                          <a:blip r:embed="rId18"/>
                          <a:srcRect l="21590" t="39520" r="18002" b="10743"/>
                          <a:stretch>
                            <a:fillRect/>
                          </a:stretch>
                        </pic:blipFill>
                        <pic:spPr>
                          <a:xfrm>
                            <a:off x="0" y="0"/>
                            <a:ext cx="5206365" cy="3027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5000" w:type="pct"/>
            <w:vAlign w:val="bottom"/>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仿宋"/>
                <w:vertAlign w:val="baseline"/>
                <w:lang w:val="en-US" w:eastAsia="zh-CN"/>
              </w:rPr>
            </w:pPr>
            <w:r>
              <w:rPr>
                <w:rFonts w:hint="eastAsia"/>
                <w:sz w:val="24"/>
                <w:szCs w:val="24"/>
                <w:lang w:val="en-US" w:eastAsia="zh-CN"/>
              </w:rPr>
              <w:t>充电站基础设施现状布局图</w:t>
            </w:r>
          </w:p>
        </w:tc>
      </w:tr>
    </w:tbl>
    <w:p>
      <w:pPr>
        <w:pStyle w:val="4"/>
        <w:bidi w:val="0"/>
        <w:ind w:left="0" w:leftChars="0" w:firstLine="0" w:firstLineChars="0"/>
      </w:pPr>
      <w:bookmarkStart w:id="55" w:name="_Toc10501"/>
      <w:r>
        <w:rPr>
          <w:rFonts w:hint="eastAsia"/>
        </w:rPr>
        <w:t>电动汽车推广应用趋势</w:t>
      </w:r>
      <w:bookmarkEnd w:id="55"/>
    </w:p>
    <w:p>
      <w:pPr>
        <w:numPr>
          <w:ilvl w:val="0"/>
          <w:numId w:val="12"/>
        </w:numPr>
        <w:ind w:firstLine="560"/>
        <w:rPr>
          <w:rFonts w:hint="eastAsia"/>
          <w:lang w:val="en-US" w:eastAsia="zh-CN"/>
        </w:rPr>
      </w:pPr>
      <w:r>
        <w:rPr>
          <w:rFonts w:hint="eastAsia" w:ascii="仿宋" w:hAnsi="仿宋" w:eastAsia="仿宋" w:cs="仿宋"/>
          <w:lang w:val="en-US" w:eastAsia="zh-CN"/>
        </w:rPr>
        <w:t>维护能源供应的稳定性，推动绿色能源的使用</w:t>
      </w:r>
    </w:p>
    <w:p>
      <w:pPr>
        <w:ind w:firstLine="560"/>
        <w:rPr>
          <w:rFonts w:hint="eastAsia" w:ascii="仿宋" w:hAnsi="仿宋" w:eastAsia="仿宋" w:cs="仿宋"/>
          <w:lang w:val="en-US" w:eastAsia="zh-CN"/>
        </w:rPr>
      </w:pPr>
      <w:r>
        <w:rPr>
          <w:rFonts w:hint="eastAsia" w:ascii="仿宋" w:hAnsi="仿宋" w:eastAsia="仿宋" w:cs="仿宋"/>
          <w:lang w:val="en-US" w:eastAsia="zh-CN"/>
        </w:rPr>
        <w:t>随着国民经济持续快速发展和城镇化进程加速推进，今后较长一段时期内汽车市场将保持增长势头，由此带来的石油能源紧张和环境污染问题将更加突出，减少对化石能源的依赖，降低温室气体排放，又可以促进新能源产业的发展。电动汽车作为汽车体系的生力军，符合节能减排的要求，是对传统燃油汽车的替代和补充物。大力发展电动汽车能够加快燃油替代，优化能源结构，推动绿色能源的使用，以减少对环境的污染，应对全球气候变化的挑战。</w:t>
      </w:r>
    </w:p>
    <w:p>
      <w:pPr>
        <w:numPr>
          <w:ilvl w:val="0"/>
          <w:numId w:val="12"/>
        </w:numPr>
        <w:ind w:firstLine="560"/>
        <w:rPr>
          <w:rFonts w:hint="default" w:ascii="仿宋" w:hAnsi="仿宋" w:eastAsia="仿宋" w:cs="仿宋"/>
          <w:lang w:val="en-US" w:eastAsia="zh-CN"/>
        </w:rPr>
      </w:pPr>
      <w:r>
        <w:rPr>
          <w:rFonts w:hint="eastAsia" w:ascii="仿宋" w:hAnsi="仿宋" w:eastAsia="仿宋" w:cs="仿宋"/>
          <w:lang w:val="en-US" w:eastAsia="zh-CN"/>
        </w:rPr>
        <w:t>技术创新，驱动电动汽车应用的新浪潮</w:t>
      </w:r>
    </w:p>
    <w:p>
      <w:pPr>
        <w:ind w:firstLine="560"/>
        <w:rPr>
          <w:rFonts w:hint="eastAsia" w:ascii="仿宋" w:hAnsi="仿宋" w:eastAsia="仿宋" w:cs="仿宋"/>
          <w:lang w:val="en-US" w:eastAsia="zh-CN"/>
        </w:rPr>
      </w:pPr>
      <w:r>
        <w:rPr>
          <w:rFonts w:hint="eastAsia" w:ascii="仿宋" w:hAnsi="仿宋" w:eastAsia="仿宋" w:cs="仿宋"/>
          <w:lang w:val="en-US" w:eastAsia="zh-CN"/>
        </w:rPr>
        <w:t>‌政府将持续出台一系列扶持政策，‌以激励企业加大在新能源汽车研发与生产方面的投入，‌新能源汽车的技术将持续升级，‌成本将逐渐降低，‌性能也将得到显著提升，‌包括电池技术的进步、‌充电设施的完善以及智能驾驶技术的应用等。随着岫岩县电动汽车充电基础设施服务体系逐渐完善，岫岩县电动汽车使用将更加广泛，并促进电动汽车领域产品研发、生产本地化等。</w:t>
      </w:r>
    </w:p>
    <w:p>
      <w:pPr>
        <w:numPr>
          <w:ilvl w:val="0"/>
          <w:numId w:val="12"/>
        </w:numPr>
        <w:ind w:firstLine="560"/>
        <w:rPr>
          <w:rFonts w:hint="eastAsia" w:ascii="仿宋" w:hAnsi="仿宋" w:eastAsia="仿宋" w:cs="仿宋"/>
          <w:lang w:val="en-US" w:eastAsia="zh-CN"/>
        </w:rPr>
      </w:pPr>
      <w:r>
        <w:rPr>
          <w:rFonts w:hint="eastAsia" w:ascii="仿宋" w:hAnsi="仿宋" w:eastAsia="仿宋" w:cs="仿宋"/>
          <w:lang w:val="en-US" w:eastAsia="zh-CN"/>
        </w:rPr>
        <w:t>满足人民对现代生活新需求</w:t>
      </w:r>
    </w:p>
    <w:p>
      <w:pPr>
        <w:ind w:firstLine="560"/>
        <w:rPr>
          <w:rFonts w:hint="eastAsia"/>
          <w:highlight w:val="cyan"/>
        </w:rPr>
      </w:pPr>
      <w:r>
        <w:rPr>
          <w:rFonts w:hint="eastAsia" w:ascii="仿宋" w:hAnsi="仿宋" w:eastAsia="仿宋" w:cs="仿宋"/>
          <w:lang w:val="en-US" w:eastAsia="zh-CN"/>
        </w:rPr>
        <w:t>随着国家新能源汽车产业发展战略的实施，及各项配套政策的出台，电动汽车因其环保、经济、便捷等特性将越来越得到消费者的认同。首先，新能源汽车的出行成本相比传统燃油车有了显著的降低。其次，各政府纷纷出台了一系列鼓励新能源汽车发展的政策，包括购车补贴、免费停车、免收过路费等等。降低了人们的出行成本，还在很大程度上满足了人们对便捷、舒适和环保生活的需求。</w:t>
      </w:r>
      <w:r>
        <w:rPr>
          <w:rFonts w:hint="eastAsia"/>
          <w:highlight w:val="cyan"/>
        </w:rPr>
        <w:t>‌</w:t>
      </w:r>
    </w:p>
    <w:p>
      <w:pPr>
        <w:pStyle w:val="4"/>
        <w:bidi w:val="0"/>
        <w:ind w:left="0" w:leftChars="0" w:firstLine="0" w:firstLineChars="0"/>
      </w:pPr>
      <w:bookmarkStart w:id="56" w:name="_Toc11617"/>
      <w:r>
        <w:rPr>
          <w:rFonts w:hint="eastAsia"/>
        </w:rPr>
        <w:t>问题及挑战</w:t>
      </w:r>
      <w:bookmarkEnd w:id="56"/>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560" w:firstLineChars="200"/>
        <w:textAlignment w:val="auto"/>
        <w:rPr>
          <w:rFonts w:hint="eastAsia"/>
          <w:highlight w:val="none"/>
        </w:rPr>
      </w:pPr>
      <w:r>
        <w:rPr>
          <w:rFonts w:hint="eastAsia"/>
          <w:highlight w:val="none"/>
        </w:rPr>
        <w:t>经济效益较低，市场驱动力不足</w:t>
      </w:r>
    </w:p>
    <w:p>
      <w:pPr>
        <w:rPr>
          <w:rFonts w:hint="eastAsia"/>
          <w:highlight w:val="none"/>
        </w:rPr>
      </w:pPr>
      <w:r>
        <w:rPr>
          <w:rFonts w:hint="eastAsia"/>
          <w:highlight w:val="none"/>
        </w:rPr>
        <w:t>建设电动汽车充电基础设施经济效益较低，市场驱动力不足。在面向社会公众的公共充电服务领域，商业模式探索处于起步阶段，由于电动汽车数量少、设施利用率低、价格机制不健全等原因，充电服务企业普遍亏损。因此依靠运营赢利来吸引投资建设营运充电设施的市场驱动力不足。</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560" w:firstLineChars="200"/>
        <w:textAlignment w:val="auto"/>
        <w:rPr>
          <w:rFonts w:hint="eastAsia"/>
          <w:highlight w:val="none"/>
        </w:rPr>
      </w:pPr>
      <w:r>
        <w:rPr>
          <w:rFonts w:hint="eastAsia"/>
          <w:highlight w:val="none"/>
        </w:rPr>
        <w:t>土地资源宝贵，设施落地难度大</w:t>
      </w:r>
    </w:p>
    <w:p>
      <w:pPr>
        <w:rPr>
          <w:highlight w:val="none"/>
        </w:rPr>
      </w:pPr>
      <w:r>
        <w:rPr>
          <w:rFonts w:hint="eastAsia"/>
          <w:highlight w:val="none"/>
        </w:rPr>
        <w:t>充电基础设施建设需要土地、车位。土地资源宝贵，社会公共停车场数量相对较少；个人用户安装充电桩需具备固定车位，还需与业主委员会、物业公司协调，设施落地难度大。</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560" w:firstLineChars="200"/>
        <w:textAlignment w:val="auto"/>
        <w:rPr>
          <w:rFonts w:hint="eastAsia"/>
          <w:highlight w:val="none"/>
        </w:rPr>
      </w:pPr>
      <w:r>
        <w:rPr>
          <w:rFonts w:hint="eastAsia"/>
          <w:highlight w:val="none"/>
        </w:rPr>
        <w:t>充电基础设施与电动汽车发展不协调</w:t>
      </w:r>
    </w:p>
    <w:p>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充电基础设施和电动汽车的发展之间存在显著的不平衡和不协调现象。随着电动汽车市场的快速扩张，充电设施的建设速度远跟不上车辆的增长速度，导致了充电桩的短缺，给电动汽车车主带来了不便；其次，现有的充电基础设施在分布和覆盖面上也不尽合理，一些地区特别是偏远地区的充电设施严重不足，而车辆的拥有量却在不断上升，这使得电动汽车的使用受到了限制。</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560" w:firstLineChars="200"/>
        <w:textAlignment w:val="auto"/>
        <w:rPr>
          <w:rFonts w:hint="eastAsia"/>
          <w:highlight w:val="none"/>
        </w:rPr>
      </w:pPr>
      <w:r>
        <w:rPr>
          <w:rFonts w:hint="eastAsia"/>
          <w:highlight w:val="none"/>
        </w:rPr>
        <w:t>配套保障政策需进一步完善</w:t>
      </w:r>
    </w:p>
    <w:p>
      <w:pPr>
        <w:ind w:firstLine="560"/>
        <w:rPr>
          <w:rFonts w:hint="eastAsia" w:ascii="仿宋" w:hAnsi="仿宋" w:eastAsia="仿宋" w:cs="仿宋"/>
          <w:lang w:val="en-US" w:eastAsia="zh-CN"/>
        </w:rPr>
      </w:pPr>
      <w:r>
        <w:rPr>
          <w:rFonts w:hint="eastAsia" w:ascii="仿宋" w:hAnsi="仿宋" w:eastAsia="仿宋" w:cs="仿宋"/>
          <w:lang w:val="en-US" w:eastAsia="zh-CN"/>
        </w:rPr>
        <w:t>但尚未出台与充电基础设施建设相关的补贴政策，缺少相应的配套支持政策，导致充电运营商企业运营过程困难，无政策保障。</w:t>
      </w:r>
    </w:p>
    <w:p>
      <w:pPr>
        <w:pStyle w:val="3"/>
        <w:bidi w:val="0"/>
        <w:ind w:left="0" w:leftChars="0" w:firstLine="0" w:firstLineChars="0"/>
        <w:rPr>
          <w:rFonts w:hint="eastAsia"/>
          <w:lang w:val="en-US" w:eastAsia="zh-CN"/>
        </w:rPr>
      </w:pPr>
      <w:bookmarkStart w:id="57" w:name="_Toc439"/>
      <w:r>
        <w:rPr>
          <w:rFonts w:hint="eastAsia"/>
          <w:lang w:val="en-US" w:eastAsia="zh-CN"/>
        </w:rPr>
        <w:t>规划分区</w:t>
      </w:r>
      <w:bookmarkEnd w:id="57"/>
    </w:p>
    <w:p>
      <w:pPr>
        <w:pStyle w:val="4"/>
        <w:bidi w:val="0"/>
        <w:ind w:left="0" w:leftChars="0" w:firstLine="0" w:firstLineChars="0"/>
        <w:rPr>
          <w:rFonts w:hint="eastAsia"/>
          <w:lang w:val="en-US" w:eastAsia="zh-CN"/>
        </w:rPr>
      </w:pPr>
      <w:bookmarkStart w:id="58" w:name="_Toc14884"/>
      <w:r>
        <w:rPr>
          <w:rFonts w:hint="eastAsia"/>
          <w:lang w:val="en-US" w:eastAsia="zh-CN"/>
        </w:rPr>
        <w:t>分区原则</w:t>
      </w:r>
      <w:bookmarkEnd w:id="58"/>
    </w:p>
    <w:p>
      <w:pPr>
        <w:numPr>
          <w:ilvl w:val="0"/>
          <w:numId w:val="14"/>
        </w:numPr>
        <w:bidi w:val="0"/>
        <w:rPr>
          <w:rFonts w:hint="eastAsia"/>
          <w:lang w:val="en-US" w:eastAsia="zh-CN"/>
        </w:rPr>
      </w:pPr>
      <w:r>
        <w:rPr>
          <w:rFonts w:hint="eastAsia"/>
          <w:lang w:val="en-US" w:eastAsia="zh-CN"/>
        </w:rPr>
        <w:t>城市公共充电网络规划分区应以行政区划为基础，形成“充电网络、充电片区、充电块区”三级规划分区体系。</w:t>
      </w:r>
    </w:p>
    <w:p>
      <w:pPr>
        <w:numPr>
          <w:ilvl w:val="0"/>
          <w:numId w:val="14"/>
        </w:numPr>
        <w:bidi w:val="0"/>
        <w:rPr>
          <w:rFonts w:hint="eastAsia"/>
          <w:lang w:val="en-US" w:eastAsia="zh-CN"/>
        </w:rPr>
      </w:pPr>
      <w:r>
        <w:rPr>
          <w:rFonts w:hint="eastAsia"/>
          <w:lang w:val="en-US" w:eastAsia="zh-CN"/>
        </w:rPr>
        <w:t>城市公共充电网络按照充电需求规模适度、管理责任明确的原则进行划分，主要考虑分区独立性、管理便利性等需求。</w:t>
      </w:r>
    </w:p>
    <w:p>
      <w:pPr>
        <w:numPr>
          <w:ilvl w:val="0"/>
          <w:numId w:val="14"/>
        </w:numPr>
        <w:bidi w:val="0"/>
        <w:rPr>
          <w:rFonts w:hint="eastAsia"/>
          <w:lang w:val="en-US" w:eastAsia="zh-CN"/>
        </w:rPr>
      </w:pPr>
      <w:r>
        <w:rPr>
          <w:rFonts w:hint="eastAsia"/>
          <w:lang w:val="en-US" w:eastAsia="zh-CN"/>
        </w:rPr>
        <w:t>充电片区应以区、县为基本单元。</w:t>
      </w:r>
    </w:p>
    <w:p>
      <w:pPr>
        <w:numPr>
          <w:ilvl w:val="0"/>
          <w:numId w:val="14"/>
        </w:numPr>
        <w:bidi w:val="0"/>
        <w:rPr>
          <w:rFonts w:hint="eastAsia"/>
          <w:lang w:val="en-US" w:eastAsia="zh-CN"/>
        </w:rPr>
      </w:pPr>
      <w:r>
        <w:rPr>
          <w:rFonts w:hint="eastAsia"/>
          <w:lang w:val="en-US" w:eastAsia="zh-CN"/>
        </w:rPr>
        <w:t>充电块区应以街道、乡镇为基本单元。当街道、乡镇充电需求较小时，可多个街道、乡镇合并为一个充电块区。</w:t>
      </w:r>
    </w:p>
    <w:p>
      <w:pPr>
        <w:numPr>
          <w:ilvl w:val="0"/>
          <w:numId w:val="14"/>
        </w:numPr>
        <w:bidi w:val="0"/>
        <w:rPr>
          <w:rFonts w:hint="eastAsia"/>
          <w:lang w:val="en-US" w:eastAsia="zh-CN"/>
        </w:rPr>
      </w:pPr>
      <w:r>
        <w:rPr>
          <w:rFonts w:hint="eastAsia"/>
          <w:lang w:val="en-US" w:eastAsia="zh-CN"/>
        </w:rPr>
        <w:t>以用户充电需求集中区域为中心进行四周扩散，同时需要合理考虑车辆的续驶里程，划分的小区不宜过大。</w:t>
      </w:r>
    </w:p>
    <w:p>
      <w:pPr>
        <w:numPr>
          <w:ilvl w:val="0"/>
          <w:numId w:val="14"/>
        </w:numPr>
        <w:bidi w:val="0"/>
        <w:rPr>
          <w:rFonts w:hint="eastAsia"/>
          <w:lang w:val="en-US" w:eastAsia="zh-CN"/>
        </w:rPr>
      </w:pPr>
      <w:r>
        <w:rPr>
          <w:rFonts w:hint="eastAsia"/>
          <w:lang w:val="en-US" w:eastAsia="zh-CN"/>
        </w:rPr>
        <w:t>考虑区域用地性质。由于不同的用地性质对充电用户的吸引力不同，而且对充电站的建造类型也有影响，所以充电需求小区可根据用地性质相同或者相近来组合。</w:t>
      </w:r>
    </w:p>
    <w:p>
      <w:pPr>
        <w:numPr>
          <w:ilvl w:val="0"/>
          <w:numId w:val="14"/>
        </w:numPr>
        <w:bidi w:val="0"/>
        <w:rPr>
          <w:rFonts w:hint="eastAsia"/>
          <w:lang w:val="en-US" w:eastAsia="zh-CN"/>
        </w:rPr>
      </w:pPr>
      <w:r>
        <w:rPr>
          <w:rFonts w:hint="eastAsia"/>
          <w:lang w:val="en-US" w:eastAsia="zh-CN"/>
        </w:rPr>
        <w:t>充电网络、充电片区、充电块区各级间应相互衔接、上下协调。</w:t>
      </w:r>
    </w:p>
    <w:p>
      <w:pPr>
        <w:pStyle w:val="4"/>
        <w:bidi w:val="0"/>
        <w:ind w:left="0" w:leftChars="0" w:firstLine="0" w:firstLineChars="0"/>
        <w:rPr>
          <w:rFonts w:hint="default"/>
          <w:lang w:val="en-US" w:eastAsia="zh-CN"/>
        </w:rPr>
      </w:pPr>
      <w:bookmarkStart w:id="59" w:name="_Toc9085"/>
      <w:r>
        <w:rPr>
          <w:rFonts w:hint="eastAsia"/>
          <w:lang w:val="en-US" w:eastAsia="zh-CN"/>
        </w:rPr>
        <w:t>片区划分结果</w:t>
      </w:r>
      <w:bookmarkEnd w:id="59"/>
    </w:p>
    <w:p>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t>根据规划分区原则，按照街道、乡镇分布情况，进一步划分为22个充电块区，分别为</w:t>
      </w:r>
      <w:r>
        <w:rPr>
          <w:rFonts w:hint="eastAsia" w:ascii="仿宋" w:hAnsi="仿宋" w:eastAsia="仿宋" w:cs="仿宋"/>
          <w:highlight w:val="none"/>
          <w:lang w:val="en-US" w:eastAsia="zh-CN"/>
        </w:rPr>
        <w:tab/>
      </w:r>
      <w:r>
        <w:rPr>
          <w:rFonts w:hint="eastAsia" w:ascii="仿宋" w:hAnsi="仿宋" w:eastAsia="仿宋" w:cs="仿宋"/>
          <w:highlight w:val="none"/>
          <w:lang w:val="en-US" w:eastAsia="zh-CN"/>
        </w:rPr>
        <w:t>岫岩县中心城区块区、偏岭镇块区、黄花甸镇块区、</w:t>
      </w:r>
      <w:r>
        <w:rPr>
          <w:rFonts w:hint="eastAsia" w:ascii="仿宋" w:hAnsi="仿宋" w:eastAsia="仿宋" w:cs="仿宋"/>
          <w:highlight w:val="none"/>
          <w:lang w:val="en-US" w:eastAsia="zh-CN"/>
        </w:rPr>
        <w:tab/>
      </w:r>
      <w:r>
        <w:rPr>
          <w:rFonts w:hint="eastAsia" w:ascii="仿宋" w:hAnsi="仿宋" w:eastAsia="仿宋" w:cs="仿宋"/>
          <w:highlight w:val="none"/>
          <w:lang w:val="en-US" w:eastAsia="zh-CN"/>
        </w:rPr>
        <w:t>新甸镇块区、洋河镇块区、大房身镇块区、前营镇块区、大营子镇块区、哈达碑镇块区、石庙子镇块区、药山镇块区、龙潭镇块区、牧牛镇块区、三家子镇块区、苏子沟镇块区、清凉山镇块区、哨子河乡块区、朝阳镇块区、红旗营子乡块区、杨家堡镇块区、石灰窑镇块区、岭沟乡块区。</w:t>
      </w:r>
    </w:p>
    <w:p>
      <w:pPr>
        <w:pStyle w:val="12"/>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岫岩县充电块区划分情况表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1305"/>
        <w:gridCol w:w="2016"/>
        <w:gridCol w:w="2821"/>
        <w:gridCol w:w="22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blHeader/>
          <w:jc w:val="center"/>
        </w:trPr>
        <w:tc>
          <w:tcPr>
            <w:tcW w:w="780" w:type="pct"/>
            <w:shd w:val="clear" w:color="auto" w:fill="D9D9D9"/>
            <w:noWrap/>
            <w:vAlign w:val="center"/>
          </w:tcPr>
          <w:p>
            <w:pPr>
              <w:spacing w:line="240" w:lineRule="auto"/>
              <w:ind w:firstLine="0" w:firstLineChars="0"/>
              <w:jc w:val="center"/>
              <w:rPr>
                <w:rFonts w:hint="eastAsia" w:ascii="TimesNewRoman" w:hAnsi="TimesNewRoman"/>
                <w:b/>
                <w:sz w:val="19"/>
                <w:szCs w:val="20"/>
              </w:rPr>
            </w:pPr>
            <w:r>
              <w:rPr>
                <w:rFonts w:ascii="TimesNewRoman" w:hAnsi="TimesNewRoman"/>
                <w:b/>
                <w:sz w:val="19"/>
                <w:szCs w:val="20"/>
              </w:rPr>
              <w:t>充电片区</w:t>
            </w:r>
          </w:p>
        </w:tc>
        <w:tc>
          <w:tcPr>
            <w:tcW w:w="1205" w:type="pct"/>
            <w:shd w:val="clear" w:color="auto" w:fill="D9D9D9"/>
            <w:noWrap/>
            <w:vAlign w:val="center"/>
          </w:tcPr>
          <w:p>
            <w:pPr>
              <w:spacing w:line="240" w:lineRule="auto"/>
              <w:ind w:firstLine="0" w:firstLineChars="0"/>
              <w:jc w:val="center"/>
              <w:rPr>
                <w:rFonts w:hint="eastAsia" w:ascii="TimesNewRoman" w:hAnsi="TimesNewRoman"/>
                <w:b/>
                <w:sz w:val="19"/>
                <w:szCs w:val="20"/>
              </w:rPr>
            </w:pPr>
            <w:r>
              <w:rPr>
                <w:rFonts w:ascii="TimesNewRoman" w:hAnsi="TimesNewRoman"/>
                <w:b/>
                <w:sz w:val="19"/>
                <w:szCs w:val="20"/>
              </w:rPr>
              <w:t>充电块区</w:t>
            </w:r>
          </w:p>
        </w:tc>
        <w:tc>
          <w:tcPr>
            <w:tcW w:w="1686" w:type="pct"/>
            <w:shd w:val="clear" w:color="auto" w:fill="D9D9D9"/>
            <w:noWrap/>
            <w:vAlign w:val="center"/>
          </w:tcPr>
          <w:p>
            <w:pPr>
              <w:spacing w:line="240" w:lineRule="auto"/>
              <w:ind w:firstLine="0" w:firstLineChars="0"/>
              <w:jc w:val="center"/>
              <w:rPr>
                <w:rFonts w:hint="eastAsia" w:ascii="TimesNewRoman" w:hAnsi="TimesNewRoman"/>
                <w:b/>
                <w:sz w:val="19"/>
                <w:szCs w:val="20"/>
                <w:highlight w:val="none"/>
              </w:rPr>
            </w:pPr>
            <w:r>
              <w:rPr>
                <w:rFonts w:ascii="TimesNewRoman" w:hAnsi="TimesNewRoman"/>
                <w:b/>
                <w:sz w:val="19"/>
                <w:szCs w:val="20"/>
                <w:highlight w:val="none"/>
              </w:rPr>
              <w:t>覆盖范围</w:t>
            </w:r>
          </w:p>
        </w:tc>
        <w:tc>
          <w:tcPr>
            <w:tcW w:w="1327" w:type="pct"/>
            <w:shd w:val="clear" w:color="auto" w:fill="D9D9D9"/>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b/>
                <w:sz w:val="19"/>
                <w:szCs w:val="20"/>
                <w:highlight w:val="none"/>
              </w:rPr>
            </w:pPr>
            <w:r>
              <w:rPr>
                <w:rFonts w:ascii="TimesNewRoman" w:hAnsi="TimesNewRoman"/>
                <w:b/>
                <w:sz w:val="19"/>
                <w:szCs w:val="20"/>
                <w:highlight w:val="none"/>
              </w:rPr>
              <w:t>区域特点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restart"/>
            <w:shd w:val="clear" w:color="auto" w:fill="auto"/>
            <w:noWrap/>
            <w:vAlign w:val="center"/>
          </w:tcPr>
          <w:p>
            <w:pPr>
              <w:spacing w:line="240" w:lineRule="auto"/>
              <w:ind w:firstLine="0" w:firstLineChars="0"/>
              <w:jc w:val="center"/>
              <w:rPr>
                <w:rFonts w:hint="eastAsia" w:ascii="TimesNewRoman" w:hAnsi="TimesNewRoman"/>
                <w:sz w:val="19"/>
                <w:szCs w:val="20"/>
              </w:rPr>
            </w:pPr>
            <w:r>
              <w:rPr>
                <w:rFonts w:hint="eastAsia" w:ascii="TimesNewRoman" w:hAnsi="TimesNewRoman"/>
                <w:sz w:val="19"/>
                <w:szCs w:val="20"/>
                <w:lang w:val="en-US" w:eastAsia="zh-CN"/>
              </w:rPr>
              <w:t>岫岩县</w:t>
            </w:r>
            <w:r>
              <w:rPr>
                <w:rFonts w:ascii="TimesNewRoman" w:hAnsi="TimesNewRoman"/>
                <w:sz w:val="19"/>
                <w:szCs w:val="20"/>
              </w:rPr>
              <w:t>片区</w:t>
            </w: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中心城区块区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中心城区</w:t>
            </w:r>
            <w:r>
              <w:rPr>
                <w:rFonts w:hint="eastAsia"/>
                <w:sz w:val="21"/>
                <w:szCs w:val="21"/>
                <w:highlight w:val="none"/>
                <w:lang w:val="en-US" w:eastAsia="zh-CN"/>
              </w:rPr>
              <w:t>全境</w:t>
            </w:r>
          </w:p>
        </w:tc>
        <w:tc>
          <w:tcPr>
            <w:tcW w:w="132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ascii="TimesNewRoman" w:hAnsi="TimesNewRoman"/>
                <w:sz w:val="21"/>
                <w:szCs w:val="21"/>
                <w:highlight w:val="none"/>
              </w:rPr>
              <w:t>居住、商业为主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eastAsia" w:ascii="TimesNewRoman" w:hAnsi="TimesNewRoman"/>
                <w:sz w:val="21"/>
                <w:szCs w:val="21"/>
                <w:highlight w:val="none"/>
              </w:rPr>
              <w:t>偏岭镇块区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eastAsia" w:ascii="TimesNewRoman" w:hAnsi="TimesNewRoman"/>
                <w:sz w:val="21"/>
                <w:szCs w:val="21"/>
                <w:highlight w:val="none"/>
              </w:rPr>
              <w:t>偏岭镇</w:t>
            </w:r>
            <w:r>
              <w:rPr>
                <w:rFonts w:hint="eastAsia"/>
                <w:sz w:val="21"/>
                <w:szCs w:val="21"/>
                <w:highlight w:val="none"/>
                <w:lang w:val="en-US" w:eastAsia="zh-CN"/>
              </w:rPr>
              <w:t>全境</w:t>
            </w:r>
          </w:p>
        </w:tc>
        <w:tc>
          <w:tcPr>
            <w:tcW w:w="132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加工、物流</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黄花甸镇块区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黄花甸镇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rPr>
              <w:t>农业</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新甸镇块区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新甸镇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工贸、物流</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洋河镇块区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洋河镇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大房身镇块区</w:t>
            </w:r>
          </w:p>
        </w:tc>
        <w:tc>
          <w:tcPr>
            <w:tcW w:w="1686"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大房身镇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NewRoman" w:hAnsi="TimesNewRoman"/>
                <w:sz w:val="21"/>
                <w:szCs w:val="21"/>
                <w:highlight w:val="none"/>
                <w:lang w:val="en-US" w:eastAsia="zh-CN"/>
              </w:rPr>
            </w:pPr>
            <w:r>
              <w:rPr>
                <w:rFonts w:hint="eastAsia" w:ascii="TimesNewRoman" w:hAnsi="TimesNewRoman"/>
                <w:sz w:val="21"/>
                <w:szCs w:val="21"/>
                <w:highlight w:val="none"/>
                <w:lang w:val="en-US" w:eastAsia="zh-CN"/>
              </w:rPr>
              <w:t>工业为主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前营镇块区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前营镇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大营子镇块区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大营子镇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哈达碑镇块区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哈达碑镇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石庙子镇块区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石庙子镇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工业</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药山镇块区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药山镇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24" w:hRule="atLeas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龙潭镇块区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龙潭镇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牧牛镇块区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牧牛镇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rPr>
              <w:t>农业</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三家子镇块区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三家子镇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工业</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苏子沟镇块区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苏子沟镇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清凉山镇块区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清凉山镇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哨子河乡块区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哨子河乡</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朝阳镇块区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朝阳镇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红旗营子乡块区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红旗营子乡</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杨家堡镇块区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杨家堡镇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rPr>
              <w:t>农业</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石灰窑镇块区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石灰窑镇</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780" w:type="pct"/>
            <w:vMerge w:val="continue"/>
            <w:shd w:val="clear" w:color="auto" w:fill="auto"/>
            <w:vAlign w:val="center"/>
          </w:tcPr>
          <w:p>
            <w:pPr>
              <w:spacing w:line="240" w:lineRule="auto"/>
              <w:ind w:firstLine="0" w:firstLineChars="0"/>
              <w:jc w:val="center"/>
              <w:rPr>
                <w:rFonts w:hint="eastAsia" w:ascii="TimesNewRoman" w:hAnsi="TimesNewRoman"/>
                <w:sz w:val="19"/>
                <w:szCs w:val="20"/>
              </w:rPr>
            </w:pPr>
          </w:p>
        </w:tc>
        <w:tc>
          <w:tcPr>
            <w:tcW w:w="1205" w:type="pct"/>
            <w:shd w:val="clear" w:color="auto" w:fill="auto"/>
            <w:noWrap/>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岭沟乡块区</w:t>
            </w:r>
          </w:p>
        </w:tc>
        <w:tc>
          <w:tcPr>
            <w:tcW w:w="1686" w:type="pct"/>
            <w:shd w:val="clear" w:color="auto" w:fill="auto"/>
            <w:noWrap/>
            <w:vAlign w:val="center"/>
          </w:tcPr>
          <w:p>
            <w:pPr>
              <w:spacing w:line="240" w:lineRule="auto"/>
              <w:ind w:firstLine="0" w:firstLineChars="0"/>
              <w:jc w:val="center"/>
              <w:rPr>
                <w:rFonts w:hint="eastAsia" w:ascii="TimesNewRoman" w:hAnsi="TimesNewRoman"/>
                <w:sz w:val="21"/>
                <w:szCs w:val="21"/>
                <w:highlight w:val="none"/>
              </w:rPr>
            </w:pPr>
            <w:r>
              <w:rPr>
                <w:rFonts w:hint="default"/>
                <w:sz w:val="21"/>
                <w:szCs w:val="21"/>
                <w:highlight w:val="none"/>
                <w:lang w:val="en-US" w:eastAsia="zh-CN"/>
              </w:rPr>
              <w:t>岭沟乡</w:t>
            </w:r>
            <w:r>
              <w:rPr>
                <w:rFonts w:hint="eastAsia"/>
                <w:sz w:val="21"/>
                <w:szCs w:val="21"/>
                <w:highlight w:val="none"/>
                <w:lang w:val="en-US" w:eastAsia="zh-CN"/>
              </w:rPr>
              <w:t>全境</w:t>
            </w:r>
          </w:p>
        </w:tc>
        <w:tc>
          <w:tcPr>
            <w:tcW w:w="1327" w:type="pct"/>
            <w:shd w:val="clear" w:color="auto" w:fill="auto"/>
            <w:noWra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NewRoman" w:hAnsi="TimesNewRoman"/>
                <w:sz w:val="21"/>
                <w:szCs w:val="21"/>
                <w:highlight w:val="none"/>
              </w:rPr>
            </w:pPr>
            <w:r>
              <w:rPr>
                <w:rFonts w:hint="eastAsia" w:ascii="TimesNewRoman" w:hAnsi="TimesNewRoman"/>
                <w:sz w:val="21"/>
                <w:szCs w:val="21"/>
                <w:highlight w:val="none"/>
                <w:lang w:val="en-US" w:eastAsia="zh-CN"/>
              </w:rPr>
              <w:t>休闲游</w:t>
            </w:r>
            <w:r>
              <w:rPr>
                <w:rFonts w:ascii="TimesNewRoman" w:hAnsi="TimesNewRoman"/>
                <w:sz w:val="21"/>
                <w:szCs w:val="21"/>
                <w:highlight w:val="none"/>
              </w:rPr>
              <w:t>为主</w:t>
            </w:r>
          </w:p>
        </w:tc>
      </w:tr>
    </w:tbl>
    <w:p>
      <w:pPr>
        <w:pStyle w:val="12"/>
        <w:rPr>
          <w:rFonts w:hint="default"/>
          <w:lang w:val="en-US" w:eastAsia="zh-CN"/>
        </w:rPr>
      </w:pPr>
    </w:p>
    <w:p>
      <w:r>
        <w:rPr>
          <w:rFonts w:hint="eastAsia"/>
        </w:rPr>
        <w:br w:type="page"/>
      </w:r>
    </w:p>
    <w:p>
      <w:pPr>
        <w:pStyle w:val="2"/>
        <w:bidi w:val="0"/>
        <w:ind w:left="0" w:leftChars="0" w:firstLine="0" w:firstLineChars="0"/>
      </w:pPr>
      <w:bookmarkStart w:id="60" w:name="_Toc22211"/>
      <w:r>
        <w:rPr>
          <w:rFonts w:hint="eastAsia"/>
        </w:rPr>
        <w:t>需求预测</w:t>
      </w:r>
      <w:bookmarkEnd w:id="60"/>
    </w:p>
    <w:p>
      <w:pPr>
        <w:pStyle w:val="3"/>
        <w:bidi w:val="0"/>
        <w:ind w:left="0" w:leftChars="0" w:firstLine="0" w:firstLineChars="0"/>
      </w:pPr>
      <w:bookmarkStart w:id="61" w:name="_Toc14704"/>
      <w:r>
        <w:rPr>
          <w:rFonts w:hint="eastAsia"/>
        </w:rPr>
        <w:t>汽车保有量预测</w:t>
      </w:r>
      <w:bookmarkEnd w:id="61"/>
    </w:p>
    <w:p>
      <w:pPr>
        <w:ind w:firstLine="560"/>
        <w:rPr>
          <w:rFonts w:ascii="仿宋" w:hAnsi="仿宋"/>
        </w:rPr>
      </w:pPr>
      <w:r>
        <w:rPr>
          <w:rFonts w:hint="eastAsia" w:ascii="仿宋" w:hAnsi="仿宋"/>
          <w:highlight w:val="none"/>
        </w:rPr>
        <w:t>机动车保有量预测采用千人保有量法，结合20</w:t>
      </w:r>
      <w:r>
        <w:rPr>
          <w:rFonts w:hint="eastAsia" w:ascii="仿宋" w:hAnsi="仿宋"/>
          <w:highlight w:val="none"/>
          <w:lang w:val="en-US" w:eastAsia="zh-CN"/>
        </w:rPr>
        <w:t>19</w:t>
      </w:r>
      <w:r>
        <w:rPr>
          <w:rFonts w:hint="eastAsia" w:ascii="仿宋" w:hAnsi="仿宋"/>
          <w:highlight w:val="none"/>
        </w:rPr>
        <w:t>-</w:t>
      </w:r>
      <w:r>
        <w:rPr>
          <w:rFonts w:hint="eastAsia" w:ascii="仿宋" w:hAnsi="仿宋"/>
          <w:highlight w:val="none"/>
          <w:lang w:val="en-US" w:eastAsia="zh-CN"/>
        </w:rPr>
        <w:t>2023</w:t>
      </w:r>
      <w:r>
        <w:rPr>
          <w:rFonts w:hint="eastAsia" w:ascii="仿宋" w:hAnsi="仿宋"/>
          <w:highlight w:val="none"/>
        </w:rPr>
        <w:t>年</w:t>
      </w:r>
      <w:r>
        <w:rPr>
          <w:rFonts w:hint="eastAsia" w:ascii="仿宋" w:hAnsi="仿宋"/>
          <w:highlight w:val="none"/>
          <w:lang w:val="en-US" w:eastAsia="zh-CN"/>
        </w:rPr>
        <w:t>岫岩</w:t>
      </w:r>
      <w:r>
        <w:rPr>
          <w:rFonts w:hint="eastAsia" w:ascii="仿宋" w:hAnsi="仿宋"/>
          <w:highlight w:val="none"/>
        </w:rPr>
        <w:t>县人口、GDP总量历史数据，</w:t>
      </w:r>
      <w:r>
        <w:rPr>
          <w:rFonts w:hint="eastAsia" w:ascii="仿宋" w:hAnsi="仿宋"/>
        </w:rPr>
        <w:t>根据</w:t>
      </w:r>
      <w:r>
        <w:rPr>
          <w:rFonts w:hint="eastAsia" w:ascii="仿宋" w:hAnsi="仿宋"/>
          <w:lang w:val="en-US" w:eastAsia="zh-CN"/>
        </w:rPr>
        <w:t>岫岩县实际</w:t>
      </w:r>
      <w:r>
        <w:rPr>
          <w:rFonts w:hint="eastAsia" w:ascii="仿宋" w:hAnsi="仿宋"/>
        </w:rPr>
        <w:t>发展目标，按照一定增速预测202</w:t>
      </w:r>
      <w:r>
        <w:rPr>
          <w:rFonts w:hint="eastAsia" w:ascii="仿宋" w:hAnsi="仿宋"/>
          <w:lang w:val="en-US" w:eastAsia="zh-CN"/>
        </w:rPr>
        <w:t>4</w:t>
      </w:r>
      <w:r>
        <w:rPr>
          <w:rFonts w:hint="eastAsia" w:ascii="仿宋" w:hAnsi="仿宋"/>
        </w:rPr>
        <w:t>-202</w:t>
      </w:r>
      <w:r>
        <w:rPr>
          <w:rFonts w:hint="eastAsia" w:ascii="仿宋" w:hAnsi="仿宋"/>
          <w:lang w:val="en-US" w:eastAsia="zh-CN"/>
        </w:rPr>
        <w:t>8</w:t>
      </w:r>
      <w:r>
        <w:rPr>
          <w:rFonts w:hint="eastAsia" w:ascii="仿宋" w:hAnsi="仿宋"/>
        </w:rPr>
        <w:t>年人口及GDP总量，计算人均GDP，再根据人均GDP与机动车千人拥有率之间的对应关系，预测规划年</w:t>
      </w:r>
      <w:r>
        <w:rPr>
          <w:rFonts w:hint="eastAsia" w:ascii="仿宋" w:hAnsi="仿宋"/>
          <w:lang w:val="en-US" w:eastAsia="zh-CN"/>
        </w:rPr>
        <w:t>岫岩</w:t>
      </w:r>
      <w:r>
        <w:rPr>
          <w:rFonts w:hint="eastAsia" w:ascii="仿宋" w:hAnsi="仿宋"/>
        </w:rPr>
        <w:t>县机动车保有量。</w:t>
      </w:r>
    </w:p>
    <w:p>
      <w:pPr>
        <w:ind w:firstLine="560"/>
        <w:rPr>
          <w:rFonts w:ascii="仿宋" w:hAnsi="仿宋"/>
        </w:rPr>
      </w:pPr>
      <w:r>
        <w:rPr>
          <w:rFonts w:hint="eastAsia" w:ascii="仿宋" w:hAnsi="仿宋"/>
        </w:rPr>
        <w:t>本规划结合20</w:t>
      </w:r>
      <w:r>
        <w:rPr>
          <w:rFonts w:hint="eastAsia" w:ascii="仿宋" w:hAnsi="仿宋"/>
          <w:lang w:val="en-US" w:eastAsia="zh-CN"/>
        </w:rPr>
        <w:t>19</w:t>
      </w:r>
      <w:r>
        <w:rPr>
          <w:rFonts w:hint="eastAsia" w:ascii="仿宋" w:hAnsi="仿宋"/>
        </w:rPr>
        <w:t>～</w:t>
      </w:r>
      <w:r>
        <w:rPr>
          <w:rFonts w:ascii="仿宋" w:hAnsi="仿宋"/>
        </w:rPr>
        <w:t>202</w:t>
      </w:r>
      <w:r>
        <w:rPr>
          <w:rFonts w:hint="eastAsia" w:ascii="仿宋" w:hAnsi="仿宋"/>
          <w:lang w:val="en-US" w:eastAsia="zh-CN"/>
        </w:rPr>
        <w:t>3</w:t>
      </w:r>
      <w:r>
        <w:rPr>
          <w:rFonts w:hint="eastAsia" w:ascii="仿宋" w:hAnsi="仿宋"/>
        </w:rPr>
        <w:t>年人口及GDP总量历史数据，运用综合增长率法预测得出2</w:t>
      </w:r>
      <w:r>
        <w:rPr>
          <w:rFonts w:ascii="仿宋" w:hAnsi="仿宋"/>
        </w:rPr>
        <w:t>02</w:t>
      </w:r>
      <w:r>
        <w:rPr>
          <w:rFonts w:hint="eastAsia" w:ascii="仿宋" w:hAnsi="仿宋"/>
          <w:lang w:val="en-US" w:eastAsia="zh-CN"/>
        </w:rPr>
        <w:t>4</w:t>
      </w:r>
      <w:r>
        <w:rPr>
          <w:rFonts w:hint="eastAsia" w:ascii="仿宋" w:hAnsi="仿宋"/>
        </w:rPr>
        <w:t>～202</w:t>
      </w:r>
      <w:r>
        <w:rPr>
          <w:rFonts w:hint="eastAsia" w:ascii="仿宋" w:hAnsi="仿宋"/>
          <w:lang w:val="en-US" w:eastAsia="zh-CN"/>
        </w:rPr>
        <w:t>8</w:t>
      </w:r>
      <w:r>
        <w:rPr>
          <w:rFonts w:hint="eastAsia" w:ascii="仿宋" w:hAnsi="仿宋"/>
        </w:rPr>
        <w:t>年人口总量</w:t>
      </w:r>
      <w:r>
        <w:rPr>
          <w:rFonts w:hint="eastAsia" w:ascii="仿宋" w:hAnsi="仿宋"/>
          <w:lang w:eastAsia="zh-CN"/>
        </w:rPr>
        <w:t>。</w:t>
      </w:r>
      <w:r>
        <w:rPr>
          <w:rFonts w:hint="eastAsia" w:ascii="仿宋" w:hAnsi="仿宋"/>
        </w:rPr>
        <w:t>根据《</w:t>
      </w:r>
      <w:r>
        <w:rPr>
          <w:rFonts w:hint="eastAsia" w:ascii="仿宋" w:hAnsi="仿宋"/>
          <w:lang w:val="en-US" w:eastAsia="zh-CN"/>
        </w:rPr>
        <w:t>岫岩满族自治县国民经济和社会发展第十四个五年规划纲要</w:t>
      </w:r>
      <w:r>
        <w:rPr>
          <w:rFonts w:hint="eastAsia" w:ascii="仿宋" w:hAnsi="仿宋"/>
        </w:rPr>
        <w:t>》中“十四五”期间的GDP发展目标，预测20</w:t>
      </w:r>
      <w:r>
        <w:rPr>
          <w:rFonts w:hint="eastAsia" w:ascii="仿宋" w:hAnsi="仿宋"/>
          <w:lang w:val="en-US" w:eastAsia="zh-CN"/>
        </w:rPr>
        <w:t>24</w:t>
      </w:r>
      <w:r>
        <w:rPr>
          <w:rFonts w:hint="eastAsia" w:ascii="仿宋" w:hAnsi="仿宋"/>
        </w:rPr>
        <w:t>～202</w:t>
      </w:r>
      <w:r>
        <w:rPr>
          <w:rFonts w:hint="eastAsia" w:ascii="仿宋" w:hAnsi="仿宋"/>
          <w:lang w:val="en-US" w:eastAsia="zh-CN"/>
        </w:rPr>
        <w:t>8</w:t>
      </w:r>
      <w:r>
        <w:rPr>
          <w:rFonts w:hint="eastAsia" w:ascii="仿宋" w:hAnsi="仿宋"/>
        </w:rPr>
        <w:t>年GDP总量，最后预测得出人均GDP。</w:t>
      </w:r>
    </w:p>
    <w:p>
      <w:pPr>
        <w:pStyle w:val="12"/>
        <w:ind w:firstLine="0" w:firstLineChars="0"/>
        <w:jc w:val="center"/>
        <w:rPr>
          <w:rFonts w:ascii="仿宋" w:hAnsi="仿宋"/>
          <w:sz w:val="21"/>
          <w:szCs w:val="21"/>
          <w:lang w:val="en-US"/>
        </w:rPr>
      </w:pPr>
      <w:r>
        <w:rPr>
          <w:rFonts w:hint="eastAsia" w:ascii="仿宋" w:hAnsi="仿宋"/>
          <w:sz w:val="21"/>
          <w:szCs w:val="21"/>
          <w:lang w:val="en-US"/>
        </w:rPr>
        <w:t>202</w:t>
      </w:r>
      <w:r>
        <w:rPr>
          <w:rFonts w:hint="eastAsia" w:ascii="仿宋" w:hAnsi="仿宋"/>
          <w:sz w:val="21"/>
          <w:szCs w:val="21"/>
          <w:lang w:val="en-US" w:eastAsia="zh-CN"/>
        </w:rPr>
        <w:t>4</w:t>
      </w:r>
      <w:r>
        <w:rPr>
          <w:rFonts w:hint="eastAsia" w:ascii="仿宋" w:hAnsi="仿宋"/>
          <w:sz w:val="21"/>
          <w:szCs w:val="21"/>
          <w:lang w:val="en-US"/>
        </w:rPr>
        <w:t>-202</w:t>
      </w:r>
      <w:r>
        <w:rPr>
          <w:rFonts w:hint="eastAsia" w:ascii="仿宋" w:hAnsi="仿宋"/>
          <w:sz w:val="21"/>
          <w:szCs w:val="21"/>
          <w:lang w:val="en-US" w:eastAsia="zh-CN"/>
        </w:rPr>
        <w:t>8</w:t>
      </w:r>
      <w:r>
        <w:rPr>
          <w:rFonts w:hint="eastAsia" w:ascii="仿宋" w:hAnsi="仿宋"/>
          <w:sz w:val="21"/>
          <w:szCs w:val="21"/>
          <w:lang w:val="en-US"/>
        </w:rPr>
        <w:t>年人口、GDP预测结果</w:t>
      </w:r>
    </w:p>
    <w:tbl>
      <w:tblPr>
        <w:tblStyle w:val="30"/>
        <w:tblW w:w="5000" w:type="pct"/>
        <w:tblInd w:w="0" w:type="dxa"/>
        <w:tblLayout w:type="fixed"/>
        <w:tblCellMar>
          <w:top w:w="0" w:type="dxa"/>
          <w:left w:w="108" w:type="dxa"/>
          <w:bottom w:w="0" w:type="dxa"/>
          <w:right w:w="108" w:type="dxa"/>
        </w:tblCellMar>
      </w:tblPr>
      <w:tblGrid>
        <w:gridCol w:w="408"/>
        <w:gridCol w:w="996"/>
        <w:gridCol w:w="685"/>
        <w:gridCol w:w="675"/>
        <w:gridCol w:w="697"/>
        <w:gridCol w:w="675"/>
        <w:gridCol w:w="653"/>
        <w:gridCol w:w="708"/>
        <w:gridCol w:w="750"/>
        <w:gridCol w:w="782"/>
        <w:gridCol w:w="750"/>
        <w:gridCol w:w="743"/>
      </w:tblGrid>
      <w:tr>
        <w:tblPrEx>
          <w:tblCellMar>
            <w:top w:w="0" w:type="dxa"/>
            <w:left w:w="108" w:type="dxa"/>
            <w:bottom w:w="0" w:type="dxa"/>
            <w:right w:w="108" w:type="dxa"/>
          </w:tblCellMar>
        </w:tblPrEx>
        <w:trPr>
          <w:trHeight w:val="205"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地区</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2019</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2020</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2021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2022</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2023</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2024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2025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2026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2027</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2028</w:t>
            </w:r>
          </w:p>
        </w:tc>
      </w:tr>
      <w:tr>
        <w:tblPrEx>
          <w:tblCellMar>
            <w:top w:w="0" w:type="dxa"/>
            <w:left w:w="108" w:type="dxa"/>
            <w:bottom w:w="0" w:type="dxa"/>
            <w:right w:w="108" w:type="dxa"/>
          </w:tblCellMar>
        </w:tblPrEx>
        <w:trPr>
          <w:trHeight w:val="355" w:hRule="atLeast"/>
        </w:trPr>
        <w:tc>
          <w:tcPr>
            <w:tcW w:w="2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eastAsia="zh-CN"/>
              </w:rPr>
            </w:pPr>
            <w:r>
              <w:rPr>
                <w:rFonts w:hint="eastAsia" w:ascii="仿宋" w:hAnsi="仿宋" w:eastAsia="仿宋" w:cs="仿宋"/>
                <w:color w:val="000000"/>
                <w:kern w:val="0"/>
                <w:sz w:val="18"/>
                <w:szCs w:val="18"/>
                <w:highlight w:val="none"/>
                <w:lang w:val="en-US" w:eastAsia="zh-CN"/>
              </w:rPr>
              <w:t>岫岩</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人口（万人）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50.31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49.8</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lang w:val="en-US" w:eastAsia="zh-CN"/>
              </w:rPr>
              <w:t>49.4</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49.1</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48.6</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49.18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49.77</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50.37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50.95</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51.54</w:t>
            </w:r>
          </w:p>
        </w:tc>
      </w:tr>
      <w:tr>
        <w:tblPrEx>
          <w:tblCellMar>
            <w:top w:w="0" w:type="dxa"/>
            <w:left w:w="108" w:type="dxa"/>
            <w:bottom w:w="0" w:type="dxa"/>
            <w:right w:w="108" w:type="dxa"/>
          </w:tblCellMar>
        </w:tblPrEx>
        <w:trPr>
          <w:trHeight w:val="178" w:hRule="atLeast"/>
        </w:trPr>
        <w:tc>
          <w:tcPr>
            <w:tcW w:w="239"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kern w:val="0"/>
                <w:sz w:val="18"/>
                <w:szCs w:val="18"/>
                <w:highlight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GDP总量（亿元）</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138.8</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144.4</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lang w:val="en-US" w:eastAsia="zh-CN"/>
              </w:rPr>
              <w:t>151.8</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lang w:val="en-US" w:eastAsia="zh-CN"/>
              </w:rPr>
              <w:t>1</w:t>
            </w:r>
            <w:r>
              <w:rPr>
                <w:rFonts w:hint="eastAsia" w:ascii="仿宋" w:hAnsi="仿宋" w:eastAsia="仿宋" w:cs="仿宋"/>
                <w:color w:val="000000"/>
                <w:kern w:val="0"/>
                <w:sz w:val="18"/>
                <w:szCs w:val="18"/>
                <w:highlight w:val="none"/>
              </w:rPr>
              <w:t>47.6</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157</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164.8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173.1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181.7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190.8</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200.3</w:t>
            </w:r>
          </w:p>
        </w:tc>
      </w:tr>
      <w:tr>
        <w:tblPrEx>
          <w:tblCellMar>
            <w:top w:w="0" w:type="dxa"/>
            <w:left w:w="108" w:type="dxa"/>
            <w:bottom w:w="0" w:type="dxa"/>
            <w:right w:w="108" w:type="dxa"/>
          </w:tblCellMar>
        </w:tblPrEx>
        <w:trPr>
          <w:trHeight w:val="90" w:hRule="atLeast"/>
        </w:trPr>
        <w:tc>
          <w:tcPr>
            <w:tcW w:w="239"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kern w:val="0"/>
                <w:sz w:val="18"/>
                <w:szCs w:val="18"/>
                <w:highlight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人均GDP（万元）</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3.6</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3.3</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3.3</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3.3</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3.1</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3.7</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3.8</w:t>
            </w:r>
          </w:p>
        </w:tc>
      </w:tr>
    </w:tbl>
    <w:p>
      <w:pPr>
        <w:keepNext w:val="0"/>
        <w:keepLines w:val="0"/>
        <w:pageBreakBefore w:val="0"/>
        <w:widowControl w:val="0"/>
        <w:kinsoku/>
        <w:wordWrap/>
        <w:overflowPunct/>
        <w:topLinePunct w:val="0"/>
        <w:autoSpaceDE/>
        <w:autoSpaceDN/>
        <w:bidi w:val="0"/>
        <w:adjustRightInd w:val="0"/>
        <w:snapToGrid w:val="0"/>
        <w:spacing w:before="313" w:beforeLines="100"/>
        <w:ind w:firstLine="0" w:firstLineChars="0"/>
        <w:textAlignment w:val="auto"/>
        <w:rPr>
          <w:rFonts w:hint="eastAsia" w:eastAsia="仿宋"/>
          <w:highlight w:val="none"/>
          <w:lang w:eastAsia="zh-CN"/>
        </w:rPr>
      </w:pPr>
      <w:r>
        <w:rPr>
          <w:rFonts w:hint="eastAsia" w:eastAsia="仿宋"/>
          <w:highlight w:val="none"/>
          <w:lang w:eastAsia="zh-CN"/>
        </w:rPr>
        <w:drawing>
          <wp:inline distT="0" distB="0" distL="114300" distR="114300">
            <wp:extent cx="5256530" cy="2988310"/>
            <wp:effectExtent l="5080" t="4445" r="15240" b="1714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2"/>
        <w:ind w:firstLine="0" w:firstLineChars="0"/>
        <w:jc w:val="center"/>
        <w:rPr>
          <w:rFonts w:ascii="仿宋" w:hAnsi="仿宋"/>
          <w:sz w:val="21"/>
          <w:szCs w:val="21"/>
          <w:lang w:val="en-US"/>
        </w:rPr>
      </w:pPr>
      <w:r>
        <w:rPr>
          <w:rFonts w:hint="eastAsia" w:ascii="仿宋" w:hAnsi="仿宋"/>
          <w:sz w:val="21"/>
          <w:szCs w:val="21"/>
          <w:lang w:val="en-US"/>
        </w:rPr>
        <w:t>202</w:t>
      </w:r>
      <w:r>
        <w:rPr>
          <w:rFonts w:hint="eastAsia" w:ascii="仿宋" w:hAnsi="仿宋"/>
          <w:sz w:val="21"/>
          <w:szCs w:val="21"/>
          <w:lang w:val="en-US" w:eastAsia="zh-CN"/>
        </w:rPr>
        <w:t>4</w:t>
      </w:r>
      <w:r>
        <w:rPr>
          <w:rFonts w:hint="eastAsia" w:ascii="仿宋" w:hAnsi="仿宋"/>
          <w:sz w:val="21"/>
          <w:szCs w:val="21"/>
          <w:lang w:val="en-US"/>
        </w:rPr>
        <w:t>-202</w:t>
      </w:r>
      <w:r>
        <w:rPr>
          <w:rFonts w:hint="eastAsia" w:ascii="仿宋" w:hAnsi="仿宋"/>
          <w:sz w:val="21"/>
          <w:szCs w:val="21"/>
          <w:lang w:val="en-US" w:eastAsia="zh-CN"/>
        </w:rPr>
        <w:t>8</w:t>
      </w:r>
      <w:r>
        <w:rPr>
          <w:rFonts w:hint="eastAsia" w:ascii="仿宋" w:hAnsi="仿宋"/>
          <w:sz w:val="21"/>
          <w:szCs w:val="21"/>
          <w:lang w:val="en-US"/>
        </w:rPr>
        <w:t>年人口、GDP预测结果</w:t>
      </w:r>
    </w:p>
    <w:p>
      <w:pPr>
        <w:ind w:firstLine="560"/>
        <w:rPr>
          <w:rFonts w:hint="eastAsia" w:ascii="仿宋" w:hAnsi="仿宋"/>
        </w:rPr>
      </w:pPr>
      <w:r>
        <w:rPr>
          <w:rFonts w:hint="eastAsia" w:ascii="仿宋" w:hAnsi="仿宋"/>
        </w:rPr>
        <w:t>根据国内其他省市人均GDP、千人机动车保有量等指标进行对比，结合</w:t>
      </w:r>
      <w:r>
        <w:rPr>
          <w:rFonts w:hint="eastAsia" w:ascii="仿宋" w:hAnsi="仿宋"/>
          <w:lang w:val="en-US" w:eastAsia="zh-CN"/>
        </w:rPr>
        <w:t>岫岩</w:t>
      </w:r>
      <w:r>
        <w:rPr>
          <w:rFonts w:hint="eastAsia" w:ascii="仿宋" w:hAnsi="仿宋"/>
        </w:rPr>
        <w:t>县经济发展情况，得出适合</w:t>
      </w:r>
      <w:r>
        <w:rPr>
          <w:rFonts w:hint="eastAsia" w:ascii="仿宋" w:hAnsi="仿宋"/>
          <w:lang w:val="en-US" w:eastAsia="zh-CN"/>
        </w:rPr>
        <w:t>岫岩</w:t>
      </w:r>
      <w:r>
        <w:rPr>
          <w:rFonts w:hint="eastAsia" w:ascii="仿宋" w:hAnsi="仿宋"/>
        </w:rPr>
        <w:t>县的千人机动车保有量对比关系，具体数据见下表所示。</w:t>
      </w:r>
    </w:p>
    <w:p>
      <w:pPr>
        <w:pStyle w:val="12"/>
        <w:ind w:firstLine="0" w:firstLineChars="0"/>
        <w:jc w:val="center"/>
        <w:rPr>
          <w:rFonts w:hint="eastAsia" w:ascii="仿宋" w:hAnsi="仿宋" w:eastAsia="仿宋" w:cs="仿宋"/>
          <w:sz w:val="21"/>
          <w:szCs w:val="21"/>
          <w:lang w:val="en-US"/>
        </w:rPr>
      </w:pPr>
      <w:r>
        <w:rPr>
          <w:rFonts w:hint="eastAsia" w:ascii="仿宋" w:hAnsi="仿宋" w:eastAsia="仿宋" w:cs="仿宋"/>
          <w:color w:val="000000"/>
          <w:sz w:val="21"/>
          <w:szCs w:val="21"/>
        </w:rPr>
        <w:t>国内其他省市千人机动车保有量对比情况</w:t>
      </w:r>
    </w:p>
    <w:tbl>
      <w:tblPr>
        <w:tblStyle w:val="30"/>
        <w:tblW w:w="5000" w:type="pct"/>
        <w:tblInd w:w="0" w:type="dxa"/>
        <w:tblLayout w:type="autofit"/>
        <w:tblCellMar>
          <w:top w:w="0" w:type="dxa"/>
          <w:left w:w="108" w:type="dxa"/>
          <w:bottom w:w="0" w:type="dxa"/>
          <w:right w:w="108" w:type="dxa"/>
        </w:tblCellMar>
      </w:tblPr>
      <w:tblGrid>
        <w:gridCol w:w="1341"/>
        <w:gridCol w:w="1340"/>
        <w:gridCol w:w="2604"/>
        <w:gridCol w:w="3237"/>
      </w:tblGrid>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省份</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地区</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人均GDP（万元）</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千人机动车保有量（辆）</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北京市</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北京市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16.42</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295.55</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郑州市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11.2</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368.82</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开封市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5.17</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196.18</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信阳市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4.27</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183.48</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邢台市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2.87</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136.85</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保定市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3.65</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131.52</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河北省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衡水市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3.35</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140.88</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山东省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济南市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10.6</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320.47</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山东省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潍坊</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6.13</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268.83</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山东省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威海</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10.45</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320.91</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四川省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成都市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10.26</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313.33</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四川省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泸州</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4.39</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197.98</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四川省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绵阳</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5.88</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185.36</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甘肃省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兰州</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7.48</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288.85</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甘肃省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平凉</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2.15</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112.41</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甘肃省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庆阳</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3.26</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140.72</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浙江省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杭州市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14.84</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258.4</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浙江省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温州市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7.1</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252.9</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浙江省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宁波市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14.03</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324.63</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贵州省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毕节市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2.03</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62.48</w:t>
            </w:r>
          </w:p>
        </w:tc>
      </w:tr>
      <w:tr>
        <w:tblPrEx>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贵州省</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铜仁市</w:t>
            </w:r>
          </w:p>
        </w:tc>
        <w:tc>
          <w:tcPr>
            <w:tcW w:w="1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3.92</w:t>
            </w:r>
          </w:p>
        </w:tc>
        <w:tc>
          <w:tcPr>
            <w:tcW w:w="1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200.41</w:t>
            </w:r>
          </w:p>
        </w:tc>
      </w:tr>
    </w:tbl>
    <w:p>
      <w:pPr>
        <w:ind w:firstLine="560"/>
        <w:rPr>
          <w:rFonts w:ascii="仿宋" w:hAnsi="仿宋"/>
        </w:rPr>
      </w:pPr>
      <w:r>
        <w:rPr>
          <w:rFonts w:hint="eastAsia" w:ascii="仿宋" w:hAnsi="仿宋"/>
        </w:rPr>
        <w:t>由下表归纳可得出，人均GDP与机动车千人保有量之间存在对应关系，详细信息如表所示。</w:t>
      </w:r>
    </w:p>
    <w:p>
      <w:pPr>
        <w:bidi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千人机动车保有量对比关系</w:t>
      </w:r>
    </w:p>
    <w:tbl>
      <w:tblPr>
        <w:tblStyle w:val="30"/>
        <w:tblW w:w="5000" w:type="pct"/>
        <w:tblInd w:w="0" w:type="dxa"/>
        <w:tblLayout w:type="autofit"/>
        <w:tblCellMar>
          <w:top w:w="0" w:type="dxa"/>
          <w:left w:w="108" w:type="dxa"/>
          <w:bottom w:w="0" w:type="dxa"/>
          <w:right w:w="108" w:type="dxa"/>
        </w:tblCellMar>
      </w:tblPr>
      <w:tblGrid>
        <w:gridCol w:w="4561"/>
        <w:gridCol w:w="3961"/>
      </w:tblGrid>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人均GDP（万元）</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千人机动车保有量（辆）</w:t>
            </w:r>
          </w:p>
        </w:tc>
      </w:tr>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0～2</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50～120</w:t>
            </w:r>
          </w:p>
        </w:tc>
      </w:tr>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2～4</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120～180</w:t>
            </w:r>
          </w:p>
        </w:tc>
      </w:tr>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4～6</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180～230</w:t>
            </w:r>
          </w:p>
        </w:tc>
      </w:tr>
      <w:tr>
        <w:tblPrEx>
          <w:tblCellMar>
            <w:top w:w="0" w:type="dxa"/>
            <w:left w:w="108" w:type="dxa"/>
            <w:bottom w:w="0" w:type="dxa"/>
            <w:right w:w="108" w:type="dxa"/>
          </w:tblCellMar>
        </w:tblPrEx>
        <w:trPr>
          <w:trHeight w:val="9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6～8</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230～280</w:t>
            </w:r>
          </w:p>
        </w:tc>
      </w:tr>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8～10</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280～320</w:t>
            </w:r>
          </w:p>
        </w:tc>
      </w:tr>
      <w:tr>
        <w:tblPrEx>
          <w:tblCellMar>
            <w:top w:w="0" w:type="dxa"/>
            <w:left w:w="108" w:type="dxa"/>
            <w:bottom w:w="0" w:type="dxa"/>
            <w:right w:w="108" w:type="dxa"/>
          </w:tblCellMar>
        </w:tblPrEx>
        <w:trPr>
          <w:trHeight w:val="270" w:hRule="atLeast"/>
        </w:trPr>
        <w:tc>
          <w:tcPr>
            <w:tcW w:w="2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10以上</w:t>
            </w:r>
          </w:p>
        </w:tc>
        <w:tc>
          <w:tcPr>
            <w:tcW w:w="2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320</w:t>
            </w:r>
          </w:p>
        </w:tc>
      </w:tr>
    </w:tbl>
    <w:p>
      <w:pPr>
        <w:pStyle w:val="12"/>
        <w:ind w:firstLine="560"/>
        <w:rPr>
          <w:rFonts w:hint="eastAsia" w:ascii="仿宋" w:hAnsi="仿宋"/>
          <w:sz w:val="28"/>
          <w:szCs w:val="28"/>
          <w:lang w:val="en-US"/>
        </w:rPr>
      </w:pPr>
      <w:r>
        <w:rPr>
          <w:rFonts w:hint="eastAsia" w:ascii="仿宋" w:hAnsi="仿宋"/>
          <w:sz w:val="28"/>
          <w:szCs w:val="28"/>
          <w:lang w:val="en-US"/>
        </w:rPr>
        <w:t>通过与国内不同经济发展水平城市进行横向对比研究发现，人均GDP与机动车保有量之间具有很强的相关性。根据</w:t>
      </w:r>
      <w:r>
        <w:rPr>
          <w:rFonts w:hint="eastAsia" w:ascii="仿宋" w:hAnsi="仿宋"/>
          <w:lang w:val="en-US" w:eastAsia="zh-CN"/>
        </w:rPr>
        <w:t>岫岩</w:t>
      </w:r>
      <w:r>
        <w:rPr>
          <w:rFonts w:hint="eastAsia" w:ascii="仿宋" w:hAnsi="仿宋"/>
          <w:sz w:val="28"/>
          <w:szCs w:val="28"/>
          <w:lang w:val="en-US"/>
        </w:rPr>
        <w:t>县经济发展状况，结合人均GDP与机动车千人保有量关系，从而实现对规划年</w:t>
      </w:r>
      <w:r>
        <w:rPr>
          <w:rFonts w:hint="eastAsia" w:ascii="仿宋" w:hAnsi="仿宋"/>
          <w:lang w:val="en-US" w:eastAsia="zh-CN"/>
        </w:rPr>
        <w:t>岫岩</w:t>
      </w:r>
      <w:r>
        <w:rPr>
          <w:rFonts w:hint="eastAsia" w:ascii="仿宋" w:hAnsi="仿宋"/>
          <w:sz w:val="28"/>
          <w:szCs w:val="28"/>
          <w:lang w:val="en-US"/>
        </w:rPr>
        <w:t>县机动车保有量的预测。</w:t>
      </w:r>
    </w:p>
    <w:p>
      <w:pPr>
        <w:ind w:firstLine="560"/>
        <w:rPr>
          <w:rFonts w:hint="eastAsia" w:ascii="仿宋" w:hAnsi="仿宋"/>
          <w:highlight w:val="none"/>
        </w:rPr>
      </w:pPr>
      <w:r>
        <w:rPr>
          <w:rFonts w:hint="eastAsia" w:ascii="仿宋" w:hAnsi="仿宋"/>
          <w:highlight w:val="none"/>
        </w:rPr>
        <w:t>采用千人保有量法预计</w:t>
      </w:r>
      <w:r>
        <w:rPr>
          <w:rFonts w:hint="eastAsia" w:ascii="仿宋" w:hAnsi="仿宋"/>
          <w:highlight w:val="none"/>
          <w:lang w:val="en-US" w:eastAsia="zh-CN"/>
        </w:rPr>
        <w:t>岫岩</w:t>
      </w:r>
      <w:r>
        <w:rPr>
          <w:rFonts w:hint="eastAsia" w:ascii="仿宋" w:hAnsi="仿宋"/>
          <w:highlight w:val="none"/>
        </w:rPr>
        <w:t>县20</w:t>
      </w:r>
      <w:r>
        <w:rPr>
          <w:rFonts w:ascii="仿宋" w:hAnsi="仿宋"/>
          <w:highlight w:val="none"/>
        </w:rPr>
        <w:t>2</w:t>
      </w:r>
      <w:r>
        <w:rPr>
          <w:rFonts w:hint="eastAsia" w:ascii="仿宋" w:hAnsi="仿宋"/>
          <w:highlight w:val="none"/>
          <w:lang w:val="en-US" w:eastAsia="zh-CN"/>
        </w:rPr>
        <w:t>4</w:t>
      </w:r>
      <w:r>
        <w:rPr>
          <w:rFonts w:hint="eastAsia" w:ascii="仿宋" w:hAnsi="仿宋"/>
          <w:highlight w:val="none"/>
        </w:rPr>
        <w:t>-20</w:t>
      </w:r>
      <w:r>
        <w:rPr>
          <w:rFonts w:ascii="仿宋" w:hAnsi="仿宋"/>
          <w:highlight w:val="none"/>
        </w:rPr>
        <w:t>2</w:t>
      </w:r>
      <w:r>
        <w:rPr>
          <w:rFonts w:hint="eastAsia" w:ascii="仿宋" w:hAnsi="仿宋"/>
          <w:highlight w:val="none"/>
          <w:lang w:val="en-US" w:eastAsia="zh-CN"/>
        </w:rPr>
        <w:t>8</w:t>
      </w:r>
      <w:r>
        <w:rPr>
          <w:rFonts w:hint="eastAsia" w:ascii="仿宋" w:hAnsi="仿宋"/>
          <w:highlight w:val="none"/>
        </w:rPr>
        <w:t>年逐年的汽车保有量分别为</w:t>
      </w:r>
      <w:r>
        <w:rPr>
          <w:rFonts w:hint="eastAsia" w:ascii="仿宋" w:hAnsi="仿宋"/>
          <w:highlight w:val="none"/>
          <w:lang w:val="en-US" w:eastAsia="zh-CN"/>
        </w:rPr>
        <w:t>79671</w:t>
      </w:r>
      <w:r>
        <w:rPr>
          <w:rFonts w:hint="eastAsia" w:ascii="仿宋" w:hAnsi="仿宋"/>
          <w:highlight w:val="none"/>
        </w:rPr>
        <w:t>辆、</w:t>
      </w:r>
      <w:r>
        <w:rPr>
          <w:rFonts w:hint="eastAsia" w:ascii="仿宋" w:hAnsi="仿宋"/>
          <w:highlight w:val="none"/>
          <w:lang w:val="en-US" w:eastAsia="zh-CN"/>
        </w:rPr>
        <w:t>82120</w:t>
      </w:r>
      <w:r>
        <w:rPr>
          <w:rFonts w:hint="eastAsia" w:ascii="仿宋" w:hAnsi="仿宋"/>
          <w:highlight w:val="none"/>
        </w:rPr>
        <w:t>辆、</w:t>
      </w:r>
      <w:r>
        <w:rPr>
          <w:rFonts w:hint="eastAsia" w:ascii="仿宋" w:hAnsi="仿宋"/>
          <w:highlight w:val="none"/>
          <w:lang w:val="en-US" w:eastAsia="zh-CN"/>
        </w:rPr>
        <w:t>84117</w:t>
      </w:r>
      <w:r>
        <w:rPr>
          <w:rFonts w:hint="eastAsia" w:ascii="仿宋" w:hAnsi="仿宋"/>
          <w:highlight w:val="none"/>
        </w:rPr>
        <w:t>辆</w:t>
      </w:r>
      <w:r>
        <w:rPr>
          <w:rFonts w:hint="eastAsia" w:ascii="仿宋" w:hAnsi="仿宋"/>
          <w:highlight w:val="none"/>
          <w:lang w:eastAsia="zh-CN"/>
        </w:rPr>
        <w:t>、</w:t>
      </w:r>
      <w:r>
        <w:rPr>
          <w:rFonts w:hint="eastAsia" w:ascii="仿宋" w:hAnsi="仿宋"/>
          <w:highlight w:val="none"/>
          <w:lang w:val="en-US" w:eastAsia="zh-CN"/>
        </w:rPr>
        <w:t>86105辆、90195辆</w:t>
      </w:r>
      <w:r>
        <w:rPr>
          <w:rFonts w:hint="eastAsia" w:ascii="仿宋" w:hAnsi="仿宋"/>
          <w:highlight w:val="none"/>
        </w:rPr>
        <w:t>。</w:t>
      </w:r>
    </w:p>
    <w:p>
      <w:pPr>
        <w:ind w:firstLine="560"/>
        <w:jc w:val="center"/>
        <w:rPr>
          <w:rFonts w:hint="eastAsia" w:ascii="仿宋" w:hAnsi="仿宋" w:eastAsia="仿宋" w:cs="仿宋"/>
          <w:sz w:val="21"/>
          <w:szCs w:val="21"/>
          <w:highlight w:val="none"/>
        </w:rPr>
      </w:pPr>
      <w:r>
        <w:rPr>
          <w:rFonts w:hint="eastAsia" w:ascii="宋体" w:hAnsi="宋体" w:eastAsia="宋体"/>
          <w:sz w:val="21"/>
          <w:szCs w:val="21"/>
          <w:highlight w:val="none"/>
          <w:lang w:val="en-US" w:eastAsia="zh-CN"/>
        </w:rPr>
        <w:t>2</w:t>
      </w:r>
      <w:r>
        <w:rPr>
          <w:rFonts w:hint="eastAsia" w:ascii="仿宋" w:hAnsi="仿宋" w:eastAsia="仿宋" w:cs="仿宋"/>
          <w:sz w:val="21"/>
          <w:szCs w:val="21"/>
          <w:highlight w:val="none"/>
          <w:lang w:val="en-US"/>
        </w:rPr>
        <w:t>02</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-202</w:t>
      </w:r>
      <w:r>
        <w:rPr>
          <w:rFonts w:hint="eastAsia" w:ascii="仿宋" w:hAnsi="仿宋" w:cs="仿宋"/>
          <w:sz w:val="21"/>
          <w:szCs w:val="21"/>
          <w:highlight w:val="none"/>
          <w:lang w:val="en-US" w:eastAsia="zh-CN"/>
        </w:rPr>
        <w:t>8</w:t>
      </w:r>
      <w:r>
        <w:rPr>
          <w:rFonts w:hint="eastAsia" w:ascii="仿宋" w:hAnsi="仿宋" w:eastAsia="仿宋" w:cs="仿宋"/>
          <w:sz w:val="21"/>
          <w:szCs w:val="21"/>
          <w:highlight w:val="none"/>
          <w:lang w:val="en-US"/>
        </w:rPr>
        <w:t>年</w:t>
      </w:r>
      <w:r>
        <w:rPr>
          <w:rFonts w:hint="eastAsia" w:ascii="仿宋" w:hAnsi="仿宋" w:eastAsia="仿宋" w:cs="仿宋"/>
          <w:sz w:val="21"/>
          <w:szCs w:val="21"/>
          <w:highlight w:val="none"/>
          <w:lang w:val="en-US" w:eastAsia="zh-CN"/>
        </w:rPr>
        <w:t>岫岩</w:t>
      </w:r>
      <w:r>
        <w:rPr>
          <w:rFonts w:hint="eastAsia" w:ascii="仿宋" w:hAnsi="仿宋" w:eastAsia="仿宋" w:cs="仿宋"/>
          <w:sz w:val="21"/>
          <w:szCs w:val="21"/>
          <w:highlight w:val="none"/>
          <w:lang w:val="en-US"/>
        </w:rPr>
        <w:t>县机动车千人保有量预测</w:t>
      </w:r>
    </w:p>
    <w:tbl>
      <w:tblPr>
        <w:tblStyle w:val="30"/>
        <w:tblW w:w="8519" w:type="dxa"/>
        <w:tblInd w:w="0" w:type="dxa"/>
        <w:tblLayout w:type="autofit"/>
        <w:tblCellMar>
          <w:top w:w="0" w:type="dxa"/>
          <w:left w:w="108" w:type="dxa"/>
          <w:bottom w:w="0" w:type="dxa"/>
          <w:right w:w="108" w:type="dxa"/>
        </w:tblCellMar>
      </w:tblPr>
      <w:tblGrid>
        <w:gridCol w:w="2119"/>
        <w:gridCol w:w="1557"/>
        <w:gridCol w:w="1135"/>
        <w:gridCol w:w="1236"/>
        <w:gridCol w:w="1236"/>
        <w:gridCol w:w="1236"/>
      </w:tblGrid>
      <w:tr>
        <w:tblPrEx>
          <w:tblCellMar>
            <w:top w:w="0" w:type="dxa"/>
            <w:left w:w="108" w:type="dxa"/>
            <w:bottom w:w="0" w:type="dxa"/>
            <w:right w:w="108" w:type="dxa"/>
          </w:tblCellMar>
        </w:tblPrEx>
        <w:trPr>
          <w:trHeight w:val="270" w:hRule="atLeast"/>
        </w:trPr>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年份</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rPr>
              <w:t>202</w:t>
            </w:r>
            <w:r>
              <w:rPr>
                <w:rFonts w:hint="eastAsia" w:ascii="仿宋" w:hAnsi="仿宋" w:eastAsia="仿宋" w:cs="仿宋"/>
                <w:color w:val="000000"/>
                <w:kern w:val="0"/>
                <w:sz w:val="21"/>
                <w:szCs w:val="21"/>
                <w:highlight w:val="none"/>
                <w:lang w:val="en-US" w:eastAsia="zh-CN"/>
              </w:rPr>
              <w:t>4</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rPr>
              <w:t>202</w:t>
            </w:r>
            <w:r>
              <w:rPr>
                <w:rFonts w:hint="eastAsia" w:ascii="仿宋" w:hAnsi="仿宋" w:eastAsia="仿宋" w:cs="仿宋"/>
                <w:color w:val="000000"/>
                <w:kern w:val="0"/>
                <w:sz w:val="21"/>
                <w:szCs w:val="21"/>
                <w:highlight w:val="none"/>
                <w:lang w:val="en-US" w:eastAsia="zh-CN"/>
              </w:rPr>
              <w:t>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rPr>
              <w:t>202</w:t>
            </w:r>
            <w:r>
              <w:rPr>
                <w:rFonts w:hint="eastAsia" w:ascii="仿宋" w:hAnsi="仿宋" w:eastAsia="仿宋" w:cs="仿宋"/>
                <w:color w:val="000000"/>
                <w:kern w:val="0"/>
                <w:sz w:val="21"/>
                <w:szCs w:val="21"/>
                <w:highlight w:val="none"/>
                <w:lang w:val="en-US" w:eastAsia="zh-CN"/>
              </w:rPr>
              <w:t>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2027</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2028</w:t>
            </w:r>
          </w:p>
        </w:tc>
      </w:tr>
      <w:tr>
        <w:tblPrEx>
          <w:tblCellMar>
            <w:top w:w="0" w:type="dxa"/>
            <w:left w:w="108" w:type="dxa"/>
            <w:bottom w:w="0" w:type="dxa"/>
            <w:right w:w="108" w:type="dxa"/>
          </w:tblCellMar>
        </w:tblPrEx>
        <w:trPr>
          <w:trHeight w:val="270" w:hRule="atLeast"/>
        </w:trPr>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机动车千人拥有量（辆）</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16</w:t>
            </w:r>
            <w:r>
              <w:rPr>
                <w:rFonts w:hint="eastAsia" w:ascii="仿宋" w:hAnsi="仿宋" w:cs="仿宋"/>
                <w:color w:val="000000"/>
                <w:kern w:val="0"/>
                <w:sz w:val="21"/>
                <w:szCs w:val="21"/>
                <w:highlight w:val="none"/>
                <w:lang w:val="en-US" w:eastAsia="zh-CN"/>
              </w:rPr>
              <w:t>2</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16</w:t>
            </w:r>
            <w:r>
              <w:rPr>
                <w:rFonts w:hint="eastAsia" w:ascii="仿宋" w:hAnsi="仿宋" w:cs="仿宋"/>
                <w:color w:val="000000"/>
                <w:kern w:val="0"/>
                <w:sz w:val="21"/>
                <w:szCs w:val="21"/>
                <w:highlight w:val="none"/>
                <w:lang w:val="en-US" w:eastAsia="zh-CN"/>
              </w:rPr>
              <w:t>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16</w:t>
            </w:r>
            <w:r>
              <w:rPr>
                <w:rFonts w:hint="eastAsia" w:ascii="仿宋" w:hAnsi="仿宋" w:cs="仿宋"/>
                <w:color w:val="000000"/>
                <w:kern w:val="0"/>
                <w:sz w:val="21"/>
                <w:szCs w:val="21"/>
                <w:highlight w:val="none"/>
                <w:lang w:val="en-US" w:eastAsia="zh-CN"/>
              </w:rPr>
              <w:t>7</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169</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175</w:t>
            </w:r>
          </w:p>
        </w:tc>
      </w:tr>
      <w:tr>
        <w:tblPrEx>
          <w:tblCellMar>
            <w:top w:w="0" w:type="dxa"/>
            <w:left w:w="108" w:type="dxa"/>
            <w:bottom w:w="0" w:type="dxa"/>
            <w:right w:w="108" w:type="dxa"/>
          </w:tblCellMar>
        </w:tblPrEx>
        <w:trPr>
          <w:trHeight w:val="270" w:hRule="atLeast"/>
        </w:trPr>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机动车保有量（辆）</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79671</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82120</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84117</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86105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仿宋" w:hAnsi="仿宋" w:eastAsia="仿宋" w:cs="仿宋"/>
                <w:color w:val="000000"/>
                <w:kern w:val="0"/>
                <w:sz w:val="21"/>
                <w:szCs w:val="21"/>
                <w:highlight w:val="none"/>
                <w:lang w:val="en-US" w:eastAsia="zh-CN"/>
              </w:rPr>
            </w:pPr>
            <w:r>
              <w:rPr>
                <w:rFonts w:hint="eastAsia" w:ascii="仿宋" w:hAnsi="仿宋" w:cs="仿宋"/>
                <w:color w:val="000000"/>
                <w:kern w:val="0"/>
                <w:sz w:val="21"/>
                <w:szCs w:val="21"/>
                <w:highlight w:val="none"/>
                <w:lang w:val="en-US" w:eastAsia="zh-CN"/>
              </w:rPr>
              <w:t>90195</w:t>
            </w:r>
          </w:p>
        </w:tc>
      </w:tr>
    </w:tbl>
    <w:p>
      <w:pPr>
        <w:bidi w:val="0"/>
        <w:rPr>
          <w:highlight w:val="none"/>
        </w:rPr>
      </w:pPr>
    </w:p>
    <w:p>
      <w:pPr>
        <w:pStyle w:val="3"/>
        <w:bidi w:val="0"/>
        <w:ind w:left="0" w:leftChars="0" w:firstLine="0" w:firstLineChars="0"/>
        <w:rPr>
          <w:highlight w:val="none"/>
        </w:rPr>
      </w:pPr>
      <w:bookmarkStart w:id="62" w:name="_Toc31896"/>
      <w:r>
        <w:rPr>
          <w:rFonts w:hint="eastAsia"/>
          <w:highlight w:val="none"/>
        </w:rPr>
        <w:t>电动汽车保有量预测</w:t>
      </w:r>
      <w:bookmarkEnd w:id="62"/>
    </w:p>
    <w:p>
      <w:pPr>
        <w:pStyle w:val="4"/>
        <w:bidi w:val="0"/>
        <w:ind w:left="0" w:leftChars="0" w:firstLine="0" w:firstLineChars="0"/>
        <w:rPr>
          <w:rFonts w:hint="default"/>
          <w:highlight w:val="none"/>
          <w:lang w:val="en-US" w:eastAsia="zh-CN"/>
        </w:rPr>
      </w:pPr>
      <w:bookmarkStart w:id="63" w:name="_Toc3974"/>
      <w:r>
        <w:rPr>
          <w:rFonts w:hint="eastAsia"/>
          <w:highlight w:val="none"/>
          <w:lang w:val="en-US" w:eastAsia="zh-CN"/>
        </w:rPr>
        <w:t>新能源汽车保有量预测</w:t>
      </w:r>
      <w:bookmarkEnd w:id="63"/>
    </w:p>
    <w:p>
      <w:pPr>
        <w:numPr>
          <w:ilvl w:val="0"/>
          <w:numId w:val="15"/>
        </w:numPr>
        <w:ind w:firstLine="560"/>
        <w:rPr>
          <w:rFonts w:hint="eastAsia" w:ascii="仿宋" w:hAnsi="仿宋"/>
          <w:highlight w:val="none"/>
        </w:rPr>
      </w:pPr>
      <w:r>
        <w:rPr>
          <w:rFonts w:hint="eastAsia" w:ascii="仿宋" w:hAnsi="仿宋"/>
          <w:highlight w:val="none"/>
        </w:rPr>
        <w:t>首先，全国各地新能源汽车推广情况如下所示，</w:t>
      </w:r>
      <w:r>
        <w:rPr>
          <w:rFonts w:hint="eastAsia" w:ascii="仿宋" w:hAnsi="仿宋"/>
          <w:highlight w:val="none"/>
          <w:lang w:val="en-US" w:eastAsia="zh-CN"/>
        </w:rPr>
        <w:t>截止至</w:t>
      </w:r>
      <w:r>
        <w:rPr>
          <w:rFonts w:ascii="仿宋" w:hAnsi="仿宋"/>
          <w:highlight w:val="none"/>
        </w:rPr>
        <w:t>202</w:t>
      </w:r>
      <w:r>
        <w:rPr>
          <w:rFonts w:hint="eastAsia" w:ascii="仿宋" w:hAnsi="仿宋"/>
          <w:highlight w:val="none"/>
          <w:lang w:val="en-US" w:eastAsia="zh-CN"/>
        </w:rPr>
        <w:t>4</w:t>
      </w:r>
      <w:r>
        <w:rPr>
          <w:rFonts w:hint="eastAsia" w:ascii="仿宋" w:hAnsi="仿宋"/>
          <w:highlight w:val="none"/>
        </w:rPr>
        <w:t>年</w:t>
      </w:r>
      <w:r>
        <w:rPr>
          <w:rFonts w:hint="eastAsia" w:ascii="仿宋" w:hAnsi="仿宋"/>
          <w:highlight w:val="none"/>
          <w:lang w:val="en-US" w:eastAsia="zh-CN"/>
        </w:rPr>
        <w:t>各</w:t>
      </w:r>
      <w:r>
        <w:rPr>
          <w:rFonts w:hint="eastAsia" w:ascii="仿宋" w:hAnsi="仿宋"/>
          <w:highlight w:val="none"/>
        </w:rPr>
        <w:t>地区新能源汽车渗透率（新能源汽车保有量/汽车保有量）均在2</w:t>
      </w:r>
      <w:r>
        <w:rPr>
          <w:rFonts w:hint="eastAsia" w:ascii="仿宋" w:hAnsi="仿宋"/>
          <w:highlight w:val="none"/>
          <w:lang w:val="en-US" w:eastAsia="zh-CN"/>
        </w:rPr>
        <w:t>0</w:t>
      </w:r>
      <w:r>
        <w:rPr>
          <w:rFonts w:hint="eastAsia" w:ascii="仿宋" w:hAnsi="仿宋"/>
          <w:highlight w:val="none"/>
        </w:rPr>
        <w:t>%</w:t>
      </w:r>
      <w:r>
        <w:rPr>
          <w:rFonts w:ascii="仿宋" w:hAnsi="仿宋"/>
          <w:highlight w:val="none"/>
        </w:rPr>
        <w:t>~</w:t>
      </w:r>
      <w:r>
        <w:rPr>
          <w:rFonts w:hint="eastAsia" w:ascii="仿宋" w:hAnsi="仿宋"/>
          <w:highlight w:val="none"/>
          <w:lang w:val="en-US" w:eastAsia="zh-CN"/>
        </w:rPr>
        <w:t>40</w:t>
      </w:r>
      <w:r>
        <w:rPr>
          <w:rFonts w:hint="eastAsia" w:ascii="仿宋" w:hAnsi="仿宋"/>
          <w:highlight w:val="none"/>
        </w:rPr>
        <w:t>%</w:t>
      </w:r>
      <w:r>
        <w:rPr>
          <w:rFonts w:hint="eastAsia" w:ascii="仿宋" w:hAnsi="仿宋"/>
          <w:highlight w:val="none"/>
          <w:lang w:val="en-US" w:eastAsia="zh-CN"/>
        </w:rPr>
        <w:t>左右，其中上海、海南、广东等地高达50%以上</w:t>
      </w:r>
      <w:r>
        <w:rPr>
          <w:rFonts w:hint="eastAsia" w:ascii="仿宋" w:hAnsi="仿宋"/>
          <w:highlight w:val="none"/>
        </w:rPr>
        <w:t>。</w:t>
      </w:r>
    </w:p>
    <w:p>
      <w:pPr>
        <w:bidi w:val="0"/>
        <w:ind w:left="0" w:leftChars="0" w:firstLine="0" w:firstLineChars="0"/>
        <w:rPr>
          <w:rFonts w:hint="eastAsia"/>
          <w:highlight w:val="none"/>
          <w:lang w:eastAsia="zh-CN"/>
        </w:rPr>
      </w:pPr>
      <w:r>
        <w:rPr>
          <w:rFonts w:hint="eastAsia"/>
          <w:highlight w:val="none"/>
          <w:lang w:eastAsia="zh-CN"/>
        </w:rPr>
        <w:drawing>
          <wp:inline distT="0" distB="0" distL="114300" distR="114300">
            <wp:extent cx="5266690" cy="2809240"/>
            <wp:effectExtent l="0" t="0" r="10160" b="10160"/>
            <wp:docPr id="15" name="图片 15" descr="微信图片_2024071815094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718150942副本"/>
                    <pic:cNvPicPr>
                      <a:picLocks noChangeAspect="1"/>
                    </pic:cNvPicPr>
                  </pic:nvPicPr>
                  <pic:blipFill>
                    <a:blip r:embed="rId20"/>
                    <a:stretch>
                      <a:fillRect/>
                    </a:stretch>
                  </pic:blipFill>
                  <pic:spPr>
                    <a:xfrm>
                      <a:off x="0" y="0"/>
                      <a:ext cx="5266690" cy="2809240"/>
                    </a:xfrm>
                    <a:prstGeom prst="rect">
                      <a:avLst/>
                    </a:prstGeom>
                  </pic:spPr>
                </pic:pic>
              </a:graphicData>
            </a:graphic>
          </wp:inline>
        </w:drawing>
      </w:r>
      <w:r>
        <w:rPr>
          <w:rFonts w:hint="eastAsia"/>
          <w:highlight w:val="none"/>
          <w:lang w:eastAsia="zh-CN"/>
        </w:rPr>
        <w:drawing>
          <wp:inline distT="0" distB="0" distL="114300" distR="114300">
            <wp:extent cx="5266690" cy="3511550"/>
            <wp:effectExtent l="0" t="0" r="10160" b="12700"/>
            <wp:docPr id="16" name="图片 16" descr="64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副本"/>
                    <pic:cNvPicPr>
                      <a:picLocks noChangeAspect="1"/>
                    </pic:cNvPicPr>
                  </pic:nvPicPr>
                  <pic:blipFill>
                    <a:blip r:embed="rId21"/>
                    <a:stretch>
                      <a:fillRect/>
                    </a:stretch>
                  </pic:blipFill>
                  <pic:spPr>
                    <a:xfrm>
                      <a:off x="0" y="0"/>
                      <a:ext cx="5266690" cy="3511550"/>
                    </a:xfrm>
                    <a:prstGeom prst="rect">
                      <a:avLst/>
                    </a:prstGeom>
                  </pic:spPr>
                </pic:pic>
              </a:graphicData>
            </a:graphic>
          </wp:inline>
        </w:drawing>
      </w:r>
    </w:p>
    <w:p>
      <w:pPr>
        <w:ind w:firstLine="560"/>
        <w:rPr>
          <w:rFonts w:hint="eastAsia" w:ascii="仿宋" w:hAnsi="仿宋"/>
          <w:lang w:val="en-US"/>
        </w:rPr>
      </w:pPr>
      <w:r>
        <w:rPr>
          <w:rFonts w:hint="eastAsia" w:ascii="仿宋" w:hAnsi="仿宋"/>
        </w:rPr>
        <w:t>2.</w:t>
      </w:r>
      <w:r>
        <w:rPr>
          <w:rFonts w:hint="eastAsia" w:ascii="仿宋" w:hAnsi="仿宋"/>
          <w:lang w:val="en-US"/>
        </w:rPr>
        <w:t>其次，考虑到地方政策导向是影响新能源汽车渗透率高低的关键，虽然目前</w:t>
      </w:r>
      <w:r>
        <w:rPr>
          <w:rFonts w:hint="eastAsia" w:ascii="仿宋" w:hAnsi="仿宋"/>
          <w:lang w:val="en-US" w:eastAsia="zh-CN"/>
        </w:rPr>
        <w:t>岫岩</w:t>
      </w:r>
      <w:r>
        <w:rPr>
          <w:rFonts w:hint="eastAsia" w:ascii="仿宋" w:hAnsi="仿宋"/>
          <w:lang w:val="en-US"/>
        </w:rPr>
        <w:t>县新能源汽车渗透率仅为0.</w:t>
      </w:r>
      <w:r>
        <w:rPr>
          <w:rFonts w:hint="eastAsia" w:ascii="仿宋" w:hAnsi="仿宋"/>
          <w:lang w:val="en-US" w:eastAsia="zh-CN"/>
        </w:rPr>
        <w:t>48</w:t>
      </w:r>
      <w:r>
        <w:rPr>
          <w:rFonts w:hint="eastAsia" w:ascii="仿宋" w:hAnsi="仿宋"/>
          <w:lang w:val="en-US"/>
        </w:rPr>
        <w:t>%，但预计202</w:t>
      </w:r>
      <w:r>
        <w:rPr>
          <w:rFonts w:hint="eastAsia" w:ascii="仿宋" w:hAnsi="仿宋"/>
          <w:lang w:val="en-US" w:eastAsia="zh-CN"/>
        </w:rPr>
        <w:t>4</w:t>
      </w:r>
      <w:r>
        <w:rPr>
          <w:rFonts w:hint="eastAsia" w:ascii="仿宋" w:hAnsi="仿宋"/>
          <w:lang w:val="en-US"/>
        </w:rPr>
        <w:t>-202</w:t>
      </w:r>
      <w:r>
        <w:rPr>
          <w:rFonts w:hint="eastAsia" w:ascii="仿宋" w:hAnsi="仿宋"/>
          <w:lang w:val="en-US" w:eastAsia="zh-CN"/>
        </w:rPr>
        <w:t>8</w:t>
      </w:r>
      <w:r>
        <w:rPr>
          <w:rFonts w:hint="eastAsia" w:ascii="仿宋" w:hAnsi="仿宋"/>
          <w:lang w:val="en-US"/>
        </w:rPr>
        <w:t>年全</w:t>
      </w:r>
      <w:r>
        <w:rPr>
          <w:rFonts w:hint="eastAsia" w:ascii="仿宋" w:hAnsi="仿宋"/>
          <w:lang w:val="en-US" w:eastAsia="zh-CN"/>
        </w:rPr>
        <w:t>县</w:t>
      </w:r>
      <w:r>
        <w:rPr>
          <w:rFonts w:hint="eastAsia" w:ascii="仿宋" w:hAnsi="仿宋"/>
          <w:lang w:val="en-US"/>
        </w:rPr>
        <w:t>新能源汽车渗透率将有较大程度提升。</w:t>
      </w:r>
    </w:p>
    <w:p>
      <w:pPr>
        <w:pStyle w:val="12"/>
        <w:ind w:firstLine="560"/>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rPr>
        <w:t>综上，结合202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val="en-US"/>
        </w:rPr>
        <w:t>-202</w:t>
      </w:r>
      <w:r>
        <w:rPr>
          <w:rFonts w:hint="eastAsia" w:ascii="仿宋" w:hAnsi="仿宋" w:cs="仿宋"/>
          <w:sz w:val="28"/>
          <w:szCs w:val="28"/>
          <w:highlight w:val="none"/>
          <w:lang w:val="en-US" w:eastAsia="zh-CN"/>
        </w:rPr>
        <w:t>8</w:t>
      </w:r>
      <w:r>
        <w:rPr>
          <w:rFonts w:hint="eastAsia" w:ascii="仿宋" w:hAnsi="仿宋" w:eastAsia="仿宋" w:cs="仿宋"/>
          <w:sz w:val="28"/>
          <w:szCs w:val="28"/>
          <w:highlight w:val="none"/>
          <w:lang w:val="en-US"/>
        </w:rPr>
        <w:t>年</w:t>
      </w:r>
      <w:r>
        <w:rPr>
          <w:rFonts w:hint="eastAsia" w:ascii="仿宋" w:hAnsi="仿宋" w:eastAsia="仿宋" w:cs="仿宋"/>
          <w:sz w:val="28"/>
          <w:szCs w:val="28"/>
          <w:highlight w:val="none"/>
          <w:lang w:val="en-US" w:eastAsia="zh-CN"/>
        </w:rPr>
        <w:t>岫岩</w:t>
      </w:r>
      <w:r>
        <w:rPr>
          <w:rFonts w:hint="eastAsia" w:ascii="仿宋" w:hAnsi="仿宋" w:eastAsia="仿宋" w:cs="仿宋"/>
          <w:sz w:val="28"/>
          <w:szCs w:val="28"/>
          <w:highlight w:val="none"/>
          <w:lang w:val="en-US"/>
        </w:rPr>
        <w:t>县人口规模及经济社会发展水平情况，</w:t>
      </w:r>
      <w:r>
        <w:rPr>
          <w:rFonts w:hint="eastAsia" w:ascii="仿宋" w:hAnsi="仿宋" w:eastAsia="仿宋" w:cs="仿宋"/>
          <w:sz w:val="28"/>
          <w:szCs w:val="28"/>
          <w:highlight w:val="none"/>
          <w:lang w:val="en-US" w:eastAsia="zh-CN"/>
        </w:rPr>
        <w:t>同时</w:t>
      </w:r>
      <w:r>
        <w:rPr>
          <w:rFonts w:hint="eastAsia" w:ascii="仿宋" w:hAnsi="仿宋" w:eastAsia="仿宋" w:cs="仿宋"/>
          <w:sz w:val="28"/>
          <w:szCs w:val="28"/>
          <w:highlight w:val="none"/>
        </w:rPr>
        <w:t>根据国家新能源汽车产业发展规划，2025年，新能源汽车新车销售量达到汽车新车销售总量的20%左右</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结合未来发展需求，预计岫岩县</w:t>
      </w:r>
      <w:r>
        <w:rPr>
          <w:rFonts w:hint="eastAsia" w:ascii="仿宋" w:hAnsi="仿宋" w:eastAsia="仿宋" w:cs="仿宋"/>
          <w:sz w:val="28"/>
          <w:szCs w:val="28"/>
          <w:highlight w:val="none"/>
        </w:rPr>
        <w:t>新能源汽车新车销售量达到汽车新车销售总量的</w:t>
      </w:r>
      <w:r>
        <w:rPr>
          <w:rFonts w:hint="eastAsia" w:ascii="仿宋" w:hAnsi="仿宋" w:cs="仿宋"/>
          <w:sz w:val="28"/>
          <w:szCs w:val="28"/>
          <w:highlight w:val="none"/>
          <w:lang w:val="en-US" w:eastAsia="zh-CN"/>
        </w:rPr>
        <w:t>10</w:t>
      </w:r>
      <w:r>
        <w:rPr>
          <w:rFonts w:hint="eastAsia" w:ascii="仿宋" w:hAnsi="仿宋" w:eastAsia="仿宋" w:cs="仿宋"/>
          <w:sz w:val="28"/>
          <w:szCs w:val="28"/>
          <w:highlight w:val="none"/>
        </w:rPr>
        <w:t>%左右</w:t>
      </w:r>
      <w:r>
        <w:rPr>
          <w:rFonts w:hint="eastAsia" w:ascii="仿宋" w:hAnsi="仿宋" w:eastAsia="仿宋" w:cs="仿宋"/>
          <w:sz w:val="28"/>
          <w:szCs w:val="28"/>
          <w:highlight w:val="none"/>
          <w:lang w:eastAsia="zh-CN"/>
        </w:rPr>
        <w:t>。</w:t>
      </w:r>
      <w:r>
        <w:rPr>
          <w:rFonts w:hint="eastAsia" w:ascii="仿宋" w:hAnsi="仿宋" w:cs="仿宋"/>
          <w:sz w:val="28"/>
          <w:szCs w:val="28"/>
          <w:highlight w:val="none"/>
          <w:lang w:val="en-US" w:eastAsia="zh-CN"/>
        </w:rPr>
        <w:t>同时，考虑未来政策促进以及燃油资源问题，针对使用期限达到5-10年以上的油车更换电车比例预计可达到5%左右，综合考虑，</w:t>
      </w:r>
      <w:r>
        <w:rPr>
          <w:rFonts w:hint="eastAsia" w:ascii="仿宋" w:hAnsi="仿宋" w:eastAsia="仿宋" w:cs="仿宋"/>
          <w:sz w:val="28"/>
          <w:szCs w:val="28"/>
          <w:highlight w:val="none"/>
          <w:lang w:val="en-US"/>
        </w:rPr>
        <w:t>预测到202</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val="en-US"/>
        </w:rPr>
        <w:t>年</w:t>
      </w:r>
      <w:r>
        <w:rPr>
          <w:rFonts w:hint="eastAsia" w:ascii="仿宋" w:hAnsi="仿宋" w:eastAsia="仿宋" w:cs="仿宋"/>
          <w:sz w:val="28"/>
          <w:szCs w:val="28"/>
          <w:highlight w:val="none"/>
          <w:lang w:val="en-US" w:eastAsia="zh-CN"/>
        </w:rPr>
        <w:t>岫岩</w:t>
      </w:r>
      <w:r>
        <w:rPr>
          <w:rFonts w:hint="eastAsia" w:ascii="仿宋" w:hAnsi="仿宋" w:eastAsia="仿宋" w:cs="仿宋"/>
          <w:sz w:val="28"/>
          <w:szCs w:val="28"/>
          <w:highlight w:val="none"/>
          <w:lang w:val="en-US"/>
        </w:rPr>
        <w:t>县新能源汽车渗透率达到</w:t>
      </w:r>
      <w:r>
        <w:rPr>
          <w:rFonts w:hint="eastAsia" w:ascii="仿宋" w:hAnsi="仿宋" w:cs="仿宋"/>
          <w:sz w:val="28"/>
          <w:szCs w:val="28"/>
          <w:highlight w:val="none"/>
          <w:lang w:val="en-US" w:eastAsia="zh-CN"/>
        </w:rPr>
        <w:t>3.4</w:t>
      </w:r>
      <w:r>
        <w:rPr>
          <w:rFonts w:hint="eastAsia" w:ascii="仿宋" w:hAnsi="仿宋" w:eastAsia="仿宋" w:cs="仿宋"/>
          <w:sz w:val="28"/>
          <w:szCs w:val="28"/>
          <w:highlight w:val="none"/>
          <w:lang w:val="en-US"/>
        </w:rPr>
        <w:t>%。</w:t>
      </w:r>
    </w:p>
    <w:p>
      <w:pPr>
        <w:pStyle w:val="12"/>
        <w:ind w:firstLine="0" w:firstLineChars="0"/>
        <w:jc w:val="center"/>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岫岩</w:t>
      </w:r>
      <w:r>
        <w:rPr>
          <w:rFonts w:hint="eastAsia" w:ascii="仿宋" w:hAnsi="仿宋" w:eastAsia="仿宋" w:cs="仿宋"/>
          <w:sz w:val="21"/>
          <w:szCs w:val="21"/>
          <w:highlight w:val="none"/>
          <w:lang w:val="en-US"/>
        </w:rPr>
        <w:t>县新能源汽车渗透率</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176"/>
        <w:gridCol w:w="1069"/>
        <w:gridCol w:w="1129"/>
        <w:gridCol w:w="112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cs="仿宋"/>
                <w:b/>
                <w:bCs/>
                <w:sz w:val="21"/>
                <w:szCs w:val="21"/>
                <w:highlight w:val="none"/>
                <w:lang w:val="en-US" w:eastAsia="zh-CN"/>
              </w:rPr>
              <w:t>岫岩</w:t>
            </w:r>
            <w:r>
              <w:rPr>
                <w:rFonts w:hint="eastAsia" w:ascii="仿宋" w:hAnsi="仿宋" w:eastAsia="仿宋" w:cs="仿宋"/>
                <w:b/>
                <w:bCs/>
                <w:sz w:val="21"/>
                <w:szCs w:val="21"/>
                <w:highlight w:val="none"/>
                <w:lang w:val="en-US"/>
              </w:rPr>
              <w:t>县</w:t>
            </w:r>
          </w:p>
        </w:tc>
        <w:tc>
          <w:tcPr>
            <w:tcW w:w="1176" w:type="dxa"/>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4</w:t>
            </w:r>
            <w:r>
              <w:rPr>
                <w:rFonts w:hint="eastAsia" w:ascii="仿宋" w:hAnsi="仿宋" w:eastAsia="仿宋" w:cs="仿宋"/>
                <w:b/>
                <w:bCs/>
                <w:sz w:val="21"/>
                <w:szCs w:val="21"/>
                <w:highlight w:val="none"/>
                <w:lang w:val="en-US"/>
              </w:rPr>
              <w:t>年</w:t>
            </w:r>
          </w:p>
        </w:tc>
        <w:tc>
          <w:tcPr>
            <w:tcW w:w="1069" w:type="dxa"/>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5</w:t>
            </w:r>
            <w:r>
              <w:rPr>
                <w:rFonts w:hint="eastAsia" w:ascii="仿宋" w:hAnsi="仿宋" w:eastAsia="仿宋" w:cs="仿宋"/>
                <w:b/>
                <w:bCs/>
                <w:sz w:val="21"/>
                <w:szCs w:val="21"/>
                <w:highlight w:val="none"/>
                <w:lang w:val="en-US"/>
              </w:rPr>
              <w:t>年</w:t>
            </w:r>
          </w:p>
        </w:tc>
        <w:tc>
          <w:tcPr>
            <w:tcW w:w="1129" w:type="dxa"/>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6</w:t>
            </w:r>
            <w:r>
              <w:rPr>
                <w:rFonts w:hint="eastAsia" w:ascii="仿宋" w:hAnsi="仿宋" w:eastAsia="仿宋" w:cs="仿宋"/>
                <w:b/>
                <w:bCs/>
                <w:sz w:val="21"/>
                <w:szCs w:val="21"/>
                <w:highlight w:val="none"/>
                <w:lang w:val="en-US"/>
              </w:rPr>
              <w:t>年</w:t>
            </w:r>
          </w:p>
        </w:tc>
        <w:tc>
          <w:tcPr>
            <w:tcW w:w="1129" w:type="dxa"/>
          </w:tcPr>
          <w:p>
            <w:pPr>
              <w:pStyle w:val="12"/>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cs="仿宋"/>
                <w:b/>
                <w:bCs/>
                <w:sz w:val="21"/>
                <w:szCs w:val="21"/>
                <w:highlight w:val="none"/>
                <w:lang w:val="en-US" w:eastAsia="zh-CN"/>
              </w:rPr>
              <w:t>2027年</w:t>
            </w:r>
          </w:p>
        </w:tc>
        <w:tc>
          <w:tcPr>
            <w:tcW w:w="1129" w:type="dxa"/>
          </w:tcPr>
          <w:p>
            <w:pPr>
              <w:pStyle w:val="12"/>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cs="仿宋"/>
                <w:b/>
                <w:bCs/>
                <w:sz w:val="21"/>
                <w:szCs w:val="21"/>
                <w:highlight w:val="none"/>
                <w:lang w:val="en-US" w:eastAsia="zh-CN"/>
              </w:rPr>
              <w:t>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886" w:type="dxa"/>
          </w:tcPr>
          <w:p>
            <w:pPr>
              <w:pStyle w:val="12"/>
              <w:spacing w:line="240" w:lineRule="auto"/>
              <w:ind w:firstLine="0" w:firstLineChars="0"/>
              <w:jc w:val="center"/>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岫岩</w:t>
            </w:r>
            <w:r>
              <w:rPr>
                <w:rFonts w:hint="eastAsia" w:ascii="仿宋" w:hAnsi="仿宋" w:eastAsia="仿宋" w:cs="仿宋"/>
                <w:sz w:val="21"/>
                <w:szCs w:val="21"/>
                <w:highlight w:val="none"/>
                <w:lang w:val="en-US"/>
              </w:rPr>
              <w:t>县新能源汽车渗透率</w:t>
            </w:r>
          </w:p>
        </w:tc>
        <w:tc>
          <w:tcPr>
            <w:tcW w:w="1176" w:type="dxa"/>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2.5%</w:t>
            </w:r>
          </w:p>
        </w:tc>
        <w:tc>
          <w:tcPr>
            <w:tcW w:w="1069" w:type="dxa"/>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2.8%</w:t>
            </w:r>
          </w:p>
        </w:tc>
        <w:tc>
          <w:tcPr>
            <w:tcW w:w="1129" w:type="dxa"/>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2.9%</w:t>
            </w:r>
          </w:p>
        </w:tc>
        <w:tc>
          <w:tcPr>
            <w:tcW w:w="1129" w:type="dxa"/>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3.1%</w:t>
            </w:r>
          </w:p>
        </w:tc>
        <w:tc>
          <w:tcPr>
            <w:tcW w:w="1129" w:type="dxa"/>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3.4%</w:t>
            </w:r>
          </w:p>
        </w:tc>
      </w:tr>
    </w:tbl>
    <w:p>
      <w:pPr>
        <w:pStyle w:val="12"/>
        <w:ind w:firstLine="560"/>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rPr>
        <w:t>再结合</w:t>
      </w:r>
      <w:r>
        <w:rPr>
          <w:rFonts w:hint="eastAsia" w:ascii="仿宋" w:hAnsi="仿宋" w:eastAsia="仿宋" w:cs="仿宋"/>
          <w:sz w:val="28"/>
          <w:szCs w:val="28"/>
          <w:highlight w:val="none"/>
          <w:lang w:val="en-US" w:eastAsia="zh-CN"/>
        </w:rPr>
        <w:t>岫岩</w:t>
      </w:r>
      <w:r>
        <w:rPr>
          <w:rFonts w:hint="eastAsia" w:ascii="仿宋" w:hAnsi="仿宋" w:eastAsia="仿宋" w:cs="仿宋"/>
          <w:sz w:val="28"/>
          <w:szCs w:val="28"/>
          <w:highlight w:val="none"/>
          <w:lang w:val="en-US"/>
        </w:rPr>
        <w:t>县202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val="en-US"/>
        </w:rPr>
        <w:t>-202</w:t>
      </w:r>
      <w:r>
        <w:rPr>
          <w:rFonts w:hint="eastAsia" w:ascii="仿宋" w:hAnsi="仿宋" w:cs="仿宋"/>
          <w:sz w:val="28"/>
          <w:szCs w:val="28"/>
          <w:highlight w:val="none"/>
          <w:lang w:val="en-US" w:eastAsia="zh-CN"/>
        </w:rPr>
        <w:t>8</w:t>
      </w:r>
      <w:r>
        <w:rPr>
          <w:rFonts w:hint="eastAsia" w:ascii="仿宋" w:hAnsi="仿宋" w:eastAsia="仿宋" w:cs="仿宋"/>
          <w:sz w:val="28"/>
          <w:szCs w:val="28"/>
          <w:highlight w:val="none"/>
          <w:lang w:val="en-US"/>
        </w:rPr>
        <w:t>年汽车保有量预测结果，预计到202</w:t>
      </w:r>
      <w:r>
        <w:rPr>
          <w:rFonts w:hint="eastAsia" w:ascii="仿宋" w:hAnsi="仿宋" w:cs="仿宋"/>
          <w:sz w:val="28"/>
          <w:szCs w:val="28"/>
          <w:highlight w:val="none"/>
          <w:lang w:val="en-US" w:eastAsia="zh-CN"/>
        </w:rPr>
        <w:t>8</w:t>
      </w:r>
      <w:r>
        <w:rPr>
          <w:rFonts w:hint="eastAsia" w:ascii="仿宋" w:hAnsi="仿宋" w:eastAsia="仿宋" w:cs="仿宋"/>
          <w:sz w:val="28"/>
          <w:szCs w:val="28"/>
          <w:highlight w:val="none"/>
          <w:lang w:val="en-US"/>
        </w:rPr>
        <w:t>年新能源汽车总量提升至约</w:t>
      </w:r>
      <w:r>
        <w:rPr>
          <w:rFonts w:hint="eastAsia" w:ascii="仿宋" w:hAnsi="仿宋" w:cs="仿宋"/>
          <w:sz w:val="28"/>
          <w:szCs w:val="28"/>
          <w:highlight w:val="none"/>
          <w:lang w:val="en-US" w:eastAsia="zh-CN"/>
        </w:rPr>
        <w:t>3103</w:t>
      </w:r>
      <w:r>
        <w:rPr>
          <w:rFonts w:hint="eastAsia" w:ascii="仿宋" w:hAnsi="仿宋" w:eastAsia="仿宋" w:cs="仿宋"/>
          <w:sz w:val="28"/>
          <w:szCs w:val="28"/>
          <w:highlight w:val="none"/>
          <w:lang w:val="en-US"/>
        </w:rPr>
        <w:t>辆。</w:t>
      </w:r>
    </w:p>
    <w:p>
      <w:pPr>
        <w:pStyle w:val="12"/>
        <w:ind w:firstLine="0" w:firstLineChars="0"/>
        <w:jc w:val="center"/>
        <w:rPr>
          <w:rFonts w:hint="eastAsia" w:ascii="仿宋" w:hAnsi="仿宋" w:eastAsia="仿宋" w:cs="仿宋"/>
          <w:sz w:val="21"/>
          <w:szCs w:val="21"/>
          <w:highlight w:val="none"/>
          <w:lang w:val="en-US"/>
        </w:rPr>
      </w:pPr>
      <w:r>
        <w:rPr>
          <w:rFonts w:hint="eastAsia" w:ascii="仿宋" w:hAnsi="仿宋" w:cs="仿宋"/>
          <w:sz w:val="21"/>
          <w:szCs w:val="21"/>
          <w:highlight w:val="none"/>
          <w:lang w:val="en-US" w:eastAsia="zh-CN"/>
        </w:rPr>
        <w:t>岫岩</w:t>
      </w:r>
      <w:r>
        <w:rPr>
          <w:rFonts w:hint="eastAsia" w:ascii="仿宋" w:hAnsi="仿宋" w:eastAsia="仿宋" w:cs="仿宋"/>
          <w:sz w:val="21"/>
          <w:szCs w:val="21"/>
          <w:highlight w:val="none"/>
          <w:lang w:val="en-US"/>
        </w:rPr>
        <w:t>县新能源汽车保有量预测</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4"/>
        <w:gridCol w:w="1335"/>
        <w:gridCol w:w="1227"/>
        <w:gridCol w:w="990"/>
        <w:gridCol w:w="99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pct"/>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cs="仿宋"/>
                <w:b/>
                <w:bCs/>
                <w:sz w:val="21"/>
                <w:szCs w:val="21"/>
                <w:highlight w:val="none"/>
                <w:lang w:val="en-US" w:eastAsia="zh-CN"/>
              </w:rPr>
              <w:t>岫岩</w:t>
            </w:r>
            <w:r>
              <w:rPr>
                <w:rFonts w:hint="eastAsia" w:ascii="仿宋" w:hAnsi="仿宋" w:eastAsia="仿宋" w:cs="仿宋"/>
                <w:b/>
                <w:bCs/>
                <w:sz w:val="21"/>
                <w:szCs w:val="21"/>
                <w:highlight w:val="none"/>
                <w:lang w:val="en-US"/>
              </w:rPr>
              <w:t>县</w:t>
            </w:r>
          </w:p>
        </w:tc>
        <w:tc>
          <w:tcPr>
            <w:tcW w:w="783" w:type="pct"/>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4</w:t>
            </w:r>
            <w:r>
              <w:rPr>
                <w:rFonts w:hint="eastAsia" w:ascii="仿宋" w:hAnsi="仿宋" w:eastAsia="仿宋" w:cs="仿宋"/>
                <w:b/>
                <w:bCs/>
                <w:sz w:val="21"/>
                <w:szCs w:val="21"/>
                <w:highlight w:val="none"/>
                <w:lang w:val="en-US"/>
              </w:rPr>
              <w:t>年</w:t>
            </w:r>
          </w:p>
        </w:tc>
        <w:tc>
          <w:tcPr>
            <w:tcW w:w="720" w:type="pct"/>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5</w:t>
            </w:r>
            <w:r>
              <w:rPr>
                <w:rFonts w:hint="eastAsia" w:ascii="仿宋" w:hAnsi="仿宋" w:eastAsia="仿宋" w:cs="仿宋"/>
                <w:b/>
                <w:bCs/>
                <w:sz w:val="21"/>
                <w:szCs w:val="21"/>
                <w:highlight w:val="none"/>
                <w:lang w:val="en-US"/>
              </w:rPr>
              <w:t>年</w:t>
            </w:r>
          </w:p>
        </w:tc>
        <w:tc>
          <w:tcPr>
            <w:tcW w:w="581" w:type="pct"/>
          </w:tcPr>
          <w:p>
            <w:pPr>
              <w:pStyle w:val="12"/>
              <w:spacing w:line="240" w:lineRule="auto"/>
              <w:ind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202</w:t>
            </w:r>
            <w:r>
              <w:rPr>
                <w:rFonts w:hint="eastAsia" w:ascii="仿宋" w:hAnsi="仿宋" w:eastAsia="仿宋" w:cs="仿宋"/>
                <w:b/>
                <w:bCs/>
                <w:sz w:val="21"/>
                <w:szCs w:val="21"/>
                <w:highlight w:val="none"/>
                <w:lang w:val="en-US" w:eastAsia="zh-CN"/>
              </w:rPr>
              <w:t>6</w:t>
            </w:r>
            <w:r>
              <w:rPr>
                <w:rFonts w:hint="eastAsia" w:ascii="仿宋" w:hAnsi="仿宋" w:eastAsia="仿宋" w:cs="仿宋"/>
                <w:b/>
                <w:bCs/>
                <w:sz w:val="21"/>
                <w:szCs w:val="21"/>
                <w:highlight w:val="none"/>
                <w:lang w:val="en-US"/>
              </w:rPr>
              <w:t>年</w:t>
            </w:r>
          </w:p>
        </w:tc>
        <w:tc>
          <w:tcPr>
            <w:tcW w:w="581" w:type="pct"/>
          </w:tcPr>
          <w:p>
            <w:pPr>
              <w:pStyle w:val="12"/>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cs="仿宋"/>
                <w:b/>
                <w:bCs/>
                <w:sz w:val="21"/>
                <w:szCs w:val="21"/>
                <w:highlight w:val="none"/>
                <w:lang w:val="en-US" w:eastAsia="zh-CN"/>
              </w:rPr>
              <w:t>2027年</w:t>
            </w:r>
          </w:p>
        </w:tc>
        <w:tc>
          <w:tcPr>
            <w:tcW w:w="581" w:type="pct"/>
          </w:tcPr>
          <w:p>
            <w:pPr>
              <w:pStyle w:val="12"/>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cs="仿宋"/>
                <w:b/>
                <w:bCs/>
                <w:sz w:val="21"/>
                <w:szCs w:val="21"/>
                <w:highlight w:val="none"/>
                <w:lang w:val="en-US" w:eastAsia="zh-CN"/>
              </w:rPr>
              <w:t>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pct"/>
          </w:tcPr>
          <w:p>
            <w:pPr>
              <w:pStyle w:val="12"/>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岫岩</w:t>
            </w:r>
            <w:r>
              <w:rPr>
                <w:rFonts w:hint="eastAsia" w:ascii="仿宋" w:hAnsi="仿宋" w:eastAsia="仿宋" w:cs="仿宋"/>
                <w:sz w:val="21"/>
                <w:szCs w:val="21"/>
                <w:highlight w:val="none"/>
                <w:lang w:val="en-US"/>
              </w:rPr>
              <w:t>县新能源汽车</w:t>
            </w:r>
            <w:r>
              <w:rPr>
                <w:rFonts w:hint="eastAsia" w:ascii="仿宋" w:hAnsi="仿宋" w:eastAsia="仿宋" w:cs="仿宋"/>
                <w:sz w:val="21"/>
                <w:szCs w:val="21"/>
                <w:highlight w:val="none"/>
                <w:lang w:val="en-US" w:eastAsia="zh-CN"/>
              </w:rPr>
              <w:t>保有量</w:t>
            </w:r>
          </w:p>
        </w:tc>
        <w:tc>
          <w:tcPr>
            <w:tcW w:w="783" w:type="pct"/>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2053</w:t>
            </w:r>
          </w:p>
        </w:tc>
        <w:tc>
          <w:tcPr>
            <w:tcW w:w="720" w:type="pct"/>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2297</w:t>
            </w:r>
          </w:p>
        </w:tc>
        <w:tc>
          <w:tcPr>
            <w:tcW w:w="581" w:type="pct"/>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2496</w:t>
            </w:r>
          </w:p>
        </w:tc>
        <w:tc>
          <w:tcPr>
            <w:tcW w:w="581" w:type="pct"/>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2694</w:t>
            </w:r>
          </w:p>
        </w:tc>
        <w:tc>
          <w:tcPr>
            <w:tcW w:w="581" w:type="pct"/>
          </w:tcPr>
          <w:p>
            <w:pPr>
              <w:pStyle w:val="12"/>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3103</w:t>
            </w:r>
          </w:p>
        </w:tc>
      </w:tr>
    </w:tbl>
    <w:p>
      <w:pPr>
        <w:pStyle w:val="12"/>
        <w:ind w:firstLine="0" w:firstLineChars="0"/>
        <w:jc w:val="center"/>
        <w:rPr>
          <w:rFonts w:hint="eastAsia" w:ascii="仿宋" w:hAnsi="仿宋" w:eastAsia="仿宋" w:cs="仿宋"/>
          <w:sz w:val="21"/>
          <w:szCs w:val="21"/>
          <w:highlight w:val="none"/>
          <w:lang w:val="en-US"/>
        </w:rPr>
      </w:pPr>
    </w:p>
    <w:p>
      <w:pPr>
        <w:pStyle w:val="4"/>
        <w:bidi w:val="0"/>
        <w:ind w:left="0" w:leftChars="0" w:firstLine="0" w:firstLineChars="0"/>
        <w:rPr>
          <w:rFonts w:hint="eastAsia"/>
        </w:rPr>
      </w:pPr>
      <w:bookmarkStart w:id="64" w:name="_Toc10177"/>
      <w:r>
        <w:rPr>
          <w:rFonts w:hint="eastAsia"/>
        </w:rPr>
        <w:t>电动公交车保有量预测</w:t>
      </w:r>
      <w:bookmarkEnd w:id="64"/>
    </w:p>
    <w:p>
      <w:pPr>
        <w:ind w:firstLine="560"/>
        <w:jc w:val="left"/>
        <w:rPr>
          <w:rFonts w:ascii="仿宋" w:hAnsi="仿宋"/>
        </w:rPr>
      </w:pPr>
      <w:r>
        <w:rPr>
          <w:rFonts w:hint="eastAsia" w:ascii="仿宋" w:hAnsi="仿宋" w:cs="仿宋"/>
          <w:szCs w:val="28"/>
        </w:rPr>
        <w:t>依据交通局现有规划，全县70辆公交车全部为纯电动新能源车。</w:t>
      </w:r>
    </w:p>
    <w:p>
      <w:pPr>
        <w:ind w:firstLine="0" w:firstLineChars="0"/>
        <w:jc w:val="center"/>
        <w:rPr>
          <w:rFonts w:hint="eastAsia" w:ascii="仿宋" w:hAnsi="仿宋"/>
          <w:sz w:val="21"/>
          <w:szCs w:val="21"/>
        </w:rPr>
      </w:pPr>
      <w:r>
        <w:rPr>
          <w:rFonts w:hint="eastAsia" w:ascii="仿宋" w:hAnsi="仿宋"/>
          <w:sz w:val="21"/>
          <w:szCs w:val="21"/>
        </w:rPr>
        <w:t>电动公交车保有量预测结果表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00"/>
        <w:gridCol w:w="893"/>
        <w:gridCol w:w="893"/>
        <w:gridCol w:w="1109"/>
        <w:gridCol w:w="110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3" w:hRule="atLeast"/>
          <w:tblHeader/>
          <w:jc w:val="center"/>
        </w:trPr>
        <w:tc>
          <w:tcPr>
            <w:tcW w:w="1924"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b/>
                <w:kern w:val="0"/>
                <w:sz w:val="21"/>
                <w:szCs w:val="21"/>
                <w:highlight w:val="none"/>
                <w:lang w:eastAsia="zh-Hans"/>
              </w:rPr>
            </w:pPr>
            <w:r>
              <w:rPr>
                <w:rFonts w:hint="eastAsia" w:ascii="仿宋" w:hAnsi="仿宋" w:eastAsia="仿宋" w:cs="仿宋"/>
                <w:b/>
                <w:kern w:val="0"/>
                <w:sz w:val="21"/>
                <w:szCs w:val="21"/>
                <w:highlight w:val="none"/>
                <w:lang w:eastAsia="zh-Hans"/>
              </w:rPr>
              <w:t>年份</w:t>
            </w:r>
          </w:p>
        </w:tc>
        <w:tc>
          <w:tcPr>
            <w:tcW w:w="53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b/>
                <w:kern w:val="0"/>
                <w:sz w:val="21"/>
                <w:szCs w:val="21"/>
                <w:highlight w:val="none"/>
                <w:lang w:eastAsia="zh-Hans"/>
              </w:rPr>
            </w:pPr>
            <w:r>
              <w:rPr>
                <w:rFonts w:hint="eastAsia" w:ascii="仿宋" w:hAnsi="仿宋" w:eastAsia="仿宋" w:cs="仿宋"/>
                <w:b/>
                <w:kern w:val="0"/>
                <w:sz w:val="21"/>
                <w:szCs w:val="21"/>
                <w:highlight w:val="none"/>
                <w:lang w:eastAsia="zh-Hans"/>
              </w:rPr>
              <w:t>202</w:t>
            </w:r>
            <w:r>
              <w:rPr>
                <w:rFonts w:hint="eastAsia" w:ascii="仿宋" w:hAnsi="仿宋" w:eastAsia="仿宋" w:cs="仿宋"/>
                <w:b/>
                <w:kern w:val="0"/>
                <w:sz w:val="21"/>
                <w:szCs w:val="21"/>
                <w:highlight w:val="none"/>
                <w:lang w:val="en-US" w:eastAsia="zh-CN"/>
              </w:rPr>
              <w:t>4</w:t>
            </w:r>
            <w:r>
              <w:rPr>
                <w:rFonts w:hint="eastAsia" w:ascii="仿宋" w:hAnsi="仿宋" w:eastAsia="仿宋" w:cs="仿宋"/>
                <w:b/>
                <w:kern w:val="0"/>
                <w:sz w:val="21"/>
                <w:szCs w:val="21"/>
                <w:highlight w:val="none"/>
                <w:lang w:eastAsia="zh-Hans"/>
              </w:rPr>
              <w:t>年</w:t>
            </w:r>
          </w:p>
        </w:tc>
        <w:tc>
          <w:tcPr>
            <w:tcW w:w="53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b/>
                <w:kern w:val="0"/>
                <w:sz w:val="21"/>
                <w:szCs w:val="21"/>
                <w:highlight w:val="none"/>
                <w:lang w:eastAsia="zh-Hans"/>
              </w:rPr>
            </w:pPr>
            <w:r>
              <w:rPr>
                <w:rFonts w:hint="eastAsia" w:ascii="仿宋" w:hAnsi="仿宋" w:eastAsia="仿宋" w:cs="仿宋"/>
                <w:b/>
                <w:kern w:val="0"/>
                <w:sz w:val="21"/>
                <w:szCs w:val="21"/>
                <w:highlight w:val="none"/>
                <w:lang w:eastAsia="zh-Hans"/>
              </w:rPr>
              <w:t>202</w:t>
            </w:r>
            <w:r>
              <w:rPr>
                <w:rFonts w:hint="eastAsia" w:ascii="仿宋" w:hAnsi="仿宋" w:cs="仿宋"/>
                <w:b/>
                <w:kern w:val="0"/>
                <w:sz w:val="21"/>
                <w:szCs w:val="21"/>
                <w:highlight w:val="none"/>
                <w:lang w:val="en-US" w:eastAsia="zh-CN"/>
              </w:rPr>
              <w:t>5</w:t>
            </w:r>
            <w:r>
              <w:rPr>
                <w:rFonts w:hint="eastAsia" w:ascii="仿宋" w:hAnsi="仿宋" w:eastAsia="仿宋" w:cs="仿宋"/>
                <w:b/>
                <w:kern w:val="0"/>
                <w:sz w:val="21"/>
                <w:szCs w:val="21"/>
                <w:highlight w:val="none"/>
                <w:lang w:eastAsia="zh-Hans"/>
              </w:rPr>
              <w:t>年</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b/>
                <w:kern w:val="0"/>
                <w:sz w:val="21"/>
                <w:szCs w:val="21"/>
                <w:highlight w:val="none"/>
                <w:lang w:eastAsia="zh-Hans"/>
              </w:rPr>
            </w:pPr>
            <w:r>
              <w:rPr>
                <w:rFonts w:hint="eastAsia" w:ascii="仿宋" w:hAnsi="仿宋" w:eastAsia="仿宋" w:cs="仿宋"/>
                <w:b/>
                <w:kern w:val="0"/>
                <w:sz w:val="21"/>
                <w:szCs w:val="21"/>
                <w:highlight w:val="none"/>
                <w:lang w:eastAsia="zh-Hans"/>
              </w:rPr>
              <w:t>202</w:t>
            </w:r>
            <w:r>
              <w:rPr>
                <w:rFonts w:hint="eastAsia" w:ascii="仿宋" w:hAnsi="仿宋" w:cs="仿宋"/>
                <w:b/>
                <w:kern w:val="0"/>
                <w:sz w:val="21"/>
                <w:szCs w:val="21"/>
                <w:highlight w:val="none"/>
                <w:lang w:val="en-US" w:eastAsia="zh-CN"/>
              </w:rPr>
              <w:t>6</w:t>
            </w:r>
            <w:r>
              <w:rPr>
                <w:rFonts w:hint="eastAsia" w:ascii="仿宋" w:hAnsi="仿宋" w:eastAsia="仿宋" w:cs="仿宋"/>
                <w:b/>
                <w:kern w:val="0"/>
                <w:sz w:val="21"/>
                <w:szCs w:val="21"/>
                <w:highlight w:val="none"/>
                <w:lang w:eastAsia="zh-Hans"/>
              </w:rPr>
              <w:t>年</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default" w:ascii="仿宋" w:hAnsi="仿宋" w:eastAsia="仿宋" w:cs="仿宋"/>
                <w:b/>
                <w:kern w:val="0"/>
                <w:sz w:val="21"/>
                <w:szCs w:val="21"/>
                <w:highlight w:val="none"/>
                <w:lang w:val="en-US" w:eastAsia="zh-CN"/>
              </w:rPr>
            </w:pPr>
            <w:r>
              <w:rPr>
                <w:rFonts w:hint="eastAsia" w:ascii="仿宋" w:hAnsi="仿宋" w:cs="仿宋"/>
                <w:b/>
                <w:kern w:val="0"/>
                <w:sz w:val="21"/>
                <w:szCs w:val="21"/>
                <w:highlight w:val="none"/>
                <w:lang w:val="en-US" w:eastAsia="zh-CN"/>
              </w:rPr>
              <w:t>2027年</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default" w:ascii="仿宋" w:hAnsi="仿宋" w:eastAsia="仿宋" w:cs="仿宋"/>
                <w:b/>
                <w:kern w:val="0"/>
                <w:sz w:val="21"/>
                <w:szCs w:val="21"/>
                <w:highlight w:val="none"/>
                <w:lang w:val="en-US" w:eastAsia="zh-CN"/>
              </w:rPr>
            </w:pPr>
            <w:r>
              <w:rPr>
                <w:rFonts w:hint="eastAsia" w:ascii="仿宋" w:hAnsi="仿宋" w:cs="仿宋"/>
                <w:b/>
                <w:kern w:val="0"/>
                <w:sz w:val="21"/>
                <w:szCs w:val="21"/>
                <w:highlight w:val="none"/>
                <w:lang w:val="en-US" w:eastAsia="zh-CN"/>
              </w:rPr>
              <w:t>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4"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kern w:val="0"/>
                <w:sz w:val="21"/>
                <w:szCs w:val="21"/>
                <w:highlight w:val="none"/>
                <w:lang w:eastAsia="zh-Hans"/>
              </w:rPr>
            </w:pPr>
            <w:r>
              <w:rPr>
                <w:rFonts w:hint="eastAsia" w:ascii="仿宋" w:hAnsi="仿宋" w:eastAsia="仿宋" w:cs="仿宋"/>
                <w:kern w:val="0"/>
                <w:sz w:val="21"/>
                <w:szCs w:val="21"/>
                <w:highlight w:val="none"/>
                <w:lang w:eastAsia="zh-Hans"/>
              </w:rPr>
              <w:t>全县电动公交车数量（辆）</w:t>
            </w:r>
          </w:p>
        </w:tc>
        <w:tc>
          <w:tcPr>
            <w:tcW w:w="53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70</w:t>
            </w:r>
          </w:p>
        </w:tc>
        <w:tc>
          <w:tcPr>
            <w:tcW w:w="53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70</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70</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default"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70</w:t>
            </w:r>
          </w:p>
        </w:tc>
        <w:tc>
          <w:tcPr>
            <w:tcW w:w="667" w:type="pct"/>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beforeLines="0" w:afterLines="0" w:line="240" w:lineRule="auto"/>
              <w:ind w:firstLine="0" w:firstLineChars="0"/>
              <w:jc w:val="center"/>
              <w:rPr>
                <w:rFonts w:hint="default"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70</w:t>
            </w:r>
          </w:p>
        </w:tc>
      </w:tr>
    </w:tbl>
    <w:p>
      <w:pPr>
        <w:bidi w:val="0"/>
      </w:pPr>
    </w:p>
    <w:p>
      <w:pPr>
        <w:pStyle w:val="4"/>
        <w:bidi w:val="0"/>
        <w:ind w:left="0" w:leftChars="0" w:firstLine="0" w:firstLineChars="0"/>
        <w:rPr>
          <w:rFonts w:hint="eastAsia"/>
        </w:rPr>
      </w:pPr>
      <w:bookmarkStart w:id="65" w:name="_Toc31090"/>
      <w:r>
        <w:rPr>
          <w:rFonts w:hint="eastAsia"/>
        </w:rPr>
        <w:t>电动出租车保有量预测</w:t>
      </w:r>
      <w:bookmarkEnd w:id="65"/>
    </w:p>
    <w:p>
      <w:pPr>
        <w:pStyle w:val="12"/>
        <w:rPr>
          <w:rFonts w:hint="eastAsia" w:ascii="仿宋" w:hAnsi="仿宋" w:eastAsia="仿宋" w:cs="仿宋"/>
          <w:sz w:val="28"/>
          <w:szCs w:val="28"/>
          <w:highlight w:val="none"/>
        </w:rPr>
      </w:pPr>
      <w:r>
        <w:rPr>
          <w:rFonts w:hint="eastAsia" w:ascii="仿宋" w:hAnsi="仿宋" w:eastAsia="仿宋" w:cs="仿宋"/>
          <w:sz w:val="28"/>
          <w:szCs w:val="28"/>
          <w:highlight w:val="none"/>
        </w:rPr>
        <w:t>依据交通局现有规划，出租车采用替损计划。全县共有出租汽车500辆，其中双燃料清洁能源车辆463台，新能源电动车辆37台。目前已有451台车辆完成了更新（包括37台新能源电动车辆），2027年之前计划更新车辆49台。</w:t>
      </w:r>
    </w:p>
    <w:p>
      <w:pPr>
        <w:ind w:firstLine="0" w:firstLineChars="0"/>
        <w:jc w:val="center"/>
        <w:rPr>
          <w:rFonts w:hint="eastAsia" w:ascii="仿宋" w:hAnsi="仿宋"/>
          <w:sz w:val="21"/>
          <w:szCs w:val="21"/>
        </w:rPr>
      </w:pPr>
      <w:r>
        <w:rPr>
          <w:rFonts w:hint="eastAsia" w:ascii="仿宋" w:hAnsi="仿宋"/>
          <w:sz w:val="21"/>
          <w:szCs w:val="21"/>
        </w:rPr>
        <w:t>电动出租车保有量预测结果表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00"/>
        <w:gridCol w:w="893"/>
        <w:gridCol w:w="893"/>
        <w:gridCol w:w="1109"/>
        <w:gridCol w:w="110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3" w:hRule="atLeast"/>
          <w:tblHeader/>
          <w:jc w:val="center"/>
        </w:trPr>
        <w:tc>
          <w:tcPr>
            <w:tcW w:w="1924" w:type="pct"/>
            <w:noWrap/>
            <w:vAlign w:val="center"/>
          </w:tcPr>
          <w:p>
            <w:pPr>
              <w:widowControl/>
              <w:spacing w:line="240" w:lineRule="auto"/>
              <w:ind w:firstLine="0" w:firstLineChars="0"/>
              <w:jc w:val="center"/>
              <w:rPr>
                <w:rFonts w:hint="eastAsia" w:ascii="仿宋" w:hAnsi="仿宋" w:eastAsia="仿宋" w:cs="仿宋"/>
                <w:b/>
                <w:bCs/>
                <w:kern w:val="0"/>
                <w:sz w:val="21"/>
                <w:szCs w:val="21"/>
                <w:highlight w:val="none"/>
                <w:lang w:eastAsia="zh-Hans"/>
              </w:rPr>
            </w:pPr>
            <w:r>
              <w:rPr>
                <w:rFonts w:hint="eastAsia" w:ascii="仿宋" w:hAnsi="仿宋" w:eastAsia="仿宋" w:cs="仿宋"/>
                <w:b/>
                <w:bCs/>
                <w:kern w:val="0"/>
                <w:sz w:val="21"/>
                <w:szCs w:val="21"/>
                <w:highlight w:val="none"/>
                <w:lang w:eastAsia="zh-Hans"/>
              </w:rPr>
              <w:t>年份</w:t>
            </w:r>
          </w:p>
        </w:tc>
        <w:tc>
          <w:tcPr>
            <w:tcW w:w="537" w:type="pct"/>
            <w:noWrap/>
            <w:vAlign w:val="center"/>
          </w:tcPr>
          <w:p>
            <w:pPr>
              <w:widowControl/>
              <w:spacing w:line="240" w:lineRule="auto"/>
              <w:ind w:firstLine="0" w:firstLineChars="0"/>
              <w:jc w:val="center"/>
              <w:rPr>
                <w:rFonts w:hint="eastAsia" w:ascii="仿宋" w:hAnsi="仿宋" w:eastAsia="仿宋" w:cs="仿宋"/>
                <w:b/>
                <w:bCs/>
                <w:kern w:val="0"/>
                <w:sz w:val="21"/>
                <w:szCs w:val="21"/>
                <w:highlight w:val="none"/>
                <w:lang w:eastAsia="zh-Hans"/>
              </w:rPr>
            </w:pPr>
            <w:r>
              <w:rPr>
                <w:rFonts w:hint="eastAsia" w:ascii="仿宋" w:hAnsi="仿宋" w:eastAsia="仿宋" w:cs="仿宋"/>
                <w:b/>
                <w:bCs/>
                <w:kern w:val="0"/>
                <w:sz w:val="21"/>
                <w:szCs w:val="21"/>
                <w:highlight w:val="none"/>
                <w:lang w:eastAsia="zh-Hans"/>
              </w:rPr>
              <w:t>202</w:t>
            </w:r>
            <w:r>
              <w:rPr>
                <w:rFonts w:hint="eastAsia" w:ascii="仿宋" w:hAnsi="仿宋" w:eastAsia="仿宋" w:cs="仿宋"/>
                <w:b/>
                <w:bCs/>
                <w:kern w:val="0"/>
                <w:sz w:val="21"/>
                <w:szCs w:val="21"/>
                <w:highlight w:val="none"/>
                <w:lang w:val="en-US" w:eastAsia="zh-CN"/>
              </w:rPr>
              <w:t>4</w:t>
            </w:r>
            <w:r>
              <w:rPr>
                <w:rFonts w:hint="eastAsia" w:ascii="仿宋" w:hAnsi="仿宋" w:eastAsia="仿宋" w:cs="仿宋"/>
                <w:b/>
                <w:bCs/>
                <w:kern w:val="0"/>
                <w:sz w:val="21"/>
                <w:szCs w:val="21"/>
                <w:highlight w:val="none"/>
                <w:lang w:eastAsia="zh-Hans"/>
              </w:rPr>
              <w:t>年</w:t>
            </w:r>
          </w:p>
        </w:tc>
        <w:tc>
          <w:tcPr>
            <w:tcW w:w="537" w:type="pct"/>
            <w:noWrap/>
            <w:vAlign w:val="center"/>
          </w:tcPr>
          <w:p>
            <w:pPr>
              <w:widowControl/>
              <w:spacing w:line="240" w:lineRule="auto"/>
              <w:ind w:firstLine="0" w:firstLineChars="0"/>
              <w:jc w:val="center"/>
              <w:rPr>
                <w:rFonts w:hint="eastAsia" w:ascii="仿宋" w:hAnsi="仿宋" w:eastAsia="仿宋" w:cs="仿宋"/>
                <w:b/>
                <w:bCs/>
                <w:kern w:val="0"/>
                <w:sz w:val="21"/>
                <w:szCs w:val="21"/>
                <w:highlight w:val="none"/>
                <w:lang w:eastAsia="zh-Hans"/>
              </w:rPr>
            </w:pPr>
            <w:r>
              <w:rPr>
                <w:rFonts w:hint="eastAsia" w:ascii="仿宋" w:hAnsi="仿宋" w:eastAsia="仿宋" w:cs="仿宋"/>
                <w:b/>
                <w:bCs/>
                <w:kern w:val="0"/>
                <w:sz w:val="21"/>
                <w:szCs w:val="21"/>
                <w:highlight w:val="none"/>
                <w:lang w:eastAsia="zh-Hans"/>
              </w:rPr>
              <w:t>202</w:t>
            </w:r>
            <w:r>
              <w:rPr>
                <w:rFonts w:hint="eastAsia" w:ascii="仿宋" w:hAnsi="仿宋" w:eastAsia="仿宋" w:cs="仿宋"/>
                <w:b/>
                <w:bCs/>
                <w:kern w:val="0"/>
                <w:sz w:val="21"/>
                <w:szCs w:val="21"/>
                <w:highlight w:val="none"/>
                <w:lang w:val="en-US" w:eastAsia="zh-CN"/>
              </w:rPr>
              <w:t>5</w:t>
            </w:r>
            <w:r>
              <w:rPr>
                <w:rFonts w:hint="eastAsia" w:ascii="仿宋" w:hAnsi="仿宋" w:eastAsia="仿宋" w:cs="仿宋"/>
                <w:b/>
                <w:bCs/>
                <w:kern w:val="0"/>
                <w:sz w:val="21"/>
                <w:szCs w:val="21"/>
                <w:highlight w:val="none"/>
                <w:lang w:eastAsia="zh-Hans"/>
              </w:rPr>
              <w:t>年</w:t>
            </w:r>
          </w:p>
        </w:tc>
        <w:tc>
          <w:tcPr>
            <w:tcW w:w="667" w:type="pct"/>
            <w:noWrap/>
            <w:vAlign w:val="center"/>
          </w:tcPr>
          <w:p>
            <w:pPr>
              <w:widowControl/>
              <w:spacing w:line="240" w:lineRule="auto"/>
              <w:ind w:firstLine="0" w:firstLineChars="0"/>
              <w:jc w:val="center"/>
              <w:rPr>
                <w:rFonts w:hint="eastAsia" w:ascii="仿宋" w:hAnsi="仿宋" w:eastAsia="仿宋" w:cs="仿宋"/>
                <w:b/>
                <w:bCs/>
                <w:kern w:val="0"/>
                <w:sz w:val="21"/>
                <w:szCs w:val="21"/>
                <w:highlight w:val="none"/>
                <w:lang w:eastAsia="zh-Hans"/>
              </w:rPr>
            </w:pPr>
            <w:r>
              <w:rPr>
                <w:rFonts w:hint="eastAsia" w:ascii="仿宋" w:hAnsi="仿宋" w:eastAsia="仿宋" w:cs="仿宋"/>
                <w:b/>
                <w:bCs/>
                <w:kern w:val="0"/>
                <w:sz w:val="21"/>
                <w:szCs w:val="21"/>
                <w:highlight w:val="none"/>
                <w:lang w:eastAsia="zh-Hans"/>
              </w:rPr>
              <w:t>202</w:t>
            </w:r>
            <w:r>
              <w:rPr>
                <w:rFonts w:hint="eastAsia" w:ascii="仿宋" w:hAnsi="仿宋" w:eastAsia="仿宋" w:cs="仿宋"/>
                <w:b/>
                <w:bCs/>
                <w:kern w:val="0"/>
                <w:sz w:val="21"/>
                <w:szCs w:val="21"/>
                <w:highlight w:val="none"/>
                <w:lang w:val="en-US" w:eastAsia="zh-CN"/>
              </w:rPr>
              <w:t>6</w:t>
            </w:r>
            <w:r>
              <w:rPr>
                <w:rFonts w:hint="eastAsia" w:ascii="仿宋" w:hAnsi="仿宋" w:eastAsia="仿宋" w:cs="仿宋"/>
                <w:b/>
                <w:bCs/>
                <w:kern w:val="0"/>
                <w:sz w:val="21"/>
                <w:szCs w:val="21"/>
                <w:highlight w:val="none"/>
                <w:lang w:eastAsia="zh-Hans"/>
              </w:rPr>
              <w:t>年</w:t>
            </w:r>
          </w:p>
        </w:tc>
        <w:tc>
          <w:tcPr>
            <w:tcW w:w="667" w:type="pct"/>
            <w:noWrap/>
            <w:vAlign w:val="center"/>
          </w:tcPr>
          <w:p>
            <w:pPr>
              <w:widowControl/>
              <w:spacing w:line="240" w:lineRule="auto"/>
              <w:ind w:firstLine="0" w:firstLineChars="0"/>
              <w:jc w:val="center"/>
              <w:rPr>
                <w:rFonts w:hint="default" w:ascii="仿宋" w:hAnsi="仿宋" w:eastAsia="仿宋" w:cs="仿宋"/>
                <w:b/>
                <w:bCs/>
                <w:kern w:val="0"/>
                <w:sz w:val="21"/>
                <w:szCs w:val="21"/>
                <w:highlight w:val="none"/>
                <w:lang w:val="en-US" w:eastAsia="zh-CN"/>
              </w:rPr>
            </w:pPr>
            <w:r>
              <w:rPr>
                <w:rFonts w:hint="eastAsia" w:ascii="仿宋" w:hAnsi="仿宋" w:cs="仿宋"/>
                <w:b/>
                <w:bCs/>
                <w:kern w:val="0"/>
                <w:sz w:val="21"/>
                <w:szCs w:val="21"/>
                <w:highlight w:val="none"/>
                <w:lang w:val="en-US" w:eastAsia="zh-CN"/>
              </w:rPr>
              <w:t>2027年</w:t>
            </w:r>
          </w:p>
        </w:tc>
        <w:tc>
          <w:tcPr>
            <w:tcW w:w="667" w:type="pct"/>
            <w:noWrap/>
            <w:vAlign w:val="center"/>
          </w:tcPr>
          <w:p>
            <w:pPr>
              <w:widowControl/>
              <w:spacing w:line="240" w:lineRule="auto"/>
              <w:ind w:firstLine="0" w:firstLineChars="0"/>
              <w:jc w:val="center"/>
              <w:rPr>
                <w:rFonts w:hint="default" w:ascii="仿宋" w:hAnsi="仿宋" w:eastAsia="仿宋" w:cs="仿宋"/>
                <w:b/>
                <w:bCs/>
                <w:kern w:val="0"/>
                <w:sz w:val="21"/>
                <w:szCs w:val="21"/>
                <w:highlight w:val="none"/>
                <w:lang w:val="en-US" w:eastAsia="zh-CN"/>
              </w:rPr>
            </w:pPr>
            <w:r>
              <w:rPr>
                <w:rFonts w:hint="eastAsia" w:ascii="仿宋" w:hAnsi="仿宋" w:cs="仿宋"/>
                <w:b/>
                <w:bCs/>
                <w:kern w:val="0"/>
                <w:sz w:val="21"/>
                <w:szCs w:val="21"/>
                <w:highlight w:val="none"/>
                <w:lang w:val="en-US" w:eastAsia="zh-CN"/>
              </w:rPr>
              <w:t>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4" w:type="pct"/>
            <w:noWrap/>
            <w:vAlign w:val="center"/>
          </w:tcPr>
          <w:p>
            <w:pPr>
              <w:widowControl/>
              <w:spacing w:line="240" w:lineRule="auto"/>
              <w:ind w:firstLine="0" w:firstLineChars="0"/>
              <w:jc w:val="center"/>
              <w:rPr>
                <w:rFonts w:hint="eastAsia" w:ascii="仿宋" w:hAnsi="仿宋" w:eastAsia="仿宋" w:cs="仿宋"/>
                <w:kern w:val="0"/>
                <w:sz w:val="21"/>
                <w:szCs w:val="21"/>
                <w:highlight w:val="none"/>
                <w:lang w:eastAsia="zh-Hans"/>
              </w:rPr>
            </w:pPr>
            <w:r>
              <w:rPr>
                <w:rFonts w:hint="eastAsia" w:ascii="仿宋" w:hAnsi="仿宋" w:eastAsia="仿宋" w:cs="仿宋"/>
                <w:kern w:val="0"/>
                <w:sz w:val="21"/>
                <w:szCs w:val="21"/>
                <w:highlight w:val="none"/>
                <w:lang w:eastAsia="zh-Hans"/>
              </w:rPr>
              <w:t>全县电动出租车数量（辆）</w:t>
            </w:r>
          </w:p>
        </w:tc>
        <w:tc>
          <w:tcPr>
            <w:tcW w:w="537" w:type="pct"/>
            <w:noWrap/>
            <w:vAlign w:val="center"/>
          </w:tcPr>
          <w:p>
            <w:pPr>
              <w:widowControl/>
              <w:spacing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52</w:t>
            </w:r>
          </w:p>
        </w:tc>
        <w:tc>
          <w:tcPr>
            <w:tcW w:w="537" w:type="pct"/>
            <w:noWrap/>
            <w:vAlign w:val="center"/>
          </w:tcPr>
          <w:p>
            <w:pPr>
              <w:widowControl/>
              <w:spacing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68</w:t>
            </w:r>
          </w:p>
        </w:tc>
        <w:tc>
          <w:tcPr>
            <w:tcW w:w="667" w:type="pct"/>
            <w:noWrap/>
            <w:vAlign w:val="center"/>
          </w:tcPr>
          <w:p>
            <w:pPr>
              <w:widowControl/>
              <w:spacing w:line="240" w:lineRule="auto"/>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86</w:t>
            </w:r>
          </w:p>
        </w:tc>
        <w:tc>
          <w:tcPr>
            <w:tcW w:w="667" w:type="pct"/>
            <w:noWrap/>
            <w:vAlign w:val="center"/>
          </w:tcPr>
          <w:p>
            <w:pPr>
              <w:widowControl/>
              <w:spacing w:line="240" w:lineRule="auto"/>
              <w:ind w:firstLine="0" w:firstLineChars="0"/>
              <w:jc w:val="center"/>
              <w:rPr>
                <w:rFonts w:hint="default"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86</w:t>
            </w:r>
          </w:p>
        </w:tc>
        <w:tc>
          <w:tcPr>
            <w:tcW w:w="667" w:type="pct"/>
            <w:noWrap/>
            <w:vAlign w:val="center"/>
          </w:tcPr>
          <w:p>
            <w:pPr>
              <w:widowControl/>
              <w:spacing w:line="240" w:lineRule="auto"/>
              <w:ind w:firstLine="0" w:firstLineChars="0"/>
              <w:jc w:val="center"/>
              <w:rPr>
                <w:rFonts w:hint="default"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86</w:t>
            </w:r>
          </w:p>
        </w:tc>
      </w:tr>
    </w:tbl>
    <w:p>
      <w:pPr>
        <w:bidi w:val="0"/>
      </w:pPr>
    </w:p>
    <w:p>
      <w:pPr>
        <w:pStyle w:val="3"/>
        <w:bidi w:val="0"/>
        <w:ind w:left="0" w:leftChars="0" w:firstLine="0" w:firstLineChars="0"/>
      </w:pPr>
      <w:bookmarkStart w:id="66" w:name="_Toc19688"/>
      <w:r>
        <w:rPr>
          <w:rFonts w:hint="eastAsia"/>
        </w:rPr>
        <w:t>电动汽车充电基础设施需求预测</w:t>
      </w:r>
      <w:bookmarkEnd w:id="66"/>
    </w:p>
    <w:p>
      <w:pPr>
        <w:pStyle w:val="4"/>
        <w:bidi w:val="0"/>
        <w:ind w:left="0" w:leftChars="0" w:firstLine="0" w:firstLineChars="0"/>
      </w:pPr>
      <w:bookmarkStart w:id="67" w:name="_Toc29146"/>
      <w:r>
        <w:rPr>
          <w:rFonts w:hint="eastAsia"/>
        </w:rPr>
        <w:t>预测原则</w:t>
      </w:r>
      <w:bookmarkEnd w:id="67"/>
    </w:p>
    <w:p>
      <w:pPr>
        <w:rPr>
          <w:rFonts w:hint="eastAsia"/>
        </w:rPr>
      </w:pPr>
      <w:r>
        <w:rPr>
          <w:rFonts w:hint="eastAsia"/>
        </w:rPr>
        <w:t>本次充电基础设施预测总体遵循“因地制宜，快慢互济、经济合理”的原则，具体来讲一方面基于前述岫岩县新能源汽车发展需求预测结果，按“以车定桩”原则进行充电基础设施规划，这一部分充电基础设施主要服务功能在于满足全县自身的发展需求。</w:t>
      </w:r>
    </w:p>
    <w:p>
      <w:pPr>
        <w:rPr>
          <w:rFonts w:hint="eastAsia"/>
        </w:rPr>
      </w:pPr>
      <w:r>
        <w:rPr>
          <w:rFonts w:hint="eastAsia"/>
        </w:rPr>
        <w:t>另一方面，考虑到</w:t>
      </w:r>
      <w:r>
        <w:rPr>
          <w:rFonts w:hint="eastAsia"/>
          <w:lang w:val="en-US" w:eastAsia="zh-CN"/>
        </w:rPr>
        <w:t>各类车辆对于电量需求以及充电时长的不同，综合考量充电量因素，最终以充电量预测为</w:t>
      </w:r>
      <w:r>
        <w:rPr>
          <w:rFonts w:hint="eastAsia"/>
        </w:rPr>
        <w:t>原则进行充电基础设施规划。</w:t>
      </w:r>
    </w:p>
    <w:p>
      <w:pPr>
        <w:rPr>
          <w:rFonts w:hint="eastAsia"/>
        </w:rPr>
      </w:pPr>
      <w:r>
        <w:rPr>
          <w:rFonts w:hint="eastAsia"/>
        </w:rPr>
        <w:t>换电站配建将严格按国家、省、市、县相关标准执行。</w:t>
      </w:r>
    </w:p>
    <w:p>
      <w:r>
        <w:rPr>
          <w:rFonts w:hint="eastAsia"/>
        </w:rPr>
        <w:t>最终汇总三者结果即得到全县的充电基础设施发展需求预测成果。</w:t>
      </w:r>
    </w:p>
    <w:p>
      <w:pPr>
        <w:pStyle w:val="4"/>
        <w:bidi w:val="0"/>
        <w:ind w:left="0" w:leftChars="0" w:firstLine="0" w:firstLineChars="0"/>
      </w:pPr>
      <w:bookmarkStart w:id="68" w:name="_Toc31289"/>
      <w:r>
        <w:rPr>
          <w:rFonts w:hint="eastAsia"/>
        </w:rPr>
        <w:t>“以车定桩”预测</w:t>
      </w:r>
      <w:bookmarkEnd w:id="68"/>
    </w:p>
    <w:p>
      <w:pPr>
        <w:rPr>
          <w:rFonts w:hint="eastAsia" w:ascii="仿宋" w:hAnsi="仿宋" w:eastAsia="仿宋" w:cs="仿宋"/>
          <w:sz w:val="28"/>
          <w:szCs w:val="28"/>
        </w:rPr>
      </w:pPr>
      <w:r>
        <w:rPr>
          <w:rFonts w:hint="eastAsia" w:ascii="仿宋" w:hAnsi="仿宋" w:eastAsia="仿宋" w:cs="仿宋"/>
          <w:sz w:val="28"/>
          <w:szCs w:val="28"/>
          <w:highlight w:val="none"/>
        </w:rPr>
        <w:t>综合《电动汽车充电基础设施发展指南（2015-2020年）》对</w:t>
      </w:r>
      <w:r>
        <w:rPr>
          <w:rFonts w:hint="eastAsia" w:ascii="仿宋" w:hAnsi="仿宋" w:eastAsia="仿宋" w:cs="仿宋"/>
          <w:sz w:val="28"/>
          <w:szCs w:val="28"/>
        </w:rPr>
        <w:t>于</w:t>
      </w:r>
      <w:r>
        <w:rPr>
          <w:rFonts w:hint="eastAsia" w:ascii="仿宋" w:hAnsi="仿宋" w:eastAsia="仿宋" w:cs="仿宋"/>
          <w:sz w:val="28"/>
          <w:szCs w:val="28"/>
          <w:lang w:val="en-US" w:eastAsia="zh-CN"/>
        </w:rPr>
        <w:t>加快发展</w:t>
      </w:r>
      <w:r>
        <w:rPr>
          <w:rFonts w:hint="eastAsia" w:ascii="仿宋" w:hAnsi="仿宋" w:eastAsia="仿宋" w:cs="仿宋"/>
          <w:sz w:val="28"/>
          <w:szCs w:val="28"/>
        </w:rPr>
        <w:t>区相关要求并参考其他地区规划成果，本次规划中不同类型车辆对应充电基础设施配置要求考虑如下：</w:t>
      </w:r>
    </w:p>
    <w:p>
      <w:pPr>
        <w:rPr>
          <w:rFonts w:hint="eastAsia" w:ascii="仿宋" w:hAnsi="仿宋" w:eastAsia="仿宋" w:cs="仿宋"/>
          <w:sz w:val="28"/>
          <w:szCs w:val="28"/>
        </w:rPr>
      </w:pPr>
      <w:r>
        <w:rPr>
          <w:rFonts w:hint="eastAsia" w:ascii="仿宋" w:hAnsi="仿宋" w:eastAsia="仿宋" w:cs="仿宋"/>
          <w:sz w:val="28"/>
          <w:szCs w:val="28"/>
        </w:rPr>
        <w:t>1.公交车</w:t>
      </w:r>
    </w:p>
    <w:p>
      <w:pPr>
        <w:rPr>
          <w:rFonts w:hint="eastAsia" w:ascii="仿宋" w:hAnsi="仿宋" w:eastAsia="仿宋" w:cs="仿宋"/>
          <w:sz w:val="28"/>
          <w:szCs w:val="28"/>
        </w:rPr>
      </w:pPr>
      <w:r>
        <w:rPr>
          <w:rFonts w:hint="eastAsia" w:ascii="仿宋" w:hAnsi="仿宋" w:eastAsia="仿宋" w:cs="仿宋"/>
          <w:sz w:val="28"/>
          <w:szCs w:val="28"/>
        </w:rPr>
        <w:t>公交车运行路线和行驶里程相对固定，中小型城市公交车日均行驶里程100-150公里，目前纯电动公交车续航里程在200公里左右，一次充电足以满足其日运营要求，因此夜间停运时纯电动公交车可在公交车场站进行充电。结合各类型公交场站设置公交车专用充电桩（直流）；公交车充电桩与公交电动车比例不低于1:4，</w:t>
      </w:r>
      <w:r>
        <w:rPr>
          <w:rFonts w:hint="eastAsia" w:ascii="仿宋" w:hAnsi="仿宋" w:eastAsia="仿宋" w:cs="仿宋"/>
          <w:sz w:val="28"/>
          <w:szCs w:val="28"/>
          <w:lang w:val="en-US" w:eastAsia="zh-CN"/>
        </w:rPr>
        <w:t>最终充电桩共需17个，</w:t>
      </w:r>
      <w:r>
        <w:rPr>
          <w:rFonts w:hint="eastAsia" w:ascii="仿宋" w:hAnsi="仿宋" w:eastAsia="仿宋" w:cs="仿宋"/>
          <w:sz w:val="28"/>
          <w:szCs w:val="28"/>
        </w:rPr>
        <w:t>可根据运营需要选择对社会车辆开放使用充电桩。</w:t>
      </w:r>
    </w:p>
    <w:p>
      <w:pPr>
        <w:pStyle w:val="12"/>
        <w:rPr>
          <w:rFonts w:hint="eastAsia" w:ascii="仿宋" w:hAnsi="仿宋" w:eastAsia="仿宋" w:cs="仿宋"/>
          <w:sz w:val="28"/>
          <w:szCs w:val="28"/>
        </w:rPr>
      </w:pPr>
      <w:r>
        <w:rPr>
          <w:rFonts w:hint="eastAsia" w:ascii="仿宋" w:hAnsi="仿宋" w:eastAsia="仿宋" w:cs="仿宋"/>
          <w:sz w:val="28"/>
          <w:szCs w:val="28"/>
        </w:rPr>
        <w:t>2.出租车</w:t>
      </w:r>
    </w:p>
    <w:p>
      <w:pPr>
        <w:pStyle w:val="12"/>
        <w:rPr>
          <w:rFonts w:hint="eastAsia" w:ascii="仿宋" w:hAnsi="仿宋" w:eastAsia="仿宋" w:cs="仿宋"/>
          <w:sz w:val="28"/>
          <w:szCs w:val="28"/>
        </w:rPr>
      </w:pPr>
      <w:r>
        <w:rPr>
          <w:rFonts w:hint="eastAsia" w:ascii="仿宋" w:hAnsi="仿宋" w:eastAsia="仿宋" w:cs="仿宋"/>
          <w:sz w:val="28"/>
          <w:szCs w:val="28"/>
        </w:rPr>
        <w:t>出租车行驶时间一般远大于停泊时间，日均行驶里程受城市规模、运营时间和服务半径影响较大，中小型城市出租车日均行驶里程150-200公里。纯电动出租车建议采用快速充电的方式，利用直流充电桩快速补电即可满足纯电动出租车运营需要。规划考虑电动出租车全部利用直流充电桩进行充电，桩车比不低于1:8。根据</w:t>
      </w:r>
      <w:r>
        <w:rPr>
          <w:rFonts w:hint="eastAsia" w:ascii="仿宋" w:hAnsi="仿宋" w:eastAsia="仿宋" w:cs="仿宋"/>
          <w:sz w:val="28"/>
          <w:szCs w:val="28"/>
          <w:lang w:val="en-US" w:eastAsia="zh-CN"/>
        </w:rPr>
        <w:t>岫岩</w:t>
      </w:r>
      <w:r>
        <w:rPr>
          <w:rFonts w:hint="eastAsia" w:ascii="仿宋" w:hAnsi="仿宋" w:eastAsia="仿宋" w:cs="仿宋"/>
          <w:sz w:val="28"/>
          <w:szCs w:val="28"/>
        </w:rPr>
        <w:t>县出租车经营情况，不单独设置出租车专用充电设施，电动出租车全部依靠公共充电桩补电</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共计需要11个充电桩</w:t>
      </w:r>
      <w:r>
        <w:rPr>
          <w:rFonts w:hint="eastAsia" w:ascii="仿宋" w:hAnsi="仿宋" w:eastAsia="仿宋" w:cs="仿宋"/>
          <w:sz w:val="28"/>
          <w:szCs w:val="28"/>
        </w:rPr>
        <w:t>。</w:t>
      </w:r>
    </w:p>
    <w:p>
      <w:pPr>
        <w:pStyle w:val="12"/>
        <w:rPr>
          <w:rFonts w:hint="eastAsia" w:ascii="仿宋" w:hAnsi="仿宋" w:eastAsia="仿宋" w:cs="仿宋"/>
          <w:sz w:val="28"/>
          <w:szCs w:val="28"/>
          <w:highlight w:val="none"/>
        </w:rPr>
      </w:pPr>
      <w:r>
        <w:rPr>
          <w:rFonts w:hint="eastAsia" w:ascii="仿宋" w:hAnsi="仿宋" w:eastAsia="仿宋" w:cs="仿宋"/>
          <w:sz w:val="28"/>
          <w:szCs w:val="28"/>
          <w:highlight w:val="none"/>
        </w:rPr>
        <w:t>3.乘用车</w:t>
      </w:r>
    </w:p>
    <w:p>
      <w:pPr>
        <w:pStyle w:val="12"/>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私人乘用车一般用于上下班使用或周末家庭出行，里程较短，日平均行驶里程40公里，夜间基本停运；一次充电一般可满足几天运行需要，一般在夜间停运期间充电，在必要时需快速充电。公务车一般用于市内和出差使用，有长途使用的需求，行驶里程不固定，日平均行驶里程100公里；一般在夜间停运期间充电，在必要时需快速充电。</w:t>
      </w:r>
      <w:r>
        <w:rPr>
          <w:rFonts w:hint="eastAsia" w:ascii="仿宋" w:hAnsi="仿宋" w:eastAsia="仿宋" w:cs="仿宋"/>
          <w:sz w:val="28"/>
          <w:szCs w:val="28"/>
          <w:highlight w:val="none"/>
          <w:lang w:val="en-US" w:eastAsia="zh-CN"/>
        </w:rPr>
        <w:t>结合</w:t>
      </w:r>
      <w:r>
        <w:rPr>
          <w:rFonts w:hint="eastAsia" w:ascii="仿宋" w:hAnsi="仿宋" w:eastAsia="仿宋" w:cs="仿宋"/>
          <w:sz w:val="28"/>
          <w:szCs w:val="28"/>
          <w:highlight w:val="none"/>
        </w:rPr>
        <w:t>《电动汽车充电基础设施发展指南（2015-2020年）》</w:t>
      </w:r>
      <w:r>
        <w:rPr>
          <w:rFonts w:hint="eastAsia" w:ascii="仿宋" w:hAnsi="仿宋" w:eastAsia="仿宋" w:cs="仿宋"/>
          <w:sz w:val="28"/>
          <w:szCs w:val="28"/>
          <w:highlight w:val="none"/>
          <w:lang w:val="en-US" w:eastAsia="zh-CN"/>
        </w:rPr>
        <w:t>对辽宁省车桩比要求，</w:t>
      </w:r>
      <w:r>
        <w:rPr>
          <w:rFonts w:hint="eastAsia" w:ascii="仿宋" w:hAnsi="仿宋" w:eastAsia="仿宋" w:cs="仿宋"/>
          <w:sz w:val="28"/>
          <w:szCs w:val="28"/>
          <w:highlight w:val="none"/>
        </w:rPr>
        <w:t>同时考虑</w:t>
      </w:r>
      <w:r>
        <w:rPr>
          <w:rFonts w:hint="eastAsia" w:ascii="仿宋" w:hAnsi="仿宋" w:eastAsia="仿宋" w:cs="仿宋"/>
          <w:sz w:val="28"/>
          <w:szCs w:val="28"/>
          <w:highlight w:val="none"/>
          <w:lang w:val="en-US" w:eastAsia="zh-CN"/>
        </w:rPr>
        <w:t>岫岩县实际发展水平和现状，并以适度超前为指导，</w:t>
      </w:r>
      <w:r>
        <w:rPr>
          <w:rFonts w:hint="eastAsia" w:ascii="仿宋" w:hAnsi="仿宋" w:eastAsia="仿宋" w:cs="仿宋"/>
          <w:sz w:val="28"/>
          <w:szCs w:val="28"/>
          <w:highlight w:val="none"/>
        </w:rPr>
        <w:t>在公用充电设施按桩车比1:1</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配置充电桩</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共计需要</w:t>
      </w:r>
      <w:r>
        <w:rPr>
          <w:rFonts w:hint="eastAsia" w:ascii="仿宋" w:hAnsi="仿宋" w:cs="仿宋"/>
          <w:sz w:val="28"/>
          <w:szCs w:val="28"/>
          <w:highlight w:val="none"/>
          <w:lang w:val="en-US" w:eastAsia="zh-CN"/>
        </w:rPr>
        <w:t>310</w:t>
      </w:r>
      <w:r>
        <w:rPr>
          <w:rFonts w:hint="eastAsia" w:ascii="仿宋" w:hAnsi="仿宋" w:eastAsia="仿宋" w:cs="仿宋"/>
          <w:sz w:val="28"/>
          <w:szCs w:val="28"/>
          <w:highlight w:val="none"/>
          <w:lang w:val="en-US" w:eastAsia="zh-CN"/>
        </w:rPr>
        <w:t>个充电桩</w:t>
      </w:r>
      <w:r>
        <w:rPr>
          <w:rFonts w:hint="eastAsia" w:ascii="仿宋" w:hAnsi="仿宋" w:eastAsia="仿宋" w:cs="仿宋"/>
          <w:sz w:val="28"/>
          <w:szCs w:val="28"/>
          <w:highlight w:val="none"/>
          <w:lang w:eastAsia="zh-CN"/>
        </w:rPr>
        <w:t>。</w:t>
      </w:r>
    </w:p>
    <w:p>
      <w:pPr>
        <w:pStyle w:val="12"/>
        <w:ind w:firstLine="560"/>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综上所述，预计规划期末</w:t>
      </w:r>
      <w:r>
        <w:rPr>
          <w:rFonts w:hint="eastAsia" w:ascii="仿宋" w:hAnsi="仿宋" w:eastAsia="仿宋" w:cs="仿宋"/>
          <w:sz w:val="28"/>
          <w:szCs w:val="28"/>
          <w:highlight w:val="none"/>
          <w:lang w:val="en-US"/>
        </w:rPr>
        <w:t>充电桩</w:t>
      </w:r>
      <w:r>
        <w:rPr>
          <w:rFonts w:hint="eastAsia" w:ascii="仿宋" w:hAnsi="仿宋" w:eastAsia="仿宋" w:cs="仿宋"/>
          <w:sz w:val="28"/>
          <w:szCs w:val="28"/>
          <w:highlight w:val="none"/>
          <w:lang w:val="en-US" w:eastAsia="zh-CN"/>
        </w:rPr>
        <w:t>需求量</w:t>
      </w:r>
      <w:r>
        <w:rPr>
          <w:rFonts w:hint="eastAsia" w:ascii="仿宋" w:hAnsi="仿宋" w:eastAsia="仿宋" w:cs="仿宋"/>
          <w:sz w:val="28"/>
          <w:szCs w:val="28"/>
          <w:highlight w:val="none"/>
          <w:lang w:val="en-US"/>
        </w:rPr>
        <w:t>总计</w:t>
      </w:r>
      <w:r>
        <w:rPr>
          <w:rFonts w:hint="eastAsia" w:ascii="仿宋" w:hAnsi="仿宋" w:eastAsia="仿宋" w:cs="仿宋"/>
          <w:sz w:val="28"/>
          <w:szCs w:val="28"/>
          <w:highlight w:val="none"/>
          <w:lang w:val="en-US" w:eastAsia="zh-CN"/>
        </w:rPr>
        <w:t>为</w:t>
      </w:r>
      <w:r>
        <w:rPr>
          <w:rFonts w:hint="eastAsia" w:ascii="仿宋" w:hAnsi="仿宋" w:cs="仿宋"/>
          <w:sz w:val="28"/>
          <w:szCs w:val="28"/>
          <w:highlight w:val="none"/>
          <w:lang w:val="en-US" w:eastAsia="zh-CN"/>
        </w:rPr>
        <w:t>338</w:t>
      </w:r>
      <w:r>
        <w:rPr>
          <w:rFonts w:hint="eastAsia" w:ascii="仿宋" w:hAnsi="仿宋" w:eastAsia="仿宋" w:cs="仿宋"/>
          <w:sz w:val="28"/>
          <w:szCs w:val="28"/>
          <w:highlight w:val="none"/>
          <w:lang w:val="en-US" w:eastAsia="zh-CN"/>
        </w:rPr>
        <w:t>个</w:t>
      </w:r>
      <w:r>
        <w:rPr>
          <w:rFonts w:hint="eastAsia" w:ascii="仿宋" w:hAnsi="仿宋" w:eastAsia="仿宋" w:cs="仿宋"/>
          <w:sz w:val="28"/>
          <w:szCs w:val="28"/>
          <w:highlight w:val="none"/>
          <w:lang w:val="en-US"/>
        </w:rPr>
        <w:t>，其中</w:t>
      </w:r>
      <w:r>
        <w:rPr>
          <w:rFonts w:hint="eastAsia" w:ascii="仿宋" w:hAnsi="仿宋" w:eastAsia="仿宋" w:cs="仿宋"/>
          <w:sz w:val="28"/>
          <w:szCs w:val="28"/>
          <w:highlight w:val="none"/>
          <w:lang w:val="en-US" w:eastAsia="zh-CN"/>
        </w:rPr>
        <w:t>17个</w:t>
      </w:r>
      <w:r>
        <w:rPr>
          <w:rFonts w:hint="eastAsia" w:ascii="仿宋" w:hAnsi="仿宋" w:eastAsia="仿宋" w:cs="仿宋"/>
          <w:sz w:val="28"/>
          <w:szCs w:val="28"/>
          <w:highlight w:val="none"/>
          <w:lang w:val="en-US"/>
        </w:rPr>
        <w:t>充电桩用于公交车充电业务和电动厢货充电，其中还有</w:t>
      </w:r>
      <w:r>
        <w:rPr>
          <w:rFonts w:hint="eastAsia" w:ascii="仿宋" w:hAnsi="仿宋" w:cs="仿宋"/>
          <w:sz w:val="28"/>
          <w:szCs w:val="28"/>
          <w:highlight w:val="none"/>
          <w:lang w:val="en-US" w:eastAsia="zh-CN"/>
        </w:rPr>
        <w:t>321</w:t>
      </w:r>
      <w:r>
        <w:rPr>
          <w:rFonts w:hint="eastAsia" w:ascii="仿宋" w:hAnsi="仿宋" w:eastAsia="仿宋" w:cs="仿宋"/>
          <w:sz w:val="28"/>
          <w:szCs w:val="28"/>
          <w:highlight w:val="none"/>
          <w:lang w:val="en-US" w:eastAsia="zh-CN"/>
        </w:rPr>
        <w:t>个</w:t>
      </w:r>
      <w:r>
        <w:rPr>
          <w:rFonts w:hint="eastAsia" w:ascii="仿宋" w:hAnsi="仿宋" w:eastAsia="仿宋" w:cs="仿宋"/>
          <w:sz w:val="28"/>
          <w:szCs w:val="28"/>
          <w:highlight w:val="none"/>
          <w:lang w:val="en-US"/>
        </w:rPr>
        <w:t>可开放对社会车辆充电。</w:t>
      </w:r>
    </w:p>
    <w:p>
      <w:pPr>
        <w:pStyle w:val="4"/>
        <w:bidi w:val="0"/>
        <w:ind w:left="0" w:leftChars="0" w:firstLine="0" w:firstLineChars="0"/>
      </w:pPr>
      <w:bookmarkStart w:id="69" w:name="_Toc15340"/>
      <w:r>
        <w:t>充电量预测法</w:t>
      </w:r>
      <w:bookmarkEnd w:id="69"/>
    </w:p>
    <w:p>
      <w:pPr>
        <w:ind w:firstLine="560"/>
        <w:rPr>
          <w:rFonts w:hint="eastAsia"/>
        </w:rPr>
      </w:pPr>
      <w:r>
        <w:t>公共充电设施的充电总功率分电动汽车类型，并按照充电量需求进行预测。具体如下：</w:t>
      </w:r>
    </w:p>
    <w:p>
      <w:pPr>
        <w:ind w:firstLine="560"/>
        <w:rPr>
          <w:rFonts w:hint="eastAsia" w:ascii="仿宋" w:hAnsi="仿宋" w:eastAsia="仿宋" w:cs="仿宋"/>
          <w:szCs w:val="28"/>
        </w:rPr>
      </w:pPr>
      <w:r>
        <w:rPr>
          <w:rFonts w:hint="eastAsia" w:ascii="仿宋" w:hAnsi="仿宋" w:eastAsia="仿宋" w:cs="仿宋"/>
          <w:szCs w:val="28"/>
        </w:rPr>
        <w:t>（1）某一类型电动汽车充电量需求计算方法如下：</w:t>
      </w:r>
    </w:p>
    <w:p>
      <w:pPr>
        <w:ind w:firstLine="560"/>
        <w:rPr>
          <w:rFonts w:hint="eastAsia" w:ascii="仿宋" w:hAnsi="仿宋" w:eastAsia="仿宋" w:cs="仿宋"/>
          <w:szCs w:val="28"/>
        </w:rPr>
      </w:pPr>
      <m:oMathPara>
        <m:oMath>
          <m:r>
            <m:rPr/>
            <w:rPr>
              <w:rFonts w:hint="eastAsia" w:ascii="Cambria Math" w:hAnsi="Cambria Math" w:eastAsia="仿宋" w:cs="仿宋"/>
              <w:szCs w:val="28"/>
            </w:rPr>
            <m:t>E</m:t>
          </m:r>
          <m:r>
            <m:rPr>
              <m:sty m:val="p"/>
            </m:rPr>
            <w:rPr>
              <w:rFonts w:hint="eastAsia" w:ascii="Cambria Math" w:hAnsi="Cambria Math" w:eastAsia="仿宋" w:cs="仿宋"/>
              <w:szCs w:val="28"/>
            </w:rPr>
            <m:t>=</m:t>
          </m:r>
          <m:r>
            <m:rPr/>
            <w:rPr>
              <w:rFonts w:hint="eastAsia" w:ascii="Cambria Math" w:hAnsi="Cambria Math" w:eastAsia="仿宋" w:cs="仿宋"/>
              <w:szCs w:val="28"/>
            </w:rPr>
            <m:t>Q×e×L×</m:t>
          </m:r>
          <m:f>
            <m:fPr>
              <m:ctrlPr>
                <w:rPr>
                  <w:rFonts w:hint="eastAsia" w:ascii="Cambria Math" w:hAnsi="Cambria Math" w:eastAsia="仿宋" w:cs="仿宋"/>
                  <w:szCs w:val="28"/>
                </w:rPr>
              </m:ctrlPr>
            </m:fPr>
            <m:num>
              <m:r>
                <m:rPr/>
                <w:rPr>
                  <w:rFonts w:hint="eastAsia" w:ascii="Cambria Math" w:hAnsi="Cambria Math" w:eastAsia="仿宋" w:cs="仿宋"/>
                  <w:szCs w:val="28"/>
                </w:rPr>
                <m:t>k</m:t>
              </m:r>
              <m:ctrlPr>
                <w:rPr>
                  <w:rFonts w:hint="eastAsia" w:ascii="Cambria Math" w:hAnsi="Cambria Math" w:eastAsia="仿宋" w:cs="仿宋"/>
                  <w:i/>
                  <w:szCs w:val="28"/>
                </w:rPr>
              </m:ctrlPr>
            </m:num>
            <m:den>
              <m:r>
                <m:rPr>
                  <m:sty m:val="p"/>
                </m:rPr>
                <w:rPr>
                  <w:rFonts w:hint="eastAsia" w:ascii="Cambria Math" w:hAnsi="Cambria Math" w:eastAsia="仿宋" w:cs="仿宋"/>
                  <w:szCs w:val="28"/>
                </w:rPr>
                <m:t>100</m:t>
              </m:r>
              <m:ctrlPr>
                <w:rPr>
                  <w:rFonts w:hint="eastAsia" w:ascii="Cambria Math" w:hAnsi="Cambria Math" w:eastAsia="仿宋" w:cs="仿宋"/>
                  <w:szCs w:val="28"/>
                </w:rPr>
              </m:ctrlPr>
            </m:den>
          </m:f>
        </m:oMath>
      </m:oMathPara>
    </w:p>
    <w:p>
      <w:pPr>
        <w:ind w:firstLine="560"/>
        <w:rPr>
          <w:rFonts w:hint="eastAsia" w:ascii="仿宋" w:hAnsi="仿宋" w:eastAsia="仿宋" w:cs="仿宋"/>
          <w:szCs w:val="28"/>
        </w:rPr>
      </w:pPr>
      <w:r>
        <w:rPr>
          <w:rFonts w:hint="eastAsia" w:ascii="仿宋" w:hAnsi="仿宋" w:eastAsia="仿宋" w:cs="仿宋"/>
          <w:szCs w:val="28"/>
        </w:rPr>
        <w:t>式中：</w:t>
      </w:r>
    </w:p>
    <w:p>
      <w:pPr>
        <w:ind w:firstLine="560"/>
        <w:rPr>
          <w:rFonts w:hint="eastAsia" w:ascii="仿宋" w:hAnsi="仿宋" w:eastAsia="仿宋" w:cs="仿宋"/>
          <w:iCs/>
          <w:szCs w:val="28"/>
        </w:rPr>
      </w:pPr>
      <w:r>
        <w:rPr>
          <w:rFonts w:hint="eastAsia" w:ascii="仿宋" w:hAnsi="仿宋" w:eastAsia="仿宋" w:cs="仿宋"/>
          <w:i/>
          <w:szCs w:val="28"/>
        </w:rPr>
        <w:t>E</w:t>
      </w:r>
      <w:r>
        <w:rPr>
          <w:rFonts w:hint="eastAsia" w:ascii="仿宋" w:hAnsi="仿宋" w:eastAsia="仿宋" w:cs="仿宋"/>
          <w:iCs/>
          <w:szCs w:val="28"/>
        </w:rPr>
        <w:t>—某一类型电动汽车年均充电总量；</w:t>
      </w:r>
    </w:p>
    <w:p>
      <w:pPr>
        <w:ind w:firstLine="560"/>
        <w:rPr>
          <w:rFonts w:hint="eastAsia" w:ascii="仿宋" w:hAnsi="仿宋" w:eastAsia="仿宋" w:cs="仿宋"/>
          <w:iCs/>
          <w:szCs w:val="28"/>
        </w:rPr>
      </w:pPr>
      <w:r>
        <w:rPr>
          <w:rFonts w:hint="eastAsia" w:ascii="仿宋" w:hAnsi="仿宋" w:eastAsia="仿宋" w:cs="仿宋"/>
          <w:i/>
          <w:szCs w:val="28"/>
        </w:rPr>
        <w:t>Q</w:t>
      </w:r>
      <w:r>
        <w:rPr>
          <w:rFonts w:hint="eastAsia" w:ascii="仿宋" w:hAnsi="仿宋" w:eastAsia="仿宋" w:cs="仿宋"/>
          <w:iCs/>
          <w:szCs w:val="28"/>
        </w:rPr>
        <w:t>—某一类型电动汽车年末保有量规模；</w:t>
      </w:r>
    </w:p>
    <w:p>
      <w:pPr>
        <w:ind w:firstLine="560"/>
        <w:rPr>
          <w:rFonts w:hint="eastAsia" w:ascii="仿宋" w:hAnsi="仿宋" w:eastAsia="仿宋" w:cs="仿宋"/>
          <w:iCs/>
          <w:szCs w:val="28"/>
        </w:rPr>
      </w:pPr>
      <m:oMath>
        <m:r>
          <m:rPr/>
          <w:rPr>
            <w:rFonts w:hint="eastAsia" w:ascii="Cambria Math" w:hAnsi="Cambria Math" w:eastAsia="仿宋" w:cs="仿宋"/>
            <w:szCs w:val="28"/>
          </w:rPr>
          <m:t>∆Q</m:t>
        </m:r>
      </m:oMath>
      <w:r>
        <w:rPr>
          <w:rFonts w:hint="eastAsia" w:ascii="仿宋" w:hAnsi="仿宋" w:eastAsia="仿宋" w:cs="仿宋"/>
          <w:iCs/>
          <w:szCs w:val="28"/>
        </w:rPr>
        <w:t>—电动汽车保有量当年新增数量;</w:t>
      </w:r>
    </w:p>
    <w:p>
      <w:pPr>
        <w:ind w:firstLine="560"/>
        <w:rPr>
          <w:rFonts w:hint="eastAsia" w:ascii="仿宋" w:hAnsi="仿宋" w:eastAsia="仿宋" w:cs="仿宋"/>
          <w:iCs/>
          <w:szCs w:val="28"/>
        </w:rPr>
      </w:pPr>
      <m:oMath>
        <m:r>
          <m:rPr/>
          <w:rPr>
            <w:rFonts w:hint="eastAsia" w:ascii="Cambria Math" w:hAnsi="Cambria Math" w:eastAsia="仿宋" w:cs="仿宋"/>
            <w:szCs w:val="28"/>
          </w:rPr>
          <m:t>e</m:t>
        </m:r>
      </m:oMath>
      <w:r>
        <w:rPr>
          <w:rFonts w:hint="eastAsia" w:ascii="仿宋" w:hAnsi="仿宋" w:eastAsia="仿宋" w:cs="仿宋"/>
          <w:iCs/>
          <w:szCs w:val="28"/>
        </w:rPr>
        <w:t>—某一类型电动汽车百公里平均耗电量；</w:t>
      </w:r>
    </w:p>
    <w:p>
      <w:pPr>
        <w:ind w:firstLine="560"/>
        <w:rPr>
          <w:rFonts w:hint="eastAsia" w:ascii="仿宋" w:hAnsi="仿宋" w:eastAsia="仿宋" w:cs="仿宋"/>
          <w:iCs/>
          <w:szCs w:val="28"/>
        </w:rPr>
      </w:pPr>
      <w:r>
        <w:rPr>
          <w:rFonts w:hint="eastAsia" w:ascii="仿宋" w:hAnsi="仿宋" w:eastAsia="仿宋" w:cs="仿宋"/>
          <w:i/>
          <w:iCs/>
          <w:szCs w:val="28"/>
        </w:rPr>
        <w:t>L</w:t>
      </w:r>
      <w:r>
        <w:rPr>
          <w:rFonts w:hint="eastAsia" w:ascii="仿宋" w:hAnsi="仿宋" w:eastAsia="仿宋" w:cs="仿宋"/>
          <w:iCs/>
          <w:szCs w:val="28"/>
        </w:rPr>
        <w:t>—某一类型电动汽车的年均行驶里程数（根据历史数据统计）；</w:t>
      </w:r>
    </w:p>
    <w:p>
      <w:pPr>
        <w:ind w:firstLine="560"/>
        <w:rPr>
          <w:rFonts w:hint="eastAsia" w:ascii="仿宋" w:hAnsi="仿宋" w:eastAsia="仿宋" w:cs="仿宋"/>
          <w:iCs/>
          <w:szCs w:val="28"/>
        </w:rPr>
      </w:pPr>
      <w:r>
        <w:rPr>
          <w:rFonts w:hint="eastAsia" w:ascii="仿宋" w:hAnsi="仿宋" w:eastAsia="仿宋" w:cs="仿宋"/>
          <w:i/>
          <w:iCs/>
          <w:szCs w:val="28"/>
        </w:rPr>
        <w:t>k</w:t>
      </w:r>
      <w:r>
        <w:rPr>
          <w:rFonts w:hint="eastAsia" w:ascii="仿宋" w:hAnsi="仿宋" w:eastAsia="仿宋" w:cs="仿宋"/>
          <w:iCs/>
          <w:szCs w:val="28"/>
        </w:rPr>
        <w:t>—某一类型电动汽车的保有量中位数折算系数。</w:t>
      </w:r>
    </w:p>
    <w:p>
      <w:pPr>
        <w:ind w:firstLine="560"/>
        <w:rPr>
          <w:rFonts w:hint="eastAsia" w:ascii="仿宋" w:hAnsi="仿宋" w:eastAsia="仿宋" w:cs="仿宋"/>
          <w:szCs w:val="28"/>
        </w:rPr>
      </w:pPr>
      <w:r>
        <w:rPr>
          <w:rFonts w:hint="eastAsia" w:ascii="仿宋" w:hAnsi="仿宋" w:eastAsia="仿宋" w:cs="仿宋"/>
          <w:szCs w:val="28"/>
        </w:rPr>
        <w:t>考虑到一年中电动汽车的保有量是一个动态增长的过程，直接采用电动汽车年末保有量规模，会造成充电量需求预测偏高。因此引入中位数折算系数</w:t>
      </w:r>
      <w:r>
        <w:rPr>
          <w:rFonts w:hint="eastAsia" w:ascii="仿宋" w:hAnsi="仿宋" w:eastAsia="仿宋" w:cs="仿宋"/>
          <w:i/>
          <w:iCs/>
          <w:szCs w:val="28"/>
        </w:rPr>
        <w:t>k</w:t>
      </w:r>
      <w:r>
        <w:rPr>
          <w:rFonts w:hint="eastAsia" w:ascii="仿宋" w:hAnsi="仿宋" w:eastAsia="仿宋" w:cs="仿宋"/>
          <w:szCs w:val="28"/>
        </w:rPr>
        <w:t>进行修正，其取值需根据电动汽车保有量增长曲线进行确定。</w:t>
      </w:r>
    </w:p>
    <w:p>
      <w:pPr>
        <w:ind w:firstLine="560"/>
        <w:rPr>
          <w:rFonts w:hint="eastAsia" w:ascii="仿宋" w:hAnsi="仿宋" w:eastAsia="仿宋" w:cs="仿宋"/>
          <w:szCs w:val="28"/>
        </w:rPr>
      </w:pPr>
      <w:r>
        <w:rPr>
          <w:rFonts w:hint="eastAsia" w:ascii="仿宋" w:hAnsi="仿宋" w:eastAsia="仿宋" w:cs="仿宋"/>
          <w:szCs w:val="28"/>
        </w:rPr>
        <w:t>（2）充电总功率计算方法如下：</w:t>
      </w:r>
    </w:p>
    <w:p>
      <w:pPr>
        <w:ind w:firstLine="560"/>
        <w:jc w:val="center"/>
        <w:rPr>
          <w:rFonts w:hint="eastAsia" w:ascii="仿宋" w:hAnsi="仿宋" w:eastAsia="仿宋" w:cs="仿宋"/>
          <w:szCs w:val="28"/>
        </w:rPr>
      </w:pPr>
      <m:oMath>
        <m:sSub>
          <m:sSubPr>
            <m:ctrlPr>
              <w:rPr>
                <w:rFonts w:hint="eastAsia" w:ascii="Cambria Math" w:hAnsi="Cambria Math" w:eastAsia="仿宋" w:cs="仿宋"/>
                <w:i/>
                <w:iCs/>
                <w:szCs w:val="28"/>
              </w:rPr>
            </m:ctrlPr>
          </m:sSubPr>
          <m:e>
            <m:r>
              <m:rPr/>
              <w:rPr>
                <w:rFonts w:hint="eastAsia" w:ascii="Cambria Math" w:hAnsi="Cambria Math" w:eastAsia="仿宋" w:cs="仿宋"/>
                <w:szCs w:val="28"/>
              </w:rPr>
              <m:t>P</m:t>
            </m:r>
            <m:ctrlPr>
              <w:rPr>
                <w:rFonts w:hint="eastAsia" w:ascii="Cambria Math" w:hAnsi="Cambria Math" w:eastAsia="仿宋" w:cs="仿宋"/>
                <w:i/>
                <w:iCs/>
                <w:szCs w:val="28"/>
              </w:rPr>
            </m:ctrlPr>
          </m:e>
          <m:sub>
            <m:r>
              <m:rPr>
                <m:sty m:val="p"/>
              </m:rPr>
              <w:rPr>
                <w:rFonts w:hint="eastAsia" w:ascii="Cambria Math" w:hAnsi="Cambria Math" w:eastAsia="仿宋" w:cs="仿宋"/>
                <w:szCs w:val="28"/>
              </w:rPr>
              <m:t>公共</m:t>
            </m:r>
            <m:ctrlPr>
              <w:rPr>
                <w:rFonts w:hint="eastAsia" w:ascii="Cambria Math" w:hAnsi="Cambria Math" w:eastAsia="仿宋" w:cs="仿宋"/>
                <w:i/>
                <w:iCs/>
                <w:szCs w:val="28"/>
              </w:rPr>
            </m:ctrlPr>
          </m:sub>
        </m:sSub>
        <m:r>
          <m:rPr/>
          <w:rPr>
            <w:rFonts w:hint="eastAsia" w:ascii="Cambria Math" w:hAnsi="Cambria Math" w:eastAsia="仿宋" w:cs="仿宋"/>
            <w:szCs w:val="28"/>
          </w:rPr>
          <m:t>=</m:t>
        </m:r>
        <m:nary>
          <m:naryPr>
            <m:chr m:val="∑"/>
            <m:limLoc m:val="undOvr"/>
            <m:subHide m:val="1"/>
            <m:supHide m:val="1"/>
            <m:ctrlPr>
              <w:rPr>
                <w:rFonts w:hint="eastAsia" w:ascii="Cambria Math" w:hAnsi="Cambria Math" w:eastAsia="仿宋" w:cs="仿宋"/>
                <w:szCs w:val="28"/>
              </w:rPr>
            </m:ctrlPr>
          </m:naryPr>
          <m:sub>
            <m:ctrlPr>
              <w:rPr>
                <w:rFonts w:hint="eastAsia" w:ascii="Cambria Math" w:hAnsi="Cambria Math" w:eastAsia="仿宋" w:cs="仿宋"/>
                <w:szCs w:val="28"/>
              </w:rPr>
            </m:ctrlPr>
          </m:sub>
          <m:sup>
            <m:ctrlPr>
              <w:rPr>
                <w:rFonts w:hint="eastAsia" w:ascii="Cambria Math" w:hAnsi="Cambria Math" w:eastAsia="仿宋" w:cs="仿宋"/>
                <w:szCs w:val="28"/>
              </w:rPr>
            </m:ctrlPr>
          </m:sup>
          <m:e>
            <m:r>
              <m:rPr/>
              <w:rPr>
                <w:rFonts w:hint="eastAsia" w:ascii="Cambria Math" w:hAnsi="Cambria Math" w:eastAsia="仿宋" w:cs="仿宋"/>
                <w:szCs w:val="28"/>
              </w:rPr>
              <m:t>(</m:t>
            </m:r>
            <m:sSub>
              <m:sSubPr>
                <m:ctrlPr>
                  <w:rPr>
                    <w:rFonts w:hint="eastAsia" w:ascii="Cambria Math" w:hAnsi="Cambria Math" w:eastAsia="仿宋" w:cs="仿宋"/>
                    <w:i/>
                    <w:iCs/>
                    <w:szCs w:val="28"/>
                  </w:rPr>
                </m:ctrlPr>
              </m:sSubPr>
              <m:e>
                <m:r>
                  <m:rPr/>
                  <w:rPr>
                    <w:rFonts w:hint="eastAsia" w:ascii="Cambria Math" w:hAnsi="Cambria Math" w:eastAsia="仿宋" w:cs="仿宋"/>
                    <w:szCs w:val="28"/>
                  </w:rPr>
                  <m:t>E</m:t>
                </m:r>
                <m:ctrlPr>
                  <w:rPr>
                    <w:rFonts w:hint="eastAsia" w:ascii="Cambria Math" w:hAnsi="Cambria Math" w:eastAsia="仿宋" w:cs="仿宋"/>
                    <w:i/>
                    <w:iCs/>
                    <w:szCs w:val="28"/>
                  </w:rPr>
                </m:ctrlPr>
              </m:e>
              <m:sub>
                <m:r>
                  <m:rPr/>
                  <w:rPr>
                    <w:rFonts w:hint="eastAsia" w:ascii="Cambria Math" w:hAnsi="Cambria Math" w:eastAsia="仿宋" w:cs="仿宋"/>
                    <w:szCs w:val="28"/>
                  </w:rPr>
                  <m:t>i</m:t>
                </m:r>
                <m:ctrlPr>
                  <w:rPr>
                    <w:rFonts w:hint="eastAsia" w:ascii="Cambria Math" w:hAnsi="Cambria Math" w:eastAsia="仿宋" w:cs="仿宋"/>
                    <w:i/>
                    <w:iCs/>
                    <w:szCs w:val="28"/>
                  </w:rPr>
                </m:ctrlPr>
              </m:sub>
            </m:sSub>
            <m:r>
              <m:rPr/>
              <w:rPr>
                <w:rFonts w:hint="eastAsia" w:ascii="Cambria Math" w:hAnsi="Cambria Math" w:eastAsia="仿宋" w:cs="仿宋"/>
                <w:szCs w:val="28"/>
              </w:rPr>
              <m:t>×</m:t>
            </m:r>
            <m:sSub>
              <m:sSubPr>
                <m:ctrlPr>
                  <w:rPr>
                    <w:rFonts w:hint="eastAsia" w:ascii="Cambria Math" w:hAnsi="Cambria Math" w:eastAsia="仿宋" w:cs="仿宋"/>
                    <w:i/>
                    <w:szCs w:val="28"/>
                  </w:rPr>
                </m:ctrlPr>
              </m:sSubPr>
              <m:e>
                <m:r>
                  <m:rPr/>
                  <w:rPr>
                    <w:rFonts w:hint="eastAsia" w:ascii="Cambria Math" w:hAnsi="Cambria Math" w:eastAsia="仿宋" w:cs="仿宋"/>
                    <w:szCs w:val="28"/>
                  </w:rPr>
                  <m:t>n</m:t>
                </m:r>
                <m:ctrlPr>
                  <w:rPr>
                    <w:rFonts w:hint="eastAsia" w:ascii="Cambria Math" w:hAnsi="Cambria Math" w:eastAsia="仿宋" w:cs="仿宋"/>
                    <w:i/>
                    <w:szCs w:val="28"/>
                  </w:rPr>
                </m:ctrlPr>
              </m:e>
              <m:sub>
                <m:r>
                  <m:rPr/>
                  <w:rPr>
                    <w:rFonts w:hint="eastAsia" w:ascii="Cambria Math" w:hAnsi="Cambria Math" w:eastAsia="仿宋" w:cs="仿宋"/>
                    <w:szCs w:val="28"/>
                  </w:rPr>
                  <m:t>i</m:t>
                </m:r>
                <m:ctrlPr>
                  <w:rPr>
                    <w:rFonts w:hint="eastAsia" w:ascii="Cambria Math" w:hAnsi="Cambria Math" w:eastAsia="仿宋" w:cs="仿宋"/>
                    <w:i/>
                    <w:szCs w:val="28"/>
                  </w:rPr>
                </m:ctrlPr>
              </m:sub>
            </m:sSub>
            <m:ctrlPr>
              <w:rPr>
                <w:rFonts w:hint="eastAsia" w:ascii="Cambria Math" w:hAnsi="Cambria Math" w:eastAsia="仿宋" w:cs="仿宋"/>
                <w:szCs w:val="28"/>
              </w:rPr>
            </m:ctrlPr>
          </m:e>
        </m:nary>
        <m:r>
          <m:rPr>
            <m:sty m:val="p"/>
          </m:rPr>
          <w:rPr>
            <w:rFonts w:hint="eastAsia" w:ascii="Cambria Math" w:hAnsi="Cambria Math" w:eastAsia="仿宋" w:cs="仿宋"/>
            <w:szCs w:val="28"/>
          </w:rPr>
          <m:t>)/</m:t>
        </m:r>
        <m:r>
          <m:rPr/>
          <w:rPr>
            <w:rFonts w:hint="eastAsia" w:ascii="Cambria Math" w:hAnsi="Cambria Math" w:eastAsia="仿宋" w:cs="仿宋"/>
            <w:szCs w:val="28"/>
          </w:rPr>
          <m:t>(</m:t>
        </m:r>
        <m:sSub>
          <m:sSubPr>
            <m:ctrlPr>
              <w:rPr>
                <w:rFonts w:hint="eastAsia" w:ascii="Cambria Math" w:hAnsi="Cambria Math" w:eastAsia="仿宋" w:cs="仿宋"/>
                <w:i/>
                <w:iCs/>
                <w:szCs w:val="28"/>
              </w:rPr>
            </m:ctrlPr>
          </m:sSubPr>
          <m:e>
            <m:r>
              <m:rPr/>
              <w:rPr>
                <w:rFonts w:hint="eastAsia" w:ascii="Cambria Math" w:hAnsi="Cambria Math" w:eastAsia="仿宋" w:cs="仿宋"/>
                <w:szCs w:val="28"/>
              </w:rPr>
              <m:t>t</m:t>
            </m:r>
            <m:ctrlPr>
              <w:rPr>
                <w:rFonts w:hint="eastAsia" w:ascii="Cambria Math" w:hAnsi="Cambria Math" w:eastAsia="仿宋" w:cs="仿宋"/>
                <w:i/>
                <w:iCs/>
                <w:szCs w:val="28"/>
              </w:rPr>
            </m:ctrlPr>
          </m:e>
          <m:sub>
            <m:r>
              <m:rPr>
                <m:sty m:val="p"/>
              </m:rPr>
              <w:rPr>
                <w:rFonts w:hint="eastAsia" w:ascii="Cambria Math" w:hAnsi="Cambria Math" w:eastAsia="仿宋" w:cs="仿宋"/>
                <w:szCs w:val="28"/>
              </w:rPr>
              <m:t>公共</m:t>
            </m:r>
            <m:ctrlPr>
              <w:rPr>
                <w:rFonts w:hint="eastAsia" w:ascii="Cambria Math" w:hAnsi="Cambria Math" w:eastAsia="仿宋" w:cs="仿宋"/>
                <w:i/>
                <w:iCs/>
                <w:szCs w:val="28"/>
              </w:rPr>
            </m:ctrlPr>
          </m:sub>
        </m:sSub>
        <m:r>
          <m:rPr/>
          <w:rPr>
            <w:rFonts w:hint="eastAsia" w:ascii="Cambria Math" w:hAnsi="Cambria Math" w:eastAsia="仿宋" w:cs="仿宋"/>
            <w:szCs w:val="28"/>
          </w:rPr>
          <m:t>×365</m:t>
        </m:r>
      </m:oMath>
      <w:r>
        <w:rPr>
          <w:rFonts w:hint="eastAsia" w:ascii="仿宋" w:hAnsi="仿宋" w:eastAsia="仿宋" w:cs="仿宋"/>
          <w:szCs w:val="28"/>
        </w:rPr>
        <w:t>)</w:t>
      </w:r>
    </w:p>
    <w:p>
      <w:pPr>
        <w:ind w:firstLine="560"/>
        <w:rPr>
          <w:rFonts w:hint="eastAsia" w:ascii="仿宋" w:hAnsi="仿宋" w:eastAsia="仿宋" w:cs="仿宋"/>
          <w:szCs w:val="28"/>
        </w:rPr>
      </w:pPr>
      <w:r>
        <w:rPr>
          <w:rFonts w:hint="eastAsia" w:ascii="仿宋" w:hAnsi="仿宋" w:eastAsia="仿宋" w:cs="仿宋"/>
          <w:szCs w:val="28"/>
        </w:rPr>
        <w:t>式中：</w:t>
      </w:r>
    </w:p>
    <w:p>
      <w:pPr>
        <w:ind w:firstLine="560"/>
        <w:rPr>
          <w:rFonts w:hint="eastAsia" w:ascii="仿宋" w:hAnsi="仿宋" w:eastAsia="仿宋" w:cs="仿宋"/>
          <w:iCs/>
          <w:szCs w:val="28"/>
        </w:rPr>
      </w:pPr>
      <w:r>
        <w:rPr>
          <w:rFonts w:hint="eastAsia" w:ascii="仿宋" w:hAnsi="仿宋" w:eastAsia="仿宋" w:cs="仿宋"/>
          <w:i/>
          <w:iCs/>
          <w:szCs w:val="28"/>
        </w:rPr>
        <w:t>P</w:t>
      </w:r>
      <w:r>
        <w:rPr>
          <w:rFonts w:hint="eastAsia" w:ascii="仿宋" w:hAnsi="仿宋" w:eastAsia="仿宋" w:cs="仿宋"/>
          <w:iCs/>
          <w:szCs w:val="28"/>
          <w:vertAlign w:val="subscript"/>
        </w:rPr>
        <w:t>公共</w:t>
      </w:r>
      <w:r>
        <w:rPr>
          <w:rFonts w:hint="eastAsia" w:ascii="仿宋" w:hAnsi="仿宋" w:eastAsia="仿宋" w:cs="仿宋"/>
          <w:iCs/>
          <w:szCs w:val="28"/>
        </w:rPr>
        <w:t>—</w:t>
      </w:r>
      <w:r>
        <w:rPr>
          <w:rFonts w:hint="eastAsia" w:ascii="仿宋" w:hAnsi="仿宋" w:eastAsia="仿宋" w:cs="仿宋"/>
          <w:bCs/>
          <w:spacing w:val="-6"/>
          <w:kern w:val="0"/>
          <w:szCs w:val="28"/>
        </w:rPr>
        <w:t>公共充电设施的充电总功率</w:t>
      </w:r>
      <w:r>
        <w:rPr>
          <w:rFonts w:hint="eastAsia" w:ascii="仿宋" w:hAnsi="仿宋" w:eastAsia="仿宋" w:cs="仿宋"/>
          <w:szCs w:val="28"/>
        </w:rPr>
        <w:t>；</w:t>
      </w:r>
    </w:p>
    <w:p>
      <w:pPr>
        <w:ind w:firstLine="560"/>
        <w:rPr>
          <w:rFonts w:hint="eastAsia" w:ascii="仿宋" w:hAnsi="仿宋" w:eastAsia="仿宋" w:cs="仿宋"/>
          <w:szCs w:val="28"/>
        </w:rPr>
      </w:pPr>
      <w:r>
        <w:rPr>
          <w:rFonts w:hint="eastAsia" w:ascii="仿宋" w:hAnsi="仿宋" w:eastAsia="仿宋" w:cs="仿宋"/>
          <w:i/>
          <w:iCs/>
          <w:szCs w:val="28"/>
        </w:rPr>
        <w:t>E</w:t>
      </w:r>
      <w:r>
        <w:rPr>
          <w:rFonts w:hint="eastAsia" w:ascii="仿宋" w:hAnsi="仿宋" w:eastAsia="仿宋" w:cs="仿宋"/>
          <w:i/>
          <w:iCs/>
          <w:szCs w:val="28"/>
          <w:vertAlign w:val="subscript"/>
        </w:rPr>
        <w:t>i</w:t>
      </w:r>
      <w:r>
        <w:rPr>
          <w:rFonts w:hint="eastAsia" w:ascii="仿宋" w:hAnsi="仿宋" w:eastAsia="仿宋" w:cs="仿宋"/>
          <w:iCs/>
          <w:szCs w:val="28"/>
        </w:rPr>
        <w:t>—某一类型电动汽车</w:t>
      </w:r>
      <w:r>
        <w:rPr>
          <w:rFonts w:hint="eastAsia" w:ascii="仿宋" w:hAnsi="仿宋" w:eastAsia="仿宋" w:cs="仿宋"/>
          <w:szCs w:val="28"/>
        </w:rPr>
        <w:t>的</w:t>
      </w:r>
      <w:r>
        <w:rPr>
          <w:rFonts w:hint="eastAsia" w:ascii="仿宋" w:hAnsi="仿宋" w:eastAsia="仿宋" w:cs="仿宋"/>
          <w:iCs/>
          <w:szCs w:val="28"/>
        </w:rPr>
        <w:t>年均充电总量</w:t>
      </w:r>
      <w:r>
        <w:rPr>
          <w:rFonts w:hint="eastAsia" w:ascii="仿宋" w:hAnsi="仿宋" w:eastAsia="仿宋" w:cs="仿宋"/>
          <w:szCs w:val="28"/>
        </w:rPr>
        <w:t>；</w:t>
      </w:r>
    </w:p>
    <w:p>
      <w:pPr>
        <w:ind w:firstLine="560"/>
        <w:rPr>
          <w:rFonts w:hint="eastAsia" w:ascii="仿宋" w:hAnsi="仿宋" w:eastAsia="仿宋" w:cs="仿宋"/>
          <w:szCs w:val="28"/>
        </w:rPr>
      </w:pPr>
      <w:r>
        <w:rPr>
          <w:rFonts w:hint="eastAsia" w:ascii="仿宋" w:hAnsi="仿宋" w:eastAsia="仿宋" w:cs="仿宋"/>
          <w:i/>
          <w:szCs w:val="28"/>
        </w:rPr>
        <w:t>n</w:t>
      </w:r>
      <w:r>
        <w:rPr>
          <w:rFonts w:hint="eastAsia" w:ascii="仿宋" w:hAnsi="仿宋" w:eastAsia="仿宋" w:cs="仿宋"/>
          <w:i/>
          <w:szCs w:val="28"/>
          <w:vertAlign w:val="subscript"/>
        </w:rPr>
        <w:t>i</w:t>
      </w:r>
      <w:r>
        <w:rPr>
          <w:rFonts w:hint="eastAsia" w:ascii="仿宋" w:hAnsi="仿宋" w:eastAsia="仿宋" w:cs="仿宋"/>
          <w:iCs/>
          <w:szCs w:val="28"/>
        </w:rPr>
        <w:t>—某一类型</w:t>
      </w:r>
      <w:r>
        <w:rPr>
          <w:rFonts w:hint="eastAsia" w:ascii="仿宋" w:hAnsi="仿宋" w:eastAsia="仿宋" w:cs="仿宋"/>
          <w:szCs w:val="28"/>
        </w:rPr>
        <w:t>电动汽车的公共领域充电量占年均充电总量比例；</w:t>
      </w:r>
    </w:p>
    <w:p>
      <w:pPr>
        <w:ind w:firstLine="560"/>
        <w:rPr>
          <w:rFonts w:hint="eastAsia" w:ascii="仿宋" w:hAnsi="仿宋" w:eastAsia="仿宋" w:cs="仿宋"/>
          <w:iCs/>
          <w:szCs w:val="28"/>
        </w:rPr>
      </w:pPr>
      <w:r>
        <w:rPr>
          <w:rFonts w:hint="eastAsia" w:ascii="仿宋" w:hAnsi="仿宋" w:eastAsia="仿宋" w:cs="仿宋"/>
          <w:i/>
          <w:szCs w:val="28"/>
        </w:rPr>
        <w:t>i</w:t>
      </w:r>
      <w:r>
        <w:rPr>
          <w:rFonts w:hint="eastAsia" w:ascii="仿宋" w:hAnsi="仿宋" w:eastAsia="仿宋" w:cs="仿宋"/>
          <w:iCs/>
          <w:szCs w:val="28"/>
        </w:rPr>
        <w:t>—有公共充电需求的电动汽车类型，一般包括私人乘用车、出租车、网约车、物流车等；</w:t>
      </w:r>
    </w:p>
    <w:p>
      <w:pPr>
        <w:ind w:firstLine="560"/>
        <w:rPr>
          <w:rFonts w:hint="eastAsia" w:ascii="仿宋" w:hAnsi="仿宋" w:eastAsia="仿宋" w:cs="仿宋"/>
          <w:szCs w:val="28"/>
        </w:rPr>
      </w:pPr>
      <w:r>
        <w:rPr>
          <w:rFonts w:hint="eastAsia" w:ascii="仿宋" w:hAnsi="仿宋" w:eastAsia="仿宋" w:cs="仿宋"/>
          <w:i/>
          <w:iCs/>
          <w:szCs w:val="28"/>
        </w:rPr>
        <w:t>t</w:t>
      </w:r>
      <w:r>
        <w:rPr>
          <w:rFonts w:hint="eastAsia" w:ascii="仿宋" w:hAnsi="仿宋" w:eastAsia="仿宋" w:cs="仿宋"/>
          <w:iCs/>
          <w:szCs w:val="28"/>
          <w:vertAlign w:val="subscript"/>
        </w:rPr>
        <w:t>公共</w:t>
      </w:r>
      <w:r>
        <w:rPr>
          <w:rFonts w:hint="eastAsia" w:ascii="仿宋" w:hAnsi="仿宋" w:eastAsia="仿宋" w:cs="仿宋"/>
          <w:iCs/>
          <w:szCs w:val="28"/>
        </w:rPr>
        <w:t>—</w:t>
      </w:r>
      <w:r>
        <w:rPr>
          <w:rFonts w:hint="eastAsia" w:ascii="仿宋" w:hAnsi="仿宋" w:eastAsia="仿宋" w:cs="仿宋"/>
          <w:szCs w:val="28"/>
        </w:rPr>
        <w:t>公共充电设施日利用小时数。</w:t>
      </w:r>
    </w:p>
    <w:p>
      <w:pPr>
        <w:ind w:firstLine="560"/>
        <w:rPr>
          <w:rFonts w:hint="eastAsia" w:ascii="仿宋" w:hAnsi="仿宋" w:eastAsia="仿宋" w:cs="仿宋"/>
          <w:iCs/>
          <w:szCs w:val="28"/>
        </w:rPr>
      </w:pPr>
      <w:r>
        <w:rPr>
          <w:rFonts w:hint="eastAsia" w:ascii="仿宋" w:hAnsi="仿宋" w:eastAsia="仿宋" w:cs="仿宋"/>
          <w:iCs/>
          <w:szCs w:val="28"/>
        </w:rPr>
        <w:t>（3）充电设施总桩数计算方法如下：</w:t>
      </w:r>
    </w:p>
    <w:p>
      <w:pPr>
        <w:ind w:firstLine="560"/>
        <w:rPr>
          <w:rFonts w:hint="eastAsia" w:ascii="仿宋" w:hAnsi="仿宋" w:eastAsia="仿宋" w:cs="仿宋"/>
        </w:rPr>
      </w:pPr>
      <m:oMathPara>
        <m:oMath>
          <m:sSub>
            <m:sSubPr>
              <m:ctrlPr>
                <w:rPr>
                  <w:rFonts w:hint="eastAsia" w:ascii="Cambria Math" w:hAnsi="Cambria Math" w:eastAsia="仿宋" w:cs="仿宋"/>
                  <w:i/>
                  <w:szCs w:val="28"/>
                </w:rPr>
              </m:ctrlPr>
            </m:sSubPr>
            <m:e>
              <m:r>
                <m:rPr/>
                <w:rPr>
                  <w:rFonts w:hint="eastAsia" w:ascii="Cambria Math" w:hAnsi="Cambria Math" w:eastAsia="仿宋" w:cs="仿宋"/>
                  <w:szCs w:val="28"/>
                </w:rPr>
                <m:t>N</m:t>
              </m:r>
              <m:ctrlPr>
                <w:rPr>
                  <w:rFonts w:hint="eastAsia" w:ascii="Cambria Math" w:hAnsi="Cambria Math" w:eastAsia="仿宋" w:cs="仿宋"/>
                  <w:i/>
                  <w:szCs w:val="28"/>
                </w:rPr>
              </m:ctrlPr>
            </m:e>
            <m:sub>
              <m:r>
                <m:rPr/>
                <w:rPr>
                  <w:rFonts w:hint="eastAsia" w:ascii="Cambria Math" w:hAnsi="Cambria Math" w:eastAsia="仿宋" w:cs="仿宋"/>
                  <w:szCs w:val="28"/>
                </w:rPr>
                <m:t>公共</m:t>
              </m:r>
              <m:ctrlPr>
                <w:rPr>
                  <w:rFonts w:hint="eastAsia" w:ascii="Cambria Math" w:hAnsi="Cambria Math" w:eastAsia="仿宋" w:cs="仿宋"/>
                  <w:i/>
                  <w:szCs w:val="28"/>
                </w:rPr>
              </m:ctrlPr>
            </m:sub>
          </m:sSub>
          <m:r>
            <m:rPr/>
            <w:rPr>
              <w:rFonts w:hint="eastAsia" w:ascii="Cambria Math" w:hAnsi="Cambria Math" w:eastAsia="仿宋" w:cs="仿宋"/>
              <w:szCs w:val="28"/>
            </w:rPr>
            <m:t>=</m:t>
          </m:r>
          <m:f>
            <m:fPr>
              <m:ctrlPr>
                <w:rPr>
                  <w:rFonts w:hint="eastAsia" w:ascii="Cambria Math" w:hAnsi="Cambria Math" w:eastAsia="仿宋" w:cs="仿宋"/>
                  <w:i/>
                  <w:szCs w:val="28"/>
                </w:rPr>
              </m:ctrlPr>
            </m:fPr>
            <m:num>
              <m:sSub>
                <m:sSubPr>
                  <m:ctrlPr>
                    <w:rPr>
                      <w:rFonts w:hint="eastAsia" w:ascii="Cambria Math" w:hAnsi="Cambria Math" w:eastAsia="仿宋" w:cs="仿宋"/>
                      <w:i/>
                      <w:szCs w:val="28"/>
                    </w:rPr>
                  </m:ctrlPr>
                </m:sSubPr>
                <m:e>
                  <m:r>
                    <m:rPr/>
                    <w:rPr>
                      <w:rFonts w:hint="eastAsia" w:ascii="Cambria Math" w:hAnsi="Cambria Math" w:eastAsia="仿宋" w:cs="仿宋"/>
                      <w:szCs w:val="28"/>
                    </w:rPr>
                    <m:t>P</m:t>
                  </m:r>
                  <m:ctrlPr>
                    <w:rPr>
                      <w:rFonts w:hint="eastAsia" w:ascii="Cambria Math" w:hAnsi="Cambria Math" w:eastAsia="仿宋" w:cs="仿宋"/>
                      <w:i/>
                      <w:szCs w:val="28"/>
                    </w:rPr>
                  </m:ctrlPr>
                </m:e>
                <m:sub>
                  <m:r>
                    <m:rPr/>
                    <w:rPr>
                      <w:rFonts w:hint="eastAsia" w:ascii="Cambria Math" w:hAnsi="Cambria Math" w:eastAsia="仿宋" w:cs="仿宋"/>
                      <w:szCs w:val="28"/>
                    </w:rPr>
                    <m:t>公共</m:t>
                  </m:r>
                  <m:ctrlPr>
                    <w:rPr>
                      <w:rFonts w:hint="eastAsia" w:ascii="Cambria Math" w:hAnsi="Cambria Math" w:eastAsia="仿宋" w:cs="仿宋"/>
                      <w:i/>
                      <w:szCs w:val="28"/>
                    </w:rPr>
                  </m:ctrlPr>
                </m:sub>
              </m:sSub>
              <m:ctrlPr>
                <w:rPr>
                  <w:rFonts w:hint="eastAsia" w:ascii="Cambria Math" w:hAnsi="Cambria Math" w:eastAsia="仿宋" w:cs="仿宋"/>
                  <w:i/>
                  <w:szCs w:val="28"/>
                </w:rPr>
              </m:ctrlPr>
            </m:num>
            <m:den>
              <m:sSub>
                <m:sSubPr>
                  <m:ctrlPr>
                    <w:rPr>
                      <w:rFonts w:hint="eastAsia" w:ascii="Cambria Math" w:hAnsi="Cambria Math" w:eastAsia="仿宋" w:cs="仿宋"/>
                      <w:i/>
                      <w:szCs w:val="28"/>
                    </w:rPr>
                  </m:ctrlPr>
                </m:sSubPr>
                <m:e>
                  <m:r>
                    <m:rPr/>
                    <w:rPr>
                      <w:rFonts w:hint="eastAsia" w:ascii="Cambria Math" w:hAnsi="Cambria Math" w:eastAsia="仿宋" w:cs="仿宋"/>
                      <w:szCs w:val="28"/>
                    </w:rPr>
                    <m:t>P</m:t>
                  </m:r>
                  <m:ctrlPr>
                    <w:rPr>
                      <w:rFonts w:hint="eastAsia" w:ascii="Cambria Math" w:hAnsi="Cambria Math" w:eastAsia="仿宋" w:cs="仿宋"/>
                      <w:i/>
                      <w:szCs w:val="28"/>
                    </w:rPr>
                  </m:ctrlPr>
                </m:e>
                <m:sub>
                  <m:r>
                    <m:rPr/>
                    <w:rPr>
                      <w:rFonts w:hint="eastAsia" w:ascii="Cambria Math" w:hAnsi="Cambria Math" w:eastAsia="仿宋" w:cs="仿宋"/>
                      <w:szCs w:val="28"/>
                    </w:rPr>
                    <m:t>标准桩</m:t>
                  </m:r>
                  <m:ctrlPr>
                    <w:rPr>
                      <w:rFonts w:hint="eastAsia" w:ascii="Cambria Math" w:hAnsi="Cambria Math" w:eastAsia="仿宋" w:cs="仿宋"/>
                      <w:i/>
                      <w:szCs w:val="28"/>
                    </w:rPr>
                  </m:ctrlPr>
                </m:sub>
              </m:sSub>
              <m:ctrlPr>
                <w:rPr>
                  <w:rFonts w:hint="eastAsia" w:ascii="Cambria Math" w:hAnsi="Cambria Math" w:eastAsia="仿宋" w:cs="仿宋"/>
                  <w:i/>
                  <w:szCs w:val="28"/>
                </w:rPr>
              </m:ctrlPr>
            </m:den>
          </m:f>
        </m:oMath>
      </m:oMathPara>
    </w:p>
    <w:p>
      <w:pPr>
        <w:ind w:firstLine="560"/>
        <w:rPr>
          <w:rFonts w:hint="eastAsia" w:ascii="仿宋" w:hAnsi="仿宋" w:eastAsia="仿宋" w:cs="仿宋"/>
          <w:szCs w:val="28"/>
        </w:rPr>
      </w:pPr>
      <m:oMath>
        <m:sSub>
          <m:sSubPr>
            <m:ctrlPr>
              <w:rPr>
                <w:rFonts w:hint="eastAsia" w:ascii="Cambria Math" w:hAnsi="Cambria Math" w:eastAsia="仿宋" w:cs="仿宋"/>
                <w:i/>
                <w:szCs w:val="28"/>
              </w:rPr>
            </m:ctrlPr>
          </m:sSubPr>
          <m:e>
            <m:r>
              <m:rPr/>
              <w:rPr>
                <w:rFonts w:hint="eastAsia" w:ascii="Cambria Math" w:hAnsi="Cambria Math" w:eastAsia="仿宋" w:cs="仿宋"/>
                <w:szCs w:val="28"/>
              </w:rPr>
              <m:t>P</m:t>
            </m:r>
            <m:ctrlPr>
              <w:rPr>
                <w:rFonts w:hint="eastAsia" w:ascii="Cambria Math" w:hAnsi="Cambria Math" w:eastAsia="仿宋" w:cs="仿宋"/>
                <w:i/>
                <w:szCs w:val="28"/>
              </w:rPr>
            </m:ctrlPr>
          </m:e>
          <m:sub>
            <m:r>
              <m:rPr/>
              <w:rPr>
                <w:rFonts w:hint="eastAsia" w:ascii="Cambria Math" w:hAnsi="Cambria Math" w:eastAsia="仿宋" w:cs="仿宋"/>
                <w:szCs w:val="28"/>
              </w:rPr>
              <m:t>标准桩</m:t>
            </m:r>
            <m:ctrlPr>
              <w:rPr>
                <w:rFonts w:hint="eastAsia" w:ascii="Cambria Math" w:hAnsi="Cambria Math" w:eastAsia="仿宋" w:cs="仿宋"/>
                <w:i/>
                <w:szCs w:val="28"/>
              </w:rPr>
            </m:ctrlPr>
          </m:sub>
        </m:sSub>
      </m:oMath>
      <w:r>
        <w:rPr>
          <w:rFonts w:hint="eastAsia" w:ascii="仿宋" w:hAnsi="仿宋" w:eastAsia="仿宋" w:cs="仿宋"/>
          <w:iCs/>
          <w:szCs w:val="28"/>
        </w:rPr>
        <w:t>—</w:t>
      </w:r>
      <w:r>
        <w:rPr>
          <w:rFonts w:hint="eastAsia" w:ascii="仿宋" w:hAnsi="仿宋" w:eastAsia="仿宋" w:cs="仿宋"/>
          <w:szCs w:val="28"/>
        </w:rPr>
        <w:t>标准桩的充电功率，可参考实际情况确定，如选取60kW作为标准桩。</w:t>
      </w:r>
    </w:p>
    <w:p>
      <w:pPr>
        <w:spacing w:line="360" w:lineRule="auto"/>
        <w:ind w:firstLine="561"/>
        <w:rPr>
          <w:rFonts w:hint="eastAsia" w:ascii="仿宋" w:hAnsi="仿宋" w:eastAsia="仿宋" w:cs="仿宋"/>
        </w:rPr>
      </w:pPr>
      <w:r>
        <w:rPr>
          <w:rFonts w:hint="eastAsia" w:ascii="仿宋" w:hAnsi="仿宋" w:eastAsia="仿宋" w:cs="仿宋"/>
        </w:rPr>
        <w:t>百公里平均耗电量依据《新能源汽车产业发展规划（2021～2035年）》确定为12kWh/百公里，结合《中国·纯电·新能源汽车》系列报告、《2022年联盟里程数年报》等数据，确定各类汽车年行驶里程数、公共领域充电量占年均充电总量比例、公用充电设施日利用小时数等指标，计算得出公共充电设施的充电总功率。</w:t>
      </w:r>
    </w:p>
    <w:p>
      <w:pPr>
        <w:spacing w:line="360" w:lineRule="auto"/>
        <w:ind w:firstLine="561"/>
        <w:rPr>
          <w:rFonts w:hint="eastAsia" w:ascii="仿宋" w:hAnsi="仿宋" w:eastAsia="仿宋" w:cs="仿宋"/>
          <w:highlight w:val="none"/>
        </w:rPr>
      </w:pPr>
      <w:r>
        <w:rPr>
          <w:rFonts w:hint="eastAsia" w:ascii="仿宋" w:hAnsi="仿宋" w:eastAsia="仿宋" w:cs="仿宋"/>
          <w:highlight w:val="none"/>
        </w:rPr>
        <w:t>预计至202</w:t>
      </w:r>
      <w:r>
        <w:rPr>
          <w:rFonts w:hint="eastAsia" w:ascii="仿宋" w:hAnsi="仿宋" w:eastAsia="仿宋" w:cs="仿宋"/>
          <w:highlight w:val="none"/>
          <w:lang w:val="en-US" w:eastAsia="zh-CN"/>
        </w:rPr>
        <w:t>8</w:t>
      </w:r>
      <w:r>
        <w:rPr>
          <w:rFonts w:hint="eastAsia" w:ascii="仿宋" w:hAnsi="仿宋" w:eastAsia="仿宋" w:cs="仿宋"/>
          <w:highlight w:val="none"/>
        </w:rPr>
        <w:t>年，公共充电设施的充电总功率为</w:t>
      </w:r>
      <w:r>
        <w:rPr>
          <w:rFonts w:hint="eastAsia" w:ascii="仿宋" w:hAnsi="仿宋" w:cs="仿宋"/>
          <w:highlight w:val="none"/>
          <w:lang w:val="en-US" w:eastAsia="zh-CN"/>
        </w:rPr>
        <w:t>43697</w:t>
      </w:r>
      <w:r>
        <w:rPr>
          <w:rFonts w:hint="eastAsia" w:ascii="仿宋" w:hAnsi="仿宋" w:eastAsia="仿宋" w:cs="仿宋"/>
          <w:highlight w:val="none"/>
        </w:rPr>
        <w:t>kW，按照标准桩充电功率为60kW计算，共需充电桩</w:t>
      </w:r>
      <w:r>
        <w:rPr>
          <w:rFonts w:hint="eastAsia" w:ascii="仿宋" w:hAnsi="仿宋" w:cs="仿宋"/>
          <w:highlight w:val="none"/>
          <w:lang w:val="en-US" w:eastAsia="zh-CN"/>
        </w:rPr>
        <w:t>728</w:t>
      </w:r>
      <w:r>
        <w:rPr>
          <w:rFonts w:hint="eastAsia" w:ascii="仿宋" w:hAnsi="仿宋" w:eastAsia="仿宋" w:cs="仿宋"/>
          <w:highlight w:val="none"/>
        </w:rPr>
        <w:t>台（取整）。</w:t>
      </w:r>
    </w:p>
    <w:p>
      <w:pPr>
        <w:pStyle w:val="4"/>
        <w:bidi w:val="0"/>
        <w:ind w:left="0" w:leftChars="0" w:firstLine="0" w:firstLineChars="0"/>
        <w:rPr>
          <w:highlight w:val="none"/>
        </w:rPr>
      </w:pPr>
      <w:bookmarkStart w:id="70" w:name="_Toc25873"/>
      <w:r>
        <w:rPr>
          <w:rFonts w:hint="eastAsia"/>
          <w:highlight w:val="none"/>
        </w:rPr>
        <w:t>需求预测结果</w:t>
      </w:r>
      <w:bookmarkEnd w:id="70"/>
    </w:p>
    <w:p>
      <w:pPr>
        <w:spacing w:line="360" w:lineRule="auto"/>
        <w:ind w:firstLine="561"/>
        <w:rPr>
          <w:rFonts w:hint="eastAsia" w:ascii="TimesNewRoman" w:hAnsi="TimesNewRoman"/>
          <w:szCs w:val="20"/>
          <w:highlight w:val="none"/>
        </w:rPr>
      </w:pPr>
      <w:r>
        <w:rPr>
          <w:rFonts w:hint="eastAsia" w:ascii="仿宋" w:hAnsi="仿宋" w:eastAsia="仿宋" w:cs="仿宋"/>
          <w:highlight w:val="none"/>
        </w:rPr>
        <w:t>取两种计算方法中间值，预测至202</w:t>
      </w:r>
      <w:r>
        <w:rPr>
          <w:rFonts w:hint="eastAsia" w:ascii="仿宋" w:hAnsi="仿宋" w:cs="仿宋"/>
          <w:highlight w:val="none"/>
          <w:lang w:val="en-US" w:eastAsia="zh-CN"/>
        </w:rPr>
        <w:t>8</w:t>
      </w:r>
      <w:r>
        <w:rPr>
          <w:rFonts w:hint="eastAsia" w:ascii="仿宋" w:hAnsi="仿宋" w:eastAsia="仿宋" w:cs="仿宋"/>
          <w:highlight w:val="none"/>
        </w:rPr>
        <w:t>年，共需新增充电桩</w:t>
      </w:r>
      <w:r>
        <w:rPr>
          <w:rFonts w:hint="eastAsia" w:ascii="仿宋" w:hAnsi="仿宋" w:cs="仿宋"/>
          <w:highlight w:val="none"/>
          <w:lang w:val="en-US" w:eastAsia="zh-CN"/>
        </w:rPr>
        <w:t>524</w:t>
      </w:r>
      <w:r>
        <w:rPr>
          <w:rFonts w:hint="eastAsia" w:ascii="仿宋" w:hAnsi="仿宋" w:eastAsia="仿宋" w:cs="仿宋"/>
          <w:highlight w:val="none"/>
        </w:rPr>
        <w:t>台（取整）。</w:t>
      </w:r>
    </w:p>
    <w:p>
      <w:r>
        <w:rPr>
          <w:rFonts w:hint="eastAsia"/>
        </w:rPr>
        <w:br w:type="page"/>
      </w:r>
    </w:p>
    <w:p>
      <w:pPr>
        <w:pStyle w:val="2"/>
        <w:bidi w:val="0"/>
        <w:ind w:left="0" w:leftChars="0" w:firstLine="0" w:firstLineChars="0"/>
      </w:pPr>
      <w:bookmarkStart w:id="71" w:name="_Toc25297"/>
      <w:r>
        <w:rPr>
          <w:rFonts w:hint="eastAsia"/>
        </w:rPr>
        <w:t>电动汽车充电基础设施规划布局</w:t>
      </w:r>
      <w:bookmarkEnd w:id="71"/>
    </w:p>
    <w:p>
      <w:pPr>
        <w:pStyle w:val="3"/>
        <w:bidi w:val="0"/>
        <w:ind w:left="0" w:leftChars="0" w:firstLine="0" w:firstLineChars="0"/>
      </w:pPr>
      <w:bookmarkStart w:id="72" w:name="_Toc29235"/>
      <w:r>
        <w:rPr>
          <w:rFonts w:hint="eastAsia"/>
        </w:rPr>
        <w:t>城市公共</w:t>
      </w:r>
      <w:r>
        <w:t>充电桩与充电站规划布局</w:t>
      </w:r>
      <w:r>
        <w:rPr>
          <w:rFonts w:hint="eastAsia"/>
          <w:lang w:val="en-US" w:eastAsia="zh-CN"/>
        </w:rPr>
        <w:t>规划</w:t>
      </w:r>
      <w:r>
        <w:t>原则</w:t>
      </w:r>
      <w:bookmarkEnd w:id="72"/>
    </w:p>
    <w:p>
      <w:pPr>
        <w:keepNext w:val="0"/>
        <w:keepLines w:val="0"/>
        <w:pageBreakBefore w:val="0"/>
        <w:widowControl w:val="0"/>
        <w:numPr>
          <w:ilvl w:val="0"/>
          <w:numId w:val="16"/>
        </w:numPr>
        <w:kinsoku/>
        <w:wordWrap/>
        <w:overflowPunct/>
        <w:topLinePunct w:val="0"/>
        <w:autoSpaceDE/>
        <w:autoSpaceDN/>
        <w:bidi w:val="0"/>
        <w:adjustRightInd w:val="0"/>
        <w:snapToGrid w:val="0"/>
        <w:ind w:left="0" w:leftChars="0" w:firstLine="560" w:firstLineChars="200"/>
        <w:textAlignment w:val="auto"/>
        <w:rPr>
          <w:rFonts w:hint="eastAsia" w:ascii="仿宋" w:hAnsi="仿宋"/>
          <w:highlight w:val="none"/>
          <w:lang w:val="en-US" w:eastAsia="zh-CN"/>
        </w:rPr>
      </w:pPr>
      <w:r>
        <w:rPr>
          <w:rFonts w:hint="eastAsia" w:ascii="仿宋" w:hAnsi="仿宋"/>
          <w:highlight w:val="none"/>
          <w:lang w:val="en-US" w:eastAsia="zh-CN"/>
        </w:rPr>
        <w:t>总体原则</w:t>
      </w:r>
    </w:p>
    <w:p>
      <w:pPr>
        <w:rPr>
          <w:rFonts w:hint="default" w:ascii="仿宋" w:hAnsi="仿宋"/>
          <w:highlight w:val="none"/>
          <w:lang w:val="en-US" w:eastAsia="zh-CN"/>
        </w:rPr>
      </w:pPr>
      <w:r>
        <w:rPr>
          <w:rFonts w:hint="default" w:ascii="仿宋" w:hAnsi="仿宋"/>
          <w:highlight w:val="none"/>
          <w:lang w:val="en-US" w:eastAsia="zh-CN"/>
        </w:rPr>
        <w:t>规划统筹：统规划选址、统应用场景、统建设标准统</w:t>
      </w:r>
      <w:r>
        <w:rPr>
          <w:rFonts w:hint="eastAsia" w:ascii="仿宋" w:hAnsi="仿宋"/>
          <w:highlight w:val="none"/>
          <w:lang w:val="en-US" w:eastAsia="zh-CN"/>
        </w:rPr>
        <w:t>。</w:t>
      </w:r>
    </w:p>
    <w:p>
      <w:pPr>
        <w:rPr>
          <w:rFonts w:hint="default" w:ascii="仿宋" w:hAnsi="仿宋"/>
          <w:highlight w:val="none"/>
          <w:lang w:val="en-US" w:eastAsia="zh-CN"/>
        </w:rPr>
      </w:pPr>
      <w:r>
        <w:rPr>
          <w:rFonts w:hint="default" w:ascii="仿宋" w:hAnsi="仿宋"/>
          <w:highlight w:val="none"/>
          <w:lang w:val="en-US" w:eastAsia="zh-CN"/>
        </w:rPr>
        <w:t>规划选址：物流节点</w:t>
      </w:r>
      <w:r>
        <w:rPr>
          <w:rFonts w:hint="eastAsia" w:ascii="仿宋" w:hAnsi="仿宋"/>
          <w:highlight w:val="none"/>
          <w:lang w:val="en-US" w:eastAsia="zh-CN"/>
        </w:rPr>
        <w:t>、产业园区、交通枢纽、旅游公路、</w:t>
      </w:r>
      <w:r>
        <w:rPr>
          <w:rFonts w:hint="default" w:ascii="仿宋" w:hAnsi="仿宋"/>
          <w:highlight w:val="none"/>
          <w:lang w:val="en-US" w:eastAsia="zh-CN"/>
        </w:rPr>
        <w:t>四好农村路</w:t>
      </w:r>
      <w:r>
        <w:rPr>
          <w:rFonts w:hint="eastAsia" w:ascii="仿宋" w:hAnsi="仿宋"/>
          <w:highlight w:val="none"/>
          <w:lang w:val="en-US" w:eastAsia="zh-CN"/>
        </w:rPr>
        <w:t>、</w:t>
      </w:r>
      <w:r>
        <w:rPr>
          <w:rFonts w:hint="default" w:ascii="仿宋" w:hAnsi="仿宋"/>
          <w:highlight w:val="none"/>
          <w:lang w:val="en-US" w:eastAsia="zh-CN"/>
        </w:rPr>
        <w:t>旅游景点以及</w:t>
      </w:r>
      <w:r>
        <w:rPr>
          <w:rFonts w:hint="eastAsia" w:ascii="仿宋" w:hAnsi="仿宋"/>
          <w:highlight w:val="none"/>
          <w:lang w:val="en-US" w:eastAsia="zh-CN"/>
        </w:rPr>
        <w:t>住宅小区和机关单位等公共场所</w:t>
      </w:r>
      <w:r>
        <w:rPr>
          <w:rFonts w:hint="default" w:ascii="仿宋" w:hAnsi="仿宋"/>
          <w:highlight w:val="none"/>
          <w:lang w:val="en-US" w:eastAsia="zh-CN"/>
        </w:rPr>
        <w:t>，对新能源电动汽车充电场景的布局。</w:t>
      </w:r>
    </w:p>
    <w:p>
      <w:pPr>
        <w:rPr>
          <w:rFonts w:hint="default" w:ascii="仿宋" w:hAnsi="仿宋"/>
          <w:highlight w:val="none"/>
          <w:lang w:val="en-US" w:eastAsia="zh-CN"/>
        </w:rPr>
      </w:pPr>
      <w:r>
        <w:rPr>
          <w:rFonts w:hint="default" w:ascii="仿宋" w:hAnsi="仿宋"/>
          <w:highlight w:val="none"/>
          <w:lang w:val="en-US" w:eastAsia="zh-CN"/>
        </w:rPr>
        <w:t>统应用场景：要求优先选择乡镇</w:t>
      </w:r>
      <w:r>
        <w:rPr>
          <w:rFonts w:hint="eastAsia" w:ascii="仿宋" w:hAnsi="仿宋"/>
          <w:highlight w:val="none"/>
          <w:lang w:val="en-US" w:eastAsia="zh-CN"/>
        </w:rPr>
        <w:t>政府</w:t>
      </w:r>
      <w:r>
        <w:rPr>
          <w:rFonts w:hint="default" w:ascii="仿宋" w:hAnsi="仿宋"/>
          <w:highlight w:val="none"/>
          <w:lang w:val="en-US" w:eastAsia="zh-CN"/>
        </w:rPr>
        <w:t>广场、</w:t>
      </w:r>
      <w:r>
        <w:rPr>
          <w:rFonts w:hint="eastAsia" w:ascii="仿宋" w:hAnsi="仿宋"/>
          <w:highlight w:val="none"/>
          <w:lang w:val="en-US" w:eastAsia="zh-CN"/>
        </w:rPr>
        <w:t>商场、客运站、景区</w:t>
      </w:r>
      <w:r>
        <w:rPr>
          <w:rFonts w:hint="default" w:ascii="仿宋" w:hAnsi="仿宋"/>
          <w:highlight w:val="none"/>
          <w:lang w:val="en-US" w:eastAsia="zh-CN"/>
        </w:rPr>
        <w:t>等区域停车场</w:t>
      </w:r>
      <w:r>
        <w:rPr>
          <w:rFonts w:hint="eastAsia" w:ascii="仿宋" w:hAnsi="仿宋"/>
          <w:highlight w:val="none"/>
          <w:lang w:val="en-US" w:eastAsia="zh-CN"/>
        </w:rPr>
        <w:t>或开放</w:t>
      </w:r>
      <w:r>
        <w:rPr>
          <w:rFonts w:hint="default" w:ascii="仿宋" w:hAnsi="仿宋"/>
          <w:highlight w:val="none"/>
          <w:lang w:val="en-US" w:eastAsia="zh-CN"/>
        </w:rPr>
        <w:t>公共停车场、</w:t>
      </w:r>
      <w:r>
        <w:rPr>
          <w:rFonts w:hint="eastAsia" w:ascii="仿宋" w:hAnsi="仿宋"/>
          <w:highlight w:val="none"/>
          <w:lang w:val="en-US" w:eastAsia="zh-CN"/>
        </w:rPr>
        <w:t>学校、医院</w:t>
      </w:r>
      <w:r>
        <w:rPr>
          <w:rFonts w:hint="default" w:ascii="仿宋" w:hAnsi="仿宋"/>
          <w:highlight w:val="none"/>
          <w:lang w:val="en-US" w:eastAsia="zh-CN"/>
        </w:rPr>
        <w:t>等布局充电设施</w:t>
      </w:r>
      <w:r>
        <w:rPr>
          <w:rFonts w:hint="eastAsia" w:ascii="仿宋" w:hAnsi="仿宋"/>
          <w:highlight w:val="none"/>
          <w:lang w:val="en-US" w:eastAsia="zh-CN"/>
        </w:rPr>
        <w:t>，同时加大</w:t>
      </w:r>
      <w:r>
        <w:rPr>
          <w:rFonts w:hint="default" w:ascii="仿宋" w:hAnsi="仿宋"/>
          <w:highlight w:val="none"/>
          <w:lang w:val="en-US" w:eastAsia="zh-CN"/>
        </w:rPr>
        <w:t>在加油站、可对外开放的规上企业等场景布局建设</w:t>
      </w:r>
      <w:r>
        <w:rPr>
          <w:rFonts w:hint="eastAsia" w:ascii="仿宋" w:hAnsi="仿宋"/>
          <w:highlight w:val="none"/>
          <w:lang w:val="en-US" w:eastAsia="zh-CN"/>
        </w:rPr>
        <w:t>力度</w:t>
      </w:r>
      <w:r>
        <w:rPr>
          <w:rFonts w:hint="default" w:ascii="仿宋" w:hAnsi="仿宋"/>
          <w:highlight w:val="none"/>
          <w:lang w:val="en-US" w:eastAsia="zh-CN"/>
        </w:rPr>
        <w:t>。</w:t>
      </w:r>
      <w:r>
        <w:rPr>
          <w:rFonts w:hint="eastAsia" w:ascii="仿宋" w:hAnsi="仿宋"/>
          <w:highlight w:val="none"/>
          <w:lang w:val="en-US" w:eastAsia="zh-CN"/>
        </w:rPr>
        <w:t>并鼓励建设单位或企业在城市中心区进行集中式充电站建设，优先从国有土地、已出让土地或低效用地进行建设，促进建设用地的有效使用，盘活低效用地的同时，推动充电设施的建设发展。</w:t>
      </w:r>
    </w:p>
    <w:p>
      <w:pPr>
        <w:rPr>
          <w:rFonts w:hint="default" w:ascii="仿宋" w:hAnsi="仿宋"/>
          <w:highlight w:val="none"/>
          <w:lang w:val="en-US" w:eastAsia="zh-CN"/>
        </w:rPr>
      </w:pPr>
      <w:r>
        <w:rPr>
          <w:rFonts w:hint="default" w:ascii="仿宋" w:hAnsi="仿宋"/>
          <w:highlight w:val="none"/>
          <w:lang w:val="en-US" w:eastAsia="zh-CN"/>
        </w:rPr>
        <w:t>统建设标准：</w:t>
      </w:r>
      <w:r>
        <w:rPr>
          <w:rFonts w:hint="eastAsia" w:ascii="仿宋" w:hAnsi="仿宋"/>
          <w:highlight w:val="none"/>
          <w:lang w:val="en-US" w:eastAsia="zh-CN"/>
        </w:rPr>
        <w:t>岫岩</w:t>
      </w:r>
      <w:r>
        <w:rPr>
          <w:rFonts w:hint="default" w:ascii="仿宋" w:hAnsi="仿宋"/>
          <w:highlight w:val="none"/>
          <w:lang w:val="en-US" w:eastAsia="zh-CN"/>
        </w:rPr>
        <w:t>县属于加快发展区，应加速乡村布点要求。</w:t>
      </w:r>
    </w:p>
    <w:p>
      <w:pPr>
        <w:keepNext w:val="0"/>
        <w:keepLines w:val="0"/>
        <w:pageBreakBefore w:val="0"/>
        <w:widowControl w:val="0"/>
        <w:numPr>
          <w:ilvl w:val="0"/>
          <w:numId w:val="16"/>
        </w:numPr>
        <w:kinsoku/>
        <w:wordWrap/>
        <w:overflowPunct/>
        <w:topLinePunct w:val="0"/>
        <w:autoSpaceDE/>
        <w:autoSpaceDN/>
        <w:bidi w:val="0"/>
        <w:adjustRightInd w:val="0"/>
        <w:snapToGrid w:val="0"/>
        <w:ind w:left="0" w:leftChars="0" w:firstLine="560" w:firstLineChars="200"/>
        <w:textAlignment w:val="auto"/>
        <w:rPr>
          <w:rFonts w:hint="eastAsia" w:ascii="仿宋" w:hAnsi="仿宋"/>
          <w:highlight w:val="none"/>
          <w:lang w:val="en-US" w:eastAsia="zh-CN"/>
        </w:rPr>
      </w:pPr>
      <w:r>
        <w:rPr>
          <w:rFonts w:hint="eastAsia" w:ascii="仿宋" w:hAnsi="仿宋"/>
          <w:highlight w:val="none"/>
          <w:lang w:val="en-US" w:eastAsia="zh-CN"/>
        </w:rPr>
        <w:t>选址原则</w:t>
      </w:r>
    </w:p>
    <w:p>
      <w:pPr>
        <w:rPr>
          <w:rFonts w:hint="eastAsia" w:ascii="仿宋" w:hAnsi="仿宋" w:eastAsia="仿宋" w:cs="仿宋"/>
        </w:rPr>
      </w:pPr>
      <w:r>
        <w:rPr>
          <w:rFonts w:hint="eastAsia" w:ascii="仿宋" w:hAnsi="仿宋" w:eastAsia="仿宋" w:cs="仿宋"/>
        </w:rPr>
        <w:t>根据《电动汽车充电站布置设计导则》要求，充电站选址要满足如下要求：</w:t>
      </w:r>
    </w:p>
    <w:p>
      <w:pPr>
        <w:rPr>
          <w:rFonts w:hint="eastAsia" w:ascii="仿宋" w:hAnsi="仿宋" w:eastAsia="仿宋" w:cs="仿宋"/>
        </w:rPr>
      </w:pPr>
      <w:r>
        <w:rPr>
          <w:rFonts w:hint="eastAsia" w:ascii="仿宋" w:hAnsi="仿宋" w:eastAsia="仿宋" w:cs="仿宋"/>
        </w:rPr>
        <w:t>（1）换电设施选址应满足便利性、经济性、安全性等要求；</w:t>
      </w:r>
    </w:p>
    <w:p>
      <w:pPr>
        <w:rPr>
          <w:rFonts w:hint="eastAsia" w:ascii="仿宋" w:hAnsi="仿宋" w:eastAsia="仿宋" w:cs="仿宋"/>
        </w:rPr>
      </w:pPr>
      <w:r>
        <w:rPr>
          <w:rFonts w:hint="eastAsia" w:ascii="仿宋" w:hAnsi="仿宋" w:eastAsia="仿宋" w:cs="仿宋"/>
        </w:rPr>
        <w:t>（2）充换电设施宜利用现有停车场地，包括公共建筑、住宅小区及企事业单位的停车场等；</w:t>
      </w:r>
    </w:p>
    <w:p>
      <w:pPr>
        <w:rPr>
          <w:rFonts w:hint="eastAsia" w:ascii="仿宋" w:hAnsi="仿宋" w:eastAsia="仿宋" w:cs="仿宋"/>
        </w:rPr>
      </w:pPr>
      <w:r>
        <w:rPr>
          <w:rFonts w:hint="eastAsia" w:ascii="仿宋" w:hAnsi="仿宋" w:eastAsia="仿宋" w:cs="仿宋"/>
        </w:rPr>
        <w:t>（3）电池更换站和充电站宜靠近主要道路，应尽量减少对交通运输的影响；</w:t>
      </w:r>
    </w:p>
    <w:p>
      <w:pPr>
        <w:rPr>
          <w:rFonts w:hint="eastAsia" w:ascii="仿宋" w:hAnsi="仿宋" w:eastAsia="仿宋" w:cs="仿宋"/>
        </w:rPr>
      </w:pPr>
      <w:r>
        <w:rPr>
          <w:rFonts w:hint="eastAsia" w:ascii="仿宋" w:hAnsi="仿宋" w:eastAsia="仿宋" w:cs="仿宋"/>
        </w:rPr>
        <w:t>（4）宜结合高速公路服务区及国道沿线城镇、乡村建设充换电设施；</w:t>
      </w:r>
    </w:p>
    <w:p>
      <w:pPr>
        <w:rPr>
          <w:rFonts w:hint="eastAsia" w:ascii="仿宋" w:hAnsi="仿宋" w:eastAsia="仿宋" w:cs="仿宋"/>
        </w:rPr>
      </w:pPr>
      <w:r>
        <w:rPr>
          <w:rFonts w:hint="eastAsia" w:ascii="仿宋" w:hAnsi="仿宋" w:eastAsia="仿宋" w:cs="仿宋"/>
        </w:rPr>
        <w:t>（5）充换电设施的选址应符合防火安全、电气安全、地质安全等要求。</w:t>
      </w:r>
    </w:p>
    <w:p>
      <w:pPr>
        <w:keepNext w:val="0"/>
        <w:keepLines w:val="0"/>
        <w:pageBreakBefore w:val="0"/>
        <w:widowControl w:val="0"/>
        <w:numPr>
          <w:ilvl w:val="0"/>
          <w:numId w:val="16"/>
        </w:numPr>
        <w:kinsoku/>
        <w:wordWrap/>
        <w:overflowPunct/>
        <w:topLinePunct w:val="0"/>
        <w:autoSpaceDE/>
        <w:autoSpaceDN/>
        <w:bidi w:val="0"/>
        <w:adjustRightInd w:val="0"/>
        <w:snapToGrid w:val="0"/>
        <w:ind w:left="0" w:leftChars="0" w:firstLine="560" w:firstLineChars="200"/>
        <w:textAlignment w:val="auto"/>
        <w:rPr>
          <w:rFonts w:hint="eastAsia" w:ascii="仿宋" w:hAnsi="仿宋"/>
          <w:highlight w:val="none"/>
          <w:lang w:val="en-US" w:eastAsia="zh-CN"/>
        </w:rPr>
      </w:pPr>
      <w:r>
        <w:rPr>
          <w:rFonts w:hint="eastAsia" w:ascii="仿宋" w:hAnsi="仿宋"/>
          <w:highlight w:val="none"/>
          <w:lang w:val="en-US" w:eastAsia="zh-CN"/>
        </w:rPr>
        <w:t>公共充电设施布局原则</w:t>
      </w:r>
    </w:p>
    <w:p>
      <w:pPr>
        <w:rPr>
          <w:rFonts w:hint="eastAsia" w:ascii="仿宋" w:hAnsi="仿宋" w:eastAsia="仿宋" w:cs="仿宋"/>
        </w:rPr>
      </w:pPr>
      <w:r>
        <w:rPr>
          <w:rFonts w:hint="eastAsia" w:ascii="仿宋" w:hAnsi="仿宋" w:eastAsia="仿宋" w:cs="仿宋"/>
        </w:rPr>
        <w:t>（1）因地制宜、分散布置、集合建设项目用地</w:t>
      </w:r>
    </w:p>
    <w:p>
      <w:pPr>
        <w:rPr>
          <w:rFonts w:hint="eastAsia" w:ascii="仿宋" w:hAnsi="仿宋" w:eastAsia="仿宋" w:cs="仿宋"/>
        </w:rPr>
      </w:pPr>
      <w:r>
        <w:rPr>
          <w:rFonts w:hint="eastAsia" w:ascii="仿宋" w:hAnsi="仿宋" w:eastAsia="仿宋" w:cs="仿宋"/>
        </w:rPr>
        <w:t>社会公共充电站布局应当因地制宜、分散布置、方便使用，充分结合公共停车场、交通枢纽、出租车服务中心和其它公共建筑配置。公用建筑、民用建筑配建充电设施优先级归纳推荐，如下表所示。</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686"/>
        <w:gridCol w:w="1536"/>
        <w:gridCol w:w="5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990" w:type="pct"/>
            <w:tcBorders>
              <w:top w:val="single" w:color="auto" w:sz="6" w:space="0"/>
              <w:left w:val="single" w:color="auto" w:sz="6" w:space="0"/>
              <w:bottom w:val="single" w:color="auto" w:sz="6" w:space="0"/>
              <w:right w:val="single" w:color="auto" w:sz="6" w:space="0"/>
            </w:tcBorders>
            <w:shd w:val="clear" w:color="auto" w:fill="D7D7D7" w:themeFill="background1" w:themeFillShade="D8"/>
            <w:tcMar>
              <w:left w:w="105" w:type="dxa"/>
              <w:right w:w="105" w:type="dxa"/>
            </w:tcMar>
            <w:vAlign w:val="center"/>
          </w:tcPr>
          <w:p>
            <w:pPr>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细分类型</w:t>
            </w:r>
          </w:p>
        </w:tc>
        <w:tc>
          <w:tcPr>
            <w:tcW w:w="902" w:type="pct"/>
            <w:tcBorders>
              <w:top w:val="single" w:color="auto" w:sz="6" w:space="0"/>
              <w:left w:val="nil"/>
              <w:bottom w:val="single" w:color="auto" w:sz="6" w:space="0"/>
              <w:right w:val="single" w:color="auto" w:sz="6" w:space="0"/>
            </w:tcBorders>
            <w:shd w:val="clear" w:color="auto" w:fill="D7D7D7" w:themeFill="background1" w:themeFillShade="D8"/>
            <w:tcMar>
              <w:left w:w="105" w:type="dxa"/>
              <w:right w:w="105" w:type="dxa"/>
            </w:tcMar>
            <w:vAlign w:val="center"/>
          </w:tcPr>
          <w:p>
            <w:pPr>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优先性</w:t>
            </w:r>
          </w:p>
        </w:tc>
        <w:tc>
          <w:tcPr>
            <w:tcW w:w="3107" w:type="pct"/>
            <w:tcBorders>
              <w:top w:val="single" w:color="auto" w:sz="6" w:space="0"/>
              <w:left w:val="nil"/>
              <w:bottom w:val="single" w:color="auto" w:sz="6" w:space="0"/>
              <w:right w:val="single" w:color="auto" w:sz="6" w:space="0"/>
            </w:tcBorders>
            <w:shd w:val="clear" w:color="auto" w:fill="D7D7D7" w:themeFill="background1" w:themeFillShade="D8"/>
            <w:tcMar>
              <w:left w:w="105" w:type="dxa"/>
              <w:right w:w="105" w:type="dxa"/>
            </w:tcMar>
            <w:vAlign w:val="center"/>
          </w:tcPr>
          <w:p>
            <w:pPr>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推荐理由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5" w:hRule="atLeast"/>
        </w:trPr>
        <w:tc>
          <w:tcPr>
            <w:tcW w:w="990" w:type="pc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公共停车场</w:t>
            </w:r>
          </w:p>
        </w:tc>
        <w:tc>
          <w:tcPr>
            <w:tcW w:w="902"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优先级最高</w:t>
            </w:r>
          </w:p>
        </w:tc>
        <w:tc>
          <w:tcPr>
            <w:tcW w:w="3107"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同现有设施结合紧密，建设便捷，投资少</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权属单一，建设难度较低</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符合用户出行习惯，充电方便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90" w:type="pc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大型公共设施停车场</w:t>
            </w:r>
          </w:p>
        </w:tc>
        <w:tc>
          <w:tcPr>
            <w:tcW w:w="902"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优先级次高</w:t>
            </w:r>
          </w:p>
        </w:tc>
        <w:tc>
          <w:tcPr>
            <w:tcW w:w="3107"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同现有设施结合紧密，建设便捷，投资少</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符合用户出行习惯，充电方便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5" w:hRule="atLeast"/>
        </w:trPr>
        <w:tc>
          <w:tcPr>
            <w:tcW w:w="990" w:type="pc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独立用地</w:t>
            </w:r>
          </w:p>
        </w:tc>
        <w:tc>
          <w:tcPr>
            <w:tcW w:w="902"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优先级一般</w:t>
            </w:r>
          </w:p>
        </w:tc>
        <w:tc>
          <w:tcPr>
            <w:tcW w:w="3107"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用地性质单一，车辆流转相对较快</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权属单一，建设难度较低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90" w:type="pc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公园用地</w:t>
            </w:r>
          </w:p>
        </w:tc>
        <w:tc>
          <w:tcPr>
            <w:tcW w:w="902"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优先级一般</w:t>
            </w:r>
          </w:p>
        </w:tc>
        <w:tc>
          <w:tcPr>
            <w:tcW w:w="3107"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具有公共车场职能</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建设规模存在一定限制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90" w:type="pc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建筑内部临时停车位</w:t>
            </w:r>
          </w:p>
        </w:tc>
        <w:tc>
          <w:tcPr>
            <w:tcW w:w="902"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优先级一般</w:t>
            </w:r>
          </w:p>
        </w:tc>
        <w:tc>
          <w:tcPr>
            <w:tcW w:w="3107" w:type="pct"/>
            <w:tcBorders>
              <w:top w:val="nil"/>
              <w:left w:val="nil"/>
              <w:bottom w:val="single" w:color="auto" w:sz="6" w:space="0"/>
              <w:right w:val="single" w:color="auto" w:sz="6" w:space="0"/>
            </w:tcBorders>
            <w:shd w:val="clear" w:color="auto" w:fill="FFFFFF"/>
            <w:tcMar>
              <w:left w:w="105" w:type="dxa"/>
              <w:right w:w="105" w:type="dxa"/>
            </w:tcMar>
            <w:vAlign w:val="center"/>
          </w:tcPr>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高峰接送、到发车辆存在较大干扰</w:t>
            </w:r>
          </w:p>
          <w:p>
            <w:pPr>
              <w:ind w:left="0" w:leftChars="0" w:firstLine="0" w:firstLineChars="0"/>
              <w:jc w:val="left"/>
              <w:rPr>
                <w:rFonts w:hint="eastAsia" w:ascii="仿宋" w:hAnsi="仿宋" w:eastAsia="仿宋" w:cs="仿宋"/>
                <w:sz w:val="21"/>
                <w:szCs w:val="21"/>
              </w:rPr>
            </w:pPr>
            <w:r>
              <w:rPr>
                <w:rFonts w:hint="eastAsia" w:ascii="仿宋" w:hAnsi="仿宋" w:eastAsia="仿宋" w:cs="仿宋"/>
                <w:sz w:val="21"/>
                <w:szCs w:val="21"/>
              </w:rPr>
              <w:t>建设规模存在一定限制</w:t>
            </w:r>
          </w:p>
        </w:tc>
      </w:tr>
    </w:tbl>
    <w:p>
      <w:pPr>
        <w:rPr>
          <w:rFonts w:hint="eastAsia" w:ascii="仿宋" w:hAnsi="仿宋" w:eastAsia="仿宋" w:cs="仿宋"/>
        </w:rPr>
      </w:pPr>
      <w:r>
        <w:rPr>
          <w:rFonts w:hint="eastAsia" w:ascii="仿宋" w:hAnsi="仿宋" w:eastAsia="仿宋" w:cs="仿宋"/>
        </w:rPr>
        <w:t>（2）设施空间分布体现区域需求差异性</w:t>
      </w:r>
    </w:p>
    <w:p>
      <w:pPr>
        <w:rPr>
          <w:rFonts w:hint="eastAsia" w:ascii="仿宋" w:hAnsi="仿宋" w:eastAsia="仿宋" w:cs="仿宋"/>
        </w:rPr>
      </w:pPr>
      <w:r>
        <w:rPr>
          <w:rFonts w:hint="eastAsia" w:ascii="仿宋" w:hAnsi="仿宋" w:eastAsia="仿宋" w:cs="仿宋"/>
        </w:rPr>
        <w:t>结合规划公共停车场、商业、公共建筑配建停车库建设。在具体落点时，应结合区域特征，对交通集中的重点区块先行布置，再在其他区域进行加密补设，形成片区充电设施服务网络。</w:t>
      </w:r>
    </w:p>
    <w:p>
      <w:pPr>
        <w:rPr>
          <w:rFonts w:hint="eastAsia" w:ascii="仿宋" w:hAnsi="仿宋" w:eastAsia="仿宋" w:cs="仿宋"/>
        </w:rPr>
      </w:pPr>
      <w:r>
        <w:rPr>
          <w:rFonts w:hint="eastAsia" w:ascii="仿宋" w:hAnsi="仿宋" w:eastAsia="仿宋" w:cs="仿宋"/>
        </w:rPr>
        <w:t>社会公共充电站主要依托地块开发、停车场配建设置，具有分布广、服务面积大等特点，但也同时存在充电服务规模小、服务功能单一的问题。故此，需要建设城市公共快充站，作为社会公共充电站的补充，为城市电动汽车提供充电、维修等服务。</w:t>
      </w:r>
    </w:p>
    <w:p>
      <w:pPr>
        <w:rPr>
          <w:rFonts w:hint="eastAsia" w:ascii="仿宋" w:hAnsi="仿宋" w:eastAsia="仿宋" w:cs="仿宋"/>
        </w:rPr>
      </w:pPr>
      <w:r>
        <w:rPr>
          <w:rFonts w:hint="eastAsia" w:ascii="仿宋" w:hAnsi="仿宋" w:eastAsia="仿宋" w:cs="仿宋"/>
        </w:rPr>
        <w:t>（3）服务效益最大化</w:t>
      </w:r>
    </w:p>
    <w:p>
      <w:pPr>
        <w:rPr>
          <w:rFonts w:hint="eastAsia" w:ascii="仿宋" w:hAnsi="仿宋" w:eastAsia="仿宋" w:cs="仿宋"/>
        </w:rPr>
      </w:pPr>
      <w:r>
        <w:rPr>
          <w:rFonts w:hint="eastAsia" w:ascii="仿宋" w:hAnsi="仿宋" w:eastAsia="仿宋" w:cs="仿宋"/>
        </w:rPr>
        <w:t>城市公共快充站建设应与城市总体规划、区块职能定位相协调，服务城市主要功能中心区，通过适当的规模和密度，保证社会公共充电服务设施建设均衡性，并在一定程度上弥补社会公共充电站服务空白。公共充电站建设宜分散布置，与充电桩形成网络化规模效应，提升电动汽车对市民吸引力，进而提升电动汽车的规模化推广应用。</w:t>
      </w:r>
    </w:p>
    <w:p>
      <w:pPr>
        <w:rPr>
          <w:rFonts w:hint="eastAsia" w:ascii="仿宋" w:hAnsi="仿宋" w:eastAsia="仿宋" w:cs="仿宋"/>
        </w:rPr>
      </w:pPr>
      <w:r>
        <w:rPr>
          <w:rFonts w:hint="eastAsia" w:ascii="仿宋" w:hAnsi="仿宋" w:eastAsia="仿宋" w:cs="仿宋"/>
        </w:rPr>
        <w:t>（4）便捷性</w:t>
      </w:r>
    </w:p>
    <w:p>
      <w:pPr>
        <w:rPr>
          <w:rFonts w:hint="eastAsia" w:ascii="仿宋" w:hAnsi="仿宋" w:eastAsia="仿宋" w:cs="仿宋"/>
        </w:rPr>
      </w:pPr>
      <w:r>
        <w:rPr>
          <w:rFonts w:hint="eastAsia" w:ascii="仿宋" w:hAnsi="仿宋" w:eastAsia="仿宋" w:cs="仿宋"/>
        </w:rPr>
        <w:t>不宜选择在支路或交叉口道路路口附近，以保证充电站交通便捷性和可达性；此外，充电站建设应充分利用就近已建或规划供电、消防等市政公用设施。</w:t>
      </w:r>
    </w:p>
    <w:p>
      <w:pPr>
        <w:keepNext w:val="0"/>
        <w:keepLines w:val="0"/>
        <w:pageBreakBefore w:val="0"/>
        <w:widowControl w:val="0"/>
        <w:numPr>
          <w:ilvl w:val="0"/>
          <w:numId w:val="16"/>
        </w:numPr>
        <w:kinsoku/>
        <w:wordWrap/>
        <w:overflowPunct/>
        <w:topLinePunct w:val="0"/>
        <w:autoSpaceDE/>
        <w:autoSpaceDN/>
        <w:bidi w:val="0"/>
        <w:adjustRightInd w:val="0"/>
        <w:snapToGrid w:val="0"/>
        <w:ind w:left="0" w:leftChars="0" w:firstLine="560" w:firstLineChars="200"/>
        <w:textAlignment w:val="auto"/>
        <w:rPr>
          <w:rFonts w:hint="eastAsia" w:ascii="仿宋" w:hAnsi="仿宋"/>
          <w:highlight w:val="none"/>
          <w:lang w:val="en-US" w:eastAsia="zh-CN"/>
        </w:rPr>
      </w:pPr>
      <w:r>
        <w:rPr>
          <w:rFonts w:hint="eastAsia" w:ascii="仿宋" w:hAnsi="仿宋"/>
          <w:highlight w:val="none"/>
          <w:lang w:val="en-US" w:eastAsia="zh-CN"/>
        </w:rPr>
        <w:t>专用充电设施布局原则</w:t>
      </w:r>
    </w:p>
    <w:p>
      <w:pPr>
        <w:rPr>
          <w:rFonts w:hint="eastAsia" w:ascii="仿宋" w:hAnsi="仿宋" w:eastAsia="仿宋" w:cs="仿宋"/>
        </w:rPr>
      </w:pPr>
      <w:r>
        <w:rPr>
          <w:rFonts w:hint="eastAsia" w:ascii="仿宋" w:hAnsi="仿宋" w:eastAsia="仿宋" w:cs="仿宋"/>
        </w:rPr>
        <w:t>（1）结合专业车辆停放场站</w:t>
      </w:r>
    </w:p>
    <w:p>
      <w:pPr>
        <w:rPr>
          <w:rFonts w:hint="eastAsia" w:ascii="仿宋" w:hAnsi="仿宋" w:eastAsia="仿宋" w:cs="仿宋"/>
        </w:rPr>
      </w:pPr>
      <w:r>
        <w:rPr>
          <w:rFonts w:hint="eastAsia" w:ascii="仿宋" w:hAnsi="仿宋" w:eastAsia="仿宋" w:cs="仿宋"/>
        </w:rPr>
        <w:t>电动公交专用充电桩可结合城市公交首末站、公交停车场和公交枢纽建设。</w:t>
      </w:r>
    </w:p>
    <w:p>
      <w:pPr>
        <w:rPr>
          <w:rFonts w:hint="eastAsia" w:ascii="仿宋" w:hAnsi="仿宋" w:eastAsia="仿宋" w:cs="仿宋"/>
        </w:rPr>
      </w:pPr>
      <w:r>
        <w:rPr>
          <w:rFonts w:hint="eastAsia" w:ascii="仿宋" w:hAnsi="仿宋" w:eastAsia="仿宋" w:cs="仿宋"/>
        </w:rPr>
        <w:t>（</w:t>
      </w:r>
      <w:r>
        <w:rPr>
          <w:rFonts w:hint="eastAsia" w:ascii="仿宋" w:hAnsi="仿宋" w:cs="仿宋"/>
          <w:lang w:val="en-US" w:eastAsia="zh-CN"/>
        </w:rPr>
        <w:t>2</w:t>
      </w:r>
      <w:r>
        <w:rPr>
          <w:rFonts w:hint="eastAsia" w:ascii="仿宋" w:hAnsi="仿宋" w:eastAsia="仿宋" w:cs="仿宋"/>
        </w:rPr>
        <w:t>）设施布置时应因地制宜</w:t>
      </w:r>
    </w:p>
    <w:p>
      <w:pPr>
        <w:rPr>
          <w:rFonts w:hint="eastAsia" w:ascii="仿宋" w:hAnsi="仿宋" w:eastAsia="仿宋" w:cs="仿宋"/>
        </w:rPr>
      </w:pPr>
      <w:r>
        <w:rPr>
          <w:rFonts w:hint="eastAsia" w:ascii="仿宋" w:hAnsi="仿宋" w:eastAsia="仿宋" w:cs="仿宋"/>
        </w:rPr>
        <w:t>充电设施在具体落地时，应结合专用车辆规模及场地大小综合布设，做到因地制宜</w:t>
      </w:r>
    </w:p>
    <w:p>
      <w:pPr>
        <w:pStyle w:val="3"/>
        <w:bidi w:val="0"/>
        <w:ind w:left="0" w:leftChars="0" w:firstLine="0" w:firstLineChars="0"/>
      </w:pPr>
      <w:bookmarkStart w:id="73" w:name="_Toc3480"/>
      <w:r>
        <w:rPr>
          <w:rFonts w:hint="eastAsia"/>
        </w:rPr>
        <w:t>充电基础设施配建要求</w:t>
      </w:r>
      <w:bookmarkEnd w:id="73"/>
    </w:p>
    <w:p>
      <w:pPr>
        <w:rPr>
          <w:rFonts w:hint="eastAsia"/>
        </w:rPr>
      </w:pPr>
      <w:r>
        <w:rPr>
          <w:rFonts w:hint="eastAsia"/>
        </w:rPr>
        <w:t>按照“适当超前”的规划原则，为提高电动汽车使用的便捷性满足临时补电的需求，还应补充一定数量的公共充电基础设施，即城市公共充电站及分散充电桩。</w:t>
      </w:r>
    </w:p>
    <w:p>
      <w:pPr>
        <w:rPr>
          <w:rFonts w:hint="eastAsia"/>
          <w:highlight w:val="none"/>
        </w:rPr>
      </w:pPr>
      <w:r>
        <w:rPr>
          <w:rFonts w:hint="eastAsia"/>
          <w:highlight w:val="none"/>
        </w:rPr>
        <w:t>公共充电桩按出租车和私人乘用车总数进行配建，</w:t>
      </w:r>
      <w:r>
        <w:rPr>
          <w:rFonts w:hint="eastAsia"/>
          <w:highlight w:val="none"/>
          <w:lang w:val="en-US" w:eastAsia="zh-CN"/>
        </w:rPr>
        <w:t>桩车比</w:t>
      </w:r>
      <w:r>
        <w:rPr>
          <w:rFonts w:hint="eastAsia"/>
          <w:highlight w:val="none"/>
        </w:rPr>
        <w:t>按</w:t>
      </w:r>
      <w:r>
        <w:rPr>
          <w:rFonts w:hint="eastAsia"/>
          <w:highlight w:val="none"/>
          <w:lang w:val="en-US" w:eastAsia="zh-CN"/>
        </w:rPr>
        <w:t>1:8</w:t>
      </w:r>
      <w:r>
        <w:rPr>
          <w:rFonts w:hint="eastAsia"/>
          <w:highlight w:val="none"/>
        </w:rPr>
        <w:t>配置。公共充电桩应结合交通枢纽、大型文体设施、大型商场旅游景点、医院、学校、公园、大型建筑配建停车场、路内停车位等公共停车场所建设。对于建设在路内停车泊位上的充电基础设施，在选点时，应尽量减少对周边交通的影响，充电桩在非使用状态下不带电，使用时满足安全充电要求，其电气绝缘、防护等级、启动急停等需符合国家充电桩技术规范的相关安全标准。</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大型公共建筑物配建停车场、社会公共停车场建设充电基础设施与预留建设安装条件的车位比例不低于10%，同时预留5%的建设安装条件，鼓励在此基础上增配充电设施。</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办公场所、独立用地公共停车场、商业、公建等配建停车场：新建地块，充电泊位应按照主城区≥20%、重点镇≥12%、一般镇≥10%配建到位；已建地块，在2025年前充电泊位按5%的最低配建标准；</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独立用地集中</w:t>
      </w:r>
      <w:r>
        <w:rPr>
          <w:rFonts w:hint="eastAsia" w:ascii="仿宋" w:hAnsi="仿宋" w:eastAsia="仿宋" w:cs="仿宋"/>
          <w:color w:val="auto"/>
          <w:kern w:val="0"/>
          <w:sz w:val="28"/>
          <w:szCs w:val="28"/>
          <w:highlight w:val="none"/>
          <w:lang w:val="en-US" w:eastAsia="zh-CN" w:bidi="ar"/>
        </w:rPr>
        <w:t>充换电基础设施</w:t>
      </w:r>
      <w:r>
        <w:rPr>
          <w:rFonts w:hint="default" w:ascii="仿宋" w:hAnsi="仿宋" w:eastAsia="仿宋" w:cs="仿宋"/>
          <w:color w:val="auto"/>
          <w:kern w:val="0"/>
          <w:sz w:val="28"/>
          <w:szCs w:val="28"/>
          <w:highlight w:val="none"/>
          <w:lang w:val="en-US" w:eastAsia="zh-CN" w:bidi="ar"/>
        </w:rPr>
        <w:t>，为便于管理，避免充电车位被燃油汽车占用的情况发生，优先建设独立用地集中</w:t>
      </w:r>
      <w:r>
        <w:rPr>
          <w:rFonts w:hint="eastAsia" w:ascii="仿宋" w:hAnsi="仿宋" w:eastAsia="仿宋" w:cs="仿宋"/>
          <w:color w:val="auto"/>
          <w:kern w:val="0"/>
          <w:sz w:val="28"/>
          <w:szCs w:val="28"/>
          <w:highlight w:val="none"/>
          <w:lang w:val="en-US" w:eastAsia="zh-CN" w:bidi="ar"/>
        </w:rPr>
        <w:t>充换电基础设施</w:t>
      </w:r>
      <w:r>
        <w:rPr>
          <w:rFonts w:hint="default" w:ascii="仿宋" w:hAnsi="仿宋" w:eastAsia="仿宋" w:cs="仿宋"/>
          <w:color w:val="auto"/>
          <w:kern w:val="0"/>
          <w:sz w:val="28"/>
          <w:szCs w:val="28"/>
          <w:highlight w:val="none"/>
          <w:lang w:val="en-US" w:eastAsia="zh-CN" w:bidi="ar"/>
        </w:rPr>
        <w:t>，充电站应具备相关供电、监控等配套设备。同时各集中</w:t>
      </w:r>
      <w:r>
        <w:rPr>
          <w:rFonts w:hint="eastAsia" w:ascii="仿宋" w:hAnsi="仿宋" w:eastAsia="仿宋" w:cs="仿宋"/>
          <w:color w:val="auto"/>
          <w:kern w:val="0"/>
          <w:sz w:val="28"/>
          <w:szCs w:val="28"/>
          <w:highlight w:val="none"/>
          <w:lang w:val="en-US" w:eastAsia="zh-CN" w:bidi="ar"/>
        </w:rPr>
        <w:t>充换电基础设施</w:t>
      </w:r>
      <w:r>
        <w:rPr>
          <w:rFonts w:hint="default" w:ascii="仿宋" w:hAnsi="仿宋" w:eastAsia="仿宋" w:cs="仿宋"/>
          <w:color w:val="auto"/>
          <w:kern w:val="0"/>
          <w:sz w:val="28"/>
          <w:szCs w:val="28"/>
          <w:highlight w:val="none"/>
          <w:lang w:val="en-US" w:eastAsia="zh-CN" w:bidi="ar"/>
        </w:rPr>
        <w:t>需根据需要预留设计换电设备用地，原则上按照每2000辆电动汽车配套建设一座公共</w:t>
      </w:r>
      <w:r>
        <w:rPr>
          <w:rFonts w:hint="eastAsia" w:ascii="仿宋" w:hAnsi="仿宋" w:eastAsia="仿宋" w:cs="仿宋"/>
          <w:color w:val="auto"/>
          <w:kern w:val="0"/>
          <w:sz w:val="28"/>
          <w:szCs w:val="28"/>
          <w:highlight w:val="none"/>
          <w:lang w:val="en-US" w:eastAsia="zh-CN" w:bidi="ar"/>
        </w:rPr>
        <w:t>充换电基础设施，包括3台及以上电动汽车直流快充设备</w:t>
      </w:r>
      <w:r>
        <w:rPr>
          <w:rFonts w:hint="default" w:ascii="仿宋" w:hAnsi="仿宋" w:eastAsia="仿宋" w:cs="仿宋"/>
          <w:color w:val="auto"/>
          <w:kern w:val="0"/>
          <w:sz w:val="28"/>
          <w:szCs w:val="28"/>
          <w:highlight w:val="none"/>
          <w:lang w:val="en-US" w:eastAsia="zh-CN" w:bidi="ar"/>
        </w:rPr>
        <w:t>。</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公交枢纽站、首末站：新建公交枢纽站、首末站，应根据电动公交车推广任务的安排，配建一定数量的公交充电桩；现状公交枢纽站、首末站，选取占地面积较大、服务功能较强的场站设施，配建一定数量的公交车充电桩；</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高速公路服务区：全市高速公路服务区每处布置不少于4个直流充电桩；</w:t>
      </w:r>
    </w:p>
    <w:p>
      <w:pPr>
        <w:pStyle w:val="15"/>
        <w:keepNext w:val="0"/>
        <w:keepLines w:val="0"/>
        <w:pageBreakBefore w:val="0"/>
        <w:widowControl w:val="0"/>
        <w:numPr>
          <w:ilvl w:val="0"/>
          <w:numId w:val="17"/>
        </w:numPr>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default" w:ascii="仿宋" w:hAnsi="仿宋" w:eastAsia="仿宋" w:cs="仿宋"/>
          <w:color w:val="auto"/>
          <w:kern w:val="0"/>
          <w:sz w:val="28"/>
          <w:szCs w:val="28"/>
          <w:highlight w:val="none"/>
          <w:lang w:val="en-US" w:eastAsia="zh-CN" w:bidi="ar"/>
        </w:rPr>
        <w:t>各景区配建停车场按照不低于景区应配套停车位数量8%的比例配建充电设施。在建设阶段各景区可根据客流量情况分阶段实施充电设施建设</w:t>
      </w:r>
      <w:r>
        <w:rPr>
          <w:rFonts w:hint="eastAsia" w:ascii="仿宋" w:hAnsi="仿宋" w:eastAsia="仿宋" w:cs="仿宋"/>
          <w:color w:val="auto"/>
          <w:kern w:val="0"/>
          <w:sz w:val="28"/>
          <w:szCs w:val="28"/>
          <w:highlight w:val="none"/>
          <w:lang w:val="en-US" w:eastAsia="zh-CN" w:bidi="ar"/>
        </w:rPr>
        <w:t>。</w:t>
      </w:r>
    </w:p>
    <w:p>
      <w:pPr>
        <w:pStyle w:val="3"/>
        <w:bidi w:val="0"/>
        <w:ind w:left="0" w:leftChars="0" w:firstLine="0" w:firstLineChars="0"/>
      </w:pPr>
      <w:bookmarkStart w:id="74" w:name="_Toc29820"/>
      <w:r>
        <w:rPr>
          <w:rFonts w:hint="eastAsia"/>
        </w:rPr>
        <w:t>充电基础设施布局方案</w:t>
      </w:r>
      <w:bookmarkEnd w:id="74"/>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至2028年，岫岩公共充电桩共计划新建524个，其中直流充电桩260个，液冷充电桩264个，按每台直流充电桩最大功率为60千瓦，可服务4辆电动汽车,每台液冷充电桩最大功率为600千瓦,可服务4辆电动汽车,测算至2028年公共充电桩可同时为约2096辆电动汽车提供充电服务，岫岩县主城区重点区域平均充电服务半径控制在4公里范围内，可较好的满足居民充电需求。</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本次规划考虑节假日人口剧增以及外来人口常驻，结合新能源汽车快速迅猛的发展趋势，充电基础设施规划数量关情况留有足够的发展空间。</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本次规划拟建设的公共充电设施以分散式与集中式结合布置，其中分散式点位主要结合机关单位、医院、商场等停车场建设，原则上不新征用地进行建设，集中式主要考虑结合独立用地进行单独建设；对于旅游公路沿线的点位、公路沿线的村庄点位和村委会的点位（如华山村村委会、穆家岭村村委会、头道沟村村委会、鹿圈子村村委会、</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石棚村村委会等）选取，在后期建设过程中，可根据实际建设需求，在考虑区位条件、服务半径、交通流量、充电需求等因素的条件下，可对点位进行适当的调整与增减。</w:t>
      </w:r>
    </w:p>
    <w:p>
      <w:pPr>
        <w:widowControl w:val="0"/>
        <w:adjustRightInd w:val="0"/>
        <w:snapToGrid w:val="0"/>
        <w:spacing w:line="360" w:lineRule="auto"/>
        <w:ind w:firstLine="562" w:firstLineChars="200"/>
        <w:jc w:val="left"/>
        <w:rPr>
          <w:rFonts w:ascii="仿宋" w:hAnsi="仿宋" w:eastAsia="仿宋" w:cs="Times New Roman"/>
          <w:b/>
          <w:bCs/>
          <w:kern w:val="2"/>
          <w:sz w:val="28"/>
          <w:szCs w:val="28"/>
          <w:highlight w:val="none"/>
          <w:lang w:val="en-GB" w:eastAsia="zh-CN" w:bidi="ar-SA"/>
        </w:rPr>
      </w:pPr>
      <w:r>
        <w:rPr>
          <w:rFonts w:ascii="仿宋" w:hAnsi="仿宋" w:eastAsia="仿宋" w:cs="Times New Roman"/>
          <w:b/>
          <w:bCs/>
          <w:kern w:val="2"/>
          <w:sz w:val="28"/>
          <w:szCs w:val="28"/>
          <w:highlight w:val="none"/>
          <w:lang w:val="en-GB" w:eastAsia="zh-CN" w:bidi="ar-SA"/>
        </w:rPr>
        <w:t>（1）</w:t>
      </w:r>
      <w:r>
        <w:rPr>
          <w:rFonts w:hint="eastAsia" w:ascii="仿宋" w:hAnsi="仿宋" w:eastAsia="仿宋" w:cs="Times New Roman"/>
          <w:b/>
          <w:bCs/>
          <w:kern w:val="2"/>
          <w:sz w:val="28"/>
          <w:szCs w:val="28"/>
          <w:highlight w:val="none"/>
          <w:lang w:val="en-GB" w:eastAsia="zh-CN" w:bidi="ar-SA"/>
        </w:rPr>
        <w:t>机关单位</w:t>
      </w:r>
      <w:r>
        <w:rPr>
          <w:rFonts w:hint="eastAsia" w:ascii="仿宋" w:hAnsi="仿宋" w:eastAsia="仿宋" w:cs="Times New Roman"/>
          <w:b/>
          <w:bCs/>
          <w:kern w:val="2"/>
          <w:sz w:val="28"/>
          <w:szCs w:val="28"/>
          <w:highlight w:val="none"/>
          <w:lang w:val="en-US" w:eastAsia="zh-CN" w:bidi="ar-SA"/>
        </w:rPr>
        <w:t>等公共场所</w:t>
      </w:r>
      <w:r>
        <w:rPr>
          <w:rFonts w:ascii="仿宋" w:hAnsi="仿宋" w:eastAsia="仿宋" w:cs="Times New Roman"/>
          <w:b/>
          <w:bCs/>
          <w:kern w:val="2"/>
          <w:sz w:val="28"/>
          <w:szCs w:val="28"/>
          <w:highlight w:val="none"/>
          <w:lang w:val="en-GB" w:eastAsia="zh-CN" w:bidi="ar-SA"/>
        </w:rPr>
        <w:t>公共充电设施规划</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default"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根据电动汽车用户的分布和需求，优先考虑在机关单位内部停车场以及商场、医院、学校、公园等公共场所建设充电桩，方便机关单位等公共场所人员使用，以满足更多电动汽车用户的充电需求。</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default"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本次规划根据上述配置标准，至2028年，按照停车场车位数的10%进行充电桩配置，期间可根据实际情况进行适当调整。至2028年机关单位等公共场所共建设356个充电桩。</w:t>
      </w:r>
    </w:p>
    <w:p>
      <w:pPr>
        <w:widowControl w:val="0"/>
        <w:adjustRightInd w:val="0"/>
        <w:snapToGrid w:val="0"/>
        <w:spacing w:line="360" w:lineRule="auto"/>
        <w:ind w:left="0" w:leftChars="0" w:firstLine="0" w:firstLineChars="0"/>
        <w:jc w:val="left"/>
        <w:rPr>
          <w:rFonts w:hint="eastAsia" w:ascii="仿宋" w:hAnsi="仿宋" w:eastAsia="仿宋" w:cs="Times New Roman"/>
          <w:b/>
          <w:bCs/>
          <w:kern w:val="2"/>
          <w:sz w:val="28"/>
          <w:szCs w:val="28"/>
          <w:highlight w:val="none"/>
          <w:lang w:val="en-GB" w:eastAsia="zh-CN" w:bidi="ar-SA"/>
        </w:rPr>
      </w:pPr>
      <w:r>
        <w:rPr>
          <w:rFonts w:hint="eastAsia" w:ascii="仿宋" w:hAnsi="仿宋" w:eastAsia="仿宋" w:cs="仿宋"/>
          <w:color w:val="auto"/>
          <w:kern w:val="0"/>
          <w:sz w:val="28"/>
          <w:szCs w:val="28"/>
          <w:highlight w:val="none"/>
          <w:lang w:val="en-US" w:eastAsia="zh-CN" w:bidi="ar"/>
        </w:rPr>
        <w:drawing>
          <wp:inline distT="0" distB="0" distL="114300" distR="114300">
            <wp:extent cx="5246370" cy="5571490"/>
            <wp:effectExtent l="0" t="0" r="11430" b="10160"/>
            <wp:docPr id="5" name="图片 5" descr="公共场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共场所"/>
                    <pic:cNvPicPr>
                      <a:picLocks noChangeAspect="1"/>
                    </pic:cNvPicPr>
                  </pic:nvPicPr>
                  <pic:blipFill>
                    <a:blip r:embed="rId22"/>
                    <a:srcRect l="18501" t="1775" r="18067" b="2850"/>
                    <a:stretch>
                      <a:fillRect/>
                    </a:stretch>
                  </pic:blipFill>
                  <pic:spPr>
                    <a:xfrm>
                      <a:off x="0" y="0"/>
                      <a:ext cx="5246370" cy="5571490"/>
                    </a:xfrm>
                    <a:prstGeom prst="rect">
                      <a:avLst/>
                    </a:prstGeom>
                  </pic:spPr>
                </pic:pic>
              </a:graphicData>
            </a:graphic>
          </wp:inline>
        </w:drawing>
      </w:r>
    </w:p>
    <w:p>
      <w:pPr>
        <w:widowControl w:val="0"/>
        <w:numPr>
          <w:ilvl w:val="0"/>
          <w:numId w:val="18"/>
        </w:numPr>
        <w:adjustRightInd w:val="0"/>
        <w:snapToGrid w:val="0"/>
        <w:spacing w:line="360" w:lineRule="auto"/>
        <w:ind w:firstLine="562" w:firstLineChars="200"/>
        <w:jc w:val="left"/>
        <w:rPr>
          <w:rFonts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t>重点景区</w:t>
      </w:r>
      <w:r>
        <w:rPr>
          <w:rFonts w:ascii="仿宋" w:hAnsi="仿宋" w:eastAsia="仿宋" w:cs="Times New Roman"/>
          <w:b/>
          <w:bCs/>
          <w:kern w:val="2"/>
          <w:sz w:val="28"/>
          <w:szCs w:val="28"/>
          <w:highlight w:val="none"/>
          <w:lang w:val="en-US" w:eastAsia="zh-CN" w:bidi="ar-SA"/>
        </w:rPr>
        <w:t>公共充电设施规划</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重点景区公共充电设施规划是提升景区服务品质、促进可持续发展的重要举措，兼顾环境保护、能源节约和旅游便利等多重因素，优先选择景区入口、停车场等游客集中的区域设置充电设施，在满足游客的出行需求同时，提升景区的竞争力和吸引力。</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景区配建停车场应结合景区实际峰值人流量及停车位数量配建充电设施。至2028年重点景区共建设50个充电桩。</w:t>
      </w:r>
    </w:p>
    <w:p>
      <w:pPr>
        <w:widowControl w:val="0"/>
        <w:numPr>
          <w:ilvl w:val="0"/>
          <w:numId w:val="0"/>
        </w:numPr>
        <w:adjustRightInd w:val="0"/>
        <w:snapToGrid w:val="0"/>
        <w:spacing w:line="360" w:lineRule="auto"/>
        <w:jc w:val="left"/>
        <w:rPr>
          <w:rFonts w:hint="eastAsia"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drawing>
          <wp:inline distT="0" distB="0" distL="114300" distR="114300">
            <wp:extent cx="5258435" cy="4786630"/>
            <wp:effectExtent l="0" t="0" r="18415" b="13970"/>
            <wp:docPr id="8" name="图片 8" descr="旅游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旅游景区"/>
                    <pic:cNvPicPr>
                      <a:picLocks noChangeAspect="1"/>
                    </pic:cNvPicPr>
                  </pic:nvPicPr>
                  <pic:blipFill>
                    <a:blip r:embed="rId23"/>
                    <a:srcRect l="18272" t="6177" r="17356" b="10853"/>
                    <a:stretch>
                      <a:fillRect/>
                    </a:stretch>
                  </pic:blipFill>
                  <pic:spPr>
                    <a:xfrm>
                      <a:off x="0" y="0"/>
                      <a:ext cx="5258435" cy="4786630"/>
                    </a:xfrm>
                    <a:prstGeom prst="rect">
                      <a:avLst/>
                    </a:prstGeom>
                  </pic:spPr>
                </pic:pic>
              </a:graphicData>
            </a:graphic>
          </wp:inline>
        </w:drawing>
      </w:r>
    </w:p>
    <w:p>
      <w:pPr>
        <w:widowControl w:val="0"/>
        <w:numPr>
          <w:ilvl w:val="0"/>
          <w:numId w:val="18"/>
        </w:numPr>
        <w:adjustRightInd w:val="0"/>
        <w:snapToGrid w:val="0"/>
        <w:spacing w:line="360" w:lineRule="auto"/>
        <w:ind w:left="0" w:leftChars="0" w:firstLine="562" w:firstLineChars="200"/>
        <w:jc w:val="left"/>
        <w:rPr>
          <w:rFonts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t>产业园区及物流节点</w:t>
      </w:r>
      <w:r>
        <w:rPr>
          <w:rFonts w:ascii="仿宋" w:hAnsi="仿宋" w:eastAsia="仿宋" w:cs="Times New Roman"/>
          <w:b/>
          <w:bCs/>
          <w:kern w:val="2"/>
          <w:sz w:val="28"/>
          <w:szCs w:val="28"/>
          <w:highlight w:val="none"/>
          <w:lang w:val="en-US" w:eastAsia="zh-CN" w:bidi="ar-SA"/>
        </w:rPr>
        <w:t>公共充电设施规划</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重点产业园区以及物流节点属于人员密集、车流较大区域，随着新能源汽车的发展，对于充电需求也将逐步增加，为确保电动车辆在产业园区和物流网络中顺畅运行，进行充电设施的配建，满足电动车辆的充电需求，同时促进绿色出行和低碳物流的发展。</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根据产业园区和物流节点的实际情况，在新建停车场和既有停车场中，按照一定比例配建充电桩，并预留安装条件。至2028年产业园区及物流节点共建设48个充电桩。</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仿宋" w:hAnsi="仿宋" w:eastAsia="宋体"/>
          <w:b/>
          <w:bCs/>
          <w:sz w:val="28"/>
          <w:szCs w:val="28"/>
          <w:highlight w:val="none"/>
          <w:lang w:val="en-US" w:eastAsia="zh-CN"/>
        </w:rPr>
      </w:pPr>
      <w:r>
        <w:rPr>
          <w:rFonts w:hint="eastAsia" w:ascii="仿宋" w:hAnsi="仿宋" w:eastAsia="宋体"/>
          <w:b/>
          <w:bCs/>
          <w:sz w:val="28"/>
          <w:szCs w:val="28"/>
          <w:highlight w:val="none"/>
          <w:lang w:val="en-US" w:eastAsia="zh-CN"/>
        </w:rPr>
        <w:drawing>
          <wp:inline distT="0" distB="0" distL="114300" distR="114300">
            <wp:extent cx="5253990" cy="5622925"/>
            <wp:effectExtent l="0" t="0" r="3810" b="15875"/>
            <wp:docPr id="6" name="图片 6" descr="重点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重点企业"/>
                    <pic:cNvPicPr>
                      <a:picLocks noChangeAspect="1"/>
                    </pic:cNvPicPr>
                  </pic:nvPicPr>
                  <pic:blipFill>
                    <a:blip r:embed="rId24"/>
                    <a:srcRect l="19139" t="1536" r="17681" b="2730"/>
                    <a:stretch>
                      <a:fillRect/>
                    </a:stretch>
                  </pic:blipFill>
                  <pic:spPr>
                    <a:xfrm>
                      <a:off x="0" y="0"/>
                      <a:ext cx="5253990" cy="5622925"/>
                    </a:xfrm>
                    <a:prstGeom prst="rect">
                      <a:avLst/>
                    </a:prstGeom>
                  </pic:spPr>
                </pic:pic>
              </a:graphicData>
            </a:graphic>
          </wp:inline>
        </w:drawing>
      </w:r>
    </w:p>
    <w:p>
      <w:pPr>
        <w:widowControl w:val="0"/>
        <w:numPr>
          <w:ilvl w:val="0"/>
          <w:numId w:val="18"/>
        </w:numPr>
        <w:adjustRightInd w:val="0"/>
        <w:snapToGrid w:val="0"/>
        <w:spacing w:line="360" w:lineRule="auto"/>
        <w:ind w:left="0" w:leftChars="0" w:firstLine="562" w:firstLineChars="200"/>
        <w:jc w:val="left"/>
        <w:rPr>
          <w:rFonts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t>交通枢纽</w:t>
      </w:r>
      <w:r>
        <w:rPr>
          <w:rFonts w:ascii="仿宋" w:hAnsi="仿宋" w:eastAsia="仿宋" w:cs="Times New Roman"/>
          <w:b/>
          <w:bCs/>
          <w:kern w:val="2"/>
          <w:sz w:val="28"/>
          <w:szCs w:val="28"/>
          <w:highlight w:val="none"/>
          <w:lang w:val="en-US" w:eastAsia="zh-CN" w:bidi="ar-SA"/>
        </w:rPr>
        <w:t>公共充电设施规划</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交通枢纽作为城市交通的重要组成部分，其充电设施的规划和建设对于推动新能源汽车的普及、缓解城市交通压力、促进绿色发展具有重要意义。优先选择位于交通枢纽中心、靠近公共交通站点、人流量大的地段建设充电设施。</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本次规划根据上述配置标准，至2028年，按照停车场车位数的5%进行充电桩配置，期间可根据实际情况进行适当调整。至2028年交通枢纽共建设32个充电桩。</w:t>
      </w:r>
    </w:p>
    <w:p>
      <w:pPr>
        <w:widowControl w:val="0"/>
        <w:numPr>
          <w:ilvl w:val="0"/>
          <w:numId w:val="0"/>
        </w:numPr>
        <w:adjustRightInd w:val="0"/>
        <w:snapToGrid w:val="0"/>
        <w:spacing w:line="360" w:lineRule="auto"/>
        <w:jc w:val="left"/>
        <w:rPr>
          <w:rFonts w:hint="eastAsia"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drawing>
          <wp:inline distT="0" distB="0" distL="114300" distR="114300">
            <wp:extent cx="5239385" cy="4823460"/>
            <wp:effectExtent l="0" t="0" r="18415" b="15240"/>
            <wp:docPr id="9" name="图片 9" descr="交通枢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交通枢纽"/>
                    <pic:cNvPicPr>
                      <a:picLocks noChangeAspect="1"/>
                    </pic:cNvPicPr>
                  </pic:nvPicPr>
                  <pic:blipFill>
                    <a:blip r:embed="rId25"/>
                    <a:srcRect l="18633" t="6177" r="17717" b="10853"/>
                    <a:stretch>
                      <a:fillRect/>
                    </a:stretch>
                  </pic:blipFill>
                  <pic:spPr>
                    <a:xfrm>
                      <a:off x="0" y="0"/>
                      <a:ext cx="5239385" cy="4823460"/>
                    </a:xfrm>
                    <a:prstGeom prst="rect">
                      <a:avLst/>
                    </a:prstGeom>
                  </pic:spPr>
                </pic:pic>
              </a:graphicData>
            </a:graphic>
          </wp:inline>
        </w:drawing>
      </w:r>
    </w:p>
    <w:p>
      <w:pPr>
        <w:widowControl w:val="0"/>
        <w:numPr>
          <w:ilvl w:val="0"/>
          <w:numId w:val="18"/>
        </w:numPr>
        <w:adjustRightInd w:val="0"/>
        <w:snapToGrid w:val="0"/>
        <w:spacing w:line="360" w:lineRule="auto"/>
        <w:ind w:left="0" w:leftChars="0" w:firstLine="562" w:firstLineChars="200"/>
        <w:jc w:val="left"/>
        <w:rPr>
          <w:rFonts w:hint="eastAsia"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t>旅游公路及四好公路沿线</w:t>
      </w:r>
      <w:r>
        <w:rPr>
          <w:rFonts w:ascii="仿宋" w:hAnsi="仿宋" w:eastAsia="仿宋" w:cs="Times New Roman"/>
          <w:b/>
          <w:bCs/>
          <w:kern w:val="2"/>
          <w:sz w:val="28"/>
          <w:szCs w:val="28"/>
          <w:highlight w:val="none"/>
          <w:lang w:val="en-US" w:eastAsia="zh-CN" w:bidi="ar-SA"/>
        </w:rPr>
        <w:t>公共充电设施规划</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在旅游公路沿线的重要节点、“四好农村路”沿线，根据路网结构、村庄分布和交通流量，合理设置充电站。确保旅游公路和“四好农村路”沿线的电动汽车用户能够便捷地找到充电设施，满足其充电需求。</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default"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根据景区流量以及公路沿线的车流分布情况，按照一定比例进行充电设施建设，至2028年旅游公路及四好公路沿线共建设38个充电桩。</w:t>
      </w:r>
    </w:p>
    <w:p>
      <w:pPr>
        <w:widowControl w:val="0"/>
        <w:numPr>
          <w:ilvl w:val="0"/>
          <w:numId w:val="0"/>
        </w:numPr>
        <w:adjustRightInd w:val="0"/>
        <w:snapToGrid w:val="0"/>
        <w:spacing w:line="360" w:lineRule="auto"/>
        <w:jc w:val="left"/>
        <w:rPr>
          <w:rFonts w:hint="eastAsia"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drawing>
          <wp:inline distT="0" distB="0" distL="114300" distR="114300">
            <wp:extent cx="5239385" cy="4860290"/>
            <wp:effectExtent l="0" t="0" r="18415" b="16510"/>
            <wp:docPr id="10" name="图片 10" descr="公路沿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路沿线"/>
                    <pic:cNvPicPr>
                      <a:picLocks noChangeAspect="1"/>
                    </pic:cNvPicPr>
                  </pic:nvPicPr>
                  <pic:blipFill>
                    <a:blip r:embed="rId26"/>
                    <a:srcRect l="18814" t="6075" r="17898" b="10802"/>
                    <a:stretch>
                      <a:fillRect/>
                    </a:stretch>
                  </pic:blipFill>
                  <pic:spPr>
                    <a:xfrm>
                      <a:off x="0" y="0"/>
                      <a:ext cx="5239385" cy="4860290"/>
                    </a:xfrm>
                    <a:prstGeom prst="rect">
                      <a:avLst/>
                    </a:prstGeom>
                  </pic:spPr>
                </pic:pic>
              </a:graphicData>
            </a:graphic>
          </wp:inline>
        </w:drawing>
      </w:r>
    </w:p>
    <w:p>
      <w:pPr>
        <w:widowControl w:val="0"/>
        <w:adjustRightInd w:val="0"/>
        <w:snapToGrid w:val="0"/>
        <w:spacing w:line="360" w:lineRule="auto"/>
        <w:ind w:firstLine="562" w:firstLineChars="200"/>
        <w:jc w:val="both"/>
        <w:rPr>
          <w:rFonts w:hint="default" w:ascii="仿宋" w:hAnsi="仿宋" w:eastAsia="仿宋" w:cs="Times New Roman"/>
          <w:b/>
          <w:bCs/>
          <w:kern w:val="2"/>
          <w:sz w:val="28"/>
          <w:szCs w:val="28"/>
          <w:highlight w:val="none"/>
          <w:lang w:val="en-US" w:eastAsia="zh-CN" w:bidi="ar-SA"/>
        </w:rPr>
      </w:pPr>
      <w:r>
        <w:rPr>
          <w:rFonts w:hint="eastAsia" w:ascii="仿宋" w:hAnsi="仿宋" w:eastAsia="仿宋" w:cs="Times New Roman"/>
          <w:b/>
          <w:bCs/>
          <w:kern w:val="2"/>
          <w:sz w:val="28"/>
          <w:szCs w:val="28"/>
          <w:highlight w:val="none"/>
          <w:lang w:val="en-US" w:eastAsia="zh-CN" w:bidi="ar-SA"/>
        </w:rPr>
        <w:t>（6）专用充电设施规划</w:t>
      </w:r>
    </w:p>
    <w:p>
      <w:pPr>
        <w:ind w:firstLine="560"/>
        <w:rPr>
          <w:rFonts w:hint="default" w:ascii="仿宋" w:hAnsi="仿宋" w:cs="Times New Roman"/>
          <w:highlight w:val="none"/>
          <w:lang w:val="en-US" w:eastAsia="zh-CN"/>
        </w:rPr>
      </w:pPr>
      <w:r>
        <w:rPr>
          <w:rFonts w:hint="eastAsia" w:ascii="仿宋" w:hAnsi="仿宋" w:cs="Times New Roman"/>
          <w:highlight w:val="none"/>
          <w:lang w:val="en-US" w:eastAsia="zh-CN"/>
        </w:rPr>
        <w:t>专用充电桩不便于统一规划，本次根据充电设施需求预测结果，近期专用充电设施建设暂不涉及公交、环卫车辆，公交、环卫车辆近期暂无购置电动汽车计划，故暂不做专用充电站规划。远期针对电动车辆替换需求，结合专用场站进行充电设施建设，满足专用车辆的充电需求，有条件的专用充电设施场地可考虑对外开放。</w:t>
      </w:r>
    </w:p>
    <w:p>
      <w:pPr>
        <w:widowControl w:val="0"/>
        <w:adjustRightInd w:val="0"/>
        <w:snapToGrid w:val="0"/>
        <w:spacing w:line="360" w:lineRule="auto"/>
        <w:ind w:firstLine="562" w:firstLineChars="200"/>
        <w:jc w:val="both"/>
        <w:rPr>
          <w:rFonts w:ascii="仿宋" w:hAnsi="仿宋" w:eastAsia="仿宋" w:cs="Times New Roman"/>
          <w:b/>
          <w:bCs/>
          <w:kern w:val="2"/>
          <w:sz w:val="28"/>
          <w:szCs w:val="28"/>
          <w:highlight w:val="none"/>
          <w:lang w:val="en-GB" w:eastAsia="zh-CN" w:bidi="ar-SA"/>
        </w:rPr>
      </w:pPr>
      <w:r>
        <w:rPr>
          <w:rFonts w:ascii="仿宋" w:hAnsi="仿宋" w:eastAsia="仿宋" w:cs="Times New Roman"/>
          <w:b/>
          <w:bCs/>
          <w:kern w:val="2"/>
          <w:sz w:val="28"/>
          <w:szCs w:val="28"/>
          <w:highlight w:val="none"/>
          <w:lang w:val="en-GB" w:eastAsia="zh-CN" w:bidi="ar-SA"/>
        </w:rPr>
        <w:t>三、分期计划</w:t>
      </w:r>
    </w:p>
    <w:p>
      <w:pPr>
        <w:ind w:firstLine="560"/>
        <w:rPr>
          <w:rFonts w:ascii="仿宋" w:hAnsi="仿宋" w:cs="Times New Roman"/>
          <w:highlight w:val="none"/>
        </w:rPr>
      </w:pPr>
      <w:r>
        <w:rPr>
          <w:rFonts w:hint="eastAsia" w:ascii="仿宋" w:hAnsi="仿宋" w:cs="Times New Roman"/>
          <w:highlight w:val="none"/>
        </w:rPr>
        <w:t>为提高规划的可实施性,本规划遵循统一规划,分阶段、分区域根据需求因地制宜开展充电基础设施建设的原则，其中，各阶段建设目标如下:</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2" w:firstLineChars="200"/>
        <w:textAlignment w:val="auto"/>
        <w:outlineLvl w:val="9"/>
        <w:rPr>
          <w:rFonts w:hint="eastAsia" w:ascii="仿宋" w:hAnsi="仿宋" w:eastAsia="仿宋" w:cs="仿宋"/>
          <w:color w:val="auto"/>
          <w:kern w:val="0"/>
          <w:sz w:val="28"/>
          <w:szCs w:val="28"/>
          <w:highlight w:val="green"/>
          <w:lang w:val="en-US" w:eastAsia="zh-CN" w:bidi="ar"/>
        </w:rPr>
      </w:pPr>
      <w:r>
        <w:rPr>
          <w:rFonts w:hint="eastAsia" w:ascii="仿宋" w:hAnsi="仿宋" w:eastAsia="仿宋" w:cs="仿宋"/>
          <w:b/>
          <w:bCs/>
          <w:color w:val="auto"/>
          <w:kern w:val="0"/>
          <w:sz w:val="28"/>
          <w:szCs w:val="28"/>
          <w:highlight w:val="none"/>
          <w:lang w:val="en-US" w:eastAsia="zh-CN" w:bidi="ar"/>
        </w:rPr>
        <w:t>2024-2025年示范引导阶段。</w:t>
      </w:r>
      <w:r>
        <w:rPr>
          <w:rFonts w:hint="eastAsia" w:ascii="仿宋" w:hAnsi="仿宋" w:eastAsia="仿宋" w:cs="仿宋"/>
          <w:color w:val="auto"/>
          <w:kern w:val="0"/>
          <w:sz w:val="28"/>
          <w:szCs w:val="28"/>
          <w:highlight w:val="none"/>
          <w:lang w:val="en-US" w:eastAsia="zh-CN" w:bidi="ar"/>
        </w:rPr>
        <w:t>优先对中心城区、重点乡镇、交通枢纽、旅游景区、重点企业进行充电设施布局，确保充换电基础设施覆盖重点乡镇，对充换电建设发挥引导效应，拉动社会资本进行自发建设，并促进新能源汽车的消费水平。预计2024-2025年，共建设36个充电基础设施点位，共计368个充电桩。</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drawing>
          <wp:inline distT="0" distB="0" distL="114300" distR="114300">
            <wp:extent cx="5253990" cy="5581015"/>
            <wp:effectExtent l="0" t="0" r="3810" b="635"/>
            <wp:docPr id="7" name="图片 7" descr="20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年"/>
                    <pic:cNvPicPr>
                      <a:picLocks noChangeAspect="1"/>
                    </pic:cNvPicPr>
                  </pic:nvPicPr>
                  <pic:blipFill>
                    <a:blip r:embed="rId27"/>
                    <a:srcRect l="18621" t="1502" r="17814" b="2901"/>
                    <a:stretch>
                      <a:fillRect/>
                    </a:stretch>
                  </pic:blipFill>
                  <pic:spPr>
                    <a:xfrm>
                      <a:off x="0" y="0"/>
                      <a:ext cx="5253990" cy="5581015"/>
                    </a:xfrm>
                    <a:prstGeom prst="rect">
                      <a:avLst/>
                    </a:prstGeom>
                  </pic:spPr>
                </pic:pic>
              </a:graphicData>
            </a:graphic>
          </wp:inline>
        </w:drawing>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2"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2026-2027年促进发展阶段。</w:t>
      </w:r>
      <w:r>
        <w:rPr>
          <w:rFonts w:hint="eastAsia" w:ascii="仿宋" w:hAnsi="仿宋" w:eastAsia="仿宋" w:cs="仿宋"/>
          <w:color w:val="auto"/>
          <w:kern w:val="0"/>
          <w:sz w:val="28"/>
          <w:szCs w:val="28"/>
          <w:highlight w:val="none"/>
          <w:lang w:val="en-US" w:eastAsia="zh-CN" w:bidi="ar"/>
        </w:rPr>
        <w:t>针对偏远乡村进行短板补齐，优先对一般乡镇、旅游公路沿线进行充电设施建设，发挥政府顶层统筹作用，充分引导社会资本参与建设，合理规划充电基础设施布局，优化充电基础设施结构功能，探索区域充电基础设施合理发展路线。预计2026-2027年，建设22个充电基础设施点位，共计124个充电桩。</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drawing>
          <wp:inline distT="0" distB="0" distL="114300" distR="114300">
            <wp:extent cx="5266055" cy="5645150"/>
            <wp:effectExtent l="0" t="0" r="10795" b="12700"/>
            <wp:docPr id="3" name="图片 3" descr="2025-20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2026年"/>
                    <pic:cNvPicPr>
                      <a:picLocks noChangeAspect="1"/>
                    </pic:cNvPicPr>
                  </pic:nvPicPr>
                  <pic:blipFill>
                    <a:blip r:embed="rId28"/>
                    <a:srcRect l="18886" t="1553" r="17814" b="2372"/>
                    <a:stretch>
                      <a:fillRect/>
                    </a:stretch>
                  </pic:blipFill>
                  <pic:spPr>
                    <a:xfrm>
                      <a:off x="0" y="0"/>
                      <a:ext cx="5266055" cy="5645150"/>
                    </a:xfrm>
                    <a:prstGeom prst="rect">
                      <a:avLst/>
                    </a:prstGeom>
                  </pic:spPr>
                </pic:pic>
              </a:graphicData>
            </a:graphic>
          </wp:inline>
        </w:drawing>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562" w:firstLineChars="200"/>
        <w:textAlignment w:val="auto"/>
        <w:outlineLvl w:val="9"/>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2028年全面实施阶段。</w:t>
      </w:r>
      <w:r>
        <w:rPr>
          <w:rFonts w:hint="eastAsia" w:ascii="仿宋" w:hAnsi="仿宋" w:eastAsia="仿宋" w:cs="仿宋"/>
          <w:color w:val="auto"/>
          <w:kern w:val="0"/>
          <w:sz w:val="28"/>
          <w:szCs w:val="28"/>
          <w:highlight w:val="none"/>
          <w:lang w:val="en-US" w:eastAsia="zh-CN" w:bidi="ar"/>
        </w:rPr>
        <w:t>结合新能源汽车充电发展趋势，适度超前安排充电基础设施建设，对乡村、农村四好公路沿线进行充电设施建设，确保全县充电基础设施全面建设。因地制宜，有序推动区域充电基础设施建设规模，满足区域充电需求，构建分布合理、结构有序、总量适宜的区域充电网络。预计2028年，建设16个充电基础设施点位，共计32个充电桩。</w:t>
      </w:r>
    </w:p>
    <w:p>
      <w:pPr>
        <w:pStyle w:val="12"/>
        <w:ind w:left="0" w:leftChars="0" w:firstLine="0" w:firstLineChars="0"/>
        <w:rPr>
          <w:rFonts w:hint="eastAsia" w:ascii="Calibri" w:hAnsi="Calibri" w:eastAsia="仿宋" w:cs="Times New Roman"/>
          <w:kern w:val="2"/>
          <w:sz w:val="30"/>
          <w:szCs w:val="24"/>
          <w:highlight w:val="none"/>
          <w:lang w:val="en-GB" w:eastAsia="zh-CN" w:bidi="ar-SA"/>
        </w:rPr>
      </w:pPr>
      <w:r>
        <w:rPr>
          <w:rFonts w:hint="eastAsia" w:ascii="Calibri" w:hAnsi="Calibri" w:eastAsia="仿宋" w:cs="Times New Roman"/>
          <w:kern w:val="2"/>
          <w:sz w:val="30"/>
          <w:szCs w:val="24"/>
          <w:highlight w:val="none"/>
          <w:lang w:val="en-GB" w:eastAsia="zh-CN" w:bidi="ar-SA"/>
        </w:rPr>
        <w:drawing>
          <wp:inline distT="0" distB="0" distL="114300" distR="114300">
            <wp:extent cx="5240020" cy="5599430"/>
            <wp:effectExtent l="0" t="0" r="17780" b="1270"/>
            <wp:docPr id="12" name="图片 12" descr="2027-20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7-2028年"/>
                    <pic:cNvPicPr>
                      <a:picLocks noChangeAspect="1"/>
                    </pic:cNvPicPr>
                  </pic:nvPicPr>
                  <pic:blipFill>
                    <a:blip r:embed="rId29"/>
                    <a:srcRect l="19007" t="1314" r="17693" b="2918"/>
                    <a:stretch>
                      <a:fillRect/>
                    </a:stretch>
                  </pic:blipFill>
                  <pic:spPr>
                    <a:xfrm>
                      <a:off x="0" y="0"/>
                      <a:ext cx="5240020" cy="5599430"/>
                    </a:xfrm>
                    <a:prstGeom prst="rect">
                      <a:avLst/>
                    </a:prstGeom>
                  </pic:spPr>
                </pic:pic>
              </a:graphicData>
            </a:graphic>
          </wp:inline>
        </w:drawing>
      </w:r>
    </w:p>
    <w:p>
      <w:pPr>
        <w:pStyle w:val="12"/>
        <w:ind w:left="0" w:leftChars="0" w:firstLine="0" w:firstLineChars="0"/>
        <w:rPr>
          <w:rFonts w:hint="eastAsia" w:ascii="Calibri" w:hAnsi="Calibri" w:eastAsia="仿宋" w:cs="Times New Roman"/>
          <w:kern w:val="2"/>
          <w:sz w:val="30"/>
          <w:szCs w:val="24"/>
          <w:highlight w:val="none"/>
          <w:lang w:val="en-GB" w:eastAsia="zh-CN" w:bidi="ar-SA"/>
        </w:rPr>
      </w:pPr>
    </w:p>
    <w:p>
      <w:pPr>
        <w:pStyle w:val="12"/>
        <w:ind w:left="0" w:leftChars="0" w:firstLine="0" w:firstLineChars="0"/>
        <w:rPr>
          <w:rFonts w:hint="eastAsia" w:ascii="Calibri" w:hAnsi="Calibri" w:eastAsia="仿宋" w:cs="Times New Roman"/>
          <w:kern w:val="2"/>
          <w:sz w:val="30"/>
          <w:szCs w:val="24"/>
          <w:highlight w:val="none"/>
          <w:lang w:val="en-GB" w:eastAsia="zh-CN" w:bidi="ar-SA"/>
        </w:rPr>
        <w:sectPr>
          <w:pgSz w:w="11906" w:h="16838"/>
          <w:pgMar w:top="1440" w:right="1800" w:bottom="1440" w:left="1800" w:header="851" w:footer="992" w:gutter="0"/>
          <w:cols w:space="425" w:num="1"/>
          <w:docGrid w:type="lines" w:linePitch="312" w:charSpace="0"/>
        </w:sectPr>
      </w:pPr>
    </w:p>
    <w:p>
      <w:pPr>
        <w:pStyle w:val="12"/>
        <w:ind w:left="0" w:leftChars="0" w:firstLine="0" w:firstLineChars="0"/>
        <w:jc w:val="center"/>
        <w:rPr>
          <w:rFonts w:hint="default"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GB" w:eastAsia="zh-CN" w:bidi="ar"/>
        </w:rPr>
        <w:t>岫岩县电动汽车公共充电设施布局</w:t>
      </w:r>
      <w:r>
        <w:rPr>
          <w:rFonts w:hint="eastAsia" w:ascii="仿宋" w:hAnsi="仿宋" w:cs="仿宋"/>
          <w:b/>
          <w:bCs/>
          <w:color w:val="auto"/>
          <w:kern w:val="0"/>
          <w:sz w:val="28"/>
          <w:szCs w:val="28"/>
          <w:highlight w:val="none"/>
          <w:lang w:val="en-US" w:eastAsia="zh-CN" w:bidi="ar"/>
        </w:rPr>
        <w:t>点位明细表</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3"/>
        <w:gridCol w:w="641"/>
        <w:gridCol w:w="2411"/>
        <w:gridCol w:w="3050"/>
        <w:gridCol w:w="937"/>
        <w:gridCol w:w="1300"/>
        <w:gridCol w:w="1088"/>
        <w:gridCol w:w="787"/>
        <w:gridCol w:w="1800"/>
        <w:gridCol w:w="1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blHeader/>
        </w:trPr>
        <w:tc>
          <w:tcPr>
            <w:tcW w:w="209" w:type="pct"/>
            <w:tcBorders>
              <w:top w:val="single" w:color="000000" w:sz="8" w:space="0"/>
              <w:left w:val="single" w:color="000000" w:sz="8" w:space="0"/>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226" w:type="pct"/>
            <w:vMerge w:val="restar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应用场景</w:t>
            </w:r>
          </w:p>
        </w:tc>
        <w:tc>
          <w:tcPr>
            <w:tcW w:w="850"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充电设施布局点位名称</w:t>
            </w:r>
          </w:p>
        </w:tc>
        <w:tc>
          <w:tcPr>
            <w:tcW w:w="1075"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具体位置</w:t>
            </w:r>
          </w:p>
        </w:tc>
        <w:tc>
          <w:tcPr>
            <w:tcW w:w="330"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充电桩</w:t>
            </w:r>
          </w:p>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分布类型</w:t>
            </w:r>
          </w:p>
        </w:tc>
        <w:tc>
          <w:tcPr>
            <w:tcW w:w="458"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充电类型</w:t>
            </w:r>
          </w:p>
        </w:tc>
        <w:tc>
          <w:tcPr>
            <w:tcW w:w="383"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新技术充电桩数量（台）</w:t>
            </w:r>
          </w:p>
        </w:tc>
        <w:tc>
          <w:tcPr>
            <w:tcW w:w="277"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充电桩总数</w:t>
            </w:r>
          </w:p>
        </w:tc>
        <w:tc>
          <w:tcPr>
            <w:tcW w:w="634"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总功率</w:t>
            </w:r>
          </w:p>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（配置情况）</w:t>
            </w:r>
          </w:p>
        </w:tc>
        <w:tc>
          <w:tcPr>
            <w:tcW w:w="552" w:type="pct"/>
            <w:tcBorders>
              <w:top w:val="single" w:color="000000" w:sz="8" w:space="0"/>
              <w:left w:val="nil"/>
              <w:bottom w:val="single" w:color="000000" w:sz="8" w:space="0"/>
              <w:right w:val="single" w:color="000000" w:sz="8" w:space="0"/>
            </w:tcBorders>
            <w:shd w:val="clear" w:color="auto" w:fill="D7D7D7"/>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建设年份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226"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公共场所</w:t>
            </w: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东风社区居民委员会</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岫岩满族自治县东风社区</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城东社区居民委员会</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岫岩满族自治县城东社区</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政务服务大厅</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岫岩满族自治县阜昌路万润水岸豪庭</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县政府智慧停车场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岫岩满族自治县岫玉大街36号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岫岩高级中学</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岫岩满族自治县张庄公路与张庄线交叉口正东方向1583米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岫岩县第二高级中学</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岫岩满族自治县G229贤仕名府西北260米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岫岩县三高级中学</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鞍山市岫岩满族自治县阜昌路10号米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中心医院</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岫岩满族自治县岫岩镇大宁街105号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中医院</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岫岩满族自治县岫岩镇政府西侧</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万客来购物中心</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岫岩满族自治县站前大街8号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县政府广场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岫岩满族自治县岫玉大街36号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诚信小区广场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诚信花园小区东侧</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花熙小镇</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岫岩满族自治县张庄公路西侧</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世通毓园小区广场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岫岩满族自治县阜昌街道高速路口旁</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越都华府街道旁</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岫岩满族自治县岫岩财政局后</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东山公园</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岫岩满族自治县309省道附近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中心农贸市场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岫岩满族自治县城东路富源广场东南侧约120米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殡仪馆</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岫岩满族自治县岫梨线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蓝旗小镇</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岫岩满族自治县313省道与张庄公路交叉口东360米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兴隆街道</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岫岩满族自治县张庄公路越临湾西北侧约100米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三家子镇人民政府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岫岩满族自治县三家子镇信用社旁边正西方向180米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石庙子镇人民政府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岫岩满族自治县石庙子镇顺昌路156号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黄花甸镇人民政府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岫岩满族自治县张庄路52号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大营子镇镇人民政府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岫岩满族自治县大二线与桓盖线交叉口东北方向80米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苏子沟镇人民政府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岫岩满族自治县张庄公路</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偏岭镇人民政府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岫岩满族自治县王家堡村富源街58号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哈达啤镇人民政府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岫岩满族自治县哈达碑村玉乡路52号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28</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新甸镇人民政府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岫岩满族自治县松石线与张庄公路交叉口东220米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洋河镇人民政府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岫岩满族自治县贾家堡尖黄线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杨家堡镇人民政府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岫岩满族自治县大盘线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清凉山镇人民政府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岫岩满族自治县辽凤线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石灰窑镇人民政府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岫岩满族自治县309省道石灰窑镇附近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前营镇人民政府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岫岩满族自治县前营镇前营村35号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龙潭镇人民政府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岫岩满族自治县大童线与岫梨线交叉路口往西北约130米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牧牛镇人民政府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岫岩满族自治县S309</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药山镇人民政府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岫岩满族自治县永泉109号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大房身镇人民政府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龙王线大房身乡附近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38</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朝阳镇人民政府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岫岩满族自治县西街组80</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红旗营子乡人民政府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岫岩满族自治县桓盖线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岭沟乡人民政府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岫岩满族自治县碾盘杨马线</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哨子河乡人民政府</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哨子河117号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9个村村委会</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村委会</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60KW*18</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43</w:t>
            </w:r>
          </w:p>
        </w:tc>
        <w:tc>
          <w:tcPr>
            <w:tcW w:w="226"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旅游景区</w:t>
            </w: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仙人谷温泉旅游度假区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岫岩满族自治县仙人咀街道仙人咀村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龙潭湾景区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岫岩满族自治县西南30公里的龙潭镇境内</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水巷景区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岫岩满族自治县大宁街道小虎岭村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清凉山景区</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岫岩满族自治县福兴长组69号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雨桐玉文化博物馆</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岫岩满族自治县岫梨线腰岭子</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60KW*2+600KW*4</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48</w:t>
            </w:r>
          </w:p>
        </w:tc>
        <w:tc>
          <w:tcPr>
            <w:tcW w:w="226"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重点企业</w:t>
            </w: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鞍山电磁阀有限责任公司</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岫岩满族自治县312省道东50米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岫岩满族自治县竹源石业有限公司</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市岫岩满族自治县小张家堡子</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鞍山永安包装工业有限公司</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岫岩满族自治县大盘线永安职工幼儿园东侧约110米</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辽宁万成镁业集团有限公司</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岫岩满族自治县大房身镇大甸子龙王线南</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60KW*6</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中国玉雕会展中心</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岫岩满族自治县迎宾路1号</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玉产业园</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岫岩满族自治县雅河工业园区南侧众诚加油站</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54</w:t>
            </w:r>
          </w:p>
        </w:tc>
        <w:tc>
          <w:tcPr>
            <w:tcW w:w="226"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交通枢纽</w:t>
            </w: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岫岩客运站</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岫岩满族自治县鸿升时代广场</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光储充一体化+液冷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岫岩火车站</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岫岩满族自治县岫岩镇站前大街</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集中式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60KW*4+600KW*12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2024—2025年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56</w:t>
            </w:r>
          </w:p>
        </w:tc>
        <w:tc>
          <w:tcPr>
            <w:tcW w:w="226"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公路沿线</w:t>
            </w: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旅游公路——马清线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马清线与辽凤线交叉口</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60KW*1+600KW*3</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57</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旅游公路——红龙清线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大童线与红龙线交叉路口东北侧龙潭小学</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60KW*1+600KW*3</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58</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旅游公路——八汤线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八汤线与桓盖线交叉口汤池村村委会</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60KW*1+600KW*3</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59</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旅游公路——八汤线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八汤线龙泉湖</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快充+液冷</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60KW*1+600KW*3</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2026—2027年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S209沿线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石棉村附近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龙王线沿线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太阳村附近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62</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S210沿线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S210与龙王线交叉口龙门村附近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63</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S313沿线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小偏岭村附近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64</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S313沿线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关家堡村附近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65</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S312沿线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大魏屯村附近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66</w:t>
            </w:r>
          </w:p>
        </w:tc>
        <w:tc>
          <w:tcPr>
            <w:tcW w:w="226" w:type="pct"/>
            <w:vMerge w:val="continue"/>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85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G229沿线</w:t>
            </w:r>
          </w:p>
        </w:tc>
        <w:tc>
          <w:tcPr>
            <w:tcW w:w="107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大炉村附近</w:t>
            </w:r>
          </w:p>
        </w:tc>
        <w:tc>
          <w:tcPr>
            <w:tcW w:w="33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分散式</w:t>
            </w:r>
          </w:p>
        </w:tc>
        <w:tc>
          <w:tcPr>
            <w:tcW w:w="4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快充</w:t>
            </w:r>
          </w:p>
        </w:tc>
        <w:tc>
          <w:tcPr>
            <w:tcW w:w="38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7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63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60KW*2</w:t>
            </w:r>
          </w:p>
        </w:tc>
        <w:tc>
          <w:tcPr>
            <w:tcW w:w="55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2028年</w:t>
            </w:r>
          </w:p>
        </w:tc>
      </w:tr>
    </w:tbl>
    <w:p>
      <w:pPr>
        <w:pStyle w:val="12"/>
        <w:ind w:left="0" w:leftChars="0" w:firstLine="0" w:firstLineChars="0"/>
        <w:rPr>
          <w:rFonts w:hint="default" w:ascii="Calibri" w:hAnsi="Calibri" w:eastAsia="仿宋" w:cs="Times New Roman"/>
          <w:kern w:val="2"/>
          <w:sz w:val="28"/>
          <w:szCs w:val="22"/>
          <w:lang w:val="en-US" w:eastAsia="zh-CN" w:bidi="ar-SA"/>
        </w:rPr>
      </w:pPr>
      <w:r>
        <w:rPr>
          <w:rFonts w:hint="eastAsia" w:cs="Times New Roman"/>
          <w:kern w:val="2"/>
          <w:sz w:val="28"/>
          <w:szCs w:val="22"/>
          <w:lang w:val="en-US" w:eastAsia="zh-CN" w:bidi="ar-SA"/>
        </w:rPr>
        <w:t>注：点位选取为结合岫岩县现阶段需求与实际情况，后期施工可适时调整。</w:t>
      </w:r>
    </w:p>
    <w:p>
      <w:pPr>
        <w:pStyle w:val="12"/>
        <w:ind w:left="0" w:leftChars="0" w:firstLine="0" w:firstLineChars="0"/>
        <w:rPr>
          <w:rFonts w:hint="eastAsia" w:ascii="Calibri" w:hAnsi="Calibri" w:eastAsia="仿宋" w:cs="Times New Roman"/>
          <w:kern w:val="2"/>
          <w:sz w:val="30"/>
          <w:szCs w:val="24"/>
          <w:lang w:val="en-GB" w:eastAsia="zh-CN" w:bidi="ar-SA"/>
        </w:rPr>
      </w:pPr>
    </w:p>
    <w:p>
      <w:pPr>
        <w:pStyle w:val="12"/>
        <w:ind w:left="0" w:leftChars="0" w:firstLine="0" w:firstLineChars="0"/>
        <w:rPr>
          <w:rFonts w:hint="eastAsia" w:ascii="Calibri" w:hAnsi="Calibri" w:eastAsia="仿宋" w:cs="Times New Roman"/>
          <w:kern w:val="2"/>
          <w:sz w:val="30"/>
          <w:szCs w:val="24"/>
          <w:lang w:val="en-GB" w:eastAsia="zh-CN" w:bidi="ar-SA"/>
        </w:rPr>
        <w:sectPr>
          <w:pgSz w:w="16838" w:h="11906" w:orient="landscape"/>
          <w:pgMar w:top="1800" w:right="1440" w:bottom="1800" w:left="1440" w:header="851" w:footer="992" w:gutter="0"/>
          <w:cols w:space="425" w:num="1"/>
          <w:docGrid w:type="lines" w:linePitch="312" w:charSpace="0"/>
        </w:sectPr>
      </w:pPr>
    </w:p>
    <w:p>
      <w:pPr>
        <w:pStyle w:val="2"/>
        <w:bidi w:val="0"/>
        <w:ind w:left="0" w:leftChars="0" w:firstLine="0" w:firstLineChars="0"/>
      </w:pPr>
      <w:bookmarkStart w:id="75" w:name="_Toc4998"/>
      <w:r>
        <w:rPr>
          <w:rFonts w:hint="eastAsia"/>
        </w:rPr>
        <w:t>重点任务</w:t>
      </w:r>
      <w:bookmarkEnd w:id="75"/>
    </w:p>
    <w:p>
      <w:pPr>
        <w:pStyle w:val="3"/>
        <w:bidi w:val="0"/>
        <w:ind w:left="0" w:leftChars="0" w:firstLine="0" w:firstLineChars="0"/>
      </w:pPr>
      <w:bookmarkStart w:id="76" w:name="_Toc32372"/>
      <w:r>
        <w:rPr>
          <w:rFonts w:hint="eastAsia"/>
        </w:rPr>
        <w:t>全面推进充电基础设施网络布局和建设</w:t>
      </w:r>
      <w:bookmarkEnd w:id="76"/>
    </w:p>
    <w:p>
      <w:pPr>
        <w:pStyle w:val="4"/>
        <w:bidi w:val="0"/>
        <w:ind w:left="0" w:leftChars="0" w:firstLine="0" w:firstLineChars="0"/>
      </w:pPr>
      <w:bookmarkStart w:id="77" w:name="_Toc23544"/>
      <w:r>
        <w:rPr>
          <w:rFonts w:hint="eastAsia"/>
        </w:rPr>
        <w:t>着力推进公交车和出租车充电基础设施建设</w:t>
      </w:r>
      <w:bookmarkEnd w:id="77"/>
    </w:p>
    <w:p>
      <w:pPr>
        <w:ind w:firstLine="560"/>
        <w:rPr>
          <w:rFonts w:ascii="仿宋" w:hAnsi="仿宋"/>
        </w:rPr>
      </w:pPr>
      <w:r>
        <w:rPr>
          <w:rFonts w:hint="eastAsia" w:ascii="仿宋" w:hAnsi="仿宋"/>
        </w:rPr>
        <w:t>公交车充电基础设施应根据电动公交车的更新进度及线路运营需求，结合公交场站适度超前建设充电基础设施，原则上不设独立占地充电站。新建的电动公交车充电站优先结合现有公交车场站、首末站与保养站等现有基础设施，充分考虑城市交通规划与配电网供电能力，根据电动公交车推广任务的安排结合场地条件，选取占地面积较大、服务功能较强的场站设施，配建公交车充电站，有条件的充电设施可考虑对外开放。</w:t>
      </w:r>
    </w:p>
    <w:p>
      <w:r>
        <w:rPr>
          <w:rFonts w:hint="eastAsia" w:ascii="仿宋" w:hAnsi="仿宋"/>
        </w:rPr>
        <w:t>电动出租车的电能补给以城市公共充电基础设施为</w:t>
      </w:r>
      <w:r>
        <w:rPr>
          <w:rFonts w:hint="eastAsia" w:ascii="仿宋" w:hAnsi="仿宋"/>
          <w:lang w:val="en-US" w:eastAsia="zh-CN"/>
        </w:rPr>
        <w:t>主</w:t>
      </w:r>
      <w:r>
        <w:rPr>
          <w:rFonts w:hint="eastAsia" w:ascii="仿宋" w:hAnsi="仿宋"/>
        </w:rPr>
        <w:t>。</w:t>
      </w:r>
    </w:p>
    <w:p>
      <w:pPr>
        <w:pStyle w:val="4"/>
        <w:bidi w:val="0"/>
        <w:ind w:left="0" w:leftChars="0" w:firstLine="0" w:firstLineChars="0"/>
      </w:pPr>
      <w:bookmarkStart w:id="78" w:name="_Toc17711"/>
      <w:r>
        <w:rPr>
          <w:rFonts w:hint="eastAsia"/>
        </w:rPr>
        <w:t>鼓励建设行业专用车充电站</w:t>
      </w:r>
      <w:bookmarkEnd w:id="78"/>
    </w:p>
    <w:p>
      <w:r>
        <w:rPr>
          <w:rFonts w:hint="eastAsia" w:ascii="仿宋" w:hAnsi="仿宋"/>
        </w:rPr>
        <w:t>对于环卫、物流等行业专业电动汽车，应充分挖掘有关单位内部停车场站配建充电基础设施的潜力，同步推进城市公共充电基础设施建设，有条件的充电设施可考虑对外开放。电动环卫车、物流专用车利用自有停车场资源配套建设专用充电站，由车辆使用单位负责专用车充电站的建设工作，结合物流基地、物流配送中心的自有停车场建设物流专用充电站。</w:t>
      </w:r>
    </w:p>
    <w:p>
      <w:pPr>
        <w:pStyle w:val="4"/>
        <w:bidi w:val="0"/>
        <w:ind w:left="0" w:leftChars="0" w:firstLine="0" w:firstLineChars="0"/>
      </w:pPr>
      <w:bookmarkStart w:id="79" w:name="_Toc11829"/>
      <w:r>
        <w:rPr>
          <w:rFonts w:hint="eastAsia"/>
        </w:rPr>
        <w:t>加快推动用户居住地充电基础设施建设</w:t>
      </w:r>
      <w:bookmarkEnd w:id="79"/>
    </w:p>
    <w:p>
      <w:pPr>
        <w:ind w:firstLine="560"/>
        <w:rPr>
          <w:rFonts w:ascii="仿宋" w:hAnsi="仿宋"/>
        </w:rPr>
      </w:pPr>
      <w:r>
        <w:rPr>
          <w:rFonts w:hint="eastAsia" w:ascii="仿宋" w:hAnsi="仿宋"/>
        </w:rPr>
        <w:t>新建住宅配建停车位应100%建设充电设施或预留建设安装条件包括预埋电力管线和预留电力容量)，保证居民用户可充电和安全充电。对于有固定停车位的用户，优先结合停车位建设充电桩。对于无固定停车位的用户，鼓励企业通过配建一定比例的公共充电车位，建立充电车位的分时共享机制，开展机械式和立体式停车充电一体化设施建设与改造，为用户充电创造条件。引导充电服务、物业服务等相关企业参与居民区的充电基础设施建设与运营,鼓励企业统一开展停车位改造和直接办理报装接电手续，允许企业在不违反相关法规的前提下向用户按不高于政府指导价收费，建立合理反映各方“责、权、利”的市场化推进机制,切实解决居民区充电基础设施建设面临的“最后一公里”难题。</w:t>
      </w:r>
    </w:p>
    <w:p>
      <w:r>
        <w:rPr>
          <w:rFonts w:hint="eastAsia" w:ascii="仿宋" w:hAnsi="仿宋"/>
        </w:rPr>
        <w:t>对既有的住宅小区，鼓励通过改造不低于总停车位</w:t>
      </w:r>
      <w:r>
        <w:rPr>
          <w:rFonts w:ascii="仿宋" w:hAnsi="仿宋"/>
        </w:rPr>
        <w:t>5</w:t>
      </w:r>
      <w:r>
        <w:rPr>
          <w:rFonts w:hint="eastAsia" w:ascii="仿宋" w:hAnsi="仿宋"/>
        </w:rPr>
        <w:t>%的比例提供电动汽车充电基础设施。已建成的住宅小区，由业主委员会或产权所有人按照物业管理相关法律法规选择充电服务企业，为业主或车位承租人提供充电设施及相关服务。业主委员会和物业服务企业应支持用户结合车位配建充电设施，汽车销售和充电服务企业要做好配套服务。</w:t>
      </w:r>
    </w:p>
    <w:p>
      <w:pPr>
        <w:pStyle w:val="4"/>
        <w:bidi w:val="0"/>
        <w:ind w:left="0" w:leftChars="0" w:firstLine="0" w:firstLineChars="0"/>
      </w:pPr>
      <w:bookmarkStart w:id="80" w:name="_Toc18257"/>
      <w:r>
        <w:rPr>
          <w:rFonts w:hint="eastAsia"/>
        </w:rPr>
        <w:t>积极开展单位内部停车场充电基础设施建设</w:t>
      </w:r>
      <w:bookmarkEnd w:id="80"/>
    </w:p>
    <w:p>
      <w:r>
        <w:rPr>
          <w:rFonts w:hint="eastAsia" w:ascii="仿宋" w:hAnsi="仿宋"/>
        </w:rPr>
        <w:t>具备条件的政府机关、公共机构及企事业单位，要结合本单位电动汽车配备更新计划以及职工购买使用电动汽车需求，利用单位内部停车场资源，规划电动汽车专用停车位，配建充电桩。并将单位配建充电基础设施情况纳入节能减排考核奖励范围。</w:t>
      </w:r>
    </w:p>
    <w:p>
      <w:pPr>
        <w:pStyle w:val="4"/>
        <w:bidi w:val="0"/>
        <w:ind w:left="0" w:leftChars="0" w:firstLine="0" w:firstLineChars="0"/>
      </w:pPr>
      <w:bookmarkStart w:id="81" w:name="_Toc30944"/>
      <w:r>
        <w:rPr>
          <w:rFonts w:hint="eastAsia"/>
        </w:rPr>
        <w:t>加快推进城市公共充电网络建设</w:t>
      </w:r>
      <w:bookmarkEnd w:id="81"/>
    </w:p>
    <w:p>
      <w:pPr>
        <w:ind w:firstLine="560"/>
        <w:rPr>
          <w:rFonts w:ascii="仿宋" w:hAnsi="仿宋"/>
        </w:rPr>
      </w:pPr>
      <w:r>
        <w:rPr>
          <w:rFonts w:hint="eastAsia" w:ascii="仿宋" w:hAnsi="仿宋"/>
        </w:rPr>
        <w:t>为了保障电动汽车用户的出行需求,在专用充电设施提供基本充电服务基础上，鼓励电力企业、成品油零售经营企业、电动汽车生产企业、电池制造商、第三方运营商等发挥技术、管理、资金、服务网络等方面的优势，组建专业电动汽车充电服务企业。</w:t>
      </w:r>
    </w:p>
    <w:p>
      <w:pPr>
        <w:ind w:firstLine="560"/>
        <w:rPr>
          <w:rFonts w:ascii="仿宋" w:hAnsi="仿宋"/>
        </w:rPr>
      </w:pPr>
      <w:r>
        <w:rPr>
          <w:rFonts w:hint="eastAsia" w:ascii="仿宋" w:hAnsi="仿宋"/>
        </w:rPr>
        <w:t>电动汽车充电基础设施建设应符合国家与行业运营标准，优先结合交通便利的大型商场、文体场馆等建筑物配建停车场、立交桥下停车场、交通枢纽与驻车换乘等社会公共停车场建设集中式公共充电站。学校、医院、加油(气)站、商场、酒店、文体设施、写字楼等配建停车场改造装设分散充电桩，公园景区与城市绿地停车位、路边停车位等建设分散式公共充电桩。公共充电基础设施布局应按照从城市中心到边缘、优先发展区域向一般区域逐步推进的原则，逐步增大公共充电基础设施分布密度。鼓励有条件的单位和个人充电基础设施向社会公众开放。通过集中式公共充电站与分散式公共充电桩的高效互补、有机结合构建完善的城市公共充电服务网络。</w:t>
      </w:r>
    </w:p>
    <w:p>
      <w:r>
        <w:rPr>
          <w:rFonts w:hint="eastAsia" w:ascii="仿宋" w:hAnsi="仿宋"/>
        </w:rPr>
        <w:t>公共充电站原则上不重新征地，宜结合具备条件的既有学校、医院、加油(气)站、商场、酒店、公园景区停车场或新增的公共停车场建设。公共路内停车位宜结合道路的智慧灯杆建设，给市民提供舒适便利的充电服务。</w:t>
      </w:r>
    </w:p>
    <w:p>
      <w:pPr>
        <w:pStyle w:val="4"/>
        <w:bidi w:val="0"/>
        <w:ind w:left="0" w:leftChars="0" w:firstLine="0" w:firstLineChars="0"/>
      </w:pPr>
      <w:bookmarkStart w:id="82" w:name="_Toc16705"/>
      <w:r>
        <w:rPr>
          <w:rFonts w:hint="eastAsia"/>
        </w:rPr>
        <w:t>引导旅游行业和客运车充电设施建设</w:t>
      </w:r>
      <w:bookmarkEnd w:id="82"/>
    </w:p>
    <w:p>
      <w:r>
        <w:rPr>
          <w:rFonts w:hint="eastAsia" w:ascii="仿宋" w:hAnsi="仿宋"/>
        </w:rPr>
        <w:t>在重要旅游景区发展电动旅游巴士服务，充电基础设施建设与智慧旅游同步推广。合理利用城市客运汽车站、火车站及机场资源，依托城际、城郊客运线路，与旅游专线有机融合，充分利用存量土地资源，鼓励社会资本在旅游线路及城际、城郊客运线路公路沿线投资建设城际快充网络，满足旅游行业及城际、城郊营运客车充电需求。</w:t>
      </w:r>
    </w:p>
    <w:p>
      <w:pPr>
        <w:pStyle w:val="3"/>
        <w:bidi w:val="0"/>
        <w:ind w:left="0" w:leftChars="0" w:firstLine="0" w:firstLineChars="0"/>
        <w:rPr>
          <w:rFonts w:hint="default"/>
          <w:lang w:val="en-US" w:eastAsia="zh-CN"/>
        </w:rPr>
      </w:pPr>
      <w:bookmarkStart w:id="83" w:name="_Toc5608"/>
      <w:r>
        <w:rPr>
          <w:rFonts w:hint="eastAsia"/>
          <w:lang w:val="en-US" w:eastAsia="zh-CN"/>
        </w:rPr>
        <w:t>新技术推广示范</w:t>
      </w:r>
      <w:bookmarkEnd w:id="83"/>
    </w:p>
    <w:p>
      <w:pPr>
        <w:pStyle w:val="4"/>
        <w:bidi w:val="0"/>
        <w:ind w:left="0" w:leftChars="0" w:firstLine="0" w:firstLineChars="0"/>
        <w:rPr>
          <w:rFonts w:hint="default"/>
          <w:lang w:val="en-US" w:eastAsia="zh-CN"/>
        </w:rPr>
      </w:pPr>
      <w:bookmarkStart w:id="84" w:name="_Toc32706"/>
      <w:r>
        <w:rPr>
          <w:rFonts w:hint="eastAsia"/>
          <w:lang w:val="en-US" w:eastAsia="zh-CN"/>
        </w:rPr>
        <w:t>光</w:t>
      </w:r>
      <w:r>
        <w:rPr>
          <w:rFonts w:hint="default"/>
          <w:lang w:val="en-US" w:eastAsia="zh-CN"/>
        </w:rPr>
        <w:t>储充一体化停车场</w:t>
      </w:r>
      <w:bookmarkEnd w:id="84"/>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0" w:firstLineChars="200"/>
        <w:textAlignment w:val="auto"/>
        <w:rPr>
          <w:rFonts w:hint="default"/>
          <w:lang w:val="en-US" w:eastAsia="zh-CN"/>
        </w:rPr>
      </w:pPr>
      <w:r>
        <w:rPr>
          <w:rFonts w:hint="default"/>
          <w:lang w:val="en-US" w:eastAsia="zh-CN"/>
        </w:rPr>
        <w:t>技术原理</w:t>
      </w:r>
    </w:p>
    <w:p>
      <w:pPr>
        <w:rPr>
          <w:rFonts w:hint="default"/>
          <w:lang w:val="en-US" w:eastAsia="zh-CN"/>
        </w:rPr>
      </w:pPr>
      <w:r>
        <w:rPr>
          <w:rFonts w:hint="default"/>
          <w:lang w:val="en-US" w:eastAsia="zh-CN"/>
        </w:rPr>
        <w:t>光储充一体化停车场主要由电网、交直流充电桩、磷酸铁锂电池储能系统、车棚光伏发电系统和能量管理系统组成，其结构如图所示。</w:t>
      </w:r>
    </w:p>
    <w:p>
      <w:pPr>
        <w:ind w:left="0" w:leftChars="0" w:firstLine="0" w:firstLineChars="0"/>
        <w:jc w:val="center"/>
        <w:rPr>
          <w:rFonts w:hint="default"/>
          <w:lang w:val="en-US" w:eastAsia="zh-CN"/>
        </w:rPr>
      </w:pPr>
      <w:r>
        <w:rPr>
          <w:rFonts w:hint="default"/>
          <w:lang w:val="en-US" w:eastAsia="zh-CN"/>
        </w:rPr>
        <w:drawing>
          <wp:inline distT="0" distB="0" distL="0" distR="0">
            <wp:extent cx="3532505" cy="1677670"/>
            <wp:effectExtent l="0" t="0" r="10795" b="17780"/>
            <wp:docPr id="11633332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3248"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532505" cy="1677670"/>
                    </a:xfrm>
                    <a:prstGeom prst="rect">
                      <a:avLst/>
                    </a:prstGeom>
                    <a:noFill/>
                    <a:ln>
                      <a:noFill/>
                    </a:ln>
                  </pic:spPr>
                </pic:pic>
              </a:graphicData>
            </a:graphic>
          </wp:inline>
        </w:drawing>
      </w:r>
    </w:p>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技术原理示意图</w:t>
      </w:r>
    </w:p>
    <w:p>
      <w:pPr>
        <w:rPr>
          <w:rFonts w:hint="eastAsia" w:ascii="仿宋" w:hAnsi="仿宋" w:eastAsia="仿宋" w:cs="仿宋"/>
          <w:lang w:val="en-US" w:eastAsia="zh-CN"/>
        </w:rPr>
      </w:pPr>
      <w:r>
        <w:rPr>
          <w:rFonts w:hint="eastAsia" w:ascii="仿宋" w:hAnsi="仿宋" w:eastAsia="仿宋" w:cs="仿宋"/>
          <w:lang w:val="en-US" w:eastAsia="zh-CN"/>
        </w:rPr>
        <w:t>光伏发电系统为电网白天运行提供电源，光伏发电系统发出的电能在智能微网段被充电桩消纳，当充电桩无法消纳时，可以为智能微网段的储能蓄电池充电，同时通过厂网系统被停车场负荷（照明、视频监控、智能停车系统等）消纳。在智能微网段设置储能电池，可以平抑智能微网系统中光伏发电与用电负荷不匹配造成的冲击，保证智能微网系统的平稳运行。设置储能系统可使智能微电网高效利用太阳能资源，并可使智能微电网系统短时脱离厂网运行，提高智能微电网系统工作的稳定性和连续性。</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光伏发电系统的设计</w:t>
      </w:r>
    </w:p>
    <w:p>
      <w:pPr>
        <w:rPr>
          <w:rFonts w:hint="eastAsia" w:ascii="仿宋" w:hAnsi="仿宋" w:eastAsia="仿宋" w:cs="仿宋"/>
          <w:lang w:val="en-US" w:eastAsia="zh-CN"/>
        </w:rPr>
      </w:pPr>
      <w:r>
        <w:rPr>
          <w:rFonts w:hint="eastAsia" w:ascii="仿宋" w:hAnsi="仿宋" w:eastAsia="仿宋" w:cs="仿宋"/>
          <w:lang w:val="en-US" w:eastAsia="zh-CN"/>
        </w:rPr>
        <w:t>太阳能电池组件具有封装及内部联结，能单独提供直流电输出，是最小且不可分割的太阳能电池组合装置，可以将太阳辐射能直接转换成电能。按基础材料的不同，太阳能电池可分为晶体硅太阳能电池、非晶硅太阳能电池和化合物太阳能电池。考虑到光伏雨棚的承重能力，选用化合物太阳能电池中的铜铟镓硒太阳能电池作为光伏组件。在相同遮蔽面积下铜铟镓硒太阳能电池的功率损失较小、功率温度系数和光传输较佳、累积发电量较高、重量较轻，易安装于各种建筑。</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充电桩的设计</w:t>
      </w:r>
    </w:p>
    <w:p>
      <w:pPr>
        <w:rPr>
          <w:rFonts w:hint="eastAsia" w:ascii="仿宋" w:hAnsi="仿宋" w:eastAsia="仿宋" w:cs="仿宋"/>
          <w:lang w:val="en-US" w:eastAsia="zh-CN"/>
        </w:rPr>
      </w:pPr>
      <w:r>
        <w:rPr>
          <w:rFonts w:hint="eastAsia" w:ascii="仿宋" w:hAnsi="仿宋" w:eastAsia="仿宋" w:cs="仿宋"/>
          <w:lang w:val="en-US" w:eastAsia="zh-CN"/>
        </w:rPr>
        <w:t>采用立柱式安装。充电桩具有测量、控制与保护的功能，如运行状态监测、故障状态监测、充电计量与计费、充电过程联动控制。充电桩供电来源为车棚光伏发电系统和地区供电系统。汽车蓄电池的通信系统可以和充电桩通信，充电桩根据汽车的实时需求给电动车充电。</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储能系统的设计</w:t>
      </w:r>
    </w:p>
    <w:p>
      <w:pPr>
        <w:rPr>
          <w:rFonts w:hint="eastAsia" w:ascii="仿宋" w:hAnsi="仿宋" w:eastAsia="仿宋" w:cs="仿宋"/>
          <w:lang w:val="en-US" w:eastAsia="zh-CN"/>
        </w:rPr>
      </w:pPr>
      <w:r>
        <w:rPr>
          <w:rFonts w:hint="eastAsia" w:ascii="仿宋" w:hAnsi="仿宋" w:eastAsia="仿宋" w:cs="仿宋"/>
          <w:lang w:val="en-US" w:eastAsia="zh-CN"/>
        </w:rPr>
        <w:t>电力储能主要采用磷酸铁锂电池，该电池循环寿命长、稳定性和耐久性优秀、能量密度高、安全性更高、更耐高温，在对电池安全可靠性要求较高的电力行业有着不可替代的优势。充分考虑光伏发电系统功率、使用效率等因素，建设1套250kW/500kW·h的储能系统，主要作为备用电源，兼顾削峰填谷。该配置容量确保离网情况下双向变流器能够以额定功率放电2h。采用STS切换开关配合PCS使用，可以实现并离网无缝切换（切换时间＜15ms）。</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光伏发电系统设计</w:t>
      </w:r>
    </w:p>
    <w:p>
      <w:pPr>
        <w:rPr>
          <w:rFonts w:hint="eastAsia" w:ascii="仿宋" w:hAnsi="仿宋" w:eastAsia="仿宋" w:cs="仿宋"/>
          <w:lang w:val="en-US" w:eastAsia="zh-CN"/>
        </w:rPr>
      </w:pPr>
      <w:r>
        <w:rPr>
          <w:rFonts w:hint="eastAsia" w:ascii="仿宋" w:hAnsi="仿宋" w:eastAsia="仿宋" w:cs="仿宋"/>
          <w:lang w:val="en-US" w:eastAsia="zh-CN"/>
        </w:rPr>
        <w:t>光储充能量管理（ESMS）系统对系统中所有发电、充电、变流、储能设备，以及相关的环境、告警传感器等进行集中监控和管理，如图所示。ESMS系统通过智能化数据采集及传输模块采集设备信息、传感器状态等。ESMS系统还可实现设备告警和短信、微信通知功能，以便用户及时处理故障。用户可以通过WEB浏览器随时随地查看设备信息。能量管理系统是光储充一体化停车场的调度中心，可以收集能源数据，进行能量管理、网络分析，采用了SCADA/EMS/DMS技术，可以对光储充一体化停车场进行分散控制和集中管理、优化能源调度和平衡指挥系统，实现光伏出力管理、储能装置放电管理和充电桩管理。能量管理系统常用的三种控制模式为固定充放时段模式、计划曲线模式、负荷跟踪模式。其中，固定充放时段模式是系统功能的缺省模式和紧急备用模式；在计划曲线模式下，系统运行与负荷预测功能协作，当负荷预测功能运行异常时，需退出该模式；负荷跟踪模式的实时系统负荷曲线通过通信规约从调度侧获取。</w:t>
      </w:r>
    </w:p>
    <w:p>
      <w:pPr>
        <w:ind w:left="0" w:leftChars="0" w:firstLine="0" w:firstLineChars="0"/>
        <w:rPr>
          <w:rFonts w:hint="default"/>
          <w:lang w:val="en-US" w:eastAsia="zh-CN"/>
        </w:rPr>
      </w:pPr>
      <w:r>
        <w:rPr>
          <w:rFonts w:hint="default"/>
          <w:lang w:val="en-US" w:eastAsia="zh-CN"/>
        </w:rPr>
        <w:drawing>
          <wp:inline distT="0" distB="0" distL="0" distR="0">
            <wp:extent cx="5274310" cy="3154680"/>
            <wp:effectExtent l="0" t="0" r="2540" b="7620"/>
            <wp:docPr id="194989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9041" name="图片 1"/>
                    <pic:cNvPicPr>
                      <a:picLocks noChangeAspect="1"/>
                    </pic:cNvPicPr>
                  </pic:nvPicPr>
                  <pic:blipFill>
                    <a:blip r:embed="rId31"/>
                    <a:stretch>
                      <a:fillRect/>
                    </a:stretch>
                  </pic:blipFill>
                  <pic:spPr>
                    <a:xfrm>
                      <a:off x="0" y="0"/>
                      <a:ext cx="5274310" cy="3154680"/>
                    </a:xfrm>
                    <a:prstGeom prst="rect">
                      <a:avLst/>
                    </a:prstGeom>
                  </pic:spPr>
                </pic:pic>
              </a:graphicData>
            </a:graphic>
          </wp:inline>
        </w:drawing>
      </w:r>
    </w:p>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光储充能量管理（ESMS）系统示意图</w:t>
      </w:r>
    </w:p>
    <w:p>
      <w:pPr>
        <w:pStyle w:val="4"/>
        <w:bidi w:val="0"/>
        <w:ind w:left="0" w:leftChars="0" w:firstLine="0" w:firstLineChars="0"/>
        <w:rPr>
          <w:rFonts w:hint="default"/>
          <w:lang w:val="en-US" w:eastAsia="zh-CN"/>
        </w:rPr>
      </w:pPr>
      <w:bookmarkStart w:id="85" w:name="_Toc30516"/>
      <w:r>
        <w:rPr>
          <w:rFonts w:hint="eastAsia"/>
          <w:lang w:val="en-US" w:eastAsia="zh-CN"/>
        </w:rPr>
        <w:t>液冷超冲技术</w:t>
      </w:r>
      <w:bookmarkEnd w:id="85"/>
    </w:p>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560" w:firstLineChars="200"/>
        <w:textAlignment w:val="auto"/>
        <w:rPr>
          <w:rFonts w:hint="default"/>
          <w:lang w:val="en-US" w:eastAsia="zh-CN"/>
        </w:rPr>
      </w:pPr>
      <w:r>
        <w:rPr>
          <w:rFonts w:hint="default"/>
          <w:lang w:val="en-US" w:eastAsia="zh-CN"/>
        </w:rPr>
        <w:t>技术原理</w:t>
      </w:r>
    </w:p>
    <w:p>
      <w:pPr>
        <w:rPr>
          <w:rFonts w:hint="default"/>
          <w:lang w:val="en-US" w:eastAsia="zh-CN"/>
        </w:rPr>
      </w:pPr>
      <w:r>
        <w:rPr>
          <w:rFonts w:hint="default"/>
          <w:lang w:val="en-US" w:eastAsia="zh-CN"/>
        </w:rPr>
        <w:t>在电缆和充电枪之间设置一个专门的液体循环通道，通道内加入起散热运用的液冷却液，通过动力泵推动冷却液循环，从而把充电过程中产生的热量带出来。充电主机功率部分也采用液冷散热，与外界环境无空气交换。通过液冷循环系统里面的水泵带动液体循环，对充电桩及充电枪内部的电气设备进行冷却，降低温度，确保设备的稳定性和寿命。液冷系统从充电桩延伸到充电线和连接器，实现了整个充电系统的低温运行。这样增强了散热性能，提高了设备功率密度和输出功率，比传统的风冷散散热技术有显著的提升。</w:t>
      </w:r>
    </w:p>
    <w:p>
      <w:pPr>
        <w:bidi w:val="0"/>
        <w:ind w:left="0" w:leftChars="0" w:firstLine="0" w:firstLineChars="0"/>
        <w:rPr>
          <w:rFonts w:hint="default"/>
          <w:lang w:val="en-US" w:eastAsia="zh-CN"/>
        </w:rPr>
      </w:pPr>
      <w:r>
        <w:rPr>
          <w:rFonts w:hint="default"/>
          <w:lang w:val="en-US" w:eastAsia="zh-CN"/>
        </w:rPr>
        <w:drawing>
          <wp:inline distT="0" distB="0" distL="114300" distR="114300">
            <wp:extent cx="5285105" cy="3185795"/>
            <wp:effectExtent l="0" t="0" r="10795" b="1460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32"/>
                    <a:srcRect r="6680"/>
                    <a:stretch>
                      <a:fillRect/>
                    </a:stretch>
                  </pic:blipFill>
                  <pic:spPr>
                    <a:xfrm>
                      <a:off x="0" y="0"/>
                      <a:ext cx="5285105" cy="3185795"/>
                    </a:xfrm>
                    <a:prstGeom prst="rect">
                      <a:avLst/>
                    </a:prstGeom>
                  </pic:spPr>
                </pic:pic>
              </a:graphicData>
            </a:graphic>
          </wp:inline>
        </w:drawing>
      </w:r>
    </w:p>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液冷充电</w:t>
      </w:r>
      <w:r>
        <w:rPr>
          <w:rFonts w:hint="eastAsia" w:ascii="仿宋" w:hAnsi="仿宋" w:cs="仿宋"/>
          <w:sz w:val="21"/>
          <w:szCs w:val="21"/>
          <w:lang w:val="en-US" w:eastAsia="zh-CN"/>
        </w:rPr>
        <w:t>系统</w:t>
      </w:r>
      <w:r>
        <w:rPr>
          <w:rFonts w:hint="eastAsia" w:ascii="仿宋" w:hAnsi="仿宋" w:eastAsia="仿宋" w:cs="仿宋"/>
          <w:sz w:val="21"/>
          <w:szCs w:val="21"/>
          <w:lang w:val="en-US" w:eastAsia="zh-CN"/>
        </w:rPr>
        <w:t>示意图</w:t>
      </w:r>
    </w:p>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560" w:firstLineChars="200"/>
        <w:textAlignment w:val="auto"/>
        <w:rPr>
          <w:rFonts w:hint="default"/>
          <w:lang w:val="en-US" w:eastAsia="zh-CN"/>
        </w:rPr>
      </w:pPr>
      <w:r>
        <w:rPr>
          <w:rFonts w:hint="default"/>
          <w:lang w:val="en-US" w:eastAsia="zh-CN"/>
        </w:rPr>
        <w:t>技术</w:t>
      </w:r>
      <w:r>
        <w:rPr>
          <w:rFonts w:hint="eastAsia"/>
          <w:lang w:val="en-US" w:eastAsia="zh-CN"/>
        </w:rPr>
        <w:t>优势</w:t>
      </w:r>
    </w:p>
    <w:p>
      <w:pPr>
        <w:numPr>
          <w:ilvl w:val="0"/>
          <w:numId w:val="21"/>
        </w:numPr>
        <w:bidi w:val="0"/>
        <w:rPr>
          <w:rFonts w:hint="default"/>
          <w:lang w:val="en-US" w:eastAsia="zh-CN"/>
        </w:rPr>
      </w:pPr>
      <w:r>
        <w:rPr>
          <w:rFonts w:hint="default"/>
          <w:lang w:val="en-US" w:eastAsia="zh-CN"/>
        </w:rPr>
        <w:t>充电更快，即充即走。液冷充电桩采用了液体冷却技术，有效提升了充电过程中的散热效率，极大地提高了充电电流，从而提高充电速度，实现充电“一秒一公里”，可能实现充电速度堪比加油由于充电桩具有较高的充电效率，可以满足大量车辆充电需求，方便车主随时进行充电</w:t>
      </w:r>
      <w:r>
        <w:rPr>
          <w:rFonts w:hint="eastAsia"/>
          <w:lang w:val="en-US" w:eastAsia="zh-CN"/>
        </w:rPr>
        <w:t>。</w:t>
      </w:r>
    </w:p>
    <w:p>
      <w:pPr>
        <w:numPr>
          <w:ilvl w:val="0"/>
          <w:numId w:val="21"/>
        </w:numPr>
        <w:bidi w:val="0"/>
        <w:rPr>
          <w:rFonts w:hint="eastAsia" w:ascii="仿宋" w:hAnsi="仿宋" w:eastAsia="仿宋" w:cs="仿宋"/>
          <w:lang w:val="en-US" w:eastAsia="zh-CN"/>
        </w:rPr>
      </w:pPr>
      <w:r>
        <w:rPr>
          <w:rFonts w:hint="eastAsia" w:ascii="仿宋" w:hAnsi="仿宋" w:eastAsia="仿宋" w:cs="仿宋"/>
          <w:lang w:val="en-US" w:eastAsia="zh-CN"/>
        </w:rPr>
        <w:t>枪线更轻，使用体验更好。由于散热能力更强，无需通过加粗电缆的方式减少发热。250A的国标充电枪一般采用80mm2的电缆，充电枪整体很重，且不容易弯曲。液冷充电枪内部有电缆和水管，500A液冷充电枪的电缆通常才35mm2，通过水管内的冷却液流动来带走热量。因为电缆细，所以液冷充电枪要比常规的充电枪轻30%~40%。</w:t>
      </w:r>
    </w:p>
    <w:p>
      <w:pPr>
        <w:numPr>
          <w:ilvl w:val="0"/>
          <w:numId w:val="21"/>
        </w:numPr>
        <w:bidi w:val="0"/>
        <w:rPr>
          <w:rFonts w:hint="default" w:ascii="仿宋" w:hAnsi="仿宋" w:eastAsia="仿宋" w:cs="仿宋"/>
          <w:lang w:val="en-US" w:eastAsia="zh-CN"/>
        </w:rPr>
      </w:pPr>
      <w:r>
        <w:rPr>
          <w:rFonts w:hint="default" w:ascii="仿宋" w:hAnsi="仿宋" w:eastAsia="仿宋" w:cs="仿宋"/>
          <w:lang w:val="en-US" w:eastAsia="zh-CN"/>
        </w:rPr>
        <w:t>设备可靠性高、使用寿命长</w:t>
      </w:r>
      <w:r>
        <w:rPr>
          <w:rFonts w:hint="eastAsia" w:ascii="仿宋" w:hAnsi="仿宋" w:cs="仿宋"/>
          <w:lang w:val="en-US" w:eastAsia="zh-CN"/>
        </w:rPr>
        <w:t>。</w:t>
      </w:r>
      <w:r>
        <w:rPr>
          <w:rFonts w:hint="default" w:ascii="仿宋" w:hAnsi="仿宋" w:eastAsia="仿宋" w:cs="仿宋"/>
          <w:lang w:val="en-US" w:eastAsia="zh-CN"/>
        </w:rPr>
        <w:t>液冷充电桩具有较高的设备可靠性和使用寿命。常规充电桩及半液冷充电桩的桩体都是风冷散热，空气从一侧进入桩体，吹走电气元件、</w:t>
      </w:r>
      <w:r>
        <w:rPr>
          <w:rFonts w:hint="eastAsia" w:ascii="仿宋" w:hAnsi="仿宋" w:cs="仿宋"/>
          <w:lang w:val="en-US" w:eastAsia="zh-CN"/>
        </w:rPr>
        <w:t>整</w:t>
      </w:r>
      <w:r>
        <w:rPr>
          <w:rFonts w:hint="default" w:ascii="仿宋" w:hAnsi="仿宋" w:eastAsia="仿宋" w:cs="仿宋"/>
          <w:lang w:val="en-US" w:eastAsia="zh-CN"/>
        </w:rPr>
        <w:t>流模块的热量，从另一侧桩体散出。空气会夹杂着灰尘、盐雾及水气并吸附在内部器件表面，导致系统绝缘变差、散热变差，充电效率低，设备寿命减少。采用液体冷却技术，液体交换热量是在一个密闭环境，充电模块与外界无直接接触，防护等级可以做到IP65，减少灰尘等接触电子器件，可靠性更高。并且液体散热，散热更均匀有效，可有效降低充电过程中设备内部的温度，减少设备故障率，提高设备使用寿命</w:t>
      </w:r>
      <w:r>
        <w:rPr>
          <w:rFonts w:hint="eastAsia" w:ascii="仿宋" w:hAnsi="仿宋" w:cs="仿宋"/>
          <w:lang w:val="en-US" w:eastAsia="zh-CN"/>
        </w:rPr>
        <w:t>。</w:t>
      </w:r>
    </w:p>
    <w:p>
      <w:pPr>
        <w:numPr>
          <w:ilvl w:val="0"/>
          <w:numId w:val="21"/>
        </w:numPr>
        <w:bidi w:val="0"/>
        <w:rPr>
          <w:rFonts w:hint="eastAsia" w:ascii="仿宋" w:hAnsi="仿宋" w:eastAsia="仿宋" w:cs="仿宋"/>
          <w:lang w:val="en-US" w:eastAsia="zh-CN"/>
        </w:rPr>
      </w:pPr>
      <w:r>
        <w:rPr>
          <w:rFonts w:hint="eastAsia" w:ascii="仿宋" w:hAnsi="仿宋" w:eastAsia="仿宋" w:cs="仿宋"/>
          <w:lang w:val="en-US" w:eastAsia="zh-CN"/>
        </w:rPr>
        <w:t>匹配所有车型。液冷充电桩可以匹配所有车型，一般液冷超充技术采用通用的充电接口标准。无论是电动汽车、混合动力汽车还是燃料电池汽车，都可以使用液冷充电桩进行充电。充电桩可以识别车型，当车辆不能接受超级充电时，可按车辆能接受的最大电流进行充电。这使得液冷充电桩具有更广泛的应用范围和更高的使用率。</w:t>
      </w:r>
    </w:p>
    <w:p>
      <w:pPr>
        <w:numPr>
          <w:ilvl w:val="0"/>
          <w:numId w:val="21"/>
        </w:numPr>
        <w:bidi w:val="0"/>
        <w:rPr>
          <w:rFonts w:hint="eastAsia" w:ascii="仿宋" w:hAnsi="仿宋" w:eastAsia="仿宋" w:cs="仿宋"/>
          <w:lang w:val="en-US" w:eastAsia="zh-CN"/>
        </w:rPr>
      </w:pPr>
      <w:r>
        <w:rPr>
          <w:rFonts w:hint="eastAsia" w:ascii="仿宋" w:hAnsi="仿宋" w:eastAsia="仿宋" w:cs="仿宋"/>
          <w:lang w:val="en-US" w:eastAsia="zh-CN"/>
        </w:rPr>
        <w:t>充电噪音小。全液冷充电桩采用双循环散热的架构，内部液冷模块靠水泵驱动冷却液循环散热，将模块发热转移到翅片散热器上，外部则是靠低转速大风量风扇或是空调来将散热器上热量散走，低转速大风量的风扇噪声较高转速的小风扇低得多。全液冷超充桩还可以采用分体式散热设计，与分体式空调类似，将有噪音的散热单元放置于远离人群的地方，甚至还可以跟水池、喷泉进行热交换来达到更好的散热效果及更低的噪声。</w:t>
      </w:r>
    </w:p>
    <w:p>
      <w:pPr>
        <w:numPr>
          <w:ilvl w:val="0"/>
          <w:numId w:val="21"/>
        </w:numPr>
        <w:bidi w:val="0"/>
        <w:rPr>
          <w:rFonts w:hint="eastAsia" w:ascii="仿宋" w:hAnsi="仿宋" w:eastAsia="仿宋" w:cs="仿宋"/>
          <w:lang w:val="en-US" w:eastAsia="zh-CN"/>
        </w:rPr>
      </w:pPr>
      <w:r>
        <w:rPr>
          <w:rFonts w:hint="eastAsia" w:ascii="仿宋" w:hAnsi="仿宋" w:eastAsia="仿宋" w:cs="仿宋"/>
          <w:lang w:val="en-US" w:eastAsia="zh-CN"/>
        </w:rPr>
        <w:t>低TCO。充电站点充电设备的成本支出得从充电桩全生命周期成本(TCO)来考虑，传统采用风冷充电模块的充电桩寿命一般不超过5年，但目前充电场站运营的租期是8-10年，这意味着在场站运营周期内至少需要更换一次充电设备。反观全液冷充电桩使用寿命至少10年以上，可以覆盖场站的全生命周期。同时相比于采用风冷模块的充电桩需要频繁的开柜除尘、维护等操作，全液冷充电桩只需要在外置散热器积尘后进行冲洗，维护简单。全液冷充电系统的TCO要低于传统采用风冷充电模块的充电系统，且随着全液冷系统的广泛批量应用，其性价比优势将更为明显。</w:t>
      </w:r>
    </w:p>
    <w:p>
      <w:pPr>
        <w:pStyle w:val="3"/>
        <w:bidi w:val="0"/>
        <w:ind w:left="0" w:leftChars="0" w:firstLine="0" w:firstLineChars="0"/>
      </w:pPr>
      <w:bookmarkStart w:id="86" w:name="_Toc27792"/>
      <w:r>
        <w:rPr>
          <w:rFonts w:hint="eastAsia"/>
        </w:rPr>
        <w:t>加强配套电网保障能力</w:t>
      </w:r>
      <w:bookmarkEnd w:id="86"/>
    </w:p>
    <w:p>
      <w:pPr>
        <w:pStyle w:val="4"/>
        <w:bidi w:val="0"/>
        <w:ind w:left="0" w:leftChars="0" w:firstLine="0" w:firstLineChars="0"/>
      </w:pPr>
      <w:bookmarkStart w:id="87" w:name="_Toc18771"/>
      <w:r>
        <w:rPr>
          <w:rFonts w:hint="eastAsia"/>
        </w:rPr>
        <w:t>加强配套电网建设</w:t>
      </w:r>
      <w:bookmarkEnd w:id="87"/>
    </w:p>
    <w:p>
      <w:r>
        <w:rPr>
          <w:rFonts w:hint="eastAsia" w:ascii="仿宋" w:hAnsi="仿宋"/>
        </w:rPr>
        <w:t>将充电基础设施配套电网新建与改造项目纳入配电网专项规划与其他相关规划相协调，在用地保障、廊道通行等方面给予支持，切实做到“设施建设、电网先行”。根据各类建筑配建充电基础设施需求，合理提高各类建筑用电设计标准，加强相关标准与规范的制修订工作。电网企业要加强充电基础设施配套电网新建与改造，保障充电基础设施无障碍接入，确保电力供应的“畅通无阻”，满足充电设施运营需求。</w:t>
      </w:r>
    </w:p>
    <w:p>
      <w:pPr>
        <w:pStyle w:val="4"/>
        <w:bidi w:val="0"/>
        <w:ind w:left="0" w:leftChars="0" w:firstLine="0" w:firstLineChars="0"/>
      </w:pPr>
      <w:bookmarkStart w:id="88" w:name="_Toc19639"/>
      <w:r>
        <w:rPr>
          <w:rFonts w:hint="eastAsia"/>
        </w:rPr>
        <w:t>完善供电服务</w:t>
      </w:r>
      <w:bookmarkEnd w:id="88"/>
    </w:p>
    <w:p>
      <w:r>
        <w:rPr>
          <w:rFonts w:hint="eastAsia" w:ascii="仿宋" w:hAnsi="仿宋"/>
        </w:rPr>
        <w:t>电网企业要为充电基础设施接入电网提供便利条件,开辟绿色通道，优化流程，简化手续，提高效率，限时办结。充电基础设施产权分界点至电网的配套接网工程，由电网企业负责建设和运行维护，不得收取接网费用，相应资产全额纳入有效资产，相应成本据实计入准许成本，纳入电网输配电价回收。</w:t>
      </w:r>
    </w:p>
    <w:p>
      <w:pPr>
        <w:pStyle w:val="3"/>
        <w:bidi w:val="0"/>
        <w:ind w:left="0" w:leftChars="0" w:firstLine="0" w:firstLineChars="0"/>
      </w:pPr>
      <w:bookmarkStart w:id="89" w:name="_Toc17651"/>
      <w:r>
        <w:rPr>
          <w:rFonts w:hint="eastAsia"/>
        </w:rPr>
        <w:t>统一设计建设标准</w:t>
      </w:r>
      <w:bookmarkEnd w:id="89"/>
    </w:p>
    <w:p>
      <w:r>
        <w:rPr>
          <w:rFonts w:hint="eastAsia" w:ascii="仿宋" w:hAnsi="仿宋"/>
        </w:rPr>
        <w:t>严格执行国家充电设施技术标准和规范，对于不符合要求的充电设施，加快改造升级，保证充电设施的通用性，进一步规范电动汽车充电设施设计和建设标准,统一充电接口、充电基建配套、消防安全数据采集等技术标准，为电动汽车的健康发展提供必要的技术支撑实现不同厂商充电设备与不同品牌电动汽车之间的兼容互通。完善充电基础设施计量、计费、结算等运营标准与管理规范。加快建立充电基础设施标识体系，在设施建设的同时落实周边醒目设施标志标牌建设，确保用户的可识别性，避免充电车位被当作普通车位使用，并在显著位置提示充电设施使用方法，有效提高充电设施的使用率。</w:t>
      </w:r>
    </w:p>
    <w:p>
      <w:pPr>
        <w:pStyle w:val="3"/>
        <w:bidi w:val="0"/>
        <w:ind w:left="0" w:leftChars="0" w:firstLine="0" w:firstLineChars="0"/>
      </w:pPr>
      <w:bookmarkStart w:id="90" w:name="_Toc9910"/>
      <w:r>
        <w:rPr>
          <w:rFonts w:hint="eastAsia"/>
        </w:rPr>
        <w:t>探索可持续商业模式</w:t>
      </w:r>
      <w:bookmarkEnd w:id="90"/>
    </w:p>
    <w:p>
      <w:pPr>
        <w:pStyle w:val="4"/>
        <w:bidi w:val="0"/>
        <w:ind w:left="0" w:leftChars="0" w:firstLine="0" w:firstLineChars="0"/>
      </w:pPr>
      <w:bookmarkStart w:id="91" w:name="_Toc27900"/>
      <w:r>
        <w:rPr>
          <w:rFonts w:hint="eastAsia"/>
        </w:rPr>
        <w:t>积极引入社会资本</w:t>
      </w:r>
      <w:bookmarkEnd w:id="91"/>
    </w:p>
    <w:p>
      <w:r>
        <w:rPr>
          <w:rFonts w:hint="eastAsia" w:ascii="仿宋" w:hAnsi="仿宋"/>
        </w:rPr>
        <w:t>充分发挥市场的作用，探索可实施、可推广的充电设施运营商业化模式，鼓励社会资本参与充电设施网络及基础服务平台建设。加快形成电力企业、民营资本、电动汽车生产企业、成品油零售经营企业、电池制造商、第三方运营商及其他充电设施经营企业等多方主体参与充电基础设施建设运营的市场机制。构建统一开放、竞争有序的充电服务市场。</w:t>
      </w:r>
    </w:p>
    <w:p>
      <w:pPr>
        <w:pStyle w:val="4"/>
        <w:bidi w:val="0"/>
        <w:ind w:left="0" w:leftChars="0" w:firstLine="0" w:firstLineChars="0"/>
      </w:pPr>
      <w:bookmarkStart w:id="92" w:name="_Toc13999"/>
      <w:r>
        <w:rPr>
          <w:rFonts w:hint="eastAsia"/>
        </w:rPr>
        <w:t>鼓励探索多种商业模式</w:t>
      </w:r>
      <w:bookmarkEnd w:id="92"/>
    </w:p>
    <w:p>
      <w:r>
        <w:rPr>
          <w:rFonts w:hint="eastAsia" w:ascii="仿宋" w:hAnsi="仿宋"/>
        </w:rPr>
        <w:t>鼓励探索充电站与商业地产相结合的发展方式，引导商场、超市电影院、便利店等商业场所为用户提供辅助充电服务。鼓励充电服务企业通过与整车企业合作、众筹等方式，创新建设充电基础设施商业合作模式,采取线上线下相结合等方式,提供智能充放电、电子商务、广告等增值服务，提升充电服务企业可持续发展能力。</w:t>
      </w:r>
    </w:p>
    <w:p>
      <w:pPr>
        <w:pStyle w:val="3"/>
        <w:bidi w:val="0"/>
        <w:ind w:left="0" w:leftChars="0" w:firstLine="0" w:firstLineChars="0"/>
      </w:pPr>
      <w:bookmarkStart w:id="93" w:name="_Toc9844"/>
      <w:r>
        <w:rPr>
          <w:rFonts w:hint="eastAsia"/>
        </w:rPr>
        <w:t>建设信息服务平台，提高设施利用率</w:t>
      </w:r>
      <w:bookmarkEnd w:id="93"/>
    </w:p>
    <w:p>
      <w:pPr>
        <w:ind w:firstLine="560"/>
        <w:rPr>
          <w:rFonts w:ascii="仿宋" w:hAnsi="仿宋"/>
        </w:rPr>
      </w:pPr>
      <w:r>
        <w:rPr>
          <w:rFonts w:hint="eastAsia" w:ascii="仿宋" w:hAnsi="仿宋"/>
        </w:rPr>
        <w:t>大力推进“互联网充电基础设施”建设，依托社会化信息服务平台，通过信息技术手段盘活停车存量，利用大数据信息完善充电基础设施建设布局。提高充电服务智能化水平,提升运营效率和用户体验促进电动汽车与智能电网间能量和信息的双向互动。</w:t>
      </w:r>
    </w:p>
    <w:p>
      <w:pPr>
        <w:ind w:firstLine="560"/>
        <w:rPr>
          <w:rFonts w:ascii="仿宋" w:hAnsi="仿宋"/>
        </w:rPr>
      </w:pPr>
      <w:r>
        <w:rPr>
          <w:rFonts w:hint="eastAsia" w:ascii="仿宋" w:hAnsi="仿宋"/>
        </w:rPr>
        <w:t>建立全县统一的充电基础设施智能管理平台</w:t>
      </w:r>
      <w:r>
        <w:rPr>
          <w:rFonts w:hint="eastAsia" w:ascii="仿宋" w:hAnsi="仿宋"/>
          <w:lang w:eastAsia="zh-CN"/>
        </w:rPr>
        <w:t>（</w:t>
      </w:r>
      <w:r>
        <w:rPr>
          <w:rFonts w:hint="eastAsia" w:ascii="仿宋" w:hAnsi="仿宋"/>
          <w:lang w:val="en-US" w:eastAsia="zh-CN"/>
        </w:rPr>
        <w:t>包括移动应用，管理端及用户端</w:t>
      </w:r>
      <w:r>
        <w:rPr>
          <w:rFonts w:hint="eastAsia" w:ascii="仿宋" w:hAnsi="仿宋"/>
          <w:lang w:eastAsia="zh-CN"/>
        </w:rPr>
        <w:t>）</w:t>
      </w:r>
      <w:r>
        <w:rPr>
          <w:rFonts w:hint="eastAsia" w:ascii="仿宋" w:hAnsi="仿宋"/>
        </w:rPr>
        <w:t>，统一信息交换协议有效整合不同企业和不同城市的充电服务平台信息资源，促进不同充电服务平台之间的互联互通。充电基础设施智能管理平台应融合互联网、大数据、物联网、智能交通等技术，对车辆和充电桩实施全程监控，为用户提供充电导航、状态查询、充电预约、费用结算、分时租赁等服务，提升充电服务的智能化水平，提高用户体验和运营效率充电基础设施管理平台的主体应包括政府监管、运营商、用户三方面，在政府监管方面，应实现对运营商的管理和服务监督、充电基础设施故障预警及处置、实时状态监控、运营商充电交易订单数据及设备利用率分析等方面数据的获取及监控;运营商应用方面，应便于充电基础设施相关信息的接入及管理，能利用服务信息平台实现桩-桩合作、车-桩合作、公私桩托管业务、停车位出租等资源共享共赢模式;用户体验方面，应能实现充电设施信息的互联互通，支持微信支付宝、银联卡等多种支付模式，拥有充电导航、状态查询、充电预约、费用结算、分时租赁等便利性功能。</w:t>
      </w:r>
    </w:p>
    <w:p>
      <w:r>
        <w:rPr>
          <w:rFonts w:hint="eastAsia" w:ascii="仿宋" w:hAnsi="仿宋"/>
        </w:rPr>
        <w:t>规范企业级运营管理系统建设，要求企业级运营管理系统应能对其充电设施进行有效的管理和监控，并对充电和运营数据进行采集和存储(保存期限不低于2年)，企业级数据管理系统应具备数据输出功能及数据输出接口，实现与市级充电基础设施管理平台的兼容连接并能实现车桩充电接口、充电交易结算及充电服务信息的互联互通专用、公用充电设施应将充电信息数据接入所在市(县)级电动汽车公共数据监测平台，鼓励自用充电设施逐步接入。</w:t>
      </w:r>
    </w:p>
    <w:p>
      <w:pPr>
        <w:pStyle w:val="3"/>
        <w:bidi w:val="0"/>
        <w:ind w:left="0" w:leftChars="0" w:firstLine="0" w:firstLineChars="0"/>
      </w:pPr>
      <w:bookmarkStart w:id="94" w:name="_Toc18744"/>
      <w:r>
        <w:rPr>
          <w:rFonts w:hint="eastAsia"/>
        </w:rPr>
        <w:t>大力推动重点示范工程建设</w:t>
      </w:r>
      <w:bookmarkEnd w:id="94"/>
    </w:p>
    <w:p>
      <w:pPr>
        <w:pStyle w:val="4"/>
        <w:bidi w:val="0"/>
        <w:ind w:left="0" w:leftChars="0" w:firstLine="0" w:firstLineChars="0"/>
      </w:pPr>
      <w:bookmarkStart w:id="95" w:name="_Toc16543"/>
      <w:r>
        <w:rPr>
          <w:rFonts w:hint="eastAsia"/>
        </w:rPr>
        <w:t>开展建设与运营模式示范</w:t>
      </w:r>
      <w:bookmarkEnd w:id="95"/>
    </w:p>
    <w:p>
      <w:r>
        <w:rPr>
          <w:rFonts w:hint="eastAsia" w:ascii="仿宋" w:hAnsi="仿宋"/>
        </w:rPr>
        <w:t>要结合电动汽车推广应用需要，按照因地制宜、适度超前原则针对不同层次和不同领域充电基础设施发展的重点和难点，从城市充电基础设施体系建设、居民区与单位配建充电设施等方面，积极开展建设与运营模式示范。优先选取重点发展区域内条件较好又具有代表性的城区建设示范点，如居住小区充电基础设施建设示范综合试点等通过示范项目，理顺充电基础设施建设运营管理机制，探索系统化的支持政策以及可行的商业模式，以点带面，再逐步向重点发展区域及次要发展区域依次铺开，加快充电基础设施建设整体进程，提高发展质量、速度和效益。在示范项目中积极探索无人值守自助式服务、无线充电、移动充电、智能电网等新技术的应用。</w:t>
      </w:r>
    </w:p>
    <w:p>
      <w:pPr>
        <w:pStyle w:val="4"/>
        <w:bidi w:val="0"/>
        <w:ind w:left="0" w:leftChars="0" w:firstLine="0" w:firstLineChars="0"/>
      </w:pPr>
      <w:bookmarkStart w:id="96" w:name="_Toc22918"/>
      <w:r>
        <w:rPr>
          <w:rFonts w:hint="eastAsia"/>
        </w:rPr>
        <w:t>加强示范经验总结与交流推广</w:t>
      </w:r>
      <w:bookmarkEnd w:id="96"/>
    </w:p>
    <w:p>
      <w:r>
        <w:rPr>
          <w:rFonts w:hint="eastAsia" w:ascii="仿宋" w:hAnsi="仿宋"/>
        </w:rPr>
        <w:t>建立多层次的充电基础设施示范经验交流推广机制，通过多种形式开展示范工作经验交流，提升示范效果，发挥带动作用。各城区及管委会要加强对充电基础设施示范工作的总结，积极加强与其他地区的经验交流。对示范工作中的成功经验要加大推广力度，对暴露出来的一些共性问题要及时解决，建立有效机制，完善政策法规，为下一步普及推广打好基础。</w:t>
      </w:r>
    </w:p>
    <w:p>
      <w:pPr>
        <w:pStyle w:val="3"/>
        <w:bidi w:val="0"/>
        <w:ind w:left="0" w:leftChars="0" w:firstLine="0" w:firstLineChars="0"/>
      </w:pPr>
      <w:bookmarkStart w:id="97" w:name="_Toc30448"/>
      <w:r>
        <w:rPr>
          <w:rFonts w:hint="eastAsia"/>
        </w:rPr>
        <w:t>积极孵化培育电动汽车完整产业链</w:t>
      </w:r>
      <w:bookmarkEnd w:id="97"/>
    </w:p>
    <w:p>
      <w:r>
        <w:rPr>
          <w:rFonts w:hint="eastAsia" w:ascii="仿宋" w:hAnsi="仿宋"/>
        </w:rPr>
        <w:t>积极开展新能源汽车示范推广，依托现有汽车骨干企业，布局新能源汽车骨</w:t>
      </w:r>
      <w:r>
        <w:rPr>
          <w:rFonts w:hint="eastAsia" w:ascii="仿宋" w:hAnsi="仿宋"/>
          <w:lang w:val="en-US" w:eastAsia="zh-CN"/>
        </w:rPr>
        <w:t>干</w:t>
      </w:r>
      <w:r>
        <w:rPr>
          <w:rFonts w:hint="eastAsia" w:ascii="仿宋" w:hAnsi="仿宋"/>
        </w:rPr>
        <w:t>项目，逐步打造</w:t>
      </w:r>
      <w:r>
        <w:rPr>
          <w:rFonts w:hint="eastAsia" w:ascii="仿宋" w:hAnsi="仿宋"/>
          <w:lang w:eastAsia="zh-CN"/>
        </w:rPr>
        <w:t>岫岩县</w:t>
      </w:r>
      <w:r>
        <w:rPr>
          <w:rFonts w:hint="eastAsia" w:ascii="仿宋" w:hAnsi="仿宋"/>
        </w:rPr>
        <w:t>新能源汽车产业基地。结合各类型电动汽车的推广进度，适时引进车企、关键零部件生产企业及充电设施生产企业等，在技术创新及研发、智能工厂建设和品牌建设等方面给予重点支持，推动企业加快发展成为国内知名企业，逐步实现技术研发、关键零部件、整车及充电设施生产制造完整产业链的全覆盖。</w:t>
      </w:r>
    </w:p>
    <w:p>
      <w:r>
        <w:rPr>
          <w:rFonts w:hint="eastAsia"/>
        </w:rPr>
        <w:br w:type="page"/>
      </w:r>
    </w:p>
    <w:p>
      <w:pPr>
        <w:pStyle w:val="2"/>
        <w:bidi w:val="0"/>
        <w:ind w:left="0" w:leftChars="0" w:firstLine="0" w:firstLineChars="0"/>
      </w:pPr>
      <w:bookmarkStart w:id="98" w:name="_Toc30209"/>
      <w:r>
        <w:rPr>
          <w:rFonts w:hint="eastAsia"/>
        </w:rPr>
        <w:t>建设投资规模及实施效果</w:t>
      </w:r>
      <w:bookmarkEnd w:id="98"/>
    </w:p>
    <w:p>
      <w:pPr>
        <w:pStyle w:val="3"/>
        <w:bidi w:val="0"/>
        <w:ind w:left="0" w:leftChars="0" w:firstLine="0" w:firstLineChars="0"/>
      </w:pPr>
      <w:bookmarkStart w:id="99" w:name="_Toc976"/>
      <w:r>
        <w:rPr>
          <w:rFonts w:hint="eastAsia"/>
        </w:rPr>
        <w:t>建设规模</w:t>
      </w:r>
      <w:bookmarkEnd w:id="99"/>
    </w:p>
    <w:p>
      <w:pPr>
        <w:spacing w:line="576" w:lineRule="exact"/>
        <w:ind w:firstLine="560" w:firstLineChars="0"/>
        <w:rPr>
          <w:rFonts w:hint="eastAsia" w:ascii="仿宋" w:hAnsi="仿宋" w:eastAsia="仿宋" w:cs="仿宋"/>
          <w:szCs w:val="28"/>
          <w:highlight w:val="none"/>
        </w:rPr>
      </w:pPr>
      <w:r>
        <w:rPr>
          <w:rFonts w:hint="eastAsia" w:ascii="仿宋" w:hAnsi="仿宋" w:eastAsia="仿宋" w:cs="仿宋"/>
          <w:szCs w:val="28"/>
          <w:highlight w:val="none"/>
        </w:rPr>
        <w:t>2024-202</w:t>
      </w:r>
      <w:r>
        <w:rPr>
          <w:rFonts w:hint="eastAsia" w:ascii="仿宋" w:hAnsi="仿宋" w:eastAsia="仿宋" w:cs="仿宋"/>
          <w:szCs w:val="28"/>
          <w:highlight w:val="none"/>
          <w:lang w:val="en-US" w:eastAsia="zh-CN"/>
        </w:rPr>
        <w:t>8</w:t>
      </w:r>
      <w:r>
        <w:rPr>
          <w:rFonts w:hint="eastAsia" w:ascii="仿宋" w:hAnsi="仿宋" w:eastAsia="仿宋" w:cs="仿宋"/>
          <w:szCs w:val="28"/>
          <w:highlight w:val="none"/>
        </w:rPr>
        <w:t>年期间，</w:t>
      </w:r>
      <w:r>
        <w:rPr>
          <w:rFonts w:hint="eastAsia" w:ascii="仿宋" w:hAnsi="仿宋" w:eastAsia="仿宋" w:cs="仿宋"/>
          <w:szCs w:val="28"/>
          <w:highlight w:val="none"/>
          <w:lang w:eastAsia="zh-CN"/>
        </w:rPr>
        <w:t>岫岩县</w:t>
      </w:r>
      <w:r>
        <w:rPr>
          <w:rFonts w:hint="eastAsia" w:ascii="仿宋" w:hAnsi="仿宋" w:eastAsia="仿宋" w:cs="仿宋"/>
          <w:szCs w:val="28"/>
          <w:highlight w:val="none"/>
        </w:rPr>
        <w:t>规划新建充电桩</w:t>
      </w:r>
      <w:r>
        <w:rPr>
          <w:rFonts w:hint="eastAsia" w:ascii="仿宋" w:hAnsi="仿宋" w:cs="仿宋"/>
          <w:szCs w:val="28"/>
          <w:highlight w:val="none"/>
          <w:lang w:val="en-US" w:eastAsia="zh-CN"/>
        </w:rPr>
        <w:t>524</w:t>
      </w:r>
      <w:r>
        <w:rPr>
          <w:rFonts w:hint="eastAsia" w:ascii="仿宋" w:hAnsi="仿宋" w:eastAsia="仿宋" w:cs="仿宋"/>
          <w:szCs w:val="28"/>
          <w:highlight w:val="none"/>
        </w:rPr>
        <w:t>台（充电枪</w:t>
      </w:r>
      <w:r>
        <w:rPr>
          <w:rFonts w:hint="eastAsia" w:ascii="仿宋" w:hAnsi="仿宋" w:cs="仿宋"/>
          <w:szCs w:val="28"/>
          <w:highlight w:val="none"/>
          <w:lang w:val="en-US" w:eastAsia="zh-CN"/>
        </w:rPr>
        <w:t>2096</w:t>
      </w:r>
      <w:r>
        <w:rPr>
          <w:rFonts w:hint="eastAsia" w:ascii="仿宋" w:hAnsi="仿宋" w:eastAsia="仿宋" w:cs="仿宋"/>
          <w:szCs w:val="28"/>
          <w:highlight w:val="none"/>
        </w:rPr>
        <w:t>个），其中</w:t>
      </w:r>
      <w:r>
        <w:rPr>
          <w:rFonts w:hint="eastAsia" w:ascii="仿宋" w:hAnsi="仿宋" w:eastAsia="仿宋" w:cs="仿宋"/>
          <w:szCs w:val="28"/>
          <w:highlight w:val="none"/>
          <w:lang w:val="en-US" w:eastAsia="zh-CN"/>
        </w:rPr>
        <w:t>60KW</w:t>
      </w:r>
      <w:r>
        <w:rPr>
          <w:rFonts w:hint="eastAsia" w:ascii="仿宋" w:hAnsi="仿宋" w:eastAsia="仿宋" w:cs="仿宋"/>
          <w:szCs w:val="28"/>
          <w:highlight w:val="none"/>
        </w:rPr>
        <w:t>充电桩</w:t>
      </w:r>
      <w:r>
        <w:rPr>
          <w:rFonts w:hint="eastAsia" w:ascii="仿宋" w:hAnsi="仿宋" w:cs="仿宋"/>
          <w:szCs w:val="28"/>
          <w:highlight w:val="none"/>
          <w:lang w:val="en-US" w:eastAsia="zh-CN"/>
        </w:rPr>
        <w:t>260</w:t>
      </w:r>
      <w:r>
        <w:rPr>
          <w:rFonts w:hint="eastAsia" w:ascii="仿宋" w:hAnsi="仿宋" w:eastAsia="仿宋" w:cs="仿宋"/>
          <w:szCs w:val="28"/>
          <w:highlight w:val="none"/>
        </w:rPr>
        <w:t>台（充电枪</w:t>
      </w:r>
      <w:r>
        <w:rPr>
          <w:rFonts w:hint="eastAsia" w:ascii="仿宋" w:hAnsi="仿宋" w:cs="仿宋"/>
          <w:szCs w:val="28"/>
          <w:highlight w:val="none"/>
          <w:lang w:val="en-US" w:eastAsia="zh-CN"/>
        </w:rPr>
        <w:t>1040</w:t>
      </w:r>
      <w:r>
        <w:rPr>
          <w:rFonts w:hint="eastAsia" w:ascii="仿宋" w:hAnsi="仿宋" w:eastAsia="仿宋" w:cs="仿宋"/>
          <w:szCs w:val="28"/>
          <w:highlight w:val="none"/>
        </w:rPr>
        <w:t>个），</w:t>
      </w:r>
      <w:r>
        <w:rPr>
          <w:rFonts w:hint="eastAsia" w:ascii="仿宋" w:hAnsi="仿宋" w:eastAsia="仿宋" w:cs="仿宋"/>
          <w:szCs w:val="28"/>
          <w:highlight w:val="none"/>
          <w:lang w:val="en-US" w:eastAsia="zh-CN"/>
        </w:rPr>
        <w:t>液冷</w:t>
      </w:r>
      <w:r>
        <w:rPr>
          <w:rFonts w:hint="eastAsia" w:ascii="仿宋" w:hAnsi="仿宋" w:eastAsia="仿宋" w:cs="仿宋"/>
          <w:szCs w:val="28"/>
          <w:highlight w:val="none"/>
        </w:rPr>
        <w:t>充电桩</w:t>
      </w:r>
      <w:r>
        <w:rPr>
          <w:rFonts w:hint="eastAsia" w:ascii="仿宋" w:hAnsi="仿宋" w:cs="仿宋"/>
          <w:szCs w:val="28"/>
          <w:highlight w:val="none"/>
          <w:lang w:val="en-US" w:eastAsia="zh-CN"/>
        </w:rPr>
        <w:t>264</w:t>
      </w:r>
      <w:r>
        <w:rPr>
          <w:rFonts w:hint="eastAsia" w:ascii="仿宋" w:hAnsi="仿宋" w:eastAsia="仿宋" w:cs="仿宋"/>
          <w:szCs w:val="28"/>
          <w:highlight w:val="none"/>
        </w:rPr>
        <w:t>台（充电枪</w:t>
      </w:r>
      <w:r>
        <w:rPr>
          <w:rFonts w:hint="eastAsia" w:ascii="仿宋" w:hAnsi="仿宋" w:cs="仿宋"/>
          <w:szCs w:val="28"/>
          <w:highlight w:val="none"/>
          <w:lang w:val="en-US" w:eastAsia="zh-CN"/>
        </w:rPr>
        <w:t>1056</w:t>
      </w:r>
      <w:r>
        <w:rPr>
          <w:rFonts w:hint="eastAsia" w:ascii="仿宋" w:hAnsi="仿宋" w:eastAsia="仿宋" w:cs="仿宋"/>
          <w:szCs w:val="28"/>
          <w:highlight w:val="none"/>
        </w:rPr>
        <w:t>个）。</w:t>
      </w:r>
    </w:p>
    <w:p>
      <w:pPr>
        <w:spacing w:line="576" w:lineRule="exact"/>
        <w:ind w:firstLine="560" w:firstLineChars="0"/>
        <w:rPr>
          <w:rFonts w:hint="eastAsia" w:ascii="仿宋" w:hAnsi="仿宋" w:eastAsia="仿宋" w:cs="仿宋"/>
          <w:szCs w:val="28"/>
          <w:highlight w:val="none"/>
        </w:rPr>
      </w:pPr>
      <w:r>
        <w:rPr>
          <w:rFonts w:hint="eastAsia" w:ascii="仿宋" w:hAnsi="仿宋" w:eastAsia="仿宋" w:cs="仿宋"/>
          <w:szCs w:val="28"/>
          <w:highlight w:val="none"/>
        </w:rPr>
        <w:t>规划建设公用充电桩总功率</w:t>
      </w:r>
      <w:r>
        <w:rPr>
          <w:rFonts w:hint="eastAsia" w:ascii="仿宋" w:hAnsi="仿宋" w:cs="仿宋"/>
          <w:szCs w:val="28"/>
          <w:highlight w:val="none"/>
          <w:lang w:val="en-US" w:eastAsia="zh-CN"/>
        </w:rPr>
        <w:t>174000</w:t>
      </w:r>
      <w:r>
        <w:rPr>
          <w:rFonts w:hint="eastAsia" w:ascii="仿宋" w:hAnsi="仿宋" w:eastAsia="仿宋" w:cs="仿宋"/>
          <w:szCs w:val="28"/>
          <w:highlight w:val="none"/>
        </w:rPr>
        <w:t>kW，</w:t>
      </w:r>
      <w:r>
        <w:rPr>
          <w:rFonts w:hint="eastAsia" w:ascii="仿宋" w:hAnsi="仿宋" w:eastAsia="仿宋" w:cs="仿宋"/>
          <w:szCs w:val="28"/>
          <w:highlight w:val="none"/>
          <w:lang w:val="en-US" w:eastAsia="zh-CN"/>
        </w:rPr>
        <w:t>分别</w:t>
      </w:r>
      <w:r>
        <w:rPr>
          <w:rFonts w:hint="eastAsia" w:ascii="仿宋" w:hAnsi="仿宋" w:eastAsia="仿宋" w:cs="仿宋"/>
          <w:szCs w:val="28"/>
          <w:highlight w:val="none"/>
        </w:rPr>
        <w:t>为直流充电桩</w:t>
      </w:r>
      <w:r>
        <w:rPr>
          <w:rFonts w:hint="eastAsia" w:ascii="仿宋" w:hAnsi="仿宋" w:eastAsia="仿宋" w:cs="仿宋"/>
          <w:szCs w:val="28"/>
          <w:highlight w:val="none"/>
          <w:lang w:val="en-US" w:eastAsia="zh-CN"/>
        </w:rPr>
        <w:t>和液冷充电桩，</w:t>
      </w:r>
      <w:r>
        <w:rPr>
          <w:rFonts w:hint="eastAsia" w:ascii="仿宋" w:hAnsi="仿宋" w:eastAsia="仿宋" w:cs="仿宋"/>
          <w:szCs w:val="28"/>
          <w:highlight w:val="none"/>
        </w:rPr>
        <w:t>充电设施各年度新建规模详见下表。</w:t>
      </w:r>
    </w:p>
    <w:p>
      <w:pPr>
        <w:numPr>
          <w:ilvl w:val="0"/>
          <w:numId w:val="0"/>
        </w:numPr>
        <w:bidi w:val="0"/>
        <w:jc w:val="center"/>
        <w:rPr>
          <w:sz w:val="21"/>
          <w:szCs w:val="21"/>
          <w:highlight w:val="none"/>
          <w:lang w:val="en-US" w:eastAsia="zh-CN"/>
        </w:rPr>
      </w:pPr>
      <w:r>
        <w:rPr>
          <w:rFonts w:hint="eastAsia"/>
          <w:sz w:val="21"/>
          <w:szCs w:val="21"/>
          <w:highlight w:val="none"/>
          <w:lang w:val="en-US" w:eastAsia="zh-CN"/>
        </w:rPr>
        <w:t>表</w:t>
      </w:r>
      <w:r>
        <w:rPr>
          <w:rFonts w:hint="eastAsia" w:ascii="仿宋" w:hAnsi="仿宋" w:eastAsia="仿宋" w:cs="仿宋"/>
          <w:sz w:val="21"/>
          <w:szCs w:val="21"/>
          <w:highlight w:val="none"/>
          <w:lang w:val="en-US" w:eastAsia="zh-CN"/>
        </w:rPr>
        <w:t>8-1</w:t>
      </w:r>
      <w:r>
        <w:rPr>
          <w:rFonts w:hint="eastAsia"/>
          <w:sz w:val="21"/>
          <w:szCs w:val="21"/>
          <w:highlight w:val="none"/>
          <w:lang w:val="en-US" w:eastAsia="zh-CN"/>
        </w:rPr>
        <w:t xml:space="preserve"> </w:t>
      </w:r>
      <w:r>
        <w:rPr>
          <w:sz w:val="21"/>
          <w:szCs w:val="21"/>
          <w:highlight w:val="none"/>
          <w:lang w:val="en-US" w:eastAsia="zh-CN"/>
        </w:rPr>
        <w:t>充电设施</w:t>
      </w:r>
      <w:r>
        <w:rPr>
          <w:rFonts w:hint="eastAsia"/>
          <w:sz w:val="21"/>
          <w:szCs w:val="21"/>
          <w:highlight w:val="none"/>
          <w:lang w:val="en-US" w:eastAsia="zh-CN"/>
        </w:rPr>
        <w:t>建设</w:t>
      </w:r>
      <w:r>
        <w:rPr>
          <w:sz w:val="21"/>
          <w:szCs w:val="21"/>
          <w:highlight w:val="none"/>
          <w:lang w:val="en-US" w:eastAsia="zh-CN"/>
        </w:rPr>
        <w:t>规模</w:t>
      </w:r>
    </w:p>
    <w:tbl>
      <w:tblPr>
        <w:tblStyle w:val="30"/>
        <w:tblW w:w="499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1313"/>
        <w:gridCol w:w="1857"/>
        <w:gridCol w:w="1316"/>
        <w:gridCol w:w="1381"/>
        <w:gridCol w:w="1286"/>
        <w:gridCol w:w="11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18" w:hRule="atLeast"/>
          <w:tblHeader/>
        </w:trPr>
        <w:tc>
          <w:tcPr>
            <w:tcW w:w="789" w:type="pct"/>
            <w:vMerge w:val="restart"/>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设备类型</w:t>
            </w:r>
          </w:p>
        </w:tc>
        <w:tc>
          <w:tcPr>
            <w:tcW w:w="1116" w:type="pct"/>
            <w:vMerge w:val="restart"/>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规模</w:t>
            </w:r>
          </w:p>
        </w:tc>
        <w:tc>
          <w:tcPr>
            <w:tcW w:w="3093" w:type="pct"/>
            <w:gridSpan w:val="4"/>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公用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blHeader/>
        </w:trPr>
        <w:tc>
          <w:tcPr>
            <w:tcW w:w="789" w:type="pct"/>
            <w:vMerge w:val="continue"/>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p>
        </w:tc>
        <w:tc>
          <w:tcPr>
            <w:tcW w:w="1116" w:type="pct"/>
            <w:vMerge w:val="continue"/>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p>
        </w:tc>
        <w:tc>
          <w:tcPr>
            <w:tcW w:w="791" w:type="pct"/>
            <w:shd w:val="clear" w:color="auto" w:fill="D9D9D9"/>
            <w:noWrap/>
            <w:tcMar>
              <w:top w:w="12" w:type="dxa"/>
              <w:left w:w="12" w:type="dxa"/>
              <w:right w:w="12" w:type="dxa"/>
            </w:tcMar>
            <w:vAlign w:val="center"/>
          </w:tcPr>
          <w:p>
            <w:pPr>
              <w:spacing w:line="240" w:lineRule="auto"/>
              <w:ind w:firstLine="0" w:firstLineChars="0"/>
              <w:jc w:val="center"/>
              <w:rPr>
                <w:rFonts w:hint="default" w:ascii="仿宋" w:hAnsi="仿宋" w:eastAsia="仿宋" w:cs="仿宋"/>
                <w:b/>
                <w:sz w:val="21"/>
                <w:szCs w:val="21"/>
                <w:highlight w:val="none"/>
                <w:lang w:val="en-US" w:eastAsia="zh-CN"/>
              </w:rPr>
            </w:pPr>
            <w:r>
              <w:rPr>
                <w:rFonts w:hint="eastAsia" w:ascii="仿宋" w:hAnsi="仿宋" w:eastAsia="仿宋" w:cs="仿宋"/>
                <w:b/>
                <w:sz w:val="21"/>
                <w:szCs w:val="21"/>
                <w:highlight w:val="none"/>
              </w:rPr>
              <w:t>2024</w:t>
            </w:r>
            <w:r>
              <w:rPr>
                <w:rFonts w:hint="eastAsia" w:ascii="仿宋" w:hAnsi="仿宋" w:cs="仿宋"/>
                <w:b/>
                <w:sz w:val="21"/>
                <w:szCs w:val="21"/>
                <w:highlight w:val="none"/>
                <w:lang w:val="en-US" w:eastAsia="zh-CN"/>
              </w:rPr>
              <w:t>-2025</w:t>
            </w:r>
          </w:p>
        </w:tc>
        <w:tc>
          <w:tcPr>
            <w:tcW w:w="830" w:type="pct"/>
            <w:shd w:val="clear" w:color="auto" w:fill="D9D9D9"/>
            <w:noWrap/>
            <w:tcMar>
              <w:top w:w="12" w:type="dxa"/>
              <w:left w:w="12" w:type="dxa"/>
              <w:right w:w="12" w:type="dxa"/>
            </w:tcMar>
            <w:vAlign w:val="center"/>
          </w:tcPr>
          <w:p>
            <w:pPr>
              <w:spacing w:line="240" w:lineRule="auto"/>
              <w:ind w:firstLine="0" w:firstLineChars="0"/>
              <w:jc w:val="center"/>
              <w:rPr>
                <w:rFonts w:hint="default" w:ascii="仿宋" w:hAnsi="仿宋" w:eastAsia="仿宋" w:cs="仿宋"/>
                <w:b/>
                <w:sz w:val="21"/>
                <w:szCs w:val="21"/>
                <w:highlight w:val="none"/>
                <w:lang w:val="en-US" w:eastAsia="zh-CN"/>
              </w:rPr>
            </w:pPr>
            <w:r>
              <w:rPr>
                <w:rFonts w:hint="eastAsia" w:ascii="仿宋" w:hAnsi="仿宋" w:eastAsia="仿宋" w:cs="仿宋"/>
                <w:b/>
                <w:sz w:val="21"/>
                <w:szCs w:val="21"/>
                <w:highlight w:val="none"/>
              </w:rPr>
              <w:t>202</w:t>
            </w:r>
            <w:r>
              <w:rPr>
                <w:rFonts w:hint="eastAsia" w:ascii="仿宋" w:hAnsi="仿宋" w:cs="仿宋"/>
                <w:b/>
                <w:sz w:val="21"/>
                <w:szCs w:val="21"/>
                <w:highlight w:val="none"/>
                <w:lang w:val="en-US" w:eastAsia="zh-CN"/>
              </w:rPr>
              <w:t>6-2027</w:t>
            </w:r>
          </w:p>
        </w:tc>
        <w:tc>
          <w:tcPr>
            <w:tcW w:w="773" w:type="pct"/>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rPr>
              <w:t>202</w:t>
            </w:r>
            <w:r>
              <w:rPr>
                <w:rFonts w:hint="eastAsia" w:ascii="仿宋" w:hAnsi="仿宋" w:cs="仿宋"/>
                <w:b/>
                <w:sz w:val="21"/>
                <w:szCs w:val="21"/>
                <w:highlight w:val="none"/>
                <w:lang w:val="en-US" w:eastAsia="zh-CN"/>
              </w:rPr>
              <w:t>8</w:t>
            </w:r>
          </w:p>
        </w:tc>
        <w:tc>
          <w:tcPr>
            <w:tcW w:w="699" w:type="pct"/>
            <w:shd w:val="clear" w:color="auto" w:fill="D9D9D9"/>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合计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restart"/>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直流</w:t>
            </w:r>
            <w:r>
              <w:rPr>
                <w:rFonts w:hint="eastAsia" w:ascii="仿宋" w:hAnsi="仿宋" w:eastAsia="仿宋" w:cs="仿宋"/>
                <w:sz w:val="21"/>
                <w:szCs w:val="21"/>
                <w:highlight w:val="none"/>
                <w:lang w:val="en-US" w:eastAsia="zh-CN"/>
              </w:rPr>
              <w:t>充电</w:t>
            </w:r>
            <w:r>
              <w:rPr>
                <w:rFonts w:hint="eastAsia" w:ascii="仿宋" w:hAnsi="仿宋" w:eastAsia="仿宋" w:cs="仿宋"/>
                <w:sz w:val="21"/>
                <w:szCs w:val="21"/>
                <w:highlight w:val="none"/>
              </w:rPr>
              <w:t>桩</w:t>
            </w: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132</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96</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32</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充电枪（个）</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528</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384</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128</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1040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功率</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7920</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5760</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1920</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15600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restart"/>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液冷充电</w:t>
            </w:r>
            <w:r>
              <w:rPr>
                <w:rFonts w:hint="eastAsia" w:ascii="仿宋" w:hAnsi="仿宋" w:eastAsia="仿宋" w:cs="仿宋"/>
                <w:sz w:val="21"/>
                <w:szCs w:val="21"/>
                <w:highlight w:val="none"/>
              </w:rPr>
              <w:t>桩</w:t>
            </w: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236</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28</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充电枪（个）</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944</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112</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lang w:eastAsia="zh-CN"/>
              </w:rPr>
            </w:pPr>
            <w:r>
              <w:rPr>
                <w:rFonts w:hint="eastAsia" w:ascii="仿宋" w:hAnsi="仿宋" w:cs="仿宋"/>
                <w:sz w:val="21"/>
                <w:szCs w:val="21"/>
                <w:highlight w:val="none"/>
                <w:lang w:eastAsia="zh-CN"/>
              </w:rPr>
              <w:t>——</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1056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功率</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141600</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16800</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lang w:eastAsia="zh-CN"/>
              </w:rPr>
            </w:pPr>
            <w:r>
              <w:rPr>
                <w:rFonts w:hint="eastAsia" w:ascii="仿宋" w:hAnsi="仿宋" w:cs="仿宋"/>
                <w:sz w:val="21"/>
                <w:szCs w:val="21"/>
                <w:highlight w:val="none"/>
                <w:lang w:eastAsia="zh-CN"/>
              </w:rPr>
              <w:t>——</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158400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restart"/>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368</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124</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32</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524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39"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充电枪（个）</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1472</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496</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128</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61" w:hRule="atLeast"/>
        </w:trPr>
        <w:tc>
          <w:tcPr>
            <w:tcW w:w="789" w:type="pct"/>
            <w:vMerge w:val="continue"/>
            <w:shd w:val="clear" w:color="auto" w:fill="auto"/>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p>
        </w:tc>
        <w:tc>
          <w:tcPr>
            <w:tcW w:w="1116"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功率</w:t>
            </w:r>
          </w:p>
        </w:tc>
        <w:tc>
          <w:tcPr>
            <w:tcW w:w="7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149520</w:t>
            </w:r>
          </w:p>
        </w:tc>
        <w:tc>
          <w:tcPr>
            <w:tcW w:w="83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22560</w:t>
            </w:r>
          </w:p>
        </w:tc>
        <w:tc>
          <w:tcPr>
            <w:tcW w:w="773"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1920</w:t>
            </w:r>
          </w:p>
        </w:tc>
        <w:tc>
          <w:tcPr>
            <w:tcW w:w="699"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174000</w:t>
            </w:r>
          </w:p>
        </w:tc>
      </w:tr>
    </w:tbl>
    <w:p>
      <w:pPr>
        <w:pStyle w:val="3"/>
        <w:bidi w:val="0"/>
        <w:ind w:left="0" w:leftChars="0" w:firstLine="0" w:firstLineChars="0"/>
        <w:rPr>
          <w:highlight w:val="none"/>
        </w:rPr>
      </w:pPr>
      <w:bookmarkStart w:id="100" w:name="_Toc18062"/>
      <w:r>
        <w:rPr>
          <w:rFonts w:hint="eastAsia"/>
          <w:highlight w:val="none"/>
        </w:rPr>
        <w:t>投资估算</w:t>
      </w:r>
      <w:bookmarkEnd w:id="100"/>
    </w:p>
    <w:p>
      <w:pPr>
        <w:spacing w:line="576" w:lineRule="exact"/>
        <w:ind w:firstLine="560" w:firstLineChars="0"/>
        <w:rPr>
          <w:rFonts w:hint="eastAsia" w:ascii="TimesNewRoman" w:hAnsi="TimesNewRoman" w:cs="仿宋_GB2312"/>
          <w:szCs w:val="28"/>
        </w:rPr>
      </w:pPr>
      <w:r>
        <w:rPr>
          <w:rFonts w:hint="eastAsia" w:ascii="TimesNewRoman" w:hAnsi="TimesNewRoman" w:cs="仿宋_GB2312"/>
          <w:szCs w:val="28"/>
        </w:rPr>
        <w:t>充电基础设施测算的依据为市场平均价格，具体如下表所示：</w:t>
      </w:r>
    </w:p>
    <w:p>
      <w:pPr>
        <w:numPr>
          <w:ilvl w:val="0"/>
          <w:numId w:val="0"/>
        </w:numPr>
        <w:bidi w:val="0"/>
        <w:jc w:val="center"/>
        <w:rPr>
          <w:rFonts w:hint="default"/>
          <w:sz w:val="21"/>
          <w:szCs w:val="21"/>
          <w:highlight w:val="none"/>
          <w:lang w:val="en-US" w:eastAsia="zh-CN"/>
        </w:rPr>
      </w:pPr>
      <w:r>
        <w:rPr>
          <w:sz w:val="21"/>
          <w:szCs w:val="21"/>
          <w:highlight w:val="none"/>
          <w:lang w:val="en-US" w:eastAsia="zh-CN"/>
        </w:rPr>
        <w:t>充电设施</w:t>
      </w:r>
      <w:r>
        <w:rPr>
          <w:rFonts w:hint="eastAsia"/>
          <w:sz w:val="21"/>
          <w:szCs w:val="21"/>
          <w:highlight w:val="none"/>
          <w:lang w:val="en-US" w:eastAsia="zh-CN"/>
        </w:rPr>
        <w:t>市场价格表</w:t>
      </w:r>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2863"/>
        <w:gridCol w:w="2473"/>
        <w:gridCol w:w="3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17" w:hRule="atLeast"/>
          <w:tblHeader/>
          <w:jc w:val="center"/>
        </w:trPr>
        <w:tc>
          <w:tcPr>
            <w:tcW w:w="1712" w:type="pct"/>
            <w:shd w:val="clear" w:color="auto" w:fill="D9D9D9"/>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充电设备分类</w:t>
            </w:r>
          </w:p>
        </w:tc>
        <w:tc>
          <w:tcPr>
            <w:tcW w:w="1479" w:type="pct"/>
            <w:shd w:val="clear" w:color="auto" w:fill="D9D9D9"/>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充电功率</w:t>
            </w:r>
          </w:p>
        </w:tc>
        <w:tc>
          <w:tcPr>
            <w:tcW w:w="1808" w:type="pct"/>
            <w:shd w:val="clear" w:color="auto" w:fill="D9D9D9"/>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建设成本（万元）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04" w:hRule="atLeast"/>
          <w:jc w:val="center"/>
        </w:trPr>
        <w:tc>
          <w:tcPr>
            <w:tcW w:w="1712"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快</w:t>
            </w:r>
            <w:r>
              <w:rPr>
                <w:rFonts w:hint="eastAsia" w:ascii="仿宋" w:hAnsi="仿宋" w:eastAsia="仿宋" w:cs="仿宋"/>
                <w:sz w:val="21"/>
                <w:szCs w:val="21"/>
                <w:highlight w:val="none"/>
              </w:rPr>
              <w:t>充</w:t>
            </w:r>
          </w:p>
        </w:tc>
        <w:tc>
          <w:tcPr>
            <w:tcW w:w="1479"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60</w:t>
            </w:r>
            <w:r>
              <w:rPr>
                <w:rFonts w:hint="eastAsia" w:ascii="仿宋" w:hAnsi="仿宋" w:eastAsia="仿宋" w:cs="仿宋"/>
                <w:sz w:val="21"/>
                <w:szCs w:val="21"/>
                <w:highlight w:val="none"/>
              </w:rPr>
              <w:t>kW</w:t>
            </w:r>
          </w:p>
        </w:tc>
        <w:tc>
          <w:tcPr>
            <w:tcW w:w="1808"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30" w:hRule="atLeast"/>
          <w:jc w:val="center"/>
        </w:trPr>
        <w:tc>
          <w:tcPr>
            <w:tcW w:w="1712"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液冷</w:t>
            </w:r>
          </w:p>
        </w:tc>
        <w:tc>
          <w:tcPr>
            <w:tcW w:w="1479"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600</w:t>
            </w:r>
            <w:r>
              <w:rPr>
                <w:rFonts w:hint="eastAsia" w:ascii="仿宋" w:hAnsi="仿宋" w:eastAsia="仿宋" w:cs="仿宋"/>
                <w:sz w:val="21"/>
                <w:szCs w:val="21"/>
                <w:highlight w:val="none"/>
              </w:rPr>
              <w:t>kW</w:t>
            </w:r>
          </w:p>
        </w:tc>
        <w:tc>
          <w:tcPr>
            <w:tcW w:w="1808" w:type="pct"/>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65</w:t>
            </w:r>
            <w:r>
              <w:rPr>
                <w:rFonts w:hint="eastAsia" w:ascii="仿宋" w:hAnsi="仿宋" w:eastAsia="仿宋" w:cs="仿宋"/>
                <w:sz w:val="21"/>
                <w:szCs w:val="21"/>
                <w:highlight w:val="none"/>
              </w:rPr>
              <w:t>/个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430" w:hRule="atLeast"/>
          <w:jc w:val="center"/>
        </w:trPr>
        <w:tc>
          <w:tcPr>
            <w:tcW w:w="1712"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光储充一体化充电站</w:t>
            </w:r>
          </w:p>
        </w:tc>
        <w:tc>
          <w:tcPr>
            <w:tcW w:w="1479" w:type="pct"/>
            <w:vAlign w:val="center"/>
          </w:tcPr>
          <w:p>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w:t>
            </w:r>
          </w:p>
        </w:tc>
        <w:tc>
          <w:tcPr>
            <w:tcW w:w="1808"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450/个</w:t>
            </w:r>
          </w:p>
        </w:tc>
      </w:tr>
    </w:tbl>
    <w:p>
      <w:pPr>
        <w:spacing w:line="576" w:lineRule="exact"/>
        <w:ind w:firstLine="560" w:firstLineChars="0"/>
        <w:rPr>
          <w:rFonts w:hint="eastAsia" w:ascii="TimesNewRoman" w:hAnsi="TimesNewRoman"/>
          <w:szCs w:val="20"/>
          <w:highlight w:val="none"/>
        </w:rPr>
      </w:pPr>
      <w:r>
        <w:rPr>
          <w:rFonts w:hint="eastAsia" w:ascii="TimesNewRoman" w:hAnsi="TimesNewRoman"/>
          <w:szCs w:val="20"/>
          <w:highlight w:val="none"/>
        </w:rPr>
        <w:t>根据上述充电设施建设的目标数据估算，至202</w:t>
      </w:r>
      <w:r>
        <w:rPr>
          <w:rFonts w:hint="eastAsia" w:ascii="TimesNewRoman" w:hAnsi="TimesNewRoman"/>
          <w:szCs w:val="20"/>
          <w:highlight w:val="none"/>
          <w:lang w:val="en-US" w:eastAsia="zh-CN"/>
        </w:rPr>
        <w:t>8</w:t>
      </w:r>
      <w:r>
        <w:rPr>
          <w:rFonts w:hint="eastAsia" w:ascii="TimesNewRoman" w:hAnsi="TimesNewRoman"/>
          <w:szCs w:val="20"/>
          <w:highlight w:val="none"/>
        </w:rPr>
        <w:t>年，</w:t>
      </w:r>
      <w:r>
        <w:rPr>
          <w:rFonts w:hint="eastAsia" w:ascii="TimesNewRoman" w:hAnsi="TimesNewRoman"/>
          <w:szCs w:val="20"/>
          <w:highlight w:val="none"/>
          <w:lang w:eastAsia="zh-CN"/>
        </w:rPr>
        <w:t>岫岩</w:t>
      </w:r>
      <w:r>
        <w:rPr>
          <w:rFonts w:hint="eastAsia" w:ascii="TimesNewRoman" w:hAnsi="TimesNewRoman"/>
          <w:szCs w:val="20"/>
          <w:highlight w:val="none"/>
        </w:rPr>
        <w:t>充电设施共投资</w:t>
      </w:r>
      <w:r>
        <w:rPr>
          <w:rFonts w:hint="eastAsia" w:ascii="仿宋" w:hAnsi="仿宋" w:cs="仿宋"/>
          <w:szCs w:val="20"/>
          <w:highlight w:val="none"/>
          <w:lang w:val="en-US" w:eastAsia="zh-CN"/>
        </w:rPr>
        <w:t>19690万</w:t>
      </w:r>
      <w:r>
        <w:rPr>
          <w:rFonts w:hint="eastAsia" w:ascii="TimesNewRoman" w:hAnsi="TimesNewRoman"/>
          <w:szCs w:val="20"/>
          <w:highlight w:val="none"/>
        </w:rPr>
        <w:t>元。</w:t>
      </w:r>
    </w:p>
    <w:p>
      <w:pPr>
        <w:numPr>
          <w:ilvl w:val="0"/>
          <w:numId w:val="0"/>
        </w:numPr>
        <w:bidi w:val="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规划年充电设施投资规模表</w:t>
      </w:r>
    </w:p>
    <w:p>
      <w:pPr>
        <w:pStyle w:val="63"/>
        <w:spacing w:line="319" w:lineRule="auto"/>
        <w:ind w:left="921" w:hanging="361"/>
        <w:jc w:val="right"/>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单位：万元</w:t>
      </w:r>
    </w:p>
    <w:p>
      <w:pPr>
        <w:pStyle w:val="63"/>
        <w:spacing w:line="319" w:lineRule="auto"/>
        <w:ind w:left="921" w:hanging="361"/>
        <w:jc w:val="right"/>
        <w:rPr>
          <w:rFonts w:hint="eastAsia" w:ascii="仿宋" w:hAnsi="仿宋" w:eastAsia="仿宋" w:cs="仿宋"/>
          <w:b/>
          <w:kern w:val="2"/>
          <w:sz w:val="21"/>
          <w:szCs w:val="21"/>
          <w:highlight w:val="none"/>
          <w:lang w:val="en-US" w:eastAsia="zh-CN" w:bidi="ar-SA"/>
        </w:rPr>
      </w:pP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1914"/>
        <w:gridCol w:w="1451"/>
        <w:gridCol w:w="1484"/>
        <w:gridCol w:w="1816"/>
        <w:gridCol w:w="16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blHeader/>
          <w:jc w:val="center"/>
        </w:trPr>
        <w:tc>
          <w:tcPr>
            <w:tcW w:w="1149" w:type="pct"/>
            <w:vMerge w:val="restart"/>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类型</w:t>
            </w:r>
          </w:p>
        </w:tc>
        <w:tc>
          <w:tcPr>
            <w:tcW w:w="3850" w:type="pct"/>
            <w:gridSpan w:val="4"/>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公用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blHeader/>
          <w:jc w:val="center"/>
        </w:trPr>
        <w:tc>
          <w:tcPr>
            <w:tcW w:w="1149" w:type="pct"/>
            <w:vMerge w:val="continue"/>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rPr>
            </w:pPr>
          </w:p>
        </w:tc>
        <w:tc>
          <w:tcPr>
            <w:tcW w:w="871" w:type="pct"/>
            <w:shd w:val="clear" w:color="auto" w:fill="D9D9D9"/>
            <w:noWrap/>
            <w:tcMar>
              <w:top w:w="12" w:type="dxa"/>
              <w:left w:w="12" w:type="dxa"/>
              <w:right w:w="12" w:type="dxa"/>
            </w:tcMar>
            <w:vAlign w:val="center"/>
          </w:tcPr>
          <w:p>
            <w:pPr>
              <w:spacing w:line="240" w:lineRule="auto"/>
              <w:ind w:firstLine="0" w:firstLineChars="0"/>
              <w:jc w:val="center"/>
              <w:rPr>
                <w:rFonts w:hint="default" w:ascii="仿宋" w:hAnsi="仿宋" w:eastAsia="仿宋" w:cs="仿宋"/>
                <w:b/>
                <w:sz w:val="21"/>
                <w:szCs w:val="21"/>
                <w:highlight w:val="none"/>
                <w:lang w:val="en-US" w:eastAsia="zh-CN"/>
              </w:rPr>
            </w:pPr>
            <w:r>
              <w:rPr>
                <w:rFonts w:hint="eastAsia" w:ascii="仿宋" w:hAnsi="仿宋" w:eastAsia="仿宋" w:cs="仿宋"/>
                <w:b/>
                <w:sz w:val="21"/>
                <w:szCs w:val="21"/>
                <w:highlight w:val="none"/>
              </w:rPr>
              <w:t>2024</w:t>
            </w:r>
            <w:r>
              <w:rPr>
                <w:rFonts w:hint="eastAsia" w:ascii="仿宋" w:hAnsi="仿宋" w:cs="仿宋"/>
                <w:b/>
                <w:sz w:val="21"/>
                <w:szCs w:val="21"/>
                <w:highlight w:val="none"/>
                <w:lang w:val="en-US" w:eastAsia="zh-CN"/>
              </w:rPr>
              <w:t>-2025</w:t>
            </w:r>
          </w:p>
        </w:tc>
        <w:tc>
          <w:tcPr>
            <w:tcW w:w="891" w:type="pct"/>
            <w:shd w:val="clear" w:color="auto" w:fill="D9D9D9"/>
            <w:noWrap/>
            <w:tcMar>
              <w:top w:w="12" w:type="dxa"/>
              <w:left w:w="12" w:type="dxa"/>
              <w:right w:w="12" w:type="dxa"/>
            </w:tcMar>
            <w:vAlign w:val="center"/>
          </w:tcPr>
          <w:p>
            <w:pPr>
              <w:spacing w:line="240" w:lineRule="auto"/>
              <w:ind w:firstLine="0" w:firstLineChars="0"/>
              <w:jc w:val="center"/>
              <w:rPr>
                <w:rFonts w:hint="default" w:ascii="仿宋" w:hAnsi="仿宋" w:eastAsia="仿宋" w:cs="仿宋"/>
                <w:b/>
                <w:sz w:val="21"/>
                <w:szCs w:val="21"/>
                <w:highlight w:val="none"/>
                <w:lang w:val="en-US" w:eastAsia="zh-CN"/>
              </w:rPr>
            </w:pPr>
            <w:r>
              <w:rPr>
                <w:rFonts w:hint="eastAsia" w:ascii="仿宋" w:hAnsi="仿宋" w:eastAsia="仿宋" w:cs="仿宋"/>
                <w:b/>
                <w:sz w:val="21"/>
                <w:szCs w:val="21"/>
                <w:highlight w:val="none"/>
              </w:rPr>
              <w:t>202</w:t>
            </w:r>
            <w:r>
              <w:rPr>
                <w:rFonts w:hint="eastAsia" w:ascii="仿宋" w:hAnsi="仿宋" w:cs="仿宋"/>
                <w:b/>
                <w:sz w:val="21"/>
                <w:szCs w:val="21"/>
                <w:highlight w:val="none"/>
                <w:lang w:val="en-US" w:eastAsia="zh-CN"/>
              </w:rPr>
              <w:t>6-2027</w:t>
            </w:r>
          </w:p>
        </w:tc>
        <w:tc>
          <w:tcPr>
            <w:tcW w:w="1090" w:type="pct"/>
            <w:shd w:val="clear" w:color="auto" w:fill="D9D9D9"/>
            <w:noWrap/>
            <w:tcMar>
              <w:top w:w="12" w:type="dxa"/>
              <w:left w:w="12" w:type="dxa"/>
              <w:right w:w="12" w:type="dxa"/>
            </w:tcMar>
            <w:vAlign w:val="center"/>
          </w:tcPr>
          <w:p>
            <w:pPr>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rPr>
              <w:t>202</w:t>
            </w:r>
            <w:r>
              <w:rPr>
                <w:rFonts w:hint="eastAsia" w:ascii="仿宋" w:hAnsi="仿宋" w:cs="仿宋"/>
                <w:b/>
                <w:sz w:val="21"/>
                <w:szCs w:val="21"/>
                <w:highlight w:val="none"/>
                <w:lang w:val="en-US" w:eastAsia="zh-CN"/>
              </w:rPr>
              <w:t>8</w:t>
            </w:r>
          </w:p>
        </w:tc>
        <w:tc>
          <w:tcPr>
            <w:tcW w:w="997" w:type="pct"/>
            <w:shd w:val="clear" w:color="auto" w:fill="D9D9D9"/>
            <w:vAlign w:val="center"/>
          </w:tcPr>
          <w:p>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公用合计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149"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直流桩</w:t>
            </w:r>
          </w:p>
        </w:tc>
        <w:tc>
          <w:tcPr>
            <w:tcW w:w="87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cs="仿宋"/>
                <w:kern w:val="2"/>
                <w:sz w:val="21"/>
                <w:szCs w:val="21"/>
                <w:highlight w:val="none"/>
                <w:lang w:val="en-US" w:eastAsia="zh-CN" w:bidi="ar-SA"/>
              </w:rPr>
              <w:t>1056</w:t>
            </w:r>
          </w:p>
        </w:tc>
        <w:tc>
          <w:tcPr>
            <w:tcW w:w="8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cs="仿宋"/>
                <w:kern w:val="2"/>
                <w:sz w:val="21"/>
                <w:szCs w:val="21"/>
                <w:highlight w:val="none"/>
                <w:lang w:val="en-US" w:eastAsia="zh-CN" w:bidi="ar-SA"/>
              </w:rPr>
              <w:t>768</w:t>
            </w:r>
          </w:p>
        </w:tc>
        <w:tc>
          <w:tcPr>
            <w:tcW w:w="109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cs="仿宋"/>
                <w:kern w:val="2"/>
                <w:sz w:val="21"/>
                <w:szCs w:val="21"/>
                <w:highlight w:val="none"/>
                <w:lang w:val="en-US" w:eastAsia="zh-CN" w:bidi="ar-SA"/>
              </w:rPr>
              <w:t>256</w:t>
            </w:r>
          </w:p>
        </w:tc>
        <w:tc>
          <w:tcPr>
            <w:tcW w:w="997" w:type="pct"/>
            <w:vAlign w:val="center"/>
          </w:tcPr>
          <w:p>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cs="仿宋"/>
                <w:kern w:val="2"/>
                <w:sz w:val="21"/>
                <w:szCs w:val="21"/>
                <w:highlight w:val="none"/>
                <w:lang w:val="en-US" w:eastAsia="zh-CN" w:bidi="ar-SA"/>
              </w:rPr>
              <w:t>2080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149"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液冷</w:t>
            </w:r>
            <w:r>
              <w:rPr>
                <w:rFonts w:hint="eastAsia" w:ascii="仿宋" w:hAnsi="仿宋" w:eastAsia="仿宋" w:cs="仿宋"/>
                <w:sz w:val="21"/>
                <w:szCs w:val="21"/>
                <w:highlight w:val="none"/>
              </w:rPr>
              <w:t>桩</w:t>
            </w:r>
          </w:p>
        </w:tc>
        <w:tc>
          <w:tcPr>
            <w:tcW w:w="1451" w:type="dxa"/>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15340</w:t>
            </w:r>
          </w:p>
        </w:tc>
        <w:tc>
          <w:tcPr>
            <w:tcW w:w="1484" w:type="dxa"/>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1820</w:t>
            </w:r>
          </w:p>
        </w:tc>
        <w:tc>
          <w:tcPr>
            <w:tcW w:w="1816" w:type="dxa"/>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cs="仿宋"/>
                <w:sz w:val="21"/>
                <w:szCs w:val="21"/>
                <w:highlight w:val="none"/>
                <w:lang w:val="en-US" w:eastAsia="zh-CN"/>
              </w:rPr>
              <w:t>——</w:t>
            </w:r>
          </w:p>
        </w:tc>
        <w:tc>
          <w:tcPr>
            <w:tcW w:w="1662" w:type="dxa"/>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17160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149"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光储充一体化充电站</w:t>
            </w:r>
          </w:p>
        </w:tc>
        <w:tc>
          <w:tcPr>
            <w:tcW w:w="87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cs="仿宋"/>
                <w:sz w:val="21"/>
                <w:szCs w:val="21"/>
                <w:highlight w:val="none"/>
                <w:lang w:val="en-US" w:eastAsia="zh-CN"/>
              </w:rPr>
            </w:pPr>
            <w:r>
              <w:rPr>
                <w:rFonts w:hint="eastAsia" w:ascii="仿宋" w:hAnsi="仿宋" w:cs="仿宋"/>
                <w:sz w:val="21"/>
                <w:szCs w:val="21"/>
                <w:highlight w:val="none"/>
                <w:lang w:val="en-US" w:eastAsia="zh-CN"/>
              </w:rPr>
              <w:t>450</w:t>
            </w:r>
          </w:p>
        </w:tc>
        <w:tc>
          <w:tcPr>
            <w:tcW w:w="891"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cs="仿宋"/>
                <w:sz w:val="21"/>
                <w:szCs w:val="21"/>
                <w:highlight w:val="none"/>
                <w:lang w:val="en-US" w:eastAsia="zh-CN"/>
              </w:rPr>
            </w:pPr>
            <w:r>
              <w:rPr>
                <w:rFonts w:hint="eastAsia" w:ascii="仿宋" w:hAnsi="仿宋" w:cs="仿宋"/>
                <w:sz w:val="21"/>
                <w:szCs w:val="21"/>
                <w:highlight w:val="none"/>
                <w:lang w:val="en-US" w:eastAsia="zh-CN"/>
              </w:rPr>
              <w:t>——</w:t>
            </w:r>
          </w:p>
        </w:tc>
        <w:tc>
          <w:tcPr>
            <w:tcW w:w="1090"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w:t>
            </w:r>
          </w:p>
        </w:tc>
        <w:tc>
          <w:tcPr>
            <w:tcW w:w="997" w:type="pct"/>
            <w:vAlign w:val="center"/>
          </w:tcPr>
          <w:p>
            <w:pPr>
              <w:spacing w:line="240" w:lineRule="auto"/>
              <w:ind w:firstLine="0" w:firstLineChars="0"/>
              <w:jc w:val="center"/>
              <w:rPr>
                <w:rFonts w:hint="default" w:ascii="仿宋" w:hAnsi="仿宋" w:cs="仿宋"/>
                <w:sz w:val="21"/>
                <w:szCs w:val="21"/>
                <w:highlight w:val="none"/>
                <w:lang w:val="en-US" w:eastAsia="zh-CN"/>
              </w:rPr>
            </w:pPr>
            <w:r>
              <w:rPr>
                <w:rFonts w:hint="eastAsia" w:ascii="仿宋" w:hAnsi="仿宋" w:cs="仿宋"/>
                <w:sz w:val="21"/>
                <w:szCs w:val="21"/>
                <w:highlight w:val="none"/>
                <w:lang w:val="en-US" w:eastAsia="zh-CN"/>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jc w:val="center"/>
        </w:trPr>
        <w:tc>
          <w:tcPr>
            <w:tcW w:w="1149" w:type="pct"/>
            <w:shd w:val="clear" w:color="auto" w:fill="auto"/>
            <w:noWrap/>
            <w:tcMar>
              <w:top w:w="12" w:type="dxa"/>
              <w:left w:w="12" w:type="dxa"/>
              <w:right w:w="12" w:type="dxa"/>
            </w:tcMar>
            <w:vAlign w:val="center"/>
          </w:tcPr>
          <w:p>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c>
          <w:tcPr>
            <w:tcW w:w="87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16846</w:t>
            </w:r>
          </w:p>
        </w:tc>
        <w:tc>
          <w:tcPr>
            <w:tcW w:w="891"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2588</w:t>
            </w:r>
          </w:p>
        </w:tc>
        <w:tc>
          <w:tcPr>
            <w:tcW w:w="1090" w:type="pct"/>
            <w:shd w:val="clear" w:color="auto" w:fill="auto"/>
            <w:noWrap/>
            <w:tcMar>
              <w:top w:w="12" w:type="dxa"/>
              <w:left w:w="12" w:type="dxa"/>
              <w:right w:w="12" w:type="dxa"/>
            </w:tcMar>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256</w:t>
            </w:r>
          </w:p>
        </w:tc>
        <w:tc>
          <w:tcPr>
            <w:tcW w:w="997" w:type="pct"/>
            <w:vAlign w:val="center"/>
          </w:tcPr>
          <w:p>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19690</w:t>
            </w:r>
          </w:p>
        </w:tc>
      </w:tr>
    </w:tbl>
    <w:p>
      <w:pPr>
        <w:pStyle w:val="63"/>
        <w:spacing w:line="319" w:lineRule="auto"/>
        <w:ind w:left="921" w:hanging="361"/>
        <w:jc w:val="right"/>
        <w:rPr>
          <w:rFonts w:hint="eastAsia" w:ascii="仿宋" w:hAnsi="仿宋" w:eastAsia="仿宋" w:cs="仿宋"/>
          <w:b/>
          <w:bCs/>
          <w:sz w:val="21"/>
          <w:szCs w:val="21"/>
          <w:highlight w:val="none"/>
          <w:lang w:val="en-US" w:eastAsia="zh-CN"/>
        </w:rPr>
      </w:pPr>
    </w:p>
    <w:p>
      <w:pPr>
        <w:pStyle w:val="3"/>
        <w:bidi w:val="0"/>
        <w:ind w:left="0" w:leftChars="0" w:firstLine="0" w:firstLineChars="0"/>
        <w:rPr>
          <w:highlight w:val="none"/>
        </w:rPr>
      </w:pPr>
      <w:bookmarkStart w:id="101" w:name="_Toc21057"/>
      <w:r>
        <w:rPr>
          <w:rFonts w:hint="eastAsia"/>
          <w:highlight w:val="none"/>
          <w:lang w:val="en-US" w:eastAsia="zh-CN"/>
        </w:rPr>
        <w:t>成效评估</w:t>
      </w:r>
      <w:bookmarkEnd w:id="101"/>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）充电服务能力</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green"/>
        </w:rPr>
      </w:pPr>
      <w:r>
        <w:rPr>
          <w:rFonts w:hint="eastAsia" w:ascii="仿宋" w:hAnsi="仿宋" w:eastAsia="仿宋" w:cs="仿宋"/>
          <w:sz w:val="28"/>
          <w:szCs w:val="28"/>
          <w:highlight w:val="none"/>
        </w:rPr>
        <w:t>2024-202</w:t>
      </w:r>
      <w:r>
        <w:rPr>
          <w:rFonts w:hint="eastAsia" w:ascii="仿宋" w:hAnsi="仿宋" w:cs="仿宋"/>
          <w:sz w:val="28"/>
          <w:szCs w:val="28"/>
          <w:highlight w:val="none"/>
          <w:lang w:val="en-US" w:eastAsia="zh-CN"/>
        </w:rPr>
        <w:t>8</w:t>
      </w:r>
      <w:r>
        <w:rPr>
          <w:rFonts w:hint="eastAsia" w:ascii="仿宋" w:hAnsi="仿宋" w:eastAsia="仿宋" w:cs="仿宋"/>
          <w:sz w:val="28"/>
          <w:szCs w:val="28"/>
          <w:highlight w:val="none"/>
        </w:rPr>
        <w:t>年期间，</w:t>
      </w:r>
      <w:r>
        <w:rPr>
          <w:rFonts w:hint="eastAsia" w:ascii="仿宋" w:hAnsi="仿宋" w:cs="仿宋"/>
          <w:sz w:val="28"/>
          <w:szCs w:val="28"/>
          <w:highlight w:val="none"/>
          <w:lang w:eastAsia="zh-CN"/>
        </w:rPr>
        <w:t>岫岩县</w:t>
      </w:r>
      <w:r>
        <w:rPr>
          <w:rFonts w:hint="eastAsia" w:ascii="仿宋" w:hAnsi="仿宋" w:cs="仿宋"/>
          <w:sz w:val="28"/>
          <w:szCs w:val="28"/>
          <w:highlight w:val="none"/>
          <w:lang w:val="en-US" w:eastAsia="zh-CN"/>
        </w:rPr>
        <w:t>共计建设</w:t>
      </w:r>
      <w:r>
        <w:rPr>
          <w:rFonts w:hint="eastAsia" w:ascii="仿宋" w:hAnsi="仿宋" w:eastAsia="仿宋" w:cs="仿宋"/>
          <w:sz w:val="28"/>
          <w:szCs w:val="28"/>
          <w:highlight w:val="none"/>
        </w:rPr>
        <w:t>公共电动汽车充电</w:t>
      </w:r>
      <w:r>
        <w:rPr>
          <w:rFonts w:hint="eastAsia" w:ascii="仿宋" w:hAnsi="仿宋" w:cs="仿宋"/>
          <w:sz w:val="28"/>
          <w:szCs w:val="28"/>
          <w:highlight w:val="none"/>
          <w:lang w:val="en-US" w:eastAsia="zh-CN"/>
        </w:rPr>
        <w:t>设施点位</w:t>
      </w:r>
      <w:r>
        <w:rPr>
          <w:rFonts w:hint="eastAsia" w:ascii="仿宋" w:hAnsi="仿宋" w:eastAsia="仿宋" w:cs="仿宋"/>
          <w:sz w:val="28"/>
          <w:szCs w:val="28"/>
          <w:highlight w:val="none"/>
          <w:lang w:val="en-US" w:eastAsia="zh-CN"/>
        </w:rPr>
        <w:t>7</w:t>
      </w:r>
      <w:r>
        <w:rPr>
          <w:rFonts w:hint="eastAsia" w:ascii="仿宋" w:hAnsi="仿宋" w:cs="仿宋"/>
          <w:sz w:val="28"/>
          <w:szCs w:val="28"/>
          <w:highlight w:val="none"/>
          <w:lang w:val="en-US" w:eastAsia="zh-CN"/>
        </w:rPr>
        <w:t>4个</w:t>
      </w:r>
      <w:r>
        <w:rPr>
          <w:rFonts w:hint="eastAsia" w:ascii="仿宋" w:hAnsi="仿宋" w:eastAsia="仿宋" w:cs="仿宋"/>
          <w:sz w:val="28"/>
          <w:szCs w:val="28"/>
          <w:highlight w:val="none"/>
        </w:rPr>
        <w:t>，电动汽车充电设施</w:t>
      </w:r>
      <w:r>
        <w:rPr>
          <w:rFonts w:hint="eastAsia" w:ascii="仿宋" w:hAnsi="仿宋" w:cs="仿宋"/>
          <w:sz w:val="28"/>
          <w:szCs w:val="28"/>
          <w:highlight w:val="none"/>
          <w:lang w:val="en-US" w:eastAsia="zh-CN"/>
        </w:rPr>
        <w:t>524</w:t>
      </w:r>
      <w:r>
        <w:rPr>
          <w:rFonts w:hint="eastAsia" w:ascii="仿宋" w:hAnsi="仿宋" w:eastAsia="仿宋" w:cs="仿宋"/>
          <w:sz w:val="28"/>
          <w:szCs w:val="28"/>
          <w:highlight w:val="none"/>
        </w:rPr>
        <w:t>台（充电枪</w:t>
      </w:r>
      <w:r>
        <w:rPr>
          <w:rFonts w:hint="eastAsia" w:ascii="仿宋" w:hAnsi="仿宋" w:cs="仿宋"/>
          <w:sz w:val="28"/>
          <w:szCs w:val="28"/>
          <w:highlight w:val="none"/>
          <w:lang w:val="en-US" w:eastAsia="zh-CN"/>
        </w:rPr>
        <w:t>2096</w:t>
      </w:r>
      <w:r>
        <w:rPr>
          <w:rFonts w:hint="eastAsia" w:ascii="仿宋" w:hAnsi="仿宋" w:eastAsia="仿宋" w:cs="仿宋"/>
          <w:sz w:val="28"/>
          <w:szCs w:val="28"/>
          <w:highlight w:val="none"/>
        </w:rPr>
        <w:t>个）。至202</w:t>
      </w:r>
      <w:r>
        <w:rPr>
          <w:rFonts w:hint="eastAsia" w:ascii="仿宋" w:hAnsi="仿宋" w:cs="仿宋"/>
          <w:sz w:val="28"/>
          <w:szCs w:val="28"/>
          <w:highlight w:val="none"/>
          <w:lang w:val="en-US" w:eastAsia="zh-CN"/>
        </w:rPr>
        <w:t>8</w:t>
      </w:r>
      <w:r>
        <w:rPr>
          <w:rFonts w:hint="eastAsia" w:ascii="仿宋" w:hAnsi="仿宋" w:eastAsia="仿宋" w:cs="仿宋"/>
          <w:sz w:val="28"/>
          <w:szCs w:val="28"/>
          <w:highlight w:val="none"/>
        </w:rPr>
        <w:t>年，</w:t>
      </w:r>
      <w:r>
        <w:rPr>
          <w:rFonts w:hint="eastAsia" w:ascii="仿宋" w:hAnsi="仿宋" w:cs="仿宋"/>
          <w:sz w:val="28"/>
          <w:szCs w:val="28"/>
          <w:highlight w:val="none"/>
          <w:lang w:eastAsia="zh-CN"/>
        </w:rPr>
        <w:t>岫岩县</w:t>
      </w:r>
      <w:r>
        <w:rPr>
          <w:rFonts w:hint="eastAsia" w:ascii="仿宋" w:hAnsi="仿宋" w:cs="仿宋"/>
          <w:sz w:val="28"/>
          <w:szCs w:val="28"/>
          <w:highlight w:val="none"/>
          <w:lang w:val="en-US" w:eastAsia="zh-CN"/>
        </w:rPr>
        <w:t>74个</w:t>
      </w:r>
      <w:r>
        <w:rPr>
          <w:rFonts w:hint="eastAsia" w:ascii="仿宋" w:hAnsi="仿宋" w:eastAsia="仿宋" w:cs="仿宋"/>
          <w:sz w:val="28"/>
          <w:szCs w:val="28"/>
          <w:highlight w:val="none"/>
          <w:lang w:val="en-US" w:eastAsia="zh-CN"/>
        </w:rPr>
        <w:t>充电</w:t>
      </w:r>
      <w:r>
        <w:rPr>
          <w:rFonts w:hint="eastAsia" w:ascii="仿宋" w:hAnsi="仿宋" w:cs="仿宋"/>
          <w:sz w:val="28"/>
          <w:szCs w:val="28"/>
          <w:highlight w:val="none"/>
          <w:lang w:val="en-US" w:eastAsia="zh-CN"/>
        </w:rPr>
        <w:t>点位</w:t>
      </w:r>
      <w:r>
        <w:rPr>
          <w:rFonts w:hint="eastAsia" w:ascii="仿宋" w:hAnsi="仿宋" w:eastAsia="仿宋" w:cs="仿宋"/>
          <w:sz w:val="28"/>
          <w:szCs w:val="28"/>
          <w:highlight w:val="none"/>
        </w:rPr>
        <w:t>满足区域内</w:t>
      </w:r>
      <w:r>
        <w:rPr>
          <w:rFonts w:hint="eastAsia" w:ascii="仿宋" w:hAnsi="仿宋" w:cs="仿宋"/>
          <w:sz w:val="28"/>
          <w:szCs w:val="28"/>
          <w:highlight w:val="none"/>
          <w:lang w:val="en-US" w:eastAsia="zh-CN"/>
        </w:rPr>
        <w:t>3103</w:t>
      </w:r>
      <w:r>
        <w:rPr>
          <w:rFonts w:hint="eastAsia" w:ascii="仿宋" w:hAnsi="仿宋" w:eastAsia="仿宋" w:cs="仿宋"/>
          <w:sz w:val="28"/>
          <w:szCs w:val="28"/>
          <w:highlight w:val="none"/>
        </w:rPr>
        <w:t>辆（预测值）电动汽车充电需求。</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（2）节能减排效益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12米公交车百公里油耗为42升，12米电动公交车百公里的电耗为126千瓦时。每辆车每公里可以减少污染物排放碳氢化合物为3.612克，一氧化碳为3.99克，二氧化碳为5.796克，颗粒物为0.42克。乘坐一次（按5公里计）电动公交车与传统公交车相比，可减排一氧化碳为20克，二氧化碳为29克，颗粒物为2克，碳氢化合物18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乘用车（包括出租车、公务车和私家车）百公里油耗为10升，电动乘用车百公里的电耗为30千瓦时。每公里可以减少污染物排放碳氢化合物为0.86克，一氧化碳为0.95克，二氧化碳为1.38克，颗粒物为0.1克。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此外经有关部门测算，纯电动汽车的运行成本大约相当于传统汽油动力车的30%。按照普通家用汽车每年行驶</w:t>
      </w:r>
      <w:r>
        <w:rPr>
          <w:rFonts w:hint="eastAsia" w:ascii="仿宋" w:hAnsi="仿宋" w:eastAsia="仿宋" w:cs="仿宋"/>
          <w:sz w:val="28"/>
          <w:szCs w:val="28"/>
          <w:highlight w:val="none"/>
          <w:lang w:val="en-US" w:eastAsia="zh-CN"/>
        </w:rPr>
        <w:t>15000</w:t>
      </w:r>
      <w:r>
        <w:rPr>
          <w:rFonts w:hint="eastAsia" w:ascii="仿宋" w:hAnsi="仿宋" w:eastAsia="仿宋" w:cs="仿宋"/>
          <w:sz w:val="28"/>
          <w:szCs w:val="28"/>
          <w:highlight w:val="none"/>
        </w:rPr>
        <w:t>公里、平均百公里油耗10升、每升汽油</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元计算，年加油费为</w:t>
      </w:r>
      <w:r>
        <w:rPr>
          <w:rFonts w:hint="eastAsia" w:ascii="仿宋" w:hAnsi="仿宋" w:eastAsia="仿宋" w:cs="仿宋"/>
          <w:sz w:val="28"/>
          <w:szCs w:val="28"/>
          <w:highlight w:val="none"/>
          <w:lang w:val="en-US" w:eastAsia="zh-CN"/>
        </w:rPr>
        <w:t>1.2万</w:t>
      </w:r>
      <w:r>
        <w:rPr>
          <w:rFonts w:hint="eastAsia" w:ascii="仿宋" w:hAnsi="仿宋" w:eastAsia="仿宋" w:cs="仿宋"/>
          <w:sz w:val="28"/>
          <w:szCs w:val="28"/>
          <w:highlight w:val="none"/>
        </w:rPr>
        <w:t>元左右。而一辆纯电动汽车每公里耗电仅为0.3度左右，以普通工商业电价每度电0.8438元计算，年充电费用总额约为</w:t>
      </w:r>
      <w:r>
        <w:rPr>
          <w:rFonts w:hint="eastAsia" w:ascii="仿宋" w:hAnsi="仿宋" w:eastAsia="仿宋" w:cs="仿宋"/>
          <w:sz w:val="28"/>
          <w:szCs w:val="28"/>
          <w:highlight w:val="none"/>
          <w:lang w:val="en-US" w:eastAsia="zh-CN"/>
        </w:rPr>
        <w:t>0.38万</w:t>
      </w:r>
      <w:r>
        <w:rPr>
          <w:rFonts w:hint="eastAsia" w:ascii="仿宋" w:hAnsi="仿宋" w:eastAsia="仿宋" w:cs="仿宋"/>
          <w:sz w:val="28"/>
          <w:szCs w:val="28"/>
          <w:highlight w:val="none"/>
        </w:rPr>
        <w:t>元，每年可比普通燃油汽车节省</w:t>
      </w:r>
      <w:r>
        <w:rPr>
          <w:rFonts w:hint="eastAsia" w:ascii="仿宋" w:hAnsi="仿宋" w:eastAsia="仿宋" w:cs="仿宋"/>
          <w:sz w:val="28"/>
          <w:szCs w:val="28"/>
          <w:highlight w:val="none"/>
          <w:lang w:val="en-US" w:eastAsia="zh-CN"/>
        </w:rPr>
        <w:t>0.82万</w:t>
      </w:r>
      <w:r>
        <w:rPr>
          <w:rFonts w:hint="eastAsia" w:ascii="仿宋" w:hAnsi="仿宋" w:eastAsia="仿宋" w:cs="仿宋"/>
          <w:sz w:val="28"/>
          <w:szCs w:val="28"/>
          <w:highlight w:val="none"/>
        </w:rPr>
        <w:t>元。</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如果市民选择在夜间用电低谷时段(每日23时—次日早上7点)充电，便可执行低谷电价每度电0.2785元，充电费用更低。</w:t>
      </w:r>
      <w:r>
        <w:rPr>
          <w:rFonts w:hint="eastAsia" w:ascii="仿宋" w:hAnsi="仿宋" w:eastAsia="仿宋" w:cs="仿宋"/>
          <w:sz w:val="28"/>
          <w:szCs w:val="28"/>
          <w:highlight w:val="none"/>
        </w:rPr>
        <w:tab/>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（3）社会效益</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动汽车充电桩的建设在推动新能源汽车发展的过程中，所产生的一系列正面社会效益是多方面的。首先，对环境保护和绿色发展起到了积极的促进作用，有效降低了因燃油而产生的尾气排放，从而改善了城市空气质量。其次，电动汽车充电桩的建设与完善，不仅推动了汽车产业的转型升级，还带动了相关产业链的发展，如电动汽车的制造、电池的生产、充电设施的安装与维护等，为社会创造了更多的就业机会。同时，随着新能源汽车技术的不断成熟和成本的降低，未来有望进一步降低消费者的购车成本，刺激消费，激发市场活力。此外，电动汽车的广泛应用对能源结构的优化也有积极的推动作用。电动汽车相较于燃油汽车，对能源的依赖度更低，有利于减少对化石能源的依赖，促进能源消费结构的转型，推动能源的可持续发展。最后，充电桩的建设也是智能化、信息化城市建设的有机组成部分。随着大数据、物联网、人工智能等技术的发展，电动汽车充电桩不仅可以提供充电服务，还可以作为智慧城市的一个数据节点，收集和反馈交通流、能源使用等信息，为城市管理提供决策支持，进一步提升城市管理的智能化水平。</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 w:hAnsi="仿宋"/>
        </w:rPr>
      </w:pPr>
      <w:r>
        <w:rPr>
          <w:rFonts w:hint="eastAsia" w:ascii="仿宋" w:hAnsi="仿宋" w:eastAsia="仿宋" w:cs="仿宋"/>
          <w:sz w:val="28"/>
          <w:szCs w:val="28"/>
          <w:lang w:val="en-US" w:eastAsia="zh-CN"/>
        </w:rPr>
        <w:t>综上所述，电动汽车充电桩的建设不仅是新能源汽车发展的硬件支撑，也是推动社会经济转型升级、实现生态文明建设的重要手段，更是构建智慧城市、推动社会全面进步的重要举措。</w:t>
      </w:r>
    </w:p>
    <w:p>
      <w:r>
        <w:rPr>
          <w:rFonts w:hint="eastAsia"/>
        </w:rPr>
        <w:br w:type="page"/>
      </w:r>
    </w:p>
    <w:p>
      <w:pPr>
        <w:pStyle w:val="2"/>
        <w:bidi w:val="0"/>
        <w:ind w:left="0" w:leftChars="0" w:firstLine="0" w:firstLineChars="0"/>
      </w:pPr>
      <w:bookmarkStart w:id="102" w:name="_Toc10767"/>
      <w:r>
        <w:rPr>
          <w:rFonts w:hint="eastAsia"/>
        </w:rPr>
        <w:t>环境影响初步评价</w:t>
      </w:r>
      <w:bookmarkEnd w:id="102"/>
    </w:p>
    <w:p>
      <w:pPr>
        <w:pStyle w:val="3"/>
        <w:bidi w:val="0"/>
        <w:ind w:left="0" w:leftChars="0" w:firstLine="0" w:firstLineChars="0"/>
      </w:pPr>
      <w:bookmarkStart w:id="103" w:name="_Toc3554"/>
      <w:r>
        <w:rPr>
          <w:rFonts w:hint="eastAsia"/>
        </w:rPr>
        <w:t>建设/运营阶段环境影响分析</w:t>
      </w:r>
      <w:bookmarkEnd w:id="103"/>
    </w:p>
    <w:p>
      <w:pPr>
        <w:pStyle w:val="4"/>
        <w:bidi w:val="0"/>
        <w:ind w:left="0" w:leftChars="0" w:firstLine="0" w:firstLineChars="0"/>
      </w:pPr>
      <w:bookmarkStart w:id="104" w:name="_Toc19682"/>
      <w:r>
        <w:rPr>
          <w:rFonts w:hint="eastAsia"/>
        </w:rPr>
        <w:t>建设阶段</w:t>
      </w:r>
      <w:bookmarkEnd w:id="104"/>
    </w:p>
    <w:p>
      <w:r>
        <w:rPr>
          <w:rFonts w:hint="eastAsia" w:ascii="仿宋" w:hAnsi="仿宋"/>
        </w:rPr>
        <w:t>电动汽车充电基础设施建设阶段涉及的环境影响主要包括土地开发造成的水土流失、植被破坏造成的各种生态影响及建设过程中的各种噪声、粉尘、建筑垃圾、施工污水等，相关部门应对其采取一定的污染防治对策。</w:t>
      </w:r>
    </w:p>
    <w:p>
      <w:pPr>
        <w:pStyle w:val="4"/>
        <w:bidi w:val="0"/>
        <w:ind w:left="0" w:leftChars="0" w:firstLine="0" w:firstLineChars="0"/>
      </w:pPr>
      <w:bookmarkStart w:id="105" w:name="_Toc3049"/>
      <w:r>
        <w:rPr>
          <w:rFonts w:hint="eastAsia"/>
        </w:rPr>
        <w:t>运营阶段</w:t>
      </w:r>
      <w:bookmarkEnd w:id="105"/>
    </w:p>
    <w:p>
      <w:pPr>
        <w:ind w:firstLine="560"/>
        <w:rPr>
          <w:rFonts w:ascii="仿宋" w:hAnsi="仿宋"/>
        </w:rPr>
      </w:pPr>
      <w:r>
        <w:rPr>
          <w:rFonts w:hint="eastAsia" w:ascii="仿宋" w:hAnsi="仿宋"/>
        </w:rPr>
        <w:t>动力电池充放电工作效率受充电场所及环境条件的影响，尤其是受环境温度的影响。在常温下，电池充电接受能力较强，随着环境温度的降低，其充电接受能力逐渐降低。低温时电池放电效率降低，在同样的运行机制和行驶里程下,车辆能耗高、电池放电深度大。同样在低温下动力电池充电效率也降低。因此，需要加强对充电场所及局围环境的管理，特别是温度的控制，保证其环境温度有利于电池充电要求。</w:t>
      </w:r>
    </w:p>
    <w:p>
      <w:r>
        <w:rPr>
          <w:rFonts w:hint="eastAsia" w:ascii="仿宋" w:hAnsi="仿宋"/>
        </w:rPr>
        <w:t>大量的充电设备会给电网带来相当的谐波污染,电力企业应组织专门的技术力量来解决采用何种技术手段来监测、控制供电质量来防止谐波污染，适时调整有关的技术标准和规程，制订出应对的措施。</w:t>
      </w:r>
    </w:p>
    <w:p>
      <w:pPr>
        <w:pStyle w:val="3"/>
        <w:bidi w:val="0"/>
        <w:ind w:left="0" w:leftChars="0" w:firstLine="0" w:firstLineChars="0"/>
      </w:pPr>
      <w:bookmarkStart w:id="106" w:name="_Toc26733"/>
      <w:r>
        <w:rPr>
          <w:rFonts w:hint="eastAsia"/>
        </w:rPr>
        <w:t>生态环境影响分析</w:t>
      </w:r>
      <w:bookmarkEnd w:id="106"/>
    </w:p>
    <w:p>
      <w:pPr>
        <w:pStyle w:val="4"/>
        <w:bidi w:val="0"/>
        <w:ind w:left="0" w:leftChars="0" w:firstLine="0" w:firstLineChars="0"/>
      </w:pPr>
      <w:bookmarkStart w:id="107" w:name="_Toc7432"/>
      <w:r>
        <w:rPr>
          <w:rFonts w:hint="eastAsia"/>
        </w:rPr>
        <w:t>土地利用影响分析</w:t>
      </w:r>
      <w:bookmarkEnd w:id="107"/>
    </w:p>
    <w:p>
      <w:r>
        <w:rPr>
          <w:rFonts w:hint="eastAsia" w:ascii="仿宋" w:hAnsi="仿宋"/>
        </w:rPr>
        <w:t>本规划的充电基础设施原则上不新征地建设，宜结合各行业已有或规划的停车场建设，不占用的基本农田，符合《基本农田保护户条例》的有关规定。</w:t>
      </w:r>
    </w:p>
    <w:p>
      <w:pPr>
        <w:pStyle w:val="4"/>
        <w:bidi w:val="0"/>
        <w:ind w:left="0" w:leftChars="0" w:firstLine="0" w:firstLineChars="0"/>
      </w:pPr>
      <w:bookmarkStart w:id="108" w:name="_Toc7159"/>
      <w:r>
        <w:rPr>
          <w:rFonts w:hint="eastAsia"/>
        </w:rPr>
        <w:t>生态保护影响分析</w:t>
      </w:r>
      <w:bookmarkEnd w:id="108"/>
    </w:p>
    <w:p>
      <w:r>
        <w:rPr>
          <w:rFonts w:hint="eastAsia" w:ascii="仿宋" w:hAnsi="仿宋"/>
        </w:rPr>
        <w:t>本规划的充电站原则上不新征地建设，宜结合各行业已有或规划的停车场内建设充电站，充电基础设施建设对植被、植物资源的影响较小，造成的损失在多数情况下是可逆的，通过完善林业监理、严格执行报批手续、严格认真地迁地移栽保护、优化设计等措施，可减小工程建设对植被、植物资源的破坏程度。</w:t>
      </w:r>
    </w:p>
    <w:p>
      <w:pPr>
        <w:pStyle w:val="4"/>
        <w:bidi w:val="0"/>
        <w:ind w:left="0" w:leftChars="0" w:firstLine="0" w:firstLineChars="0"/>
      </w:pPr>
      <w:bookmarkStart w:id="109" w:name="_Toc5974"/>
      <w:r>
        <w:rPr>
          <w:rFonts w:hint="eastAsia"/>
        </w:rPr>
        <w:t>评价结论</w:t>
      </w:r>
      <w:bookmarkEnd w:id="109"/>
    </w:p>
    <w:p>
      <w:r>
        <w:rPr>
          <w:rFonts w:hint="eastAsia" w:ascii="仿宋" w:hAnsi="仿宋"/>
        </w:rPr>
        <w:t>本次规划总体上符合科学发展观的要求，能够保障</w:t>
      </w:r>
      <w:r>
        <w:rPr>
          <w:rFonts w:hint="eastAsia" w:ascii="仿宋" w:hAnsi="仿宋"/>
          <w:lang w:eastAsia="zh-CN"/>
        </w:rPr>
        <w:t>岫岩县</w:t>
      </w:r>
      <w:r>
        <w:rPr>
          <w:rFonts w:hint="eastAsia" w:ascii="仿宋" w:hAnsi="仿宋"/>
        </w:rPr>
        <w:t>经济社会的可持续发展和实现充电基础设施建设自身的可持续发展。符合国家产业政策，贯彻了发展清洁生产的指导思想;在保证经济发展的前提下，能够实现能源结构的优化。</w:t>
      </w:r>
      <w:r>
        <w:rPr>
          <w:rFonts w:hint="eastAsia" w:ascii="仿宋" w:hAnsi="仿宋"/>
          <w:lang w:eastAsia="zh-CN"/>
        </w:rPr>
        <w:t>岫岩县</w:t>
      </w:r>
      <w:r>
        <w:rPr>
          <w:rFonts w:hint="eastAsia" w:ascii="仿宋" w:hAnsi="仿宋"/>
        </w:rPr>
        <w:t>充电基础设施规划总体上与</w:t>
      </w:r>
      <w:r>
        <w:rPr>
          <w:rFonts w:hint="eastAsia" w:ascii="仿宋" w:hAnsi="仿宋"/>
          <w:lang w:eastAsia="zh-CN"/>
        </w:rPr>
        <w:t>岫岩县</w:t>
      </w:r>
      <w:r>
        <w:rPr>
          <w:rFonts w:hint="eastAsia" w:ascii="仿宋" w:hAnsi="仿宋"/>
        </w:rPr>
        <w:t>国民经济发展规划、</w:t>
      </w:r>
      <w:r>
        <w:rPr>
          <w:rFonts w:hint="eastAsia" w:ascii="仿宋" w:hAnsi="仿宋"/>
          <w:lang w:eastAsia="zh-CN"/>
        </w:rPr>
        <w:t>岫岩县</w:t>
      </w:r>
      <w:r>
        <w:rPr>
          <w:rFonts w:hint="eastAsia" w:ascii="仿宋" w:hAnsi="仿宋"/>
        </w:rPr>
        <w:t>环境保护规划、</w:t>
      </w:r>
      <w:r>
        <w:rPr>
          <w:rFonts w:hint="eastAsia" w:ascii="仿宋" w:hAnsi="仿宋"/>
          <w:lang w:eastAsia="zh-CN"/>
        </w:rPr>
        <w:t>岫岩县</w:t>
      </w:r>
      <w:r>
        <w:rPr>
          <w:rFonts w:hint="eastAsia" w:ascii="仿宋" w:hAnsi="仿宋"/>
        </w:rPr>
        <w:t>土地利用总体规划以及国家环境保护的宏观政策和环境保护法律法规是协调一致的，与相关规划的内容总体上是彼此相容充电基础设施规划总体上符合环保要求，采取相应的环境污染治理措施后，从环境保护的角度考虑，是可行的。</w:t>
      </w:r>
    </w:p>
    <w:p>
      <w:r>
        <w:rPr>
          <w:rFonts w:hint="eastAsia"/>
        </w:rPr>
        <w:br w:type="page"/>
      </w:r>
    </w:p>
    <w:p>
      <w:pPr>
        <w:pStyle w:val="2"/>
        <w:bidi w:val="0"/>
        <w:ind w:left="0" w:leftChars="0" w:firstLine="0" w:firstLineChars="0"/>
      </w:pPr>
      <w:bookmarkStart w:id="110" w:name="_Toc4449"/>
      <w:r>
        <w:rPr>
          <w:rFonts w:hint="eastAsia"/>
        </w:rPr>
        <w:t>保障措施</w:t>
      </w:r>
      <w:bookmarkEnd w:id="110"/>
    </w:p>
    <w:p>
      <w:pPr>
        <w:pStyle w:val="3"/>
        <w:bidi w:val="0"/>
        <w:ind w:left="0" w:leftChars="0" w:firstLine="0" w:firstLineChars="0"/>
      </w:pPr>
      <w:bookmarkStart w:id="111" w:name="_Toc8378"/>
      <w:r>
        <w:rPr>
          <w:rFonts w:hint="eastAsia"/>
        </w:rPr>
        <w:t>加强规划指导</w:t>
      </w:r>
      <w:bookmarkEnd w:id="111"/>
    </w:p>
    <w:p>
      <w:r>
        <w:rPr>
          <w:rFonts w:hint="eastAsia"/>
        </w:rPr>
        <w:t>将电动汽车公共充电设施专项规划的有关内容纳入</w:t>
      </w:r>
      <w:r>
        <w:rPr>
          <w:rFonts w:hint="eastAsia"/>
          <w:lang w:eastAsia="zh-CN"/>
        </w:rPr>
        <w:t>岫岩县</w:t>
      </w:r>
      <w:r>
        <w:rPr>
          <w:rFonts w:hint="eastAsia"/>
        </w:rPr>
        <w:t>国土空间总体规划，完善独立占地的充电基础设施布局，明确各类建筑物配建停车场及社会公共停车场中充电设施的建设比例或预留条件要求。</w:t>
      </w:r>
    </w:p>
    <w:p>
      <w:pPr>
        <w:pStyle w:val="3"/>
        <w:bidi w:val="0"/>
        <w:ind w:left="0" w:leftChars="0" w:firstLine="0" w:firstLineChars="0"/>
      </w:pPr>
      <w:bookmarkStart w:id="112" w:name="_Toc29812"/>
      <w:r>
        <w:rPr>
          <w:rFonts w:hint="eastAsia"/>
        </w:rPr>
        <w:t>保障土地供应</w:t>
      </w:r>
      <w:bookmarkEnd w:id="112"/>
    </w:p>
    <w:p>
      <w:r>
        <w:rPr>
          <w:rFonts w:hint="eastAsia"/>
        </w:rPr>
        <w:t>在将独立占地的集中式充电站用地纳入公用设施营业网点用地，根据可实施供应的国有建设用地情况，可优先安排土地供应。鼓励在已有各类建筑物配建停车场、社会公共停车场等场所配建公共充电设施，地方政府应协调有关单位在用地方面予以支持。</w:t>
      </w:r>
    </w:p>
    <w:p>
      <w:pPr>
        <w:pStyle w:val="3"/>
        <w:bidi w:val="0"/>
        <w:ind w:left="0" w:leftChars="0" w:firstLine="0" w:firstLineChars="0"/>
      </w:pPr>
      <w:bookmarkStart w:id="113" w:name="_Toc17765"/>
      <w:r>
        <w:rPr>
          <w:rFonts w:hint="eastAsia"/>
        </w:rPr>
        <w:t>简化规划建设审批</w:t>
      </w:r>
      <w:bookmarkEnd w:id="113"/>
    </w:p>
    <w:p>
      <w:r>
        <w:rPr>
          <w:rFonts w:hint="eastAsia"/>
        </w:rPr>
        <w:t>建设城市公共停车场时，无需为同步建设充电桩等充电基础设施单独办理建设工程规划许可证和施工许可证。新建单独占地的集中式充换电站应符合国土空间规划，并可一站式办理建设用地规划许可证、建设工程规划许可证和施工许可证。</w:t>
      </w:r>
    </w:p>
    <w:p>
      <w:pPr>
        <w:pStyle w:val="3"/>
        <w:bidi w:val="0"/>
        <w:ind w:left="0" w:leftChars="0" w:firstLine="0" w:firstLineChars="0"/>
      </w:pPr>
      <w:bookmarkStart w:id="114" w:name="_Toc14822"/>
      <w:r>
        <w:rPr>
          <w:rFonts w:hint="eastAsia"/>
        </w:rPr>
        <w:t>强化安全管理</w:t>
      </w:r>
      <w:bookmarkEnd w:id="114"/>
    </w:p>
    <w:p>
      <w:r>
        <w:rPr>
          <w:rFonts w:hint="eastAsia"/>
        </w:rPr>
        <w:t>建立充电基础设施安全管理体系，完善有关制度标准，加大对违规用电、建设施工不规范等行为的查处力度。依法依规对充电基础设施设置场所实施消防设计审核、消防验收以及备案抽查，并加强消防监督检查。行业主管部门要督促充电基础设施运营使用的单位加强对充电基础设施及其设置场所的日常消防安全检查及管理，及时消除安全隐患。</w:t>
      </w:r>
    </w:p>
    <w:p>
      <w:pPr>
        <w:pStyle w:val="3"/>
        <w:bidi w:val="0"/>
        <w:ind w:left="0" w:leftChars="0" w:firstLine="0" w:firstLineChars="0"/>
      </w:pPr>
      <w:bookmarkStart w:id="115" w:name="_Toc858"/>
      <w:r>
        <w:rPr>
          <w:rFonts w:hint="eastAsia"/>
        </w:rPr>
        <w:t>加强供用电监管力度</w:t>
      </w:r>
      <w:bookmarkEnd w:id="115"/>
    </w:p>
    <w:p>
      <w:r>
        <w:rPr>
          <w:rFonts w:hint="eastAsia"/>
        </w:rPr>
        <w:t>与供电部门确认，</w:t>
      </w:r>
      <w:r>
        <w:rPr>
          <w:rFonts w:hint="eastAsia"/>
          <w:lang w:eastAsia="zh-CN"/>
        </w:rPr>
        <w:t>岫岩县</w:t>
      </w:r>
      <w:r>
        <w:rPr>
          <w:rFonts w:hint="eastAsia"/>
        </w:rPr>
        <w:t>电动汽车公共充电设施发展规划确定的点位符合供电公司的电网规划。并要求各级电力监管部门应对充电基础设施供用电环节加强监管。电网企业和充电基础设施运营企业应配合监管部门进行监督检查，按规定和要求提供真实完整的信息。对于电网企业服务不合规、充电基础设施运营企业和个人违规用电等情况，依法依规进行查处，并视情节予以处罚。</w:t>
      </w:r>
    </w:p>
    <w:p>
      <w:pPr>
        <w:pStyle w:val="3"/>
        <w:bidi w:val="0"/>
        <w:ind w:left="0" w:leftChars="0" w:firstLine="0" w:firstLineChars="0"/>
      </w:pPr>
      <w:bookmarkStart w:id="116" w:name="_Toc23364"/>
      <w:r>
        <w:rPr>
          <w:rFonts w:hint="eastAsia"/>
        </w:rPr>
        <w:t>完善财政价格政策</w:t>
      </w:r>
      <w:bookmarkEnd w:id="116"/>
    </w:p>
    <w:p>
      <w:r>
        <w:rPr>
          <w:rFonts w:hint="eastAsia"/>
        </w:rPr>
        <w:t>加大对充电基础设施补贴力度，尽快制定有关支持政策并向社会公布，给予市场稳定的政策预期。在产业发展初期可以给予基建投资资金适度支持。针对不同类别充电基础设施，兼顾投资运营主体合理收益与用户使用经济性等，在总结其他各地经验基础上，逐步规范充电服务价格机制。</w:t>
      </w:r>
    </w:p>
    <w:p>
      <w:pPr>
        <w:pStyle w:val="3"/>
        <w:bidi w:val="0"/>
        <w:ind w:left="0" w:leftChars="0" w:firstLine="0" w:firstLineChars="0"/>
      </w:pPr>
      <w:bookmarkStart w:id="117" w:name="_Toc31524"/>
      <w:r>
        <w:rPr>
          <w:rFonts w:hint="eastAsia"/>
        </w:rPr>
        <w:t>加强组织保障</w:t>
      </w:r>
      <w:bookmarkEnd w:id="117"/>
    </w:p>
    <w:p>
      <w:pPr>
        <w:ind w:firstLine="560"/>
      </w:pPr>
      <w:r>
        <w:rPr>
          <w:rFonts w:hint="eastAsia"/>
        </w:rPr>
        <w:t>成立</w:t>
      </w:r>
      <w:r>
        <w:rPr>
          <w:rFonts w:hint="eastAsia"/>
          <w:lang w:val="en-US" w:eastAsia="zh-CN"/>
        </w:rPr>
        <w:t>县</w:t>
      </w:r>
      <w:r>
        <w:rPr>
          <w:rFonts w:hint="eastAsia"/>
        </w:rPr>
        <w:t>推进充电设施建设工作小组，建立部门协同、上下联动的工作机制，健全评估、检查、督办制度。工作小组要加强统筹协调，分解目标任务，明确工作要求，并定期向</w:t>
      </w:r>
      <w:r>
        <w:rPr>
          <w:rFonts w:hint="eastAsia"/>
          <w:lang w:val="en-US" w:eastAsia="zh-CN"/>
        </w:rPr>
        <w:t>县</w:t>
      </w:r>
      <w:r>
        <w:rPr>
          <w:rFonts w:hint="eastAsia"/>
        </w:rPr>
        <w:t>政府报告工作情况。相关部门要根据职责分工协同推进落实有关工作。</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429703"/>
    </w:sdtPr>
    <w:sdtContent>
      <w:p>
        <w:pPr>
          <w:pStyle w:val="20"/>
          <w:ind w:firstLine="360"/>
          <w:jc w:val="center"/>
        </w:pPr>
        <w:r>
          <w:fldChar w:fldCharType="begin"/>
        </w:r>
        <w:r>
          <w:instrText xml:space="preserve">PAGE   \* MERGEFORMAT</w:instrText>
        </w:r>
        <w:r>
          <w:fldChar w:fldCharType="separate"/>
        </w:r>
        <w:r>
          <w:rPr>
            <w:lang w:val="zh-CN"/>
          </w:rPr>
          <w:t>2</w:t>
        </w:r>
        <w:r>
          <w:fldChar w:fldCharType="end"/>
        </w:r>
      </w:p>
    </w:sdtContent>
  </w:sdt>
  <w:p>
    <w:pPr>
      <w:pStyle w:val="20"/>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7984106"/>
    </w:sdtPr>
    <w:sdtContent>
      <w:p>
        <w:pPr>
          <w:pStyle w:val="20"/>
          <w:ind w:firstLine="360"/>
          <w:jc w:val="center"/>
        </w:pPr>
        <w:r>
          <w:fldChar w:fldCharType="begin"/>
        </w:r>
        <w:r>
          <w:instrText xml:space="preserve">PAGE   \* MERGEFORMAT</w:instrText>
        </w:r>
        <w:r>
          <w:fldChar w:fldCharType="separate"/>
        </w:r>
        <w:r>
          <w:rPr>
            <w:lang w:val="zh-CN"/>
          </w:rPr>
          <w:t>2</w:t>
        </w:r>
        <w:r>
          <w:fldChar w:fldCharType="end"/>
        </w:r>
      </w:p>
    </w:sdtContent>
  </w:sdt>
  <w:p>
    <w:pPr>
      <w:pStyle w:val="2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ECB76"/>
    <w:multiLevelType w:val="singleLevel"/>
    <w:tmpl w:val="88FECB76"/>
    <w:lvl w:ilvl="0" w:tentative="0">
      <w:start w:val="1"/>
      <w:numFmt w:val="decimal"/>
      <w:lvlText w:val="%1."/>
      <w:lvlJc w:val="left"/>
      <w:pPr>
        <w:tabs>
          <w:tab w:val="left" w:pos="312"/>
        </w:tabs>
      </w:pPr>
      <w:rPr>
        <w:rFonts w:hint="default" w:ascii="仿宋" w:hAnsi="仿宋" w:eastAsia="仿宋" w:cs="仿宋"/>
        <w:sz w:val="28"/>
        <w:szCs w:val="28"/>
      </w:rPr>
    </w:lvl>
  </w:abstractNum>
  <w:abstractNum w:abstractNumId="1">
    <w:nsid w:val="BFAFB7A3"/>
    <w:multiLevelType w:val="singleLevel"/>
    <w:tmpl w:val="BFAFB7A3"/>
    <w:lvl w:ilvl="0" w:tentative="0">
      <w:start w:val="1"/>
      <w:numFmt w:val="decimal"/>
      <w:suff w:val="nothing"/>
      <w:lvlText w:val="%1."/>
      <w:lvlJc w:val="left"/>
      <w:pPr>
        <w:ind w:left="0" w:firstLine="560"/>
      </w:pPr>
      <w:rPr>
        <w:rFonts w:hint="default" w:ascii="仿宋" w:hAnsi="仿宋" w:eastAsia="仿宋" w:cs="仿宋"/>
      </w:rPr>
    </w:lvl>
  </w:abstractNum>
  <w:abstractNum w:abstractNumId="2">
    <w:nsid w:val="C448A5B0"/>
    <w:multiLevelType w:val="singleLevel"/>
    <w:tmpl w:val="C448A5B0"/>
    <w:lvl w:ilvl="0" w:tentative="0">
      <w:start w:val="1"/>
      <w:numFmt w:val="decimal"/>
      <w:lvlText w:val="%1."/>
      <w:lvlJc w:val="left"/>
      <w:pPr>
        <w:ind w:left="425" w:hanging="425"/>
      </w:pPr>
      <w:rPr>
        <w:rFonts w:hint="default"/>
      </w:rPr>
    </w:lvl>
  </w:abstractNum>
  <w:abstractNum w:abstractNumId="3">
    <w:nsid w:val="C5468F17"/>
    <w:multiLevelType w:val="singleLevel"/>
    <w:tmpl w:val="C5468F17"/>
    <w:lvl w:ilvl="0" w:tentative="0">
      <w:start w:val="1"/>
      <w:numFmt w:val="decimal"/>
      <w:suff w:val="nothing"/>
      <w:lvlText w:val="%1."/>
      <w:lvlJc w:val="left"/>
      <w:pPr>
        <w:ind w:left="0" w:firstLine="0"/>
      </w:pPr>
      <w:rPr>
        <w:rFonts w:hint="default" w:ascii="仿宋" w:hAnsi="仿宋" w:eastAsia="仿宋" w:cs="仿宋"/>
        <w:sz w:val="28"/>
        <w:szCs w:val="28"/>
      </w:rPr>
    </w:lvl>
  </w:abstractNum>
  <w:abstractNum w:abstractNumId="4">
    <w:nsid w:val="D1725114"/>
    <w:multiLevelType w:val="singleLevel"/>
    <w:tmpl w:val="D1725114"/>
    <w:lvl w:ilvl="0" w:tentative="0">
      <w:start w:val="1"/>
      <w:numFmt w:val="decimal"/>
      <w:suff w:val="nothing"/>
      <w:lvlText w:val="%1."/>
      <w:lvlJc w:val="left"/>
      <w:pPr>
        <w:ind w:left="0" w:firstLine="560"/>
      </w:pPr>
      <w:rPr>
        <w:rFonts w:hint="default" w:ascii="仿宋" w:hAnsi="仿宋" w:eastAsia="仿宋" w:cs="仿宋"/>
      </w:rPr>
    </w:lvl>
  </w:abstractNum>
  <w:abstractNum w:abstractNumId="5">
    <w:nsid w:val="D6867A2E"/>
    <w:multiLevelType w:val="singleLevel"/>
    <w:tmpl w:val="D6867A2E"/>
    <w:lvl w:ilvl="0" w:tentative="0">
      <w:start w:val="1"/>
      <w:numFmt w:val="decimal"/>
      <w:suff w:val="nothing"/>
      <w:lvlText w:val="（%1）"/>
      <w:lvlJc w:val="left"/>
      <w:rPr>
        <w:rFonts w:hint="default" w:ascii="仿宋" w:hAnsi="仿宋" w:eastAsia="仿宋" w:cs="仿宋"/>
      </w:rPr>
    </w:lvl>
  </w:abstractNum>
  <w:abstractNum w:abstractNumId="6">
    <w:nsid w:val="E7D47C95"/>
    <w:multiLevelType w:val="singleLevel"/>
    <w:tmpl w:val="E7D47C95"/>
    <w:lvl w:ilvl="0" w:tentative="0">
      <w:start w:val="1"/>
      <w:numFmt w:val="decimal"/>
      <w:lvlText w:val="%1."/>
      <w:lvlJc w:val="left"/>
      <w:pPr>
        <w:ind w:left="425" w:hanging="425"/>
      </w:pPr>
      <w:rPr>
        <w:rFonts w:hint="default"/>
      </w:rPr>
    </w:lvl>
  </w:abstractNum>
  <w:abstractNum w:abstractNumId="7">
    <w:nsid w:val="E9E2BA27"/>
    <w:multiLevelType w:val="singleLevel"/>
    <w:tmpl w:val="E9E2BA27"/>
    <w:lvl w:ilvl="0" w:tentative="0">
      <w:start w:val="1"/>
      <w:numFmt w:val="decimal"/>
      <w:suff w:val="nothing"/>
      <w:lvlText w:val="%1."/>
      <w:lvlJc w:val="left"/>
      <w:pPr>
        <w:ind w:left="0" w:firstLine="560"/>
      </w:pPr>
      <w:rPr>
        <w:rFonts w:hint="default" w:ascii="仿宋" w:hAnsi="仿宋" w:eastAsia="仿宋" w:cs="仿宋"/>
      </w:rPr>
    </w:lvl>
  </w:abstractNum>
  <w:abstractNum w:abstractNumId="8">
    <w:nsid w:val="EF9344EE"/>
    <w:multiLevelType w:val="singleLevel"/>
    <w:tmpl w:val="EF9344EE"/>
    <w:lvl w:ilvl="0" w:tentative="0">
      <w:start w:val="1"/>
      <w:numFmt w:val="decimal"/>
      <w:lvlText w:val="%1."/>
      <w:lvlJc w:val="left"/>
      <w:pPr>
        <w:tabs>
          <w:tab w:val="left" w:pos="312"/>
        </w:tabs>
      </w:pPr>
    </w:lvl>
  </w:abstractNum>
  <w:abstractNum w:abstractNumId="9">
    <w:nsid w:val="F9EFEC80"/>
    <w:multiLevelType w:val="singleLevel"/>
    <w:tmpl w:val="F9EFEC80"/>
    <w:lvl w:ilvl="0" w:tentative="0">
      <w:start w:val="1"/>
      <w:numFmt w:val="decimal"/>
      <w:lvlText w:val="%1."/>
      <w:lvlJc w:val="left"/>
      <w:pPr>
        <w:tabs>
          <w:tab w:val="left" w:pos="312"/>
        </w:tabs>
      </w:pPr>
    </w:lvl>
  </w:abstractNum>
  <w:abstractNum w:abstractNumId="10">
    <w:nsid w:val="FC9E35B8"/>
    <w:multiLevelType w:val="singleLevel"/>
    <w:tmpl w:val="FC9E35B8"/>
    <w:lvl w:ilvl="0" w:tentative="0">
      <w:start w:val="1"/>
      <w:numFmt w:val="decimal"/>
      <w:lvlText w:val="%1."/>
      <w:lvlJc w:val="left"/>
      <w:pPr>
        <w:tabs>
          <w:tab w:val="left" w:pos="312"/>
        </w:tabs>
      </w:pPr>
    </w:lvl>
  </w:abstractNum>
  <w:abstractNum w:abstractNumId="11">
    <w:nsid w:val="084FC449"/>
    <w:multiLevelType w:val="singleLevel"/>
    <w:tmpl w:val="084FC449"/>
    <w:lvl w:ilvl="0" w:tentative="0">
      <w:start w:val="2"/>
      <w:numFmt w:val="decimal"/>
      <w:suff w:val="nothing"/>
      <w:lvlText w:val="（%1）"/>
      <w:lvlJc w:val="left"/>
    </w:lvl>
  </w:abstractNum>
  <w:abstractNum w:abstractNumId="12">
    <w:nsid w:val="0D4866E6"/>
    <w:multiLevelType w:val="singleLevel"/>
    <w:tmpl w:val="0D4866E6"/>
    <w:lvl w:ilvl="0" w:tentative="0">
      <w:start w:val="1"/>
      <w:numFmt w:val="decimal"/>
      <w:lvlText w:val="(%1)"/>
      <w:lvlJc w:val="left"/>
      <w:pPr>
        <w:tabs>
          <w:tab w:val="left" w:pos="312"/>
        </w:tabs>
      </w:pPr>
      <w:rPr>
        <w:rFonts w:hint="default" w:ascii="仿宋" w:hAnsi="仿宋" w:eastAsia="仿宋" w:cs="仿宋"/>
        <w:sz w:val="28"/>
        <w:szCs w:val="28"/>
      </w:rPr>
    </w:lvl>
  </w:abstractNum>
  <w:abstractNum w:abstractNumId="13">
    <w:nsid w:val="2682D05A"/>
    <w:multiLevelType w:val="singleLevel"/>
    <w:tmpl w:val="2682D05A"/>
    <w:lvl w:ilvl="0" w:tentative="0">
      <w:start w:val="1"/>
      <w:numFmt w:val="decimal"/>
      <w:suff w:val="nothing"/>
      <w:lvlText w:val="%1."/>
      <w:lvlJc w:val="left"/>
      <w:pPr>
        <w:ind w:left="0" w:firstLine="0"/>
      </w:pPr>
      <w:rPr>
        <w:rFonts w:hint="default" w:ascii="仿宋" w:hAnsi="仿宋" w:eastAsia="仿宋" w:cs="仿宋"/>
        <w:sz w:val="28"/>
        <w:szCs w:val="28"/>
      </w:rPr>
    </w:lvl>
  </w:abstractNum>
  <w:abstractNum w:abstractNumId="14">
    <w:nsid w:val="292E1454"/>
    <w:multiLevelType w:val="multilevel"/>
    <w:tmpl w:val="292E1454"/>
    <w:lvl w:ilvl="0" w:tentative="0">
      <w:start w:val="1"/>
      <w:numFmt w:val="chineseCountingThousand"/>
      <w:suff w:val="nothing"/>
      <w:lvlText w:val="第%1章"/>
      <w:lvlJc w:val="left"/>
      <w:pPr>
        <w:ind w:left="336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142"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5">
    <w:nsid w:val="381CF0F0"/>
    <w:multiLevelType w:val="singleLevel"/>
    <w:tmpl w:val="381CF0F0"/>
    <w:lvl w:ilvl="0" w:tentative="0">
      <w:start w:val="1"/>
      <w:numFmt w:val="decimal"/>
      <w:lvlText w:val="%1."/>
      <w:lvlJc w:val="left"/>
      <w:pPr>
        <w:tabs>
          <w:tab w:val="left" w:pos="312"/>
        </w:tabs>
        <w:ind w:left="0" w:firstLine="562"/>
      </w:pPr>
      <w:rPr>
        <w:rFonts w:hint="default" w:ascii="仿宋" w:hAnsi="仿宋" w:eastAsia="仿宋" w:cs="仿宋"/>
        <w:sz w:val="28"/>
        <w:szCs w:val="28"/>
      </w:rPr>
    </w:lvl>
  </w:abstractNum>
  <w:abstractNum w:abstractNumId="16">
    <w:nsid w:val="44EFF2EB"/>
    <w:multiLevelType w:val="singleLevel"/>
    <w:tmpl w:val="44EFF2EB"/>
    <w:lvl w:ilvl="0" w:tentative="0">
      <w:start w:val="1"/>
      <w:numFmt w:val="decimal"/>
      <w:suff w:val="nothing"/>
      <w:lvlText w:val="%1."/>
      <w:lvlJc w:val="left"/>
      <w:pPr>
        <w:ind w:left="0" w:firstLine="560"/>
      </w:pPr>
      <w:rPr>
        <w:rFonts w:hint="default" w:ascii="仿宋" w:hAnsi="仿宋" w:eastAsia="仿宋" w:cs="仿宋"/>
      </w:rPr>
    </w:lvl>
  </w:abstractNum>
  <w:abstractNum w:abstractNumId="17">
    <w:nsid w:val="512AC58E"/>
    <w:multiLevelType w:val="multilevel"/>
    <w:tmpl w:val="512AC58E"/>
    <w:lvl w:ilvl="0" w:tentative="0">
      <w:start w:val="1"/>
      <w:numFmt w:val="chineseCountingThousand"/>
      <w:pStyle w:val="2"/>
      <w:suff w:val="nothing"/>
      <w:lvlText w:val="第%1章"/>
      <w:lvlJc w:val="left"/>
      <w:pPr>
        <w:ind w:left="0" w:firstLine="0"/>
      </w:pPr>
      <w:rPr>
        <w:rFonts w:hint="eastAsia"/>
      </w:rPr>
    </w:lvl>
    <w:lvl w:ilvl="1" w:tentative="0">
      <w:start w:val="1"/>
      <w:numFmt w:val="chineseCountingThousand"/>
      <w:pStyle w:val="3"/>
      <w:suff w:val="nothing"/>
      <w:lvlText w:val="%2、"/>
      <w:lvlJc w:val="left"/>
      <w:pPr>
        <w:ind w:left="0" w:firstLine="0"/>
      </w:pPr>
      <w:rPr>
        <w:rFonts w:hint="eastAsia"/>
      </w:rPr>
    </w:lvl>
    <w:lvl w:ilvl="2" w:tentative="0">
      <w:start w:val="1"/>
      <w:numFmt w:val="chineseCountingThousand"/>
      <w:pStyle w:val="4"/>
      <w:suff w:val="nothing"/>
      <w:lvlText w:val="（%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8">
    <w:nsid w:val="5787B9F4"/>
    <w:multiLevelType w:val="singleLevel"/>
    <w:tmpl w:val="5787B9F4"/>
    <w:lvl w:ilvl="0" w:tentative="0">
      <w:start w:val="1"/>
      <w:numFmt w:val="decimal"/>
      <w:lvlText w:val="%1."/>
      <w:lvlJc w:val="left"/>
      <w:pPr>
        <w:tabs>
          <w:tab w:val="left" w:pos="312"/>
        </w:tabs>
      </w:pPr>
    </w:lvl>
  </w:abstractNum>
  <w:abstractNum w:abstractNumId="19">
    <w:nsid w:val="586E3264"/>
    <w:multiLevelType w:val="singleLevel"/>
    <w:tmpl w:val="586E3264"/>
    <w:lvl w:ilvl="0" w:tentative="0">
      <w:start w:val="1"/>
      <w:numFmt w:val="decimal"/>
      <w:lvlText w:val="%1."/>
      <w:lvlJc w:val="left"/>
      <w:pPr>
        <w:ind w:left="425" w:hanging="425"/>
      </w:pPr>
      <w:rPr>
        <w:rFonts w:hint="default" w:ascii="仿宋" w:hAnsi="仿宋" w:eastAsia="仿宋" w:cs="仿宋"/>
        <w:sz w:val="28"/>
        <w:szCs w:val="28"/>
      </w:rPr>
    </w:lvl>
  </w:abstractNum>
  <w:abstractNum w:abstractNumId="20">
    <w:nsid w:val="5A5F0EF1"/>
    <w:multiLevelType w:val="singleLevel"/>
    <w:tmpl w:val="5A5F0EF1"/>
    <w:lvl w:ilvl="0" w:tentative="0">
      <w:start w:val="1"/>
      <w:numFmt w:val="decimal"/>
      <w:lvlText w:val="%1."/>
      <w:lvlJc w:val="left"/>
      <w:pPr>
        <w:tabs>
          <w:tab w:val="left" w:pos="312"/>
        </w:tabs>
      </w:pPr>
      <w:rPr>
        <w:rFonts w:hint="default" w:ascii="仿宋" w:hAnsi="仿宋" w:eastAsia="仿宋" w:cs="仿宋"/>
      </w:rPr>
    </w:lvl>
  </w:abstractNum>
  <w:num w:numId="1">
    <w:abstractNumId w:val="17"/>
  </w:num>
  <w:num w:numId="2">
    <w:abstractNumId w:val="5"/>
  </w:num>
  <w:num w:numId="3">
    <w:abstractNumId w:val="4"/>
  </w:num>
  <w:num w:numId="4">
    <w:abstractNumId w:val="16"/>
  </w:num>
  <w:num w:numId="5">
    <w:abstractNumId w:val="1"/>
  </w:num>
  <w:num w:numId="6">
    <w:abstractNumId w:val="7"/>
  </w:num>
  <w:num w:numId="7">
    <w:abstractNumId w:val="14"/>
  </w:num>
  <w:num w:numId="8">
    <w:abstractNumId w:val="10"/>
  </w:num>
  <w:num w:numId="9">
    <w:abstractNumId w:val="8"/>
  </w:num>
  <w:num w:numId="10">
    <w:abstractNumId w:val="15"/>
  </w:num>
  <w:num w:numId="11">
    <w:abstractNumId w:val="18"/>
  </w:num>
  <w:num w:numId="12">
    <w:abstractNumId w:val="0"/>
  </w:num>
  <w:num w:numId="13">
    <w:abstractNumId w:val="19"/>
  </w:num>
  <w:num w:numId="14">
    <w:abstractNumId w:val="20"/>
  </w:num>
  <w:num w:numId="15">
    <w:abstractNumId w:val="9"/>
  </w:num>
  <w:num w:numId="16">
    <w:abstractNumId w:val="6"/>
  </w:num>
  <w:num w:numId="17">
    <w:abstractNumId w:val="2"/>
  </w:num>
  <w:num w:numId="18">
    <w:abstractNumId w:val="11"/>
  </w:num>
  <w:num w:numId="19">
    <w:abstractNumId w:val="13"/>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hMjY2N2MxMmNkMzlhY2IyZTJlMDgwNjllOGJlOTcifQ=="/>
  </w:docVars>
  <w:rsids>
    <w:rsidRoot w:val="00172A27"/>
    <w:rsid w:val="00010257"/>
    <w:rsid w:val="0001252B"/>
    <w:rsid w:val="00012FDA"/>
    <w:rsid w:val="000141A0"/>
    <w:rsid w:val="00035A3C"/>
    <w:rsid w:val="00036588"/>
    <w:rsid w:val="00052501"/>
    <w:rsid w:val="0005596E"/>
    <w:rsid w:val="00063694"/>
    <w:rsid w:val="000754BA"/>
    <w:rsid w:val="00083628"/>
    <w:rsid w:val="0009075B"/>
    <w:rsid w:val="000975D1"/>
    <w:rsid w:val="000A247A"/>
    <w:rsid w:val="000B3A3D"/>
    <w:rsid w:val="000B79E8"/>
    <w:rsid w:val="000C00D8"/>
    <w:rsid w:val="000C0613"/>
    <w:rsid w:val="000C1D0B"/>
    <w:rsid w:val="000C471E"/>
    <w:rsid w:val="000D47B2"/>
    <w:rsid w:val="000E7F5A"/>
    <w:rsid w:val="00100D36"/>
    <w:rsid w:val="001057D9"/>
    <w:rsid w:val="001079B8"/>
    <w:rsid w:val="00110B6E"/>
    <w:rsid w:val="00112FE1"/>
    <w:rsid w:val="0011436B"/>
    <w:rsid w:val="00120263"/>
    <w:rsid w:val="00125933"/>
    <w:rsid w:val="001460F5"/>
    <w:rsid w:val="00153C7A"/>
    <w:rsid w:val="0015466D"/>
    <w:rsid w:val="00164EA7"/>
    <w:rsid w:val="001668AB"/>
    <w:rsid w:val="00176D8B"/>
    <w:rsid w:val="001851E4"/>
    <w:rsid w:val="00185229"/>
    <w:rsid w:val="001A22FB"/>
    <w:rsid w:val="001A2AA1"/>
    <w:rsid w:val="001A2C2A"/>
    <w:rsid w:val="001B07A1"/>
    <w:rsid w:val="001B08B8"/>
    <w:rsid w:val="001B40A8"/>
    <w:rsid w:val="001C6631"/>
    <w:rsid w:val="001D7AE7"/>
    <w:rsid w:val="001E2CA4"/>
    <w:rsid w:val="001E517B"/>
    <w:rsid w:val="001F0B54"/>
    <w:rsid w:val="001F24F9"/>
    <w:rsid w:val="001F45FA"/>
    <w:rsid w:val="001F7675"/>
    <w:rsid w:val="001F7731"/>
    <w:rsid w:val="0020331A"/>
    <w:rsid w:val="002049DC"/>
    <w:rsid w:val="002136AA"/>
    <w:rsid w:val="00214689"/>
    <w:rsid w:val="00216675"/>
    <w:rsid w:val="00221FF6"/>
    <w:rsid w:val="00223200"/>
    <w:rsid w:val="00231969"/>
    <w:rsid w:val="002512DC"/>
    <w:rsid w:val="0026330F"/>
    <w:rsid w:val="00265CB6"/>
    <w:rsid w:val="00284079"/>
    <w:rsid w:val="00286655"/>
    <w:rsid w:val="00290E58"/>
    <w:rsid w:val="002913BF"/>
    <w:rsid w:val="002A1E1D"/>
    <w:rsid w:val="002A515C"/>
    <w:rsid w:val="002B15EE"/>
    <w:rsid w:val="002B6B4D"/>
    <w:rsid w:val="002B6B81"/>
    <w:rsid w:val="002E57F0"/>
    <w:rsid w:val="002F3AF4"/>
    <w:rsid w:val="00300D52"/>
    <w:rsid w:val="003112EC"/>
    <w:rsid w:val="00314A60"/>
    <w:rsid w:val="003157A5"/>
    <w:rsid w:val="00316E03"/>
    <w:rsid w:val="0031764D"/>
    <w:rsid w:val="00321EE5"/>
    <w:rsid w:val="003252CC"/>
    <w:rsid w:val="00333743"/>
    <w:rsid w:val="00336866"/>
    <w:rsid w:val="00342B35"/>
    <w:rsid w:val="00342F01"/>
    <w:rsid w:val="00344FB3"/>
    <w:rsid w:val="003568E2"/>
    <w:rsid w:val="00365B90"/>
    <w:rsid w:val="0036796E"/>
    <w:rsid w:val="00370A8A"/>
    <w:rsid w:val="00374D04"/>
    <w:rsid w:val="00386FE4"/>
    <w:rsid w:val="00390989"/>
    <w:rsid w:val="00396BC9"/>
    <w:rsid w:val="00397144"/>
    <w:rsid w:val="003A1A6A"/>
    <w:rsid w:val="003A7075"/>
    <w:rsid w:val="003C3D5A"/>
    <w:rsid w:val="003D179E"/>
    <w:rsid w:val="003E0CEC"/>
    <w:rsid w:val="003E14D2"/>
    <w:rsid w:val="003E2921"/>
    <w:rsid w:val="003E540B"/>
    <w:rsid w:val="003F1932"/>
    <w:rsid w:val="003F1E9B"/>
    <w:rsid w:val="00400A6B"/>
    <w:rsid w:val="00415764"/>
    <w:rsid w:val="00416B14"/>
    <w:rsid w:val="004234ED"/>
    <w:rsid w:val="004342AB"/>
    <w:rsid w:val="00436232"/>
    <w:rsid w:val="00437336"/>
    <w:rsid w:val="004425CE"/>
    <w:rsid w:val="004547DB"/>
    <w:rsid w:val="00460231"/>
    <w:rsid w:val="00461BC9"/>
    <w:rsid w:val="004652E9"/>
    <w:rsid w:val="00485232"/>
    <w:rsid w:val="004854CB"/>
    <w:rsid w:val="00494948"/>
    <w:rsid w:val="004A1252"/>
    <w:rsid w:val="004A4C3A"/>
    <w:rsid w:val="004A69EF"/>
    <w:rsid w:val="004B45EA"/>
    <w:rsid w:val="004B5EFC"/>
    <w:rsid w:val="004D04AE"/>
    <w:rsid w:val="004E67DB"/>
    <w:rsid w:val="004F0D94"/>
    <w:rsid w:val="00501AB6"/>
    <w:rsid w:val="0052791D"/>
    <w:rsid w:val="005505D4"/>
    <w:rsid w:val="005647FA"/>
    <w:rsid w:val="00583FEF"/>
    <w:rsid w:val="00587EDC"/>
    <w:rsid w:val="005952F3"/>
    <w:rsid w:val="005A2144"/>
    <w:rsid w:val="005B3922"/>
    <w:rsid w:val="005B3E6F"/>
    <w:rsid w:val="005C7BBA"/>
    <w:rsid w:val="005C7BDC"/>
    <w:rsid w:val="005D036F"/>
    <w:rsid w:val="005E2046"/>
    <w:rsid w:val="005E61F0"/>
    <w:rsid w:val="00617A98"/>
    <w:rsid w:val="00620040"/>
    <w:rsid w:val="006234E6"/>
    <w:rsid w:val="00641C17"/>
    <w:rsid w:val="006425F7"/>
    <w:rsid w:val="006568B3"/>
    <w:rsid w:val="0066001E"/>
    <w:rsid w:val="00662902"/>
    <w:rsid w:val="00664971"/>
    <w:rsid w:val="00684106"/>
    <w:rsid w:val="00685F3F"/>
    <w:rsid w:val="00695E96"/>
    <w:rsid w:val="006B4300"/>
    <w:rsid w:val="006C0FB0"/>
    <w:rsid w:val="006D3181"/>
    <w:rsid w:val="006D3754"/>
    <w:rsid w:val="006D67D4"/>
    <w:rsid w:val="006E78C2"/>
    <w:rsid w:val="006F3257"/>
    <w:rsid w:val="007019D7"/>
    <w:rsid w:val="00706441"/>
    <w:rsid w:val="00724EEF"/>
    <w:rsid w:val="007259EE"/>
    <w:rsid w:val="00726A84"/>
    <w:rsid w:val="00731F78"/>
    <w:rsid w:val="00742F04"/>
    <w:rsid w:val="00753AEE"/>
    <w:rsid w:val="007560DD"/>
    <w:rsid w:val="00760F47"/>
    <w:rsid w:val="00764570"/>
    <w:rsid w:val="00770050"/>
    <w:rsid w:val="00774116"/>
    <w:rsid w:val="00777506"/>
    <w:rsid w:val="00777835"/>
    <w:rsid w:val="00792CFB"/>
    <w:rsid w:val="00792FF5"/>
    <w:rsid w:val="00796C53"/>
    <w:rsid w:val="007A45AC"/>
    <w:rsid w:val="007A6037"/>
    <w:rsid w:val="007A7444"/>
    <w:rsid w:val="007A7DEE"/>
    <w:rsid w:val="007C03B4"/>
    <w:rsid w:val="007C5E17"/>
    <w:rsid w:val="007D0F87"/>
    <w:rsid w:val="007E13CD"/>
    <w:rsid w:val="007E59B4"/>
    <w:rsid w:val="007E744B"/>
    <w:rsid w:val="00801783"/>
    <w:rsid w:val="00803EF8"/>
    <w:rsid w:val="0080713E"/>
    <w:rsid w:val="00816B0C"/>
    <w:rsid w:val="00820E0C"/>
    <w:rsid w:val="00833B09"/>
    <w:rsid w:val="00851C7F"/>
    <w:rsid w:val="00852D8F"/>
    <w:rsid w:val="00873001"/>
    <w:rsid w:val="0087306B"/>
    <w:rsid w:val="0087514D"/>
    <w:rsid w:val="00877BD8"/>
    <w:rsid w:val="00880335"/>
    <w:rsid w:val="0089062D"/>
    <w:rsid w:val="008918F1"/>
    <w:rsid w:val="0089420B"/>
    <w:rsid w:val="008A0743"/>
    <w:rsid w:val="008A331B"/>
    <w:rsid w:val="008B2A0C"/>
    <w:rsid w:val="008B76F5"/>
    <w:rsid w:val="008C66DB"/>
    <w:rsid w:val="008D48A3"/>
    <w:rsid w:val="008D57BB"/>
    <w:rsid w:val="008E2590"/>
    <w:rsid w:val="008E612A"/>
    <w:rsid w:val="008E6C1E"/>
    <w:rsid w:val="008F1FBC"/>
    <w:rsid w:val="008F4A87"/>
    <w:rsid w:val="0090338F"/>
    <w:rsid w:val="00904CDF"/>
    <w:rsid w:val="0091004E"/>
    <w:rsid w:val="00914749"/>
    <w:rsid w:val="00916AAD"/>
    <w:rsid w:val="009220D4"/>
    <w:rsid w:val="00925A47"/>
    <w:rsid w:val="00926F9E"/>
    <w:rsid w:val="009416B0"/>
    <w:rsid w:val="009528A0"/>
    <w:rsid w:val="00963C0E"/>
    <w:rsid w:val="00972FAE"/>
    <w:rsid w:val="00976518"/>
    <w:rsid w:val="009836EE"/>
    <w:rsid w:val="00985168"/>
    <w:rsid w:val="00986C36"/>
    <w:rsid w:val="00995918"/>
    <w:rsid w:val="00997D30"/>
    <w:rsid w:val="009A495A"/>
    <w:rsid w:val="009B3A05"/>
    <w:rsid w:val="009B7705"/>
    <w:rsid w:val="009D75B2"/>
    <w:rsid w:val="009E05F9"/>
    <w:rsid w:val="009E52D3"/>
    <w:rsid w:val="009F2D7F"/>
    <w:rsid w:val="009F3DD9"/>
    <w:rsid w:val="009F4181"/>
    <w:rsid w:val="009F438B"/>
    <w:rsid w:val="00A06114"/>
    <w:rsid w:val="00A25C93"/>
    <w:rsid w:val="00A376BF"/>
    <w:rsid w:val="00A451D3"/>
    <w:rsid w:val="00A45AA3"/>
    <w:rsid w:val="00A6244D"/>
    <w:rsid w:val="00A669BA"/>
    <w:rsid w:val="00A744F3"/>
    <w:rsid w:val="00A82B74"/>
    <w:rsid w:val="00AB1768"/>
    <w:rsid w:val="00AB1812"/>
    <w:rsid w:val="00AB6465"/>
    <w:rsid w:val="00AC5744"/>
    <w:rsid w:val="00AD1247"/>
    <w:rsid w:val="00B03940"/>
    <w:rsid w:val="00B308CC"/>
    <w:rsid w:val="00B50B39"/>
    <w:rsid w:val="00B52499"/>
    <w:rsid w:val="00B52993"/>
    <w:rsid w:val="00B567FB"/>
    <w:rsid w:val="00B56B6A"/>
    <w:rsid w:val="00B64178"/>
    <w:rsid w:val="00B73E31"/>
    <w:rsid w:val="00B748C0"/>
    <w:rsid w:val="00B80189"/>
    <w:rsid w:val="00B92181"/>
    <w:rsid w:val="00B95B7B"/>
    <w:rsid w:val="00BA1DB2"/>
    <w:rsid w:val="00BB0233"/>
    <w:rsid w:val="00BC4536"/>
    <w:rsid w:val="00BF0A3E"/>
    <w:rsid w:val="00BF47DA"/>
    <w:rsid w:val="00BF7C9B"/>
    <w:rsid w:val="00C002D7"/>
    <w:rsid w:val="00C00A95"/>
    <w:rsid w:val="00C13CB3"/>
    <w:rsid w:val="00C15281"/>
    <w:rsid w:val="00C34CF8"/>
    <w:rsid w:val="00C3765D"/>
    <w:rsid w:val="00C44923"/>
    <w:rsid w:val="00C53A89"/>
    <w:rsid w:val="00C6140F"/>
    <w:rsid w:val="00C706F1"/>
    <w:rsid w:val="00C71F00"/>
    <w:rsid w:val="00C84384"/>
    <w:rsid w:val="00C92F09"/>
    <w:rsid w:val="00CA3E1B"/>
    <w:rsid w:val="00CA5935"/>
    <w:rsid w:val="00CC36C4"/>
    <w:rsid w:val="00CC7BC4"/>
    <w:rsid w:val="00CD0D15"/>
    <w:rsid w:val="00CD17DF"/>
    <w:rsid w:val="00CD4216"/>
    <w:rsid w:val="00CF7AFF"/>
    <w:rsid w:val="00D02460"/>
    <w:rsid w:val="00D0499B"/>
    <w:rsid w:val="00D1386E"/>
    <w:rsid w:val="00D37F18"/>
    <w:rsid w:val="00D407AB"/>
    <w:rsid w:val="00D460AC"/>
    <w:rsid w:val="00D47032"/>
    <w:rsid w:val="00D61158"/>
    <w:rsid w:val="00D67E54"/>
    <w:rsid w:val="00D92FBE"/>
    <w:rsid w:val="00D939C7"/>
    <w:rsid w:val="00D96D1F"/>
    <w:rsid w:val="00DA2646"/>
    <w:rsid w:val="00DA2DCC"/>
    <w:rsid w:val="00DB2B53"/>
    <w:rsid w:val="00DD1887"/>
    <w:rsid w:val="00DD2C25"/>
    <w:rsid w:val="00DD3B53"/>
    <w:rsid w:val="00DD3DD5"/>
    <w:rsid w:val="00E06D1F"/>
    <w:rsid w:val="00E0770D"/>
    <w:rsid w:val="00E14A0E"/>
    <w:rsid w:val="00E15FA9"/>
    <w:rsid w:val="00E24802"/>
    <w:rsid w:val="00E43165"/>
    <w:rsid w:val="00E51C3F"/>
    <w:rsid w:val="00E554A2"/>
    <w:rsid w:val="00E55D34"/>
    <w:rsid w:val="00E55F66"/>
    <w:rsid w:val="00E606B3"/>
    <w:rsid w:val="00E61BC3"/>
    <w:rsid w:val="00E6351A"/>
    <w:rsid w:val="00E7171A"/>
    <w:rsid w:val="00E82DF9"/>
    <w:rsid w:val="00EA2443"/>
    <w:rsid w:val="00EC1554"/>
    <w:rsid w:val="00EC281A"/>
    <w:rsid w:val="00EC6344"/>
    <w:rsid w:val="00EE51F3"/>
    <w:rsid w:val="00EF4669"/>
    <w:rsid w:val="00F04BFA"/>
    <w:rsid w:val="00F10CA9"/>
    <w:rsid w:val="00F1284F"/>
    <w:rsid w:val="00F14CA4"/>
    <w:rsid w:val="00F3465E"/>
    <w:rsid w:val="00F3611C"/>
    <w:rsid w:val="00F5245E"/>
    <w:rsid w:val="00F52F78"/>
    <w:rsid w:val="00F6077F"/>
    <w:rsid w:val="00F6087B"/>
    <w:rsid w:val="00F729B7"/>
    <w:rsid w:val="00F76A25"/>
    <w:rsid w:val="00F76EE5"/>
    <w:rsid w:val="00F7701F"/>
    <w:rsid w:val="00F874CB"/>
    <w:rsid w:val="00F91BEE"/>
    <w:rsid w:val="00F92616"/>
    <w:rsid w:val="00F9584E"/>
    <w:rsid w:val="00F96CB5"/>
    <w:rsid w:val="00F97FDF"/>
    <w:rsid w:val="00FA78D8"/>
    <w:rsid w:val="00FB5536"/>
    <w:rsid w:val="00FC304E"/>
    <w:rsid w:val="00FD2EA9"/>
    <w:rsid w:val="00FD5524"/>
    <w:rsid w:val="00FD5614"/>
    <w:rsid w:val="00FD63F4"/>
    <w:rsid w:val="00FE3876"/>
    <w:rsid w:val="00FE676A"/>
    <w:rsid w:val="00FF2427"/>
    <w:rsid w:val="01251B2E"/>
    <w:rsid w:val="013444C1"/>
    <w:rsid w:val="016519C1"/>
    <w:rsid w:val="01763BCE"/>
    <w:rsid w:val="018502B5"/>
    <w:rsid w:val="01AC5842"/>
    <w:rsid w:val="02182ED7"/>
    <w:rsid w:val="02353A89"/>
    <w:rsid w:val="02592261"/>
    <w:rsid w:val="026D5E00"/>
    <w:rsid w:val="02B50726"/>
    <w:rsid w:val="02E42DB9"/>
    <w:rsid w:val="037F497F"/>
    <w:rsid w:val="03D80B70"/>
    <w:rsid w:val="04114FD7"/>
    <w:rsid w:val="04D05CEB"/>
    <w:rsid w:val="04FA4B16"/>
    <w:rsid w:val="05167D06"/>
    <w:rsid w:val="05177476"/>
    <w:rsid w:val="05545FD4"/>
    <w:rsid w:val="0570500B"/>
    <w:rsid w:val="058C28EF"/>
    <w:rsid w:val="05B22F14"/>
    <w:rsid w:val="05C70E9C"/>
    <w:rsid w:val="05D11D1B"/>
    <w:rsid w:val="05F45A09"/>
    <w:rsid w:val="06255BC2"/>
    <w:rsid w:val="063825B1"/>
    <w:rsid w:val="063B7194"/>
    <w:rsid w:val="065D290C"/>
    <w:rsid w:val="066B6059"/>
    <w:rsid w:val="06FC4B75"/>
    <w:rsid w:val="07027CB2"/>
    <w:rsid w:val="0723036C"/>
    <w:rsid w:val="0749768F"/>
    <w:rsid w:val="07A5586E"/>
    <w:rsid w:val="07BF4985"/>
    <w:rsid w:val="07F055CF"/>
    <w:rsid w:val="082F6A38"/>
    <w:rsid w:val="08386081"/>
    <w:rsid w:val="089B216C"/>
    <w:rsid w:val="08A90D2D"/>
    <w:rsid w:val="08C15984"/>
    <w:rsid w:val="08D613F6"/>
    <w:rsid w:val="090D306A"/>
    <w:rsid w:val="09143080"/>
    <w:rsid w:val="0955056D"/>
    <w:rsid w:val="09565C33"/>
    <w:rsid w:val="095A2D1D"/>
    <w:rsid w:val="098A3FA4"/>
    <w:rsid w:val="0995308A"/>
    <w:rsid w:val="09D04097"/>
    <w:rsid w:val="09F26440"/>
    <w:rsid w:val="0A026946"/>
    <w:rsid w:val="0A1044A4"/>
    <w:rsid w:val="0A51342A"/>
    <w:rsid w:val="0A516F86"/>
    <w:rsid w:val="0A5922DF"/>
    <w:rsid w:val="0A683ECE"/>
    <w:rsid w:val="0A6C75E2"/>
    <w:rsid w:val="0A876E4C"/>
    <w:rsid w:val="0AD301FE"/>
    <w:rsid w:val="0AD41965"/>
    <w:rsid w:val="0AFA5870"/>
    <w:rsid w:val="0B1F52D6"/>
    <w:rsid w:val="0B420FC5"/>
    <w:rsid w:val="0B995089"/>
    <w:rsid w:val="0BAD28E2"/>
    <w:rsid w:val="0BC96FF0"/>
    <w:rsid w:val="0BD53976"/>
    <w:rsid w:val="0C142961"/>
    <w:rsid w:val="0C1B3CF0"/>
    <w:rsid w:val="0C3B50BE"/>
    <w:rsid w:val="0C7E4F72"/>
    <w:rsid w:val="0C901D18"/>
    <w:rsid w:val="0C9475FE"/>
    <w:rsid w:val="0CC25F19"/>
    <w:rsid w:val="0CEA4301"/>
    <w:rsid w:val="0CEF2A86"/>
    <w:rsid w:val="0CF8144C"/>
    <w:rsid w:val="0CFB767D"/>
    <w:rsid w:val="0D016648"/>
    <w:rsid w:val="0D2941EA"/>
    <w:rsid w:val="0D4903E8"/>
    <w:rsid w:val="0D7C164E"/>
    <w:rsid w:val="0DA01920"/>
    <w:rsid w:val="0DA41AC3"/>
    <w:rsid w:val="0DED6FC6"/>
    <w:rsid w:val="0DEE2D3E"/>
    <w:rsid w:val="0DFE5677"/>
    <w:rsid w:val="0E250E55"/>
    <w:rsid w:val="0E3E5A73"/>
    <w:rsid w:val="0E451EA1"/>
    <w:rsid w:val="0E52151F"/>
    <w:rsid w:val="0E6B25E0"/>
    <w:rsid w:val="0E87741A"/>
    <w:rsid w:val="0E947D89"/>
    <w:rsid w:val="0E95146B"/>
    <w:rsid w:val="0E981627"/>
    <w:rsid w:val="0EAE6492"/>
    <w:rsid w:val="0F205179"/>
    <w:rsid w:val="0F331350"/>
    <w:rsid w:val="0F4C5F58"/>
    <w:rsid w:val="0F56503F"/>
    <w:rsid w:val="0F5C08A7"/>
    <w:rsid w:val="0F7E72D6"/>
    <w:rsid w:val="0F930041"/>
    <w:rsid w:val="0FAB538A"/>
    <w:rsid w:val="0FD146C5"/>
    <w:rsid w:val="0FD83CA6"/>
    <w:rsid w:val="0FDC101C"/>
    <w:rsid w:val="100D1BA1"/>
    <w:rsid w:val="10264A11"/>
    <w:rsid w:val="102E1B18"/>
    <w:rsid w:val="106907B9"/>
    <w:rsid w:val="108005C5"/>
    <w:rsid w:val="108B5536"/>
    <w:rsid w:val="108D683E"/>
    <w:rsid w:val="10923E54"/>
    <w:rsid w:val="10AD0C8E"/>
    <w:rsid w:val="10CD7582"/>
    <w:rsid w:val="10E0304F"/>
    <w:rsid w:val="10FA27B7"/>
    <w:rsid w:val="10FD2795"/>
    <w:rsid w:val="11052878"/>
    <w:rsid w:val="110E5BD1"/>
    <w:rsid w:val="113969C6"/>
    <w:rsid w:val="11494E5B"/>
    <w:rsid w:val="114E421F"/>
    <w:rsid w:val="1178761E"/>
    <w:rsid w:val="117A07F5"/>
    <w:rsid w:val="117B6FDE"/>
    <w:rsid w:val="11823EC9"/>
    <w:rsid w:val="11BF1717"/>
    <w:rsid w:val="11D72467"/>
    <w:rsid w:val="120E1C01"/>
    <w:rsid w:val="120F5D85"/>
    <w:rsid w:val="12373F9F"/>
    <w:rsid w:val="12532E7C"/>
    <w:rsid w:val="12681311"/>
    <w:rsid w:val="126D40D3"/>
    <w:rsid w:val="126F6B43"/>
    <w:rsid w:val="129A57C7"/>
    <w:rsid w:val="12A6008B"/>
    <w:rsid w:val="12C30F58"/>
    <w:rsid w:val="12EE333C"/>
    <w:rsid w:val="12FB3F33"/>
    <w:rsid w:val="135E44C2"/>
    <w:rsid w:val="136C7B89"/>
    <w:rsid w:val="139F5206"/>
    <w:rsid w:val="13A40AB1"/>
    <w:rsid w:val="13B50586"/>
    <w:rsid w:val="13BF7656"/>
    <w:rsid w:val="143F0797"/>
    <w:rsid w:val="147A17CF"/>
    <w:rsid w:val="148B12E6"/>
    <w:rsid w:val="14B87CB6"/>
    <w:rsid w:val="14CC2610"/>
    <w:rsid w:val="15115C90"/>
    <w:rsid w:val="152F25BA"/>
    <w:rsid w:val="154D2A40"/>
    <w:rsid w:val="156F54C4"/>
    <w:rsid w:val="15796327"/>
    <w:rsid w:val="158226E9"/>
    <w:rsid w:val="15A26954"/>
    <w:rsid w:val="15C72F70"/>
    <w:rsid w:val="15DB44F0"/>
    <w:rsid w:val="166A4A92"/>
    <w:rsid w:val="16AA639C"/>
    <w:rsid w:val="16B234A2"/>
    <w:rsid w:val="16BF796D"/>
    <w:rsid w:val="16EA49EA"/>
    <w:rsid w:val="170362E4"/>
    <w:rsid w:val="171E4694"/>
    <w:rsid w:val="178C5AA1"/>
    <w:rsid w:val="17935CA0"/>
    <w:rsid w:val="17982698"/>
    <w:rsid w:val="17D23DC1"/>
    <w:rsid w:val="18113EC8"/>
    <w:rsid w:val="18BD7EDC"/>
    <w:rsid w:val="18CE3E98"/>
    <w:rsid w:val="18E90CD1"/>
    <w:rsid w:val="19143FA0"/>
    <w:rsid w:val="19434886"/>
    <w:rsid w:val="19824358"/>
    <w:rsid w:val="19947044"/>
    <w:rsid w:val="19A678A0"/>
    <w:rsid w:val="19BD517D"/>
    <w:rsid w:val="1A2521DD"/>
    <w:rsid w:val="1A2E2E40"/>
    <w:rsid w:val="1A400DC5"/>
    <w:rsid w:val="1A6940BC"/>
    <w:rsid w:val="1AC825A3"/>
    <w:rsid w:val="1B19589E"/>
    <w:rsid w:val="1B2B3823"/>
    <w:rsid w:val="1B5B41F6"/>
    <w:rsid w:val="1B60171F"/>
    <w:rsid w:val="1B7E7DF7"/>
    <w:rsid w:val="1BA11DBE"/>
    <w:rsid w:val="1BBC447B"/>
    <w:rsid w:val="1BBE4697"/>
    <w:rsid w:val="1BE7599C"/>
    <w:rsid w:val="1BFB31F6"/>
    <w:rsid w:val="1C59115B"/>
    <w:rsid w:val="1C9378D2"/>
    <w:rsid w:val="1CAD0994"/>
    <w:rsid w:val="1CB11B06"/>
    <w:rsid w:val="1CC96E50"/>
    <w:rsid w:val="1CF06AD2"/>
    <w:rsid w:val="1D0D38B9"/>
    <w:rsid w:val="1D33076D"/>
    <w:rsid w:val="1D4330A6"/>
    <w:rsid w:val="1D457387"/>
    <w:rsid w:val="1D65301C"/>
    <w:rsid w:val="1D6848BB"/>
    <w:rsid w:val="1D69418F"/>
    <w:rsid w:val="1DA077E5"/>
    <w:rsid w:val="1DCF0496"/>
    <w:rsid w:val="1DD43CFE"/>
    <w:rsid w:val="1E2F7187"/>
    <w:rsid w:val="1E933BB9"/>
    <w:rsid w:val="1E960FB4"/>
    <w:rsid w:val="1EBF050A"/>
    <w:rsid w:val="1EDE6099"/>
    <w:rsid w:val="1F0423C1"/>
    <w:rsid w:val="1F33222D"/>
    <w:rsid w:val="1F5A0233"/>
    <w:rsid w:val="1F5E7203"/>
    <w:rsid w:val="1F66307C"/>
    <w:rsid w:val="1F7237CF"/>
    <w:rsid w:val="1F843502"/>
    <w:rsid w:val="1F890B18"/>
    <w:rsid w:val="1FAF4A23"/>
    <w:rsid w:val="20020FF7"/>
    <w:rsid w:val="201A57C5"/>
    <w:rsid w:val="204213F3"/>
    <w:rsid w:val="205B32E5"/>
    <w:rsid w:val="205D447F"/>
    <w:rsid w:val="207417C9"/>
    <w:rsid w:val="207E1198"/>
    <w:rsid w:val="20AA343C"/>
    <w:rsid w:val="20BD4F1E"/>
    <w:rsid w:val="20C75D9C"/>
    <w:rsid w:val="20D31457"/>
    <w:rsid w:val="20E736FA"/>
    <w:rsid w:val="215154D5"/>
    <w:rsid w:val="21723F5A"/>
    <w:rsid w:val="2175459C"/>
    <w:rsid w:val="22034BB2"/>
    <w:rsid w:val="222B4109"/>
    <w:rsid w:val="22725EDB"/>
    <w:rsid w:val="228944AC"/>
    <w:rsid w:val="22AC4932"/>
    <w:rsid w:val="22B1460E"/>
    <w:rsid w:val="22C73E32"/>
    <w:rsid w:val="22DD3655"/>
    <w:rsid w:val="22E83DA8"/>
    <w:rsid w:val="22E91FFA"/>
    <w:rsid w:val="23155FDF"/>
    <w:rsid w:val="231932BA"/>
    <w:rsid w:val="231B417D"/>
    <w:rsid w:val="23395B0A"/>
    <w:rsid w:val="237A4B32"/>
    <w:rsid w:val="2383244E"/>
    <w:rsid w:val="23847F75"/>
    <w:rsid w:val="238B30B1"/>
    <w:rsid w:val="23AA2DDC"/>
    <w:rsid w:val="23B1063E"/>
    <w:rsid w:val="23B5012E"/>
    <w:rsid w:val="23DC56BB"/>
    <w:rsid w:val="23F8626D"/>
    <w:rsid w:val="241226A1"/>
    <w:rsid w:val="24191BAC"/>
    <w:rsid w:val="242B2542"/>
    <w:rsid w:val="243472A5"/>
    <w:rsid w:val="2435126F"/>
    <w:rsid w:val="244A35AA"/>
    <w:rsid w:val="245636BF"/>
    <w:rsid w:val="246671F3"/>
    <w:rsid w:val="24743B45"/>
    <w:rsid w:val="24A73F1B"/>
    <w:rsid w:val="24C3687B"/>
    <w:rsid w:val="24E76A0D"/>
    <w:rsid w:val="25115838"/>
    <w:rsid w:val="25123C48"/>
    <w:rsid w:val="25201F1F"/>
    <w:rsid w:val="25205A7B"/>
    <w:rsid w:val="25246B69"/>
    <w:rsid w:val="256040C9"/>
    <w:rsid w:val="257C53A7"/>
    <w:rsid w:val="25951FC5"/>
    <w:rsid w:val="259D3570"/>
    <w:rsid w:val="259F1096"/>
    <w:rsid w:val="25A95A70"/>
    <w:rsid w:val="25C1725E"/>
    <w:rsid w:val="25D02FFD"/>
    <w:rsid w:val="25D119F3"/>
    <w:rsid w:val="25D95CAF"/>
    <w:rsid w:val="25E409FF"/>
    <w:rsid w:val="25E62821"/>
    <w:rsid w:val="25EC3BAF"/>
    <w:rsid w:val="26230331"/>
    <w:rsid w:val="26237CB0"/>
    <w:rsid w:val="26303910"/>
    <w:rsid w:val="26357304"/>
    <w:rsid w:val="265956E8"/>
    <w:rsid w:val="26690F27"/>
    <w:rsid w:val="26BB5A5B"/>
    <w:rsid w:val="26C37006"/>
    <w:rsid w:val="2708572C"/>
    <w:rsid w:val="270A0D7B"/>
    <w:rsid w:val="27271343"/>
    <w:rsid w:val="27651E6B"/>
    <w:rsid w:val="27683A82"/>
    <w:rsid w:val="27AE736E"/>
    <w:rsid w:val="27C94D15"/>
    <w:rsid w:val="27D12ECD"/>
    <w:rsid w:val="27F645D9"/>
    <w:rsid w:val="281573ED"/>
    <w:rsid w:val="28335AC5"/>
    <w:rsid w:val="288F53F1"/>
    <w:rsid w:val="28926C90"/>
    <w:rsid w:val="28953575"/>
    <w:rsid w:val="29114F67"/>
    <w:rsid w:val="292673D8"/>
    <w:rsid w:val="294C5091"/>
    <w:rsid w:val="295128E2"/>
    <w:rsid w:val="29661F60"/>
    <w:rsid w:val="29C9048F"/>
    <w:rsid w:val="29D47298"/>
    <w:rsid w:val="29E31A75"/>
    <w:rsid w:val="2A04596B"/>
    <w:rsid w:val="2A1A0CEB"/>
    <w:rsid w:val="2A58434E"/>
    <w:rsid w:val="2A5F0DF4"/>
    <w:rsid w:val="2A830F86"/>
    <w:rsid w:val="2AAC78F7"/>
    <w:rsid w:val="2ABF1892"/>
    <w:rsid w:val="2AE632C3"/>
    <w:rsid w:val="2B033E75"/>
    <w:rsid w:val="2B6C1A1A"/>
    <w:rsid w:val="2B873915"/>
    <w:rsid w:val="2B893AD2"/>
    <w:rsid w:val="2B9B22FF"/>
    <w:rsid w:val="2C061174"/>
    <w:rsid w:val="2C1856FE"/>
    <w:rsid w:val="2C267E1B"/>
    <w:rsid w:val="2C354361"/>
    <w:rsid w:val="2C3A1B18"/>
    <w:rsid w:val="2C5524AE"/>
    <w:rsid w:val="2C98683F"/>
    <w:rsid w:val="2C9E3E55"/>
    <w:rsid w:val="2CA13945"/>
    <w:rsid w:val="2CB84B15"/>
    <w:rsid w:val="2CCA091B"/>
    <w:rsid w:val="2D6F75A0"/>
    <w:rsid w:val="2DAC4350"/>
    <w:rsid w:val="2E225C52"/>
    <w:rsid w:val="2E4E5407"/>
    <w:rsid w:val="2E7C6894"/>
    <w:rsid w:val="2E913546"/>
    <w:rsid w:val="2ED81174"/>
    <w:rsid w:val="2EED10C4"/>
    <w:rsid w:val="2F000DFD"/>
    <w:rsid w:val="2F0E4B96"/>
    <w:rsid w:val="2FD14541"/>
    <w:rsid w:val="2FEC3129"/>
    <w:rsid w:val="2FEE50F3"/>
    <w:rsid w:val="30642AF1"/>
    <w:rsid w:val="30662EDC"/>
    <w:rsid w:val="308415B4"/>
    <w:rsid w:val="30855AF1"/>
    <w:rsid w:val="309D3D98"/>
    <w:rsid w:val="30C6753F"/>
    <w:rsid w:val="30CE6CD3"/>
    <w:rsid w:val="30D20571"/>
    <w:rsid w:val="31010E56"/>
    <w:rsid w:val="31061FC9"/>
    <w:rsid w:val="3183436B"/>
    <w:rsid w:val="31BA1BC1"/>
    <w:rsid w:val="31FD53E5"/>
    <w:rsid w:val="321150C9"/>
    <w:rsid w:val="322D595C"/>
    <w:rsid w:val="32A27B35"/>
    <w:rsid w:val="32A30FF3"/>
    <w:rsid w:val="32C1089D"/>
    <w:rsid w:val="32E20814"/>
    <w:rsid w:val="32E26A66"/>
    <w:rsid w:val="32F72511"/>
    <w:rsid w:val="33492641"/>
    <w:rsid w:val="33667848"/>
    <w:rsid w:val="33E07DA4"/>
    <w:rsid w:val="34425A0E"/>
    <w:rsid w:val="34955FD2"/>
    <w:rsid w:val="34A22009"/>
    <w:rsid w:val="34BA1A48"/>
    <w:rsid w:val="34C93A39"/>
    <w:rsid w:val="34D16D92"/>
    <w:rsid w:val="35064C8D"/>
    <w:rsid w:val="35092088"/>
    <w:rsid w:val="35452190"/>
    <w:rsid w:val="358D4A67"/>
    <w:rsid w:val="35A26038"/>
    <w:rsid w:val="35D51E56"/>
    <w:rsid w:val="36160F00"/>
    <w:rsid w:val="36274EBB"/>
    <w:rsid w:val="36323C4F"/>
    <w:rsid w:val="36962041"/>
    <w:rsid w:val="36963DEF"/>
    <w:rsid w:val="36B81FB7"/>
    <w:rsid w:val="36B83D65"/>
    <w:rsid w:val="36D30B9F"/>
    <w:rsid w:val="36E25286"/>
    <w:rsid w:val="36E42DAC"/>
    <w:rsid w:val="36F32FEF"/>
    <w:rsid w:val="370C5E5F"/>
    <w:rsid w:val="3710594F"/>
    <w:rsid w:val="372E5DD5"/>
    <w:rsid w:val="37321D0C"/>
    <w:rsid w:val="37361D06"/>
    <w:rsid w:val="374259B8"/>
    <w:rsid w:val="37525DED"/>
    <w:rsid w:val="3769335F"/>
    <w:rsid w:val="37BD36D2"/>
    <w:rsid w:val="37C404E8"/>
    <w:rsid w:val="37CF580A"/>
    <w:rsid w:val="37E312B6"/>
    <w:rsid w:val="37FE7E9E"/>
    <w:rsid w:val="38382744"/>
    <w:rsid w:val="383B019C"/>
    <w:rsid w:val="384635F3"/>
    <w:rsid w:val="38877E93"/>
    <w:rsid w:val="38A50319"/>
    <w:rsid w:val="38A8605B"/>
    <w:rsid w:val="38C764E2"/>
    <w:rsid w:val="38D46E50"/>
    <w:rsid w:val="38D539D2"/>
    <w:rsid w:val="3934169D"/>
    <w:rsid w:val="39616936"/>
    <w:rsid w:val="398C14D9"/>
    <w:rsid w:val="3996466D"/>
    <w:rsid w:val="399C171C"/>
    <w:rsid w:val="39C66799"/>
    <w:rsid w:val="3A591D77"/>
    <w:rsid w:val="3A5B15D7"/>
    <w:rsid w:val="3A744447"/>
    <w:rsid w:val="3A854A54"/>
    <w:rsid w:val="3AAF36D1"/>
    <w:rsid w:val="3AF410E4"/>
    <w:rsid w:val="3BC1546A"/>
    <w:rsid w:val="3BE15B0C"/>
    <w:rsid w:val="3BEC625F"/>
    <w:rsid w:val="3C2970C0"/>
    <w:rsid w:val="3C4E3FAE"/>
    <w:rsid w:val="3D0D2931"/>
    <w:rsid w:val="3D7E17DF"/>
    <w:rsid w:val="3DD27E02"/>
    <w:rsid w:val="3DE713D4"/>
    <w:rsid w:val="3E241CE0"/>
    <w:rsid w:val="3E4203B8"/>
    <w:rsid w:val="3E432AAE"/>
    <w:rsid w:val="3E5A7DF8"/>
    <w:rsid w:val="3E630A5B"/>
    <w:rsid w:val="3E795988"/>
    <w:rsid w:val="3E9C70E0"/>
    <w:rsid w:val="3EA2185D"/>
    <w:rsid w:val="3ED92ACB"/>
    <w:rsid w:val="3EF23B8C"/>
    <w:rsid w:val="3EFB6A0F"/>
    <w:rsid w:val="3F12422F"/>
    <w:rsid w:val="3F185CE9"/>
    <w:rsid w:val="3F1E7077"/>
    <w:rsid w:val="3FD15E98"/>
    <w:rsid w:val="3FED72D4"/>
    <w:rsid w:val="3FFB2F15"/>
    <w:rsid w:val="400A7E6A"/>
    <w:rsid w:val="40453063"/>
    <w:rsid w:val="404B5C4A"/>
    <w:rsid w:val="40572841"/>
    <w:rsid w:val="40B25CC9"/>
    <w:rsid w:val="40B97058"/>
    <w:rsid w:val="40E8793D"/>
    <w:rsid w:val="411029F0"/>
    <w:rsid w:val="41140732"/>
    <w:rsid w:val="413C4D93"/>
    <w:rsid w:val="4148218A"/>
    <w:rsid w:val="415428DD"/>
    <w:rsid w:val="417E3A12"/>
    <w:rsid w:val="41EE0F83"/>
    <w:rsid w:val="41F12821"/>
    <w:rsid w:val="41F52311"/>
    <w:rsid w:val="42156510"/>
    <w:rsid w:val="422E137F"/>
    <w:rsid w:val="425276A4"/>
    <w:rsid w:val="425E35CE"/>
    <w:rsid w:val="42A96B9B"/>
    <w:rsid w:val="42BF46CD"/>
    <w:rsid w:val="42DC527F"/>
    <w:rsid w:val="433C5D1E"/>
    <w:rsid w:val="433F136A"/>
    <w:rsid w:val="43CC52F4"/>
    <w:rsid w:val="43E63B73"/>
    <w:rsid w:val="43E7452D"/>
    <w:rsid w:val="4475773A"/>
    <w:rsid w:val="44A1052F"/>
    <w:rsid w:val="44D23488"/>
    <w:rsid w:val="44EB3558"/>
    <w:rsid w:val="450B1E4C"/>
    <w:rsid w:val="45230F44"/>
    <w:rsid w:val="455235D7"/>
    <w:rsid w:val="456314B8"/>
    <w:rsid w:val="45633A36"/>
    <w:rsid w:val="457479F1"/>
    <w:rsid w:val="45A2455E"/>
    <w:rsid w:val="45AD2F03"/>
    <w:rsid w:val="45D64208"/>
    <w:rsid w:val="460E39A2"/>
    <w:rsid w:val="46205483"/>
    <w:rsid w:val="46207231"/>
    <w:rsid w:val="462C5BD6"/>
    <w:rsid w:val="4665733A"/>
    <w:rsid w:val="46C254C6"/>
    <w:rsid w:val="46D0431B"/>
    <w:rsid w:val="46D70238"/>
    <w:rsid w:val="46E75FA1"/>
    <w:rsid w:val="46EB494F"/>
    <w:rsid w:val="46F030A7"/>
    <w:rsid w:val="47121270"/>
    <w:rsid w:val="47507FEA"/>
    <w:rsid w:val="47516AD2"/>
    <w:rsid w:val="47572B07"/>
    <w:rsid w:val="477947D7"/>
    <w:rsid w:val="47D50693"/>
    <w:rsid w:val="47F36913"/>
    <w:rsid w:val="480F1C53"/>
    <w:rsid w:val="48166B3E"/>
    <w:rsid w:val="4819662E"/>
    <w:rsid w:val="481E1E96"/>
    <w:rsid w:val="48206967"/>
    <w:rsid w:val="48684EBF"/>
    <w:rsid w:val="4871646A"/>
    <w:rsid w:val="48733F90"/>
    <w:rsid w:val="48F74BC1"/>
    <w:rsid w:val="49186EC2"/>
    <w:rsid w:val="491C0184"/>
    <w:rsid w:val="498E392B"/>
    <w:rsid w:val="49AD34D2"/>
    <w:rsid w:val="4A062BE2"/>
    <w:rsid w:val="4A1946C3"/>
    <w:rsid w:val="4A2512BA"/>
    <w:rsid w:val="4A5120AF"/>
    <w:rsid w:val="4A613290"/>
    <w:rsid w:val="4A6F4C2B"/>
    <w:rsid w:val="4A7D4C52"/>
    <w:rsid w:val="4A9B5A20"/>
    <w:rsid w:val="4AA85A47"/>
    <w:rsid w:val="4AB60164"/>
    <w:rsid w:val="4B241572"/>
    <w:rsid w:val="4B2D36F8"/>
    <w:rsid w:val="4B375749"/>
    <w:rsid w:val="4BDC646C"/>
    <w:rsid w:val="4C1710D6"/>
    <w:rsid w:val="4C177113"/>
    <w:rsid w:val="4C426A60"/>
    <w:rsid w:val="4C7B3413"/>
    <w:rsid w:val="4C8F6EBF"/>
    <w:rsid w:val="4C983FC5"/>
    <w:rsid w:val="4CA42662"/>
    <w:rsid w:val="4CBD1C7E"/>
    <w:rsid w:val="4CD77097"/>
    <w:rsid w:val="4CE32B11"/>
    <w:rsid w:val="4CFB27A6"/>
    <w:rsid w:val="4D293241"/>
    <w:rsid w:val="4D6E4D26"/>
    <w:rsid w:val="4D896004"/>
    <w:rsid w:val="4D9F30F3"/>
    <w:rsid w:val="4DBD718A"/>
    <w:rsid w:val="4DD9022E"/>
    <w:rsid w:val="4DED20EF"/>
    <w:rsid w:val="4E0661EB"/>
    <w:rsid w:val="4E0C2B88"/>
    <w:rsid w:val="4E437F61"/>
    <w:rsid w:val="4E451F2B"/>
    <w:rsid w:val="4E7E368F"/>
    <w:rsid w:val="4E832A53"/>
    <w:rsid w:val="4E9B7D5A"/>
    <w:rsid w:val="4EA76741"/>
    <w:rsid w:val="4EB124A8"/>
    <w:rsid w:val="4ED621E6"/>
    <w:rsid w:val="4ED96B17"/>
    <w:rsid w:val="4EEB11B6"/>
    <w:rsid w:val="4F290561"/>
    <w:rsid w:val="4F876573"/>
    <w:rsid w:val="4FBF3303"/>
    <w:rsid w:val="4FF57980"/>
    <w:rsid w:val="502D3FBD"/>
    <w:rsid w:val="50A13664"/>
    <w:rsid w:val="50A218B6"/>
    <w:rsid w:val="50A53155"/>
    <w:rsid w:val="50A56CB1"/>
    <w:rsid w:val="50AC6291"/>
    <w:rsid w:val="50B45146"/>
    <w:rsid w:val="50BB2285"/>
    <w:rsid w:val="50EE352F"/>
    <w:rsid w:val="510819DD"/>
    <w:rsid w:val="510D2AA8"/>
    <w:rsid w:val="513444D8"/>
    <w:rsid w:val="51404C2B"/>
    <w:rsid w:val="515E50B1"/>
    <w:rsid w:val="517926D9"/>
    <w:rsid w:val="517F39A6"/>
    <w:rsid w:val="51C83E4F"/>
    <w:rsid w:val="51FC4FF6"/>
    <w:rsid w:val="51FD2B1C"/>
    <w:rsid w:val="52151C14"/>
    <w:rsid w:val="524D7600"/>
    <w:rsid w:val="526563EA"/>
    <w:rsid w:val="527F1783"/>
    <w:rsid w:val="52B70F1D"/>
    <w:rsid w:val="52BF499E"/>
    <w:rsid w:val="52C33D66"/>
    <w:rsid w:val="52FA34F3"/>
    <w:rsid w:val="53043E11"/>
    <w:rsid w:val="532815A4"/>
    <w:rsid w:val="53400F13"/>
    <w:rsid w:val="537A08C9"/>
    <w:rsid w:val="53890B0C"/>
    <w:rsid w:val="53B37061"/>
    <w:rsid w:val="53B37937"/>
    <w:rsid w:val="53BB2A9C"/>
    <w:rsid w:val="53EE096F"/>
    <w:rsid w:val="53F51CFD"/>
    <w:rsid w:val="53FC3E0F"/>
    <w:rsid w:val="5411465D"/>
    <w:rsid w:val="541C372E"/>
    <w:rsid w:val="54244390"/>
    <w:rsid w:val="54271C7C"/>
    <w:rsid w:val="546926EB"/>
    <w:rsid w:val="548B08B3"/>
    <w:rsid w:val="54AB2D04"/>
    <w:rsid w:val="54BC0A6D"/>
    <w:rsid w:val="54C4007E"/>
    <w:rsid w:val="54D50C36"/>
    <w:rsid w:val="54D656F3"/>
    <w:rsid w:val="54E51E16"/>
    <w:rsid w:val="54F75F49"/>
    <w:rsid w:val="55880EF7"/>
    <w:rsid w:val="55C0458D"/>
    <w:rsid w:val="55D12837"/>
    <w:rsid w:val="55D16F8A"/>
    <w:rsid w:val="55D63DB0"/>
    <w:rsid w:val="55FA7A9F"/>
    <w:rsid w:val="55FD758F"/>
    <w:rsid w:val="56242644"/>
    <w:rsid w:val="56446F6C"/>
    <w:rsid w:val="56486A5C"/>
    <w:rsid w:val="56574EF1"/>
    <w:rsid w:val="567A0BDF"/>
    <w:rsid w:val="567D77DA"/>
    <w:rsid w:val="569A3F08"/>
    <w:rsid w:val="569D042A"/>
    <w:rsid w:val="56C4574F"/>
    <w:rsid w:val="56CD51B3"/>
    <w:rsid w:val="56D54068"/>
    <w:rsid w:val="56FC33A3"/>
    <w:rsid w:val="57180AF2"/>
    <w:rsid w:val="572763D8"/>
    <w:rsid w:val="575136EE"/>
    <w:rsid w:val="577B076B"/>
    <w:rsid w:val="5789732C"/>
    <w:rsid w:val="57B10631"/>
    <w:rsid w:val="57BA2C71"/>
    <w:rsid w:val="57D52571"/>
    <w:rsid w:val="57E62AB9"/>
    <w:rsid w:val="5803005A"/>
    <w:rsid w:val="585079D2"/>
    <w:rsid w:val="5878114F"/>
    <w:rsid w:val="58BA1460"/>
    <w:rsid w:val="58DE7204"/>
    <w:rsid w:val="58FD3402"/>
    <w:rsid w:val="5906675A"/>
    <w:rsid w:val="592941F7"/>
    <w:rsid w:val="595379CD"/>
    <w:rsid w:val="59780470"/>
    <w:rsid w:val="5991071A"/>
    <w:rsid w:val="59943D66"/>
    <w:rsid w:val="59CF1242"/>
    <w:rsid w:val="59DB3C9E"/>
    <w:rsid w:val="59E545C2"/>
    <w:rsid w:val="59F667CF"/>
    <w:rsid w:val="5A292701"/>
    <w:rsid w:val="5A602A52"/>
    <w:rsid w:val="5A715E56"/>
    <w:rsid w:val="5A7A5F1F"/>
    <w:rsid w:val="5A944BA3"/>
    <w:rsid w:val="5AA03537"/>
    <w:rsid w:val="5AB75F5E"/>
    <w:rsid w:val="5AB9132F"/>
    <w:rsid w:val="5B1A3CC2"/>
    <w:rsid w:val="5B1E422F"/>
    <w:rsid w:val="5B2A65D4"/>
    <w:rsid w:val="5B3E352F"/>
    <w:rsid w:val="5B422E2E"/>
    <w:rsid w:val="5B9444F1"/>
    <w:rsid w:val="5B955B74"/>
    <w:rsid w:val="5B9B13DC"/>
    <w:rsid w:val="5BA04C44"/>
    <w:rsid w:val="5BB71F8E"/>
    <w:rsid w:val="5BE03293"/>
    <w:rsid w:val="5BF353CA"/>
    <w:rsid w:val="5C1178F0"/>
    <w:rsid w:val="5C7562EE"/>
    <w:rsid w:val="5CB502B9"/>
    <w:rsid w:val="5CE60816"/>
    <w:rsid w:val="5CE96177"/>
    <w:rsid w:val="5D7C523D"/>
    <w:rsid w:val="5D997B9D"/>
    <w:rsid w:val="5DD018D3"/>
    <w:rsid w:val="5E3478C6"/>
    <w:rsid w:val="5E394EDC"/>
    <w:rsid w:val="5E714AFD"/>
    <w:rsid w:val="5E7457CA"/>
    <w:rsid w:val="5E993BCD"/>
    <w:rsid w:val="5ECE7DD0"/>
    <w:rsid w:val="5EE70DDC"/>
    <w:rsid w:val="5EF17565"/>
    <w:rsid w:val="5F1048CE"/>
    <w:rsid w:val="5F57386C"/>
    <w:rsid w:val="5F5B04F5"/>
    <w:rsid w:val="5F685031"/>
    <w:rsid w:val="5F7A1C50"/>
    <w:rsid w:val="5F7E529D"/>
    <w:rsid w:val="5F8054D3"/>
    <w:rsid w:val="5FA32F55"/>
    <w:rsid w:val="5FA647F3"/>
    <w:rsid w:val="5FD0361E"/>
    <w:rsid w:val="5FEA2932"/>
    <w:rsid w:val="5FF92B75"/>
    <w:rsid w:val="6031230F"/>
    <w:rsid w:val="604A386C"/>
    <w:rsid w:val="60516498"/>
    <w:rsid w:val="60547B8E"/>
    <w:rsid w:val="606E41E0"/>
    <w:rsid w:val="60716BAF"/>
    <w:rsid w:val="607C7302"/>
    <w:rsid w:val="60D4713E"/>
    <w:rsid w:val="613657CA"/>
    <w:rsid w:val="61413A18"/>
    <w:rsid w:val="614B38A4"/>
    <w:rsid w:val="616A3A91"/>
    <w:rsid w:val="61812E22"/>
    <w:rsid w:val="61C96577"/>
    <w:rsid w:val="61D07D9B"/>
    <w:rsid w:val="61D373F6"/>
    <w:rsid w:val="61E6665C"/>
    <w:rsid w:val="61E91FBC"/>
    <w:rsid w:val="61FC4B9F"/>
    <w:rsid w:val="622540F5"/>
    <w:rsid w:val="6242755D"/>
    <w:rsid w:val="624D3D9E"/>
    <w:rsid w:val="626F5370"/>
    <w:rsid w:val="62774225"/>
    <w:rsid w:val="62A212A2"/>
    <w:rsid w:val="62A4228A"/>
    <w:rsid w:val="62A55F81"/>
    <w:rsid w:val="62D43425"/>
    <w:rsid w:val="62F31AFE"/>
    <w:rsid w:val="630A235D"/>
    <w:rsid w:val="63224191"/>
    <w:rsid w:val="632A1297"/>
    <w:rsid w:val="63416D0D"/>
    <w:rsid w:val="634E142A"/>
    <w:rsid w:val="638906B4"/>
    <w:rsid w:val="63C139AA"/>
    <w:rsid w:val="63ED47CD"/>
    <w:rsid w:val="64034EC5"/>
    <w:rsid w:val="64055EC3"/>
    <w:rsid w:val="6411313C"/>
    <w:rsid w:val="64162794"/>
    <w:rsid w:val="642B52C7"/>
    <w:rsid w:val="64502F80"/>
    <w:rsid w:val="64AF7CA6"/>
    <w:rsid w:val="64BC23C3"/>
    <w:rsid w:val="64D751D8"/>
    <w:rsid w:val="65167D25"/>
    <w:rsid w:val="658729D1"/>
    <w:rsid w:val="659B647C"/>
    <w:rsid w:val="65A171AF"/>
    <w:rsid w:val="65D5198E"/>
    <w:rsid w:val="65E87914"/>
    <w:rsid w:val="65ED6CD8"/>
    <w:rsid w:val="65FF4C5D"/>
    <w:rsid w:val="663C283C"/>
    <w:rsid w:val="66B3296E"/>
    <w:rsid w:val="66C2204A"/>
    <w:rsid w:val="66F347C2"/>
    <w:rsid w:val="66FE5F4E"/>
    <w:rsid w:val="6716400D"/>
    <w:rsid w:val="672311DC"/>
    <w:rsid w:val="672F1572"/>
    <w:rsid w:val="675114E9"/>
    <w:rsid w:val="67571BA1"/>
    <w:rsid w:val="677671A1"/>
    <w:rsid w:val="67D85766"/>
    <w:rsid w:val="67DA14DE"/>
    <w:rsid w:val="67EF1790"/>
    <w:rsid w:val="67F82570"/>
    <w:rsid w:val="680D5249"/>
    <w:rsid w:val="68183DB4"/>
    <w:rsid w:val="683010FE"/>
    <w:rsid w:val="6832131A"/>
    <w:rsid w:val="68727968"/>
    <w:rsid w:val="68755FC2"/>
    <w:rsid w:val="691A74E1"/>
    <w:rsid w:val="6945507D"/>
    <w:rsid w:val="694D7A8E"/>
    <w:rsid w:val="696372B1"/>
    <w:rsid w:val="69B875FD"/>
    <w:rsid w:val="69CB5582"/>
    <w:rsid w:val="6A132A85"/>
    <w:rsid w:val="6A1F767C"/>
    <w:rsid w:val="6A366774"/>
    <w:rsid w:val="6A7C14DB"/>
    <w:rsid w:val="6AAE6DD0"/>
    <w:rsid w:val="6ACB7804"/>
    <w:rsid w:val="6B1116BB"/>
    <w:rsid w:val="6B4F5D3F"/>
    <w:rsid w:val="6B6A3502"/>
    <w:rsid w:val="6B9D4684"/>
    <w:rsid w:val="6BB65DBE"/>
    <w:rsid w:val="6BFF476F"/>
    <w:rsid w:val="6C103638"/>
    <w:rsid w:val="6C690FC7"/>
    <w:rsid w:val="6CAB34E9"/>
    <w:rsid w:val="6CBA18DE"/>
    <w:rsid w:val="6CBD4F2A"/>
    <w:rsid w:val="6CC26721"/>
    <w:rsid w:val="6CF22E26"/>
    <w:rsid w:val="6D0C168E"/>
    <w:rsid w:val="6D106037"/>
    <w:rsid w:val="6D1F75B8"/>
    <w:rsid w:val="6D2C27DC"/>
    <w:rsid w:val="6D2D20B0"/>
    <w:rsid w:val="6D57712D"/>
    <w:rsid w:val="6D673814"/>
    <w:rsid w:val="6DBB590E"/>
    <w:rsid w:val="6DBE53FE"/>
    <w:rsid w:val="6DCD0B16"/>
    <w:rsid w:val="6E0D5B55"/>
    <w:rsid w:val="6E13574A"/>
    <w:rsid w:val="6E1A0886"/>
    <w:rsid w:val="6E250FD9"/>
    <w:rsid w:val="6E2C680B"/>
    <w:rsid w:val="6E30177C"/>
    <w:rsid w:val="6E6164B5"/>
    <w:rsid w:val="6E7359CD"/>
    <w:rsid w:val="6E91253A"/>
    <w:rsid w:val="6E9C573F"/>
    <w:rsid w:val="6EF72976"/>
    <w:rsid w:val="6F8F7052"/>
    <w:rsid w:val="6FA10FED"/>
    <w:rsid w:val="6FE86762"/>
    <w:rsid w:val="6FE86D01"/>
    <w:rsid w:val="70065D45"/>
    <w:rsid w:val="700B6F04"/>
    <w:rsid w:val="701F03D6"/>
    <w:rsid w:val="7064228D"/>
    <w:rsid w:val="7075449A"/>
    <w:rsid w:val="707F4A77"/>
    <w:rsid w:val="70903082"/>
    <w:rsid w:val="70922290"/>
    <w:rsid w:val="70A84617"/>
    <w:rsid w:val="70C42D2B"/>
    <w:rsid w:val="70C525FF"/>
    <w:rsid w:val="70CA344A"/>
    <w:rsid w:val="70F27898"/>
    <w:rsid w:val="70F80C27"/>
    <w:rsid w:val="71002CE0"/>
    <w:rsid w:val="710250A6"/>
    <w:rsid w:val="710D58F0"/>
    <w:rsid w:val="712A5284"/>
    <w:rsid w:val="713C4FB8"/>
    <w:rsid w:val="717E737E"/>
    <w:rsid w:val="718D5813"/>
    <w:rsid w:val="71B71E78"/>
    <w:rsid w:val="71BE777B"/>
    <w:rsid w:val="71CA25C3"/>
    <w:rsid w:val="71D15700"/>
    <w:rsid w:val="721E571E"/>
    <w:rsid w:val="722717C4"/>
    <w:rsid w:val="723B526F"/>
    <w:rsid w:val="723D0FE7"/>
    <w:rsid w:val="724F1EFC"/>
    <w:rsid w:val="72534367"/>
    <w:rsid w:val="725D3437"/>
    <w:rsid w:val="727442DD"/>
    <w:rsid w:val="72867854"/>
    <w:rsid w:val="72897D89"/>
    <w:rsid w:val="729A75CE"/>
    <w:rsid w:val="72D94A01"/>
    <w:rsid w:val="72E71B23"/>
    <w:rsid w:val="72EB459F"/>
    <w:rsid w:val="72EE7B06"/>
    <w:rsid w:val="73107C5C"/>
    <w:rsid w:val="73124222"/>
    <w:rsid w:val="734463A5"/>
    <w:rsid w:val="736A5E0C"/>
    <w:rsid w:val="73816CB2"/>
    <w:rsid w:val="739509AF"/>
    <w:rsid w:val="73C51294"/>
    <w:rsid w:val="73CA0659"/>
    <w:rsid w:val="74024296"/>
    <w:rsid w:val="744C3764"/>
    <w:rsid w:val="74A964C0"/>
    <w:rsid w:val="74AC5FB0"/>
    <w:rsid w:val="74C432FA"/>
    <w:rsid w:val="74E76FE8"/>
    <w:rsid w:val="74EC45FF"/>
    <w:rsid w:val="75041948"/>
    <w:rsid w:val="750D674A"/>
    <w:rsid w:val="75120509"/>
    <w:rsid w:val="751C3961"/>
    <w:rsid w:val="7523495F"/>
    <w:rsid w:val="75472BD8"/>
    <w:rsid w:val="758D4034"/>
    <w:rsid w:val="759A67C7"/>
    <w:rsid w:val="75A82C1C"/>
    <w:rsid w:val="75F25C45"/>
    <w:rsid w:val="766C1E9B"/>
    <w:rsid w:val="76810114"/>
    <w:rsid w:val="76A4080F"/>
    <w:rsid w:val="76C9109B"/>
    <w:rsid w:val="76D87530"/>
    <w:rsid w:val="774626EC"/>
    <w:rsid w:val="77626DFA"/>
    <w:rsid w:val="77822FF8"/>
    <w:rsid w:val="77A2369A"/>
    <w:rsid w:val="77C159E3"/>
    <w:rsid w:val="77C41A81"/>
    <w:rsid w:val="77ED0DBA"/>
    <w:rsid w:val="781F5F02"/>
    <w:rsid w:val="782F3180"/>
    <w:rsid w:val="783C3AEF"/>
    <w:rsid w:val="78686E6C"/>
    <w:rsid w:val="78880AE2"/>
    <w:rsid w:val="788C5B9A"/>
    <w:rsid w:val="789254BD"/>
    <w:rsid w:val="78C22246"/>
    <w:rsid w:val="78D36201"/>
    <w:rsid w:val="78E140E5"/>
    <w:rsid w:val="78F85C68"/>
    <w:rsid w:val="7946222B"/>
    <w:rsid w:val="79517074"/>
    <w:rsid w:val="796C581D"/>
    <w:rsid w:val="79701CA2"/>
    <w:rsid w:val="79882B74"/>
    <w:rsid w:val="79BF22E2"/>
    <w:rsid w:val="79E920C0"/>
    <w:rsid w:val="79F857F4"/>
    <w:rsid w:val="7A170370"/>
    <w:rsid w:val="7A3F3423"/>
    <w:rsid w:val="7A434CC1"/>
    <w:rsid w:val="7A4D5B40"/>
    <w:rsid w:val="7A655559"/>
    <w:rsid w:val="7A770E0E"/>
    <w:rsid w:val="7AA65250"/>
    <w:rsid w:val="7AC322A6"/>
    <w:rsid w:val="7AC5601E"/>
    <w:rsid w:val="7AC8166A"/>
    <w:rsid w:val="7AE83ABA"/>
    <w:rsid w:val="7B0501C8"/>
    <w:rsid w:val="7B5B428C"/>
    <w:rsid w:val="7B6C0247"/>
    <w:rsid w:val="7B762E74"/>
    <w:rsid w:val="7BB265A2"/>
    <w:rsid w:val="7BB816DF"/>
    <w:rsid w:val="7BDA3403"/>
    <w:rsid w:val="7C151395"/>
    <w:rsid w:val="7C3264FA"/>
    <w:rsid w:val="7C75312C"/>
    <w:rsid w:val="7C7554E9"/>
    <w:rsid w:val="7C923CDE"/>
    <w:rsid w:val="7CB262EF"/>
    <w:rsid w:val="7CBA326B"/>
    <w:rsid w:val="7D00471E"/>
    <w:rsid w:val="7D350438"/>
    <w:rsid w:val="7D380D29"/>
    <w:rsid w:val="7D603DDC"/>
    <w:rsid w:val="7D725872"/>
    <w:rsid w:val="7D9341B1"/>
    <w:rsid w:val="7D9D6DDE"/>
    <w:rsid w:val="7DD6743B"/>
    <w:rsid w:val="7DF509C8"/>
    <w:rsid w:val="7E0D5D12"/>
    <w:rsid w:val="7E0E1A8A"/>
    <w:rsid w:val="7E2C3CBE"/>
    <w:rsid w:val="7E3A4942"/>
    <w:rsid w:val="7E573431"/>
    <w:rsid w:val="7E5751DF"/>
    <w:rsid w:val="7E926217"/>
    <w:rsid w:val="7E927FC5"/>
    <w:rsid w:val="7EA73213"/>
    <w:rsid w:val="7F007454"/>
    <w:rsid w:val="7F0D7F93"/>
    <w:rsid w:val="7F343772"/>
    <w:rsid w:val="7F345520"/>
    <w:rsid w:val="7F3D2627"/>
    <w:rsid w:val="7F4219EB"/>
    <w:rsid w:val="7F5B2AAD"/>
    <w:rsid w:val="7F632BE0"/>
    <w:rsid w:val="7F7A0065"/>
    <w:rsid w:val="7F991937"/>
    <w:rsid w:val="7FBD72C3"/>
    <w:rsid w:val="7FD12D6F"/>
    <w:rsid w:val="7FD14B1D"/>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Calibri" w:hAnsi="Calibri" w:eastAsia="仿宋" w:cs="Times New Roman"/>
      <w:kern w:val="2"/>
      <w:sz w:val="28"/>
      <w:szCs w:val="22"/>
      <w:lang w:val="en-US" w:eastAsia="zh-CN" w:bidi="ar-SA"/>
    </w:rPr>
  </w:style>
  <w:style w:type="paragraph" w:styleId="2">
    <w:name w:val="heading 1"/>
    <w:basedOn w:val="1"/>
    <w:next w:val="1"/>
    <w:link w:val="39"/>
    <w:qFormat/>
    <w:uiPriority w:val="9"/>
    <w:pPr>
      <w:keepNext/>
      <w:keepLines/>
      <w:numPr>
        <w:ilvl w:val="0"/>
        <w:numId w:val="1"/>
      </w:numPr>
      <w:ind w:left="0" w:firstLineChars="0"/>
      <w:jc w:val="center"/>
      <w:outlineLvl w:val="0"/>
    </w:pPr>
    <w:rPr>
      <w:b/>
      <w:bCs/>
      <w:kern w:val="44"/>
      <w:sz w:val="44"/>
      <w:szCs w:val="44"/>
    </w:rPr>
  </w:style>
  <w:style w:type="paragraph" w:styleId="3">
    <w:name w:val="heading 2"/>
    <w:basedOn w:val="1"/>
    <w:next w:val="1"/>
    <w:link w:val="40"/>
    <w:unhideWhenUsed/>
    <w:qFormat/>
    <w:uiPriority w:val="9"/>
    <w:pPr>
      <w:keepNext/>
      <w:keepLines/>
      <w:numPr>
        <w:ilvl w:val="1"/>
        <w:numId w:val="1"/>
      </w:numPr>
      <w:ind w:firstLineChars="0"/>
      <w:outlineLvl w:val="1"/>
    </w:pPr>
    <w:rPr>
      <w:rFonts w:asciiTheme="majorHAnsi" w:hAnsiTheme="majorHAnsi" w:cstheme="majorBidi"/>
      <w:b/>
      <w:bCs/>
      <w:sz w:val="32"/>
      <w:szCs w:val="32"/>
    </w:rPr>
  </w:style>
  <w:style w:type="paragraph" w:styleId="4">
    <w:name w:val="heading 3"/>
    <w:basedOn w:val="1"/>
    <w:next w:val="1"/>
    <w:link w:val="41"/>
    <w:unhideWhenUsed/>
    <w:qFormat/>
    <w:uiPriority w:val="9"/>
    <w:pPr>
      <w:keepNext/>
      <w:keepLines/>
      <w:numPr>
        <w:ilvl w:val="2"/>
        <w:numId w:val="1"/>
      </w:numPr>
      <w:spacing w:before="50" w:beforeLines="50" w:line="360" w:lineRule="auto"/>
      <w:ind w:left="0" w:firstLineChars="0"/>
      <w:outlineLvl w:val="2"/>
    </w:pPr>
    <w:rPr>
      <w:b/>
      <w:bCs/>
      <w:sz w:val="32"/>
      <w:szCs w:val="32"/>
    </w:rPr>
  </w:style>
  <w:style w:type="paragraph" w:styleId="5">
    <w:name w:val="heading 4"/>
    <w:basedOn w:val="1"/>
    <w:next w:val="1"/>
    <w:link w:val="42"/>
    <w:semiHidden/>
    <w:unhideWhenUsed/>
    <w:qFormat/>
    <w:uiPriority w:val="9"/>
    <w:pPr>
      <w:keepNext/>
      <w:keepLines/>
      <w:numPr>
        <w:ilvl w:val="3"/>
        <w:numId w:val="1"/>
      </w:numPr>
      <w:spacing w:before="280" w:after="290" w:line="376" w:lineRule="auto"/>
      <w:ind w:firstLineChars="0"/>
      <w:outlineLvl w:val="3"/>
    </w:pPr>
    <w:rPr>
      <w:rFonts w:asciiTheme="majorHAnsi" w:hAnsiTheme="majorHAnsi" w:eastAsiaTheme="majorEastAsia" w:cstheme="majorBidi"/>
      <w:b/>
      <w:bCs/>
      <w:szCs w:val="28"/>
    </w:rPr>
  </w:style>
  <w:style w:type="paragraph" w:styleId="6">
    <w:name w:val="heading 5"/>
    <w:basedOn w:val="1"/>
    <w:next w:val="1"/>
    <w:link w:val="43"/>
    <w:semiHidden/>
    <w:unhideWhenUsed/>
    <w:qFormat/>
    <w:uiPriority w:val="9"/>
    <w:pPr>
      <w:keepNext/>
      <w:keepLines/>
      <w:numPr>
        <w:ilvl w:val="4"/>
        <w:numId w:val="1"/>
      </w:numPr>
      <w:spacing w:before="280" w:after="290" w:line="376" w:lineRule="auto"/>
      <w:ind w:firstLineChars="0"/>
      <w:outlineLvl w:val="4"/>
    </w:pPr>
    <w:rPr>
      <w:b/>
      <w:bCs/>
      <w:szCs w:val="28"/>
    </w:rPr>
  </w:style>
  <w:style w:type="paragraph" w:styleId="7">
    <w:name w:val="heading 6"/>
    <w:basedOn w:val="1"/>
    <w:next w:val="1"/>
    <w:link w:val="44"/>
    <w:semiHidden/>
    <w:unhideWhenUsed/>
    <w:qFormat/>
    <w:uiPriority w:val="9"/>
    <w:pPr>
      <w:keepNext/>
      <w:keepLines/>
      <w:numPr>
        <w:ilvl w:val="5"/>
        <w:numId w:val="1"/>
      </w:numPr>
      <w:spacing w:before="240" w:after="64" w:line="320" w:lineRule="auto"/>
      <w:ind w:firstLineChars="0"/>
      <w:outlineLvl w:val="5"/>
    </w:pPr>
    <w:rPr>
      <w:rFonts w:asciiTheme="majorHAnsi" w:hAnsiTheme="majorHAnsi" w:eastAsiaTheme="majorEastAsia" w:cstheme="majorBidi"/>
      <w:b/>
      <w:bCs/>
      <w:sz w:val="24"/>
      <w:szCs w:val="24"/>
    </w:rPr>
  </w:style>
  <w:style w:type="paragraph" w:styleId="8">
    <w:name w:val="heading 7"/>
    <w:basedOn w:val="1"/>
    <w:next w:val="1"/>
    <w:link w:val="45"/>
    <w:semiHidden/>
    <w:unhideWhenUsed/>
    <w:qFormat/>
    <w:uiPriority w:val="9"/>
    <w:pPr>
      <w:keepNext/>
      <w:keepLines/>
      <w:numPr>
        <w:ilvl w:val="6"/>
        <w:numId w:val="1"/>
      </w:numPr>
      <w:spacing w:before="240" w:after="64" w:line="320" w:lineRule="auto"/>
      <w:ind w:firstLineChars="0"/>
      <w:outlineLvl w:val="6"/>
    </w:pPr>
    <w:rPr>
      <w:b/>
      <w:bCs/>
      <w:sz w:val="24"/>
      <w:szCs w:val="24"/>
    </w:rPr>
  </w:style>
  <w:style w:type="paragraph" w:styleId="9">
    <w:name w:val="heading 8"/>
    <w:basedOn w:val="1"/>
    <w:next w:val="1"/>
    <w:link w:val="46"/>
    <w:semiHidden/>
    <w:unhideWhenUsed/>
    <w:qFormat/>
    <w:uiPriority w:val="9"/>
    <w:pPr>
      <w:keepNext/>
      <w:keepLines/>
      <w:numPr>
        <w:ilvl w:val="7"/>
        <w:numId w:val="1"/>
      </w:numPr>
      <w:spacing w:before="240" w:after="64" w:line="320" w:lineRule="auto"/>
      <w:ind w:firstLineChars="0"/>
      <w:outlineLvl w:val="7"/>
    </w:pPr>
    <w:rPr>
      <w:rFonts w:asciiTheme="majorHAnsi" w:hAnsiTheme="majorHAnsi" w:eastAsiaTheme="majorEastAsia" w:cstheme="majorBidi"/>
      <w:sz w:val="24"/>
      <w:szCs w:val="24"/>
    </w:rPr>
  </w:style>
  <w:style w:type="paragraph" w:styleId="10">
    <w:name w:val="heading 9"/>
    <w:basedOn w:val="1"/>
    <w:next w:val="1"/>
    <w:link w:val="47"/>
    <w:semiHidden/>
    <w:unhideWhenUsed/>
    <w:qFormat/>
    <w:uiPriority w:val="9"/>
    <w:pPr>
      <w:keepNext/>
      <w:keepLines/>
      <w:numPr>
        <w:ilvl w:val="8"/>
        <w:numId w:val="1"/>
      </w:numPr>
      <w:spacing w:before="240" w:after="64" w:line="320" w:lineRule="auto"/>
      <w:ind w:firstLineChars="0"/>
      <w:outlineLvl w:val="8"/>
    </w:pPr>
    <w:rPr>
      <w:rFonts w:asciiTheme="majorHAnsi" w:hAnsiTheme="majorHAnsi" w:eastAsiaTheme="majorEastAsia" w:cstheme="majorBidi"/>
      <w:sz w:val="21"/>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pPr>
    <w:rPr>
      <w:rFonts w:asciiTheme="minorHAnsi" w:hAnsiTheme="minorHAnsi" w:eastAsiaTheme="minorEastAsia" w:cstheme="minorBidi"/>
      <w:sz w:val="21"/>
    </w:rPr>
  </w:style>
  <w:style w:type="paragraph" w:styleId="12">
    <w:name w:val="Normal Indent"/>
    <w:basedOn w:val="1"/>
    <w:link w:val="53"/>
    <w:qFormat/>
    <w:uiPriority w:val="0"/>
    <w:pPr>
      <w:ind w:firstLine="420"/>
    </w:pPr>
    <w:rPr>
      <w:sz w:val="30"/>
      <w:szCs w:val="24"/>
      <w:lang w:val="en-GB"/>
    </w:rPr>
  </w:style>
  <w:style w:type="paragraph" w:styleId="13">
    <w:name w:val="caption"/>
    <w:basedOn w:val="1"/>
    <w:next w:val="1"/>
    <w:unhideWhenUsed/>
    <w:qFormat/>
    <w:uiPriority w:val="35"/>
    <w:pPr>
      <w:adjustRightInd/>
      <w:snapToGrid/>
      <w:spacing w:line="240" w:lineRule="auto"/>
      <w:ind w:firstLine="0" w:firstLineChars="0"/>
    </w:pPr>
    <w:rPr>
      <w:rFonts w:ascii="Cambria" w:hAnsi="Cambria" w:eastAsia="黑体"/>
      <w:kern w:val="0"/>
      <w:sz w:val="20"/>
    </w:rPr>
  </w:style>
  <w:style w:type="paragraph" w:styleId="14">
    <w:name w:val="annotation text"/>
    <w:basedOn w:val="1"/>
    <w:link w:val="50"/>
    <w:semiHidden/>
    <w:unhideWhenUsed/>
    <w:qFormat/>
    <w:uiPriority w:val="99"/>
    <w:pPr>
      <w:jc w:val="left"/>
    </w:pPr>
  </w:style>
  <w:style w:type="paragraph" w:styleId="15">
    <w:name w:val="Body Text"/>
    <w:qFormat/>
    <w:uiPriority w:val="0"/>
    <w:pPr>
      <w:widowControl w:val="0"/>
      <w:adjustRightInd w:val="0"/>
      <w:snapToGrid w:val="0"/>
      <w:spacing w:after="120" w:line="360" w:lineRule="auto"/>
      <w:ind w:firstLine="0" w:firstLineChars="0"/>
      <w:jc w:val="both"/>
    </w:pPr>
    <w:rPr>
      <w:rFonts w:ascii="Times New Roman" w:hAnsi="Times New Roman" w:eastAsia="宋体" w:cs="Times New Roman"/>
      <w:kern w:val="2"/>
      <w:sz w:val="21"/>
      <w:szCs w:val="22"/>
      <w:lang w:val="en-US" w:eastAsia="zh-CN" w:bidi="ar-SA"/>
    </w:rPr>
  </w:style>
  <w:style w:type="paragraph" w:styleId="16">
    <w:name w:val="toc 5"/>
    <w:basedOn w:val="1"/>
    <w:next w:val="1"/>
    <w:unhideWhenUsed/>
    <w:qFormat/>
    <w:uiPriority w:val="39"/>
    <w:pPr>
      <w:adjustRightInd/>
      <w:snapToGrid/>
      <w:spacing w:line="240" w:lineRule="auto"/>
      <w:ind w:left="1680" w:leftChars="800" w:firstLine="0" w:firstLineChars="0"/>
    </w:pPr>
    <w:rPr>
      <w:rFonts w:asciiTheme="minorHAnsi" w:hAnsiTheme="minorHAnsi" w:eastAsiaTheme="minorEastAsia" w:cstheme="minorBidi"/>
      <w:sz w:val="21"/>
    </w:rPr>
  </w:style>
  <w:style w:type="paragraph" w:styleId="17">
    <w:name w:val="toc 3"/>
    <w:basedOn w:val="1"/>
    <w:next w:val="1"/>
    <w:unhideWhenUsed/>
    <w:qFormat/>
    <w:uiPriority w:val="39"/>
    <w:pPr>
      <w:ind w:left="840" w:leftChars="400"/>
    </w:pPr>
  </w:style>
  <w:style w:type="paragraph" w:styleId="18">
    <w:name w:val="toc 8"/>
    <w:basedOn w:val="1"/>
    <w:next w:val="1"/>
    <w:unhideWhenUsed/>
    <w:qFormat/>
    <w:uiPriority w:val="39"/>
    <w:pPr>
      <w:adjustRightInd/>
      <w:snapToGrid/>
      <w:spacing w:line="240" w:lineRule="auto"/>
      <w:ind w:left="2940" w:leftChars="1400" w:firstLine="0" w:firstLineChars="0"/>
    </w:pPr>
    <w:rPr>
      <w:rFonts w:asciiTheme="minorHAnsi" w:hAnsiTheme="minorHAnsi" w:eastAsiaTheme="minorEastAsia" w:cstheme="minorBidi"/>
      <w:sz w:val="21"/>
    </w:rPr>
  </w:style>
  <w:style w:type="paragraph" w:styleId="19">
    <w:name w:val="Date"/>
    <w:next w:val="1"/>
    <w:qFormat/>
    <w:uiPriority w:val="0"/>
    <w:pPr>
      <w:widowControl w:val="0"/>
      <w:adjustRightInd w:val="0"/>
      <w:snapToGrid w:val="0"/>
      <w:spacing w:line="360" w:lineRule="auto"/>
      <w:ind w:firstLine="200" w:firstLineChars="200"/>
      <w:jc w:val="both"/>
    </w:pPr>
    <w:rPr>
      <w:rFonts w:hint="eastAsia" w:ascii="宋体" w:hAnsi="宋体" w:eastAsia="楷体_GB2312" w:cs="Times New Roman"/>
      <w:kern w:val="2"/>
      <w:sz w:val="24"/>
      <w:szCs w:val="20"/>
      <w:lang w:val="en-US" w:eastAsia="zh-CN" w:bidi="ar-SA"/>
    </w:rPr>
  </w:style>
  <w:style w:type="paragraph" w:styleId="20">
    <w:name w:val="footer"/>
    <w:basedOn w:val="1"/>
    <w:link w:val="37"/>
    <w:unhideWhenUsed/>
    <w:qFormat/>
    <w:uiPriority w:val="99"/>
    <w:pPr>
      <w:tabs>
        <w:tab w:val="center" w:pos="4153"/>
        <w:tab w:val="right" w:pos="8306"/>
      </w:tabs>
      <w:jc w:val="left"/>
    </w:pPr>
    <w:rPr>
      <w:sz w:val="18"/>
      <w:szCs w:val="18"/>
    </w:rPr>
  </w:style>
  <w:style w:type="paragraph" w:styleId="21">
    <w:name w:val="header"/>
    <w:basedOn w:val="1"/>
    <w:link w:val="36"/>
    <w:unhideWhenUsed/>
    <w:qFormat/>
    <w:uiPriority w:val="99"/>
    <w:pPr>
      <w:pBdr>
        <w:bottom w:val="single" w:color="auto" w:sz="6" w:space="1"/>
      </w:pBdr>
      <w:tabs>
        <w:tab w:val="center" w:pos="4153"/>
        <w:tab w:val="right" w:pos="8306"/>
      </w:tabs>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adjustRightInd/>
      <w:snapToGrid/>
      <w:spacing w:line="240" w:lineRule="auto"/>
      <w:ind w:left="1260" w:leftChars="600" w:firstLine="0" w:firstLineChars="0"/>
    </w:pPr>
    <w:rPr>
      <w:rFonts w:asciiTheme="minorHAnsi" w:hAnsiTheme="minorHAnsi" w:eastAsiaTheme="minorEastAsia" w:cstheme="minorBidi"/>
      <w:sz w:val="21"/>
    </w:rPr>
  </w:style>
  <w:style w:type="paragraph" w:styleId="24">
    <w:name w:val="toc 6"/>
    <w:basedOn w:val="1"/>
    <w:next w:val="1"/>
    <w:unhideWhenUsed/>
    <w:qFormat/>
    <w:uiPriority w:val="39"/>
    <w:pPr>
      <w:adjustRightInd/>
      <w:snapToGrid/>
      <w:spacing w:line="240" w:lineRule="auto"/>
      <w:ind w:left="2100" w:leftChars="1000" w:firstLine="0" w:firstLineChars="0"/>
    </w:pPr>
    <w:rPr>
      <w:rFonts w:asciiTheme="minorHAnsi" w:hAnsiTheme="minorHAnsi" w:eastAsiaTheme="minorEastAsia" w:cstheme="minorBidi"/>
      <w:sz w:val="21"/>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adjustRightInd/>
      <w:snapToGrid/>
      <w:spacing w:line="240" w:lineRule="auto"/>
      <w:ind w:left="3360" w:leftChars="1600" w:firstLine="0" w:firstLineChars="0"/>
    </w:pPr>
    <w:rPr>
      <w:rFonts w:asciiTheme="minorHAnsi" w:hAnsiTheme="minorHAnsi" w:eastAsiaTheme="minorEastAsia" w:cstheme="minorBidi"/>
      <w:sz w:val="21"/>
    </w:rPr>
  </w:style>
  <w:style w:type="paragraph" w:styleId="2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8">
    <w:name w:val="Title"/>
    <w:basedOn w:val="1"/>
    <w:next w:val="1"/>
    <w:link w:val="38"/>
    <w:qFormat/>
    <w:uiPriority w:val="10"/>
    <w:pPr>
      <w:spacing w:before="240" w:after="60"/>
      <w:jc w:val="center"/>
      <w:outlineLvl w:val="0"/>
    </w:pPr>
    <w:rPr>
      <w:rFonts w:ascii="Calibri Light" w:hAnsi="Calibri Light"/>
      <w:b/>
      <w:bCs/>
      <w:sz w:val="32"/>
      <w:szCs w:val="32"/>
    </w:rPr>
  </w:style>
  <w:style w:type="paragraph" w:styleId="29">
    <w:name w:val="annotation subject"/>
    <w:basedOn w:val="14"/>
    <w:next w:val="14"/>
    <w:link w:val="51"/>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character" w:customStyle="1" w:styleId="36">
    <w:name w:val="页眉 字符"/>
    <w:basedOn w:val="32"/>
    <w:link w:val="21"/>
    <w:qFormat/>
    <w:uiPriority w:val="99"/>
    <w:rPr>
      <w:sz w:val="18"/>
      <w:szCs w:val="18"/>
    </w:rPr>
  </w:style>
  <w:style w:type="character" w:customStyle="1" w:styleId="37">
    <w:name w:val="页脚 字符"/>
    <w:basedOn w:val="32"/>
    <w:link w:val="20"/>
    <w:qFormat/>
    <w:uiPriority w:val="99"/>
    <w:rPr>
      <w:sz w:val="18"/>
      <w:szCs w:val="18"/>
    </w:rPr>
  </w:style>
  <w:style w:type="character" w:customStyle="1" w:styleId="38">
    <w:name w:val="标题 字符"/>
    <w:basedOn w:val="32"/>
    <w:link w:val="28"/>
    <w:qFormat/>
    <w:uiPriority w:val="10"/>
    <w:rPr>
      <w:rFonts w:ascii="Calibri Light" w:hAnsi="Calibri Light" w:eastAsia="宋体" w:cs="Times New Roman"/>
      <w:b/>
      <w:bCs/>
      <w:sz w:val="32"/>
      <w:szCs w:val="32"/>
    </w:rPr>
  </w:style>
  <w:style w:type="character" w:customStyle="1" w:styleId="39">
    <w:name w:val="标题 1 字符"/>
    <w:basedOn w:val="32"/>
    <w:link w:val="2"/>
    <w:qFormat/>
    <w:uiPriority w:val="9"/>
    <w:rPr>
      <w:rFonts w:ascii="Calibri" w:hAnsi="Calibri" w:eastAsia="宋体" w:cs="Times New Roman"/>
      <w:b/>
      <w:bCs/>
      <w:kern w:val="44"/>
      <w:sz w:val="44"/>
      <w:szCs w:val="44"/>
    </w:rPr>
  </w:style>
  <w:style w:type="character" w:customStyle="1" w:styleId="40">
    <w:name w:val="标题 2 字符"/>
    <w:basedOn w:val="32"/>
    <w:link w:val="3"/>
    <w:qFormat/>
    <w:uiPriority w:val="9"/>
    <w:rPr>
      <w:rFonts w:eastAsia="仿宋" w:asciiTheme="majorHAnsi" w:hAnsiTheme="majorHAnsi" w:cstheme="majorBidi"/>
      <w:b/>
      <w:bCs/>
      <w:sz w:val="32"/>
      <w:szCs w:val="32"/>
    </w:rPr>
  </w:style>
  <w:style w:type="character" w:customStyle="1" w:styleId="41">
    <w:name w:val="标题 3 字符"/>
    <w:basedOn w:val="32"/>
    <w:link w:val="4"/>
    <w:qFormat/>
    <w:uiPriority w:val="9"/>
    <w:rPr>
      <w:rFonts w:ascii="Calibri" w:hAnsi="Calibri" w:eastAsia="仿宋" w:cs="Times New Roman"/>
      <w:b/>
      <w:bCs/>
      <w:sz w:val="32"/>
      <w:szCs w:val="32"/>
    </w:rPr>
  </w:style>
  <w:style w:type="character" w:customStyle="1" w:styleId="42">
    <w:name w:val="标题 4 字符"/>
    <w:basedOn w:val="32"/>
    <w:link w:val="5"/>
    <w:semiHidden/>
    <w:qFormat/>
    <w:uiPriority w:val="9"/>
    <w:rPr>
      <w:rFonts w:asciiTheme="majorHAnsi" w:hAnsiTheme="majorHAnsi" w:eastAsiaTheme="majorEastAsia" w:cstheme="majorBidi"/>
      <w:b/>
      <w:bCs/>
      <w:sz w:val="28"/>
      <w:szCs w:val="28"/>
    </w:rPr>
  </w:style>
  <w:style w:type="character" w:customStyle="1" w:styleId="43">
    <w:name w:val="标题 5 字符"/>
    <w:basedOn w:val="32"/>
    <w:link w:val="6"/>
    <w:semiHidden/>
    <w:qFormat/>
    <w:uiPriority w:val="9"/>
    <w:rPr>
      <w:rFonts w:ascii="Calibri" w:hAnsi="Calibri" w:eastAsia="宋体" w:cs="Times New Roman"/>
      <w:b/>
      <w:bCs/>
      <w:sz w:val="28"/>
      <w:szCs w:val="28"/>
    </w:rPr>
  </w:style>
  <w:style w:type="character" w:customStyle="1" w:styleId="44">
    <w:name w:val="标题 6 字符"/>
    <w:basedOn w:val="32"/>
    <w:link w:val="7"/>
    <w:semiHidden/>
    <w:qFormat/>
    <w:uiPriority w:val="9"/>
    <w:rPr>
      <w:rFonts w:asciiTheme="majorHAnsi" w:hAnsiTheme="majorHAnsi" w:eastAsiaTheme="majorEastAsia" w:cstheme="majorBidi"/>
      <w:b/>
      <w:bCs/>
      <w:sz w:val="24"/>
      <w:szCs w:val="24"/>
    </w:rPr>
  </w:style>
  <w:style w:type="character" w:customStyle="1" w:styleId="45">
    <w:name w:val="标题 7 字符"/>
    <w:basedOn w:val="32"/>
    <w:link w:val="8"/>
    <w:semiHidden/>
    <w:qFormat/>
    <w:uiPriority w:val="9"/>
    <w:rPr>
      <w:rFonts w:ascii="Calibri" w:hAnsi="Calibri" w:eastAsia="宋体" w:cs="Times New Roman"/>
      <w:b/>
      <w:bCs/>
      <w:sz w:val="24"/>
      <w:szCs w:val="24"/>
    </w:rPr>
  </w:style>
  <w:style w:type="character" w:customStyle="1" w:styleId="46">
    <w:name w:val="标题 8 字符"/>
    <w:basedOn w:val="32"/>
    <w:link w:val="9"/>
    <w:semiHidden/>
    <w:qFormat/>
    <w:uiPriority w:val="9"/>
    <w:rPr>
      <w:rFonts w:asciiTheme="majorHAnsi" w:hAnsiTheme="majorHAnsi" w:eastAsiaTheme="majorEastAsia" w:cstheme="majorBidi"/>
      <w:sz w:val="24"/>
      <w:szCs w:val="24"/>
    </w:rPr>
  </w:style>
  <w:style w:type="character" w:customStyle="1" w:styleId="47">
    <w:name w:val="标题 9 字符"/>
    <w:basedOn w:val="32"/>
    <w:link w:val="10"/>
    <w:semiHidden/>
    <w:qFormat/>
    <w:uiPriority w:val="9"/>
    <w:rPr>
      <w:rFonts w:asciiTheme="majorHAnsi" w:hAnsiTheme="majorHAnsi" w:eastAsiaTheme="majorEastAsia" w:cstheme="majorBidi"/>
      <w:szCs w:val="21"/>
    </w:rPr>
  </w:style>
  <w:style w:type="paragraph" w:customStyle="1" w:styleId="48">
    <w:name w:val="TOC 标题1"/>
    <w:basedOn w:val="2"/>
    <w:next w:val="1"/>
    <w:unhideWhenUsed/>
    <w:qFormat/>
    <w:uiPriority w:val="39"/>
    <w:pPr>
      <w:widowControl/>
      <w:numPr>
        <w:numId w:val="0"/>
      </w:numPr>
      <w:adjustRightInd/>
      <w:snapToGrid/>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9">
    <w:name w:val="NormalIndent"/>
    <w:qFormat/>
    <w:uiPriority w:val="0"/>
    <w:pPr>
      <w:widowControl w:val="0"/>
      <w:ind w:firstLine="420"/>
      <w:jc w:val="both"/>
    </w:pPr>
    <w:rPr>
      <w:rFonts w:ascii="Calibri" w:hAnsi="Calibri" w:eastAsia="Calibri" w:cs="Times New Roman"/>
      <w:kern w:val="1"/>
      <w:sz w:val="21"/>
      <w:szCs w:val="24"/>
      <w:lang w:val="en-US" w:eastAsia="zh-CN" w:bidi="ar-SA"/>
    </w:rPr>
  </w:style>
  <w:style w:type="character" w:customStyle="1" w:styleId="50">
    <w:name w:val="批注文字 字符"/>
    <w:basedOn w:val="32"/>
    <w:link w:val="14"/>
    <w:semiHidden/>
    <w:qFormat/>
    <w:uiPriority w:val="99"/>
    <w:rPr>
      <w:rFonts w:ascii="Calibri" w:hAnsi="Calibri" w:eastAsia="仿宋"/>
      <w:kern w:val="2"/>
      <w:sz w:val="28"/>
      <w:szCs w:val="22"/>
    </w:rPr>
  </w:style>
  <w:style w:type="character" w:customStyle="1" w:styleId="51">
    <w:name w:val="批注主题 字符"/>
    <w:basedOn w:val="50"/>
    <w:link w:val="29"/>
    <w:semiHidden/>
    <w:qFormat/>
    <w:uiPriority w:val="99"/>
    <w:rPr>
      <w:rFonts w:ascii="Calibri" w:hAnsi="Calibri" w:eastAsia="仿宋"/>
      <w:b/>
      <w:bCs/>
      <w:kern w:val="2"/>
      <w:sz w:val="28"/>
      <w:szCs w:val="22"/>
    </w:rPr>
  </w:style>
  <w:style w:type="paragraph" w:customStyle="1" w:styleId="52">
    <w:name w:val="_Style 25"/>
    <w:basedOn w:val="1"/>
    <w:next w:val="1"/>
    <w:unhideWhenUsed/>
    <w:qFormat/>
    <w:uiPriority w:val="39"/>
    <w:pPr>
      <w:widowControl/>
      <w:adjustRightInd/>
      <w:snapToGrid/>
      <w:spacing w:after="100" w:line="259" w:lineRule="auto"/>
      <w:ind w:left="440" w:firstLine="0" w:firstLineChars="0"/>
      <w:jc w:val="left"/>
    </w:pPr>
    <w:rPr>
      <w:rFonts w:eastAsia="宋体"/>
      <w:kern w:val="0"/>
      <w:sz w:val="22"/>
    </w:rPr>
  </w:style>
  <w:style w:type="character" w:customStyle="1" w:styleId="53">
    <w:name w:val="正文缩进 字符"/>
    <w:link w:val="12"/>
    <w:qFormat/>
    <w:uiPriority w:val="0"/>
    <w:rPr>
      <w:rFonts w:ascii="Calibri" w:hAnsi="Calibri" w:eastAsia="仿宋"/>
      <w:kern w:val="2"/>
      <w:sz w:val="30"/>
      <w:szCs w:val="24"/>
      <w:lang w:val="en-GB"/>
    </w:rPr>
  </w:style>
  <w:style w:type="character" w:customStyle="1" w:styleId="54">
    <w:name w:val="未处理的提及1"/>
    <w:basedOn w:val="32"/>
    <w:semiHidden/>
    <w:unhideWhenUsed/>
    <w:qFormat/>
    <w:uiPriority w:val="99"/>
    <w:rPr>
      <w:color w:val="605E5C"/>
      <w:shd w:val="clear" w:color="auto" w:fill="E1DFDD"/>
    </w:rPr>
  </w:style>
  <w:style w:type="character" w:customStyle="1" w:styleId="55">
    <w:name w:val="未处理的提及2"/>
    <w:basedOn w:val="32"/>
    <w:semiHidden/>
    <w:unhideWhenUsed/>
    <w:qFormat/>
    <w:uiPriority w:val="99"/>
    <w:rPr>
      <w:color w:val="605E5C"/>
      <w:shd w:val="clear" w:color="auto" w:fill="E1DFDD"/>
    </w:rPr>
  </w:style>
  <w:style w:type="character" w:customStyle="1" w:styleId="56">
    <w:name w:val="font11"/>
    <w:basedOn w:val="32"/>
    <w:qFormat/>
    <w:uiPriority w:val="0"/>
    <w:rPr>
      <w:rFonts w:hint="eastAsia" w:ascii="仿宋_GB2312" w:eastAsia="仿宋_GB2312"/>
      <w:color w:val="000000"/>
      <w:sz w:val="18"/>
      <w:szCs w:val="18"/>
      <w:u w:val="none"/>
    </w:rPr>
  </w:style>
  <w:style w:type="character" w:customStyle="1" w:styleId="57">
    <w:name w:val="font31"/>
    <w:basedOn w:val="32"/>
    <w:qFormat/>
    <w:uiPriority w:val="0"/>
    <w:rPr>
      <w:rFonts w:hint="default" w:ascii="Times New Roman" w:hAnsi="Times New Roman" w:cs="Times New Roman"/>
      <w:b/>
      <w:bCs/>
      <w:color w:val="000000"/>
      <w:sz w:val="18"/>
      <w:szCs w:val="18"/>
      <w:u w:val="none"/>
    </w:rPr>
  </w:style>
  <w:style w:type="character" w:customStyle="1" w:styleId="58">
    <w:name w:val="font21"/>
    <w:basedOn w:val="32"/>
    <w:qFormat/>
    <w:uiPriority w:val="0"/>
    <w:rPr>
      <w:rFonts w:hint="default" w:ascii="Times New Roman" w:hAnsi="Times New Roman" w:cs="Times New Roman"/>
      <w:color w:val="000000"/>
      <w:sz w:val="18"/>
      <w:szCs w:val="18"/>
      <w:u w:val="none"/>
    </w:rPr>
  </w:style>
  <w:style w:type="character" w:customStyle="1" w:styleId="59">
    <w:name w:val="font41"/>
    <w:basedOn w:val="32"/>
    <w:qFormat/>
    <w:uiPriority w:val="0"/>
    <w:rPr>
      <w:rFonts w:hint="eastAsia" w:ascii="仿宋_GB2312" w:eastAsia="仿宋_GB2312"/>
      <w:color w:val="000000"/>
      <w:sz w:val="18"/>
      <w:szCs w:val="18"/>
      <w:u w:val="none"/>
    </w:rPr>
  </w:style>
  <w:style w:type="paragraph" w:styleId="60">
    <w:name w:val="List Paragraph"/>
    <w:basedOn w:val="1"/>
    <w:qFormat/>
    <w:uiPriority w:val="99"/>
    <w:pPr>
      <w:ind w:firstLine="420"/>
    </w:pPr>
  </w:style>
  <w:style w:type="character" w:customStyle="1" w:styleId="61">
    <w:name w:val="未处理的提及3"/>
    <w:basedOn w:val="32"/>
    <w:semiHidden/>
    <w:unhideWhenUsed/>
    <w:qFormat/>
    <w:uiPriority w:val="99"/>
    <w:rPr>
      <w:color w:val="605E5C"/>
      <w:shd w:val="clear" w:color="auto" w:fill="E1DFDD"/>
    </w:rPr>
  </w:style>
  <w:style w:type="character" w:customStyle="1" w:styleId="62">
    <w:name w:val="Unresolved Mention"/>
    <w:basedOn w:val="32"/>
    <w:semiHidden/>
    <w:unhideWhenUsed/>
    <w:qFormat/>
    <w:uiPriority w:val="99"/>
    <w:rPr>
      <w:color w:val="605E5C"/>
      <w:shd w:val="clear" w:color="auto" w:fill="E1DFDD"/>
    </w:rPr>
  </w:style>
  <w:style w:type="paragraph" w:customStyle="1" w:styleId="63">
    <w:name w:val="条文脚注"/>
    <w:autoRedefine/>
    <w:qFormat/>
    <w:uiPriority w:val="0"/>
    <w:pPr>
      <w:widowControl w:val="0"/>
      <w:adjustRightInd w:val="0"/>
      <w:snapToGrid w:val="0"/>
      <w:spacing w:line="576" w:lineRule="exact"/>
      <w:ind w:left="780" w:leftChars="200" w:hanging="360" w:hangingChars="200"/>
      <w:jc w:val="both"/>
    </w:pPr>
    <w:rPr>
      <w:rFonts w:ascii="宋体" w:eastAsia="宋体" w:hAnsiTheme="minorHAnsi" w:cstheme="minorBidi"/>
      <w:kern w:val="0"/>
      <w:sz w:val="18"/>
      <w:szCs w:val="22"/>
      <w:lang w:val="en-US" w:eastAsia="zh-CN" w:bidi="ar-SA"/>
    </w:rPr>
  </w:style>
  <w:style w:type="paragraph" w:customStyle="1" w:styleId="64">
    <w:name w:val="脚注文本1"/>
    <w:autoRedefine/>
    <w:qFormat/>
    <w:uiPriority w:val="0"/>
    <w:pPr>
      <w:widowControl w:val="0"/>
      <w:adjustRightInd w:val="0"/>
      <w:snapToGrid w:val="0"/>
      <w:spacing w:line="576" w:lineRule="exact"/>
      <w:jc w:val="left"/>
    </w:pPr>
    <w:rPr>
      <w:rFonts w:eastAsia="宋体" w:asciiTheme="minorHAnsi" w:hAnsiTheme="minorHAnsi" w:cstheme="minorBidi"/>
      <w:kern w:val="2"/>
      <w:sz w:val="1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tiff"/><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人口（万人）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2019年</c:v>
                </c:pt>
                <c:pt idx="1">
                  <c:v>2020年</c:v>
                </c:pt>
                <c:pt idx="2">
                  <c:v>2021年</c:v>
                </c:pt>
                <c:pt idx="3">
                  <c:v>2022年</c:v>
                </c:pt>
                <c:pt idx="4">
                  <c:v>2023年</c:v>
                </c:pt>
                <c:pt idx="5">
                  <c:v>2024年</c:v>
                </c:pt>
                <c:pt idx="6">
                  <c:v>2025年</c:v>
                </c:pt>
                <c:pt idx="7">
                  <c:v>2026年</c:v>
                </c:pt>
                <c:pt idx="8">
                  <c:v>2027年</c:v>
                </c:pt>
                <c:pt idx="9">
                  <c:v>2028年</c:v>
                </c:pt>
              </c:strCache>
            </c:strRef>
          </c:cat>
          <c:val>
            <c:numRef>
              <c:f>Sheet1!$B$2:$B$11</c:f>
              <c:numCache>
                <c:formatCode>General</c:formatCode>
                <c:ptCount val="10"/>
                <c:pt idx="0">
                  <c:v>50.31</c:v>
                </c:pt>
                <c:pt idx="1">
                  <c:v>49.8</c:v>
                </c:pt>
                <c:pt idx="2">
                  <c:v>49.4</c:v>
                </c:pt>
                <c:pt idx="3">
                  <c:v>49.1</c:v>
                </c:pt>
                <c:pt idx="4">
                  <c:v>48.6</c:v>
                </c:pt>
                <c:pt idx="5">
                  <c:v>49.18</c:v>
                </c:pt>
                <c:pt idx="6">
                  <c:v>49.77</c:v>
                </c:pt>
                <c:pt idx="7">
                  <c:v>50.37</c:v>
                </c:pt>
                <c:pt idx="8">
                  <c:v>50.95</c:v>
                </c:pt>
                <c:pt idx="9">
                  <c:v>51.54</c:v>
                </c:pt>
              </c:numCache>
            </c:numRef>
          </c:val>
        </c:ser>
        <c:ser>
          <c:idx val="1"/>
          <c:order val="1"/>
          <c:tx>
            <c:strRef>
              <c:f>Sheet1!$C$1</c:f>
              <c:strCache>
                <c:ptCount val="1"/>
                <c:pt idx="0">
                  <c:v>GDP总量(亿元)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2019年</c:v>
                </c:pt>
                <c:pt idx="1">
                  <c:v>2020年</c:v>
                </c:pt>
                <c:pt idx="2">
                  <c:v>2021年</c:v>
                </c:pt>
                <c:pt idx="3">
                  <c:v>2022年</c:v>
                </c:pt>
                <c:pt idx="4">
                  <c:v>2023年</c:v>
                </c:pt>
                <c:pt idx="5">
                  <c:v>2024年</c:v>
                </c:pt>
                <c:pt idx="6">
                  <c:v>2025年</c:v>
                </c:pt>
                <c:pt idx="7">
                  <c:v>2026年</c:v>
                </c:pt>
                <c:pt idx="8">
                  <c:v>2027年</c:v>
                </c:pt>
                <c:pt idx="9">
                  <c:v>2028年</c:v>
                </c:pt>
              </c:strCache>
            </c:strRef>
          </c:cat>
          <c:val>
            <c:numRef>
              <c:f>Sheet1!$C$2:$C$11</c:f>
              <c:numCache>
                <c:formatCode>General</c:formatCode>
                <c:ptCount val="10"/>
                <c:pt idx="0">
                  <c:v>138.8</c:v>
                </c:pt>
                <c:pt idx="1">
                  <c:v>144.4</c:v>
                </c:pt>
                <c:pt idx="2">
                  <c:v>151.8</c:v>
                </c:pt>
                <c:pt idx="3">
                  <c:v>147.6</c:v>
                </c:pt>
                <c:pt idx="4">
                  <c:v>157</c:v>
                </c:pt>
                <c:pt idx="5">
                  <c:v>164.8</c:v>
                </c:pt>
                <c:pt idx="6">
                  <c:v>173.1</c:v>
                </c:pt>
                <c:pt idx="7">
                  <c:v>181.7</c:v>
                </c:pt>
                <c:pt idx="8">
                  <c:v>190.8</c:v>
                </c:pt>
                <c:pt idx="9">
                  <c:v>200.3</c:v>
                </c:pt>
              </c:numCache>
            </c:numRef>
          </c:val>
        </c:ser>
        <c:dLbls>
          <c:showLegendKey val="0"/>
          <c:showVal val="1"/>
          <c:showCatName val="0"/>
          <c:showSerName val="0"/>
          <c:showPercent val="0"/>
          <c:showBubbleSize val="0"/>
        </c:dLbls>
        <c:gapWidth val="219"/>
        <c:overlap val="-27"/>
        <c:axId val="941055577"/>
        <c:axId val="167429521"/>
      </c:barChart>
      <c:lineChart>
        <c:grouping val="standard"/>
        <c:varyColors val="0"/>
        <c:ser>
          <c:idx val="2"/>
          <c:order val="2"/>
          <c:tx>
            <c:strRef>
              <c:f>Sheet1!$D$1</c:f>
              <c:strCache>
                <c:ptCount val="1"/>
                <c:pt idx="0">
                  <c:v>人均GDP(万元)</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2019年</c:v>
                </c:pt>
                <c:pt idx="1">
                  <c:v>2020年</c:v>
                </c:pt>
                <c:pt idx="2">
                  <c:v>2021年</c:v>
                </c:pt>
                <c:pt idx="3">
                  <c:v>2022年</c:v>
                </c:pt>
                <c:pt idx="4">
                  <c:v>2023年</c:v>
                </c:pt>
                <c:pt idx="5">
                  <c:v>2024年</c:v>
                </c:pt>
                <c:pt idx="6">
                  <c:v>2025年</c:v>
                </c:pt>
                <c:pt idx="7">
                  <c:v>2026年</c:v>
                </c:pt>
                <c:pt idx="8">
                  <c:v>2027年</c:v>
                </c:pt>
                <c:pt idx="9">
                  <c:v>2028年</c:v>
                </c:pt>
              </c:strCache>
            </c:strRef>
          </c:cat>
          <c:val>
            <c:numRef>
              <c:f>Sheet1!$D$2:$D$11</c:f>
              <c:numCache>
                <c:formatCode>General</c:formatCode>
                <c:ptCount val="10"/>
                <c:pt idx="0">
                  <c:v>3.6</c:v>
                </c:pt>
                <c:pt idx="1">
                  <c:v>3.3</c:v>
                </c:pt>
                <c:pt idx="2">
                  <c:v>3.3</c:v>
                </c:pt>
                <c:pt idx="3">
                  <c:v>3.3</c:v>
                </c:pt>
                <c:pt idx="4">
                  <c:v>3.1</c:v>
                </c:pt>
                <c:pt idx="5">
                  <c:v>3.4</c:v>
                </c:pt>
                <c:pt idx="6">
                  <c:v>3.5</c:v>
                </c:pt>
                <c:pt idx="7">
                  <c:v>3.6</c:v>
                </c:pt>
                <c:pt idx="8">
                  <c:v>3.7</c:v>
                </c:pt>
                <c:pt idx="9">
                  <c:v>3.8</c:v>
                </c:pt>
              </c:numCache>
            </c:numRef>
          </c:val>
          <c:smooth val="0"/>
        </c:ser>
        <c:dLbls>
          <c:showLegendKey val="0"/>
          <c:showVal val="1"/>
          <c:showCatName val="0"/>
          <c:showSerName val="0"/>
          <c:showPercent val="0"/>
          <c:showBubbleSize val="0"/>
        </c:dLbls>
        <c:marker val="0"/>
        <c:smooth val="0"/>
        <c:axId val="184958968"/>
        <c:axId val="411740086"/>
      </c:lineChart>
      <c:catAx>
        <c:axId val="94105557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429521"/>
        <c:crosses val="autoZero"/>
        <c:auto val="1"/>
        <c:lblAlgn val="ctr"/>
        <c:lblOffset val="100"/>
        <c:noMultiLvlLbl val="0"/>
      </c:catAx>
      <c:valAx>
        <c:axId val="16742952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1055577"/>
        <c:crosses val="autoZero"/>
        <c:crossBetween val="between"/>
      </c:valAx>
      <c:catAx>
        <c:axId val="184958968"/>
        <c:scaling>
          <c:orientation val="minMax"/>
        </c:scaling>
        <c:delete val="1"/>
        <c:axPos val="t"/>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1740086"/>
        <c:crosses val="max"/>
        <c:auto val="1"/>
        <c:lblAlgn val="ctr"/>
        <c:lblOffset val="100"/>
        <c:noMultiLvlLbl val="0"/>
      </c:catAx>
      <c:valAx>
        <c:axId val="411740086"/>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4958968"/>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A7276-6E95-491E-A38F-AD819F0BCF3B}">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35364</Words>
  <Characters>38464</Characters>
  <Lines>263</Lines>
  <Paragraphs>74</Paragraphs>
  <TotalTime>1</TotalTime>
  <ScaleCrop>false</ScaleCrop>
  <LinksUpToDate>false</LinksUpToDate>
  <CharactersWithSpaces>38916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2023-07-31T11:31:00Z</dcterms:created>
  <dc:creator>824851189@qq.com</dc:creator>
  <cp:lastModifiedBy>老头</cp:lastModifiedBy>
  <dcterms:modified xsi:type="dcterms:W3CDTF">2024-07-22T06:34:51Z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6E08CB589CEC4020AC7710C1980CA7ED_13</vt:lpwstr>
  </property>
</Properties>
</file>