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市文旅广电局</w:t>
      </w:r>
      <w:r>
        <w:rPr>
          <w:rFonts w:hint="eastAsia" w:ascii="方正小标宋简体" w:hAnsi="方正小标宋简体" w:eastAsia="方正小标宋简体" w:cs="方正小标宋简体"/>
          <w:sz w:val="44"/>
          <w:szCs w:val="44"/>
        </w:rPr>
        <w:t>2025年度法治建设</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工作情况的报告</w:t>
      </w:r>
    </w:p>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2025年，我局坚持以习近平法治思想为指导，深入贯彻党的二十大</w:t>
      </w:r>
      <w:r>
        <w:rPr>
          <w:rFonts w:hint="eastAsia" w:ascii="仿宋_GB2312" w:eastAsia="仿宋_GB2312" w:cs="仿宋_GB2312"/>
          <w:sz w:val="32"/>
          <w:szCs w:val="32"/>
          <w:lang w:eastAsia="zh-CN"/>
        </w:rPr>
        <w:t>和</w:t>
      </w:r>
      <w:r>
        <w:rPr>
          <w:rFonts w:hint="eastAsia" w:ascii="仿宋_GB2312" w:eastAsia="仿宋_GB2312" w:cs="仿宋_GB2312"/>
          <w:sz w:val="32"/>
          <w:szCs w:val="32"/>
        </w:rPr>
        <w:t>二十届</w:t>
      </w:r>
      <w:r>
        <w:rPr>
          <w:rFonts w:hint="eastAsia" w:ascii="仿宋_GB2312" w:eastAsia="仿宋_GB2312" w:cs="仿宋_GB2312"/>
          <w:sz w:val="32"/>
          <w:szCs w:val="32"/>
          <w:lang w:eastAsia="zh-CN"/>
        </w:rPr>
        <w:t>历次</w:t>
      </w:r>
      <w:r>
        <w:rPr>
          <w:rFonts w:hint="eastAsia" w:ascii="仿宋_GB2312" w:eastAsia="仿宋_GB2312" w:cs="仿宋_GB2312"/>
          <w:sz w:val="32"/>
          <w:szCs w:val="32"/>
        </w:rPr>
        <w:t>全会精神，全面落实市委法治建设委员会各项决策部署，紧紧围绕全市工作大局，以高水平法治保障</w:t>
      </w:r>
      <w:r>
        <w:rPr>
          <w:rFonts w:hint="eastAsia" w:ascii="仿宋_GB2312" w:eastAsia="仿宋_GB2312" w:cs="仿宋_GB2312"/>
          <w:sz w:val="32"/>
          <w:szCs w:val="32"/>
          <w:lang w:eastAsia="zh-CN"/>
        </w:rPr>
        <w:t>文体旅事业</w:t>
      </w:r>
      <w:r>
        <w:rPr>
          <w:rFonts w:hint="eastAsia" w:ascii="仿宋_GB2312" w:eastAsia="仿宋_GB2312" w:cs="仿宋_GB2312"/>
          <w:sz w:val="32"/>
          <w:szCs w:val="32"/>
        </w:rPr>
        <w:t>高质量发展。现将年度法治建设情况报告如下：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黑体_GBK" w:eastAsia="方正黑体_GBK" w:cs="方正黑体_GBK"/>
          <w:sz w:val="32"/>
          <w:szCs w:val="32"/>
        </w:rPr>
      </w:pPr>
      <w:r>
        <w:rPr>
          <w:rFonts w:hint="eastAsia" w:ascii="方正黑体_GBK" w:eastAsia="方正黑体_GBK" w:cs="方正黑体_GBK"/>
          <w:sz w:val="32"/>
          <w:szCs w:val="32"/>
        </w:rPr>
        <w:t>一、2025年法治建设工作情况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eastAsia="楷体" w:cs="楷体"/>
          <w:sz w:val="32"/>
          <w:szCs w:val="32"/>
        </w:rPr>
      </w:pPr>
      <w:r>
        <w:rPr>
          <w:rFonts w:hint="eastAsia" w:ascii="楷体" w:eastAsia="楷体" w:cs="楷体"/>
          <w:sz w:val="32"/>
          <w:szCs w:val="32"/>
        </w:rPr>
        <w:t>（一）深入学习贯彻习近平法治思想，筑牢法治建设思想根基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局党组始终把学习贯彻习近平法治思想作为首要政治任务，纳入</w:t>
      </w:r>
      <w:r>
        <w:rPr>
          <w:rFonts w:hint="eastAsia" w:ascii="仿宋_GB2312" w:eastAsia="仿宋_GB2312" w:cs="仿宋_GB2312"/>
          <w:sz w:val="32"/>
          <w:szCs w:val="32"/>
          <w:lang w:eastAsia="zh-CN"/>
        </w:rPr>
        <w:t>党组</w:t>
      </w:r>
      <w:r>
        <w:rPr>
          <w:rFonts w:hint="eastAsia" w:ascii="仿宋_GB2312" w:eastAsia="仿宋_GB2312" w:cs="仿宋_GB2312"/>
          <w:sz w:val="32"/>
          <w:szCs w:val="32"/>
        </w:rPr>
        <w:t>理论学习中心组</w:t>
      </w:r>
      <w:r>
        <w:rPr>
          <w:rFonts w:hint="eastAsia" w:ascii="仿宋_GB2312" w:eastAsia="仿宋_GB2312" w:cs="仿宋_GB2312"/>
          <w:sz w:val="32"/>
          <w:szCs w:val="32"/>
          <w:lang w:eastAsia="zh-CN"/>
        </w:rPr>
        <w:t>“</w:t>
      </w:r>
      <w:r>
        <w:rPr>
          <w:rFonts w:hint="eastAsia" w:ascii="仿宋_GB2312" w:eastAsia="仿宋_GB2312" w:cs="仿宋_GB2312"/>
          <w:sz w:val="32"/>
          <w:szCs w:val="32"/>
        </w:rPr>
        <w:t>第一议题</w:t>
      </w:r>
      <w:r>
        <w:rPr>
          <w:rFonts w:hint="eastAsia" w:ascii="仿宋_GB2312" w:eastAsia="仿宋_GB2312" w:cs="仿宋_GB2312"/>
          <w:sz w:val="32"/>
          <w:szCs w:val="32"/>
          <w:lang w:eastAsia="zh-CN"/>
        </w:rPr>
        <w:t>”</w:t>
      </w:r>
      <w:r>
        <w:rPr>
          <w:rFonts w:hint="eastAsia" w:ascii="仿宋_GB2312" w:eastAsia="仿宋_GB2312" w:cs="仿宋_GB2312"/>
          <w:sz w:val="32"/>
          <w:szCs w:val="32"/>
        </w:rPr>
        <w:t>必学内容</w:t>
      </w:r>
      <w:r>
        <w:rPr>
          <w:rFonts w:hint="eastAsia" w:ascii="仿宋_GB2312" w:eastAsia="仿宋_GB2312" w:cs="仿宋_GB2312"/>
          <w:sz w:val="32"/>
          <w:szCs w:val="32"/>
          <w:lang w:eastAsia="zh-CN"/>
        </w:rPr>
        <w:t>，</w:t>
      </w:r>
      <w:r>
        <w:rPr>
          <w:rFonts w:hint="eastAsia" w:ascii="仿宋_GB2312" w:eastAsia="仿宋_GB2312" w:cs="仿宋_GB2312"/>
          <w:b w:val="0"/>
          <w:bCs w:val="0"/>
          <w:caps w:val="0"/>
          <w:smallCaps w:val="0"/>
          <w:snapToGrid/>
          <w:vanish w:val="0"/>
          <w:color w:val="auto"/>
          <w:sz w:val="32"/>
          <w:szCs w:val="32"/>
          <w:vertAlign w:val="baseline"/>
          <w:lang w:eastAsia="zh-CN"/>
        </w:rPr>
        <w:t>高度重视学习宣传贯彻习近平法治思想，局机关各支部结合“三会一课”、主题教育开展习近平法治思想集中学习、个人自学，形成学习贯彻党的二十大精神和习近平法治思想的浓厚氛围，</w:t>
      </w:r>
      <w:r>
        <w:rPr>
          <w:rFonts w:hint="eastAsia" w:ascii="仿宋_GB2312" w:eastAsia="仿宋_GB2312" w:cs="仿宋_GB2312"/>
          <w:sz w:val="32"/>
          <w:szCs w:val="32"/>
          <w:lang w:eastAsia="zh-CN"/>
        </w:rPr>
        <w:t>深入学习了习近平总书记向中国法学会第九次全国会员代表大会的重要致信精神、中国法学会第九次全国会员代表大会精神和市委常委会、市政府常务会议精神，并</w:t>
      </w:r>
      <w:r>
        <w:rPr>
          <w:rFonts w:hint="eastAsia" w:ascii="仿宋_GB2312" w:eastAsia="仿宋_GB2312" w:cs="仿宋_GB2312"/>
          <w:sz w:val="32"/>
          <w:szCs w:val="32"/>
        </w:rPr>
        <w:t>组织学习</w:t>
      </w:r>
      <w:r>
        <w:rPr>
          <w:rFonts w:hint="eastAsia" w:ascii="仿宋_GB2312" w:eastAsia="仿宋_GB2312" w:cs="仿宋_GB2312"/>
          <w:sz w:val="32"/>
          <w:szCs w:val="32"/>
          <w:lang w:eastAsia="zh-CN"/>
        </w:rPr>
        <w:t>了新修订的《文物法》、《统计法》、《保密法》等业务相关法律法规，</w:t>
      </w:r>
      <w:r>
        <w:rPr>
          <w:rFonts w:hint="eastAsia" w:ascii="仿宋_GB2312" w:eastAsia="仿宋_GB2312" w:cs="仿宋_GB2312"/>
          <w:sz w:val="32"/>
          <w:szCs w:val="32"/>
        </w:rPr>
        <w:t>推动领导干部带头尊法学法守法用法。特别是在文旅融合、市场监管、应急处置等关键领域，坚持运用</w:t>
      </w:r>
      <w:r>
        <w:rPr>
          <w:rFonts w:ascii="仿宋_GB2312" w:eastAsia="仿宋_GB2312" w:cs="仿宋_GB2312"/>
          <w:sz w:val="32"/>
          <w:szCs w:val="32"/>
        </w:rPr>
        <w:t>习近平</w:t>
      </w:r>
      <w:r>
        <w:rPr>
          <w:rFonts w:hint="eastAsia" w:ascii="仿宋_GB2312" w:eastAsia="仿宋_GB2312" w:cs="仿宋_GB2312"/>
          <w:sz w:val="32"/>
          <w:szCs w:val="32"/>
        </w:rPr>
        <w:t>法治思</w:t>
      </w:r>
      <w:r>
        <w:rPr>
          <w:rFonts w:hint="eastAsia" w:ascii="仿宋_GB2312" w:eastAsia="仿宋_GB2312" w:cs="仿宋_GB2312"/>
          <w:sz w:val="32"/>
          <w:szCs w:val="32"/>
          <w:lang w:eastAsia="zh-CN"/>
        </w:rPr>
        <w:t>想</w:t>
      </w:r>
      <w:r>
        <w:rPr>
          <w:rFonts w:hint="eastAsia" w:ascii="仿宋_GB2312" w:eastAsia="仿宋_GB2312" w:cs="仿宋_GB2312"/>
          <w:sz w:val="32"/>
          <w:szCs w:val="32"/>
        </w:rPr>
        <w:t>破解难题，将法治理念贯穿</w:t>
      </w:r>
      <w:r>
        <w:rPr>
          <w:rFonts w:hint="eastAsia" w:ascii="仿宋_GB2312" w:eastAsia="仿宋_GB2312" w:cs="仿宋_GB2312"/>
          <w:sz w:val="32"/>
          <w:szCs w:val="32"/>
          <w:lang w:eastAsia="zh-CN"/>
        </w:rPr>
        <w:t>全局各项</w:t>
      </w:r>
      <w:r>
        <w:rPr>
          <w:rFonts w:hint="eastAsia" w:ascii="仿宋_GB2312" w:eastAsia="仿宋_GB2312" w:cs="仿宋_GB2312"/>
          <w:sz w:val="32"/>
          <w:szCs w:val="32"/>
        </w:rPr>
        <w:t>重点工作全过程，确保各项工作在法治轨道上稳步推进。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eastAsia="楷体" w:cs="楷体"/>
          <w:sz w:val="32"/>
          <w:szCs w:val="32"/>
        </w:rPr>
      </w:pPr>
      <w:r>
        <w:rPr>
          <w:rFonts w:hint="eastAsia" w:ascii="楷体" w:eastAsia="楷体" w:cs="楷体"/>
          <w:sz w:val="32"/>
          <w:szCs w:val="32"/>
        </w:rPr>
        <w:t>（二）全面依法履行政府职能，持续优化营商环境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成立行政审批科，安排部署专门力量从事行政审批、营商环境、投诉受理等工作。一是结合文旅新业态发展需求，动态调整新增权责事项11项，完善办事指南32项。全面推行“一网通办”“全程网办”，26项依申请政务服务事项网上可办率达100%，实际网办率提升至100%。2025年共办结行政许可事项31件，核发导游证730个，所有事项均实现“零超时”“零投诉”。深化“告知承诺制”，将旅行社设立许可等5个事项纳入告知承诺范围，审批时限压缩60%。二是积极落实省委关于牢牢抓好优化营商环境这个关键的总要求，加强调研，制定政策，一把手靠前服务，主动作为，规范涉企执法，着力打造“亲”“清”的政商关系。三是推进12345平台高效运行，建立“接诉即办、限时办结、跟踪督办”工作机制，全年受理文旅投诉345件，按时办结率100%，群众满意率达99.36%，较上年提升9个百分点。从源头化解矛盾纠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eastAsia="楷体" w:cs="楷体"/>
          <w:sz w:val="32"/>
          <w:szCs w:val="32"/>
        </w:rPr>
      </w:pPr>
      <w:r>
        <w:rPr>
          <w:rFonts w:hint="eastAsia" w:ascii="楷体" w:eastAsia="楷体" w:cs="楷体"/>
          <w:sz w:val="32"/>
          <w:szCs w:val="32"/>
        </w:rPr>
        <w:t>（三）健全依法行政制度体系，提升规范性文件质量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rPr>
        <w:t>严格执行规范性文件</w:t>
      </w: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eastAsia="zh-CN"/>
        </w:rPr>
        <w:t>审核等</w:t>
      </w: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rPr>
        <w:t>制度以及规范性文件监督管理规定，</w:t>
      </w:r>
      <w:r>
        <w:rPr>
          <w:rFonts w:hint="eastAsia" w:ascii="仿宋_GB2312" w:eastAsia="仿宋_GB2312" w:cs="仿宋_GB2312"/>
          <w:b w:val="0"/>
          <w:bCs w:val="0"/>
          <w:caps w:val="0"/>
          <w:smallCaps w:val="0"/>
          <w:snapToGrid/>
          <w:vanish w:val="0"/>
          <w:color w:val="auto"/>
          <w:sz w:val="32"/>
          <w:szCs w:val="32"/>
          <w:vertAlign w:val="baseline"/>
        </w:rPr>
        <w:t>及时开展备案审查和清理工作</w:t>
      </w:r>
      <w:r>
        <w:rPr>
          <w:rFonts w:hint="eastAsia" w:ascii="仿宋_GB2312" w:eastAsia="仿宋_GB2312" w:cs="仿宋_GB2312"/>
          <w:b w:val="0"/>
          <w:bCs w:val="0"/>
          <w:caps w:val="0"/>
          <w:smallCaps w:val="0"/>
          <w:snapToGrid/>
          <w:vanish w:val="0"/>
          <w:color w:val="auto"/>
          <w:sz w:val="32"/>
          <w:szCs w:val="32"/>
          <w:vertAlign w:val="baseline"/>
          <w:lang w:eastAsia="zh-CN"/>
        </w:rPr>
        <w:t>。</w:t>
      </w:r>
      <w:r>
        <w:rPr>
          <w:rFonts w:hint="eastAsia" w:ascii="仿宋_GB2312" w:eastAsia="仿宋_GB2312" w:cs="仿宋_GB2312"/>
          <w:sz w:val="32"/>
          <w:szCs w:val="32"/>
        </w:rPr>
        <w:t>全年制发规范性文件</w:t>
      </w:r>
      <w:r>
        <w:rPr>
          <w:rFonts w:ascii="仿宋_GB2312" w:eastAsia="仿宋_GB2312" w:cs="仿宋_GB2312"/>
          <w:sz w:val="32"/>
          <w:szCs w:val="32"/>
        </w:rPr>
        <w:t>1</w:t>
      </w:r>
      <w:r>
        <w:rPr>
          <w:rFonts w:hint="eastAsia" w:ascii="仿宋_GB2312" w:eastAsia="仿宋_GB2312" w:cs="仿宋_GB2312"/>
          <w:sz w:val="32"/>
          <w:szCs w:val="32"/>
        </w:rPr>
        <w:t>件，全部经过合法性审查、公平竞争审查和集体决策程序。组织开展规范性文件专项清理，</w:t>
      </w:r>
      <w:r>
        <w:rPr>
          <w:rFonts w:ascii="仿宋_GB2312" w:eastAsia="仿宋_GB2312" w:cs="仿宋_GB2312"/>
          <w:sz w:val="32"/>
          <w:szCs w:val="32"/>
        </w:rPr>
        <w:t>及时梳理</w:t>
      </w:r>
      <w:r>
        <w:rPr>
          <w:rFonts w:hint="eastAsia" w:ascii="仿宋_GB2312" w:eastAsia="仿宋_GB2312" w:cs="仿宋_GB2312"/>
          <w:sz w:val="32"/>
          <w:szCs w:val="32"/>
        </w:rPr>
        <w:t>废止滞后性文件。落实公平竞争审查</w:t>
      </w:r>
      <w:r>
        <w:rPr>
          <w:rFonts w:hint="eastAsia" w:ascii="仿宋_GB2312" w:eastAsia="仿宋_GB2312" w:cs="仿宋_GB2312"/>
          <w:sz w:val="32"/>
          <w:szCs w:val="32"/>
          <w:lang w:eastAsia="zh-CN"/>
        </w:rPr>
        <w:t>“</w:t>
      </w:r>
      <w:r>
        <w:rPr>
          <w:rFonts w:hint="eastAsia" w:ascii="仿宋_GB2312" w:eastAsia="仿宋_GB2312" w:cs="仿宋_GB2312"/>
          <w:sz w:val="32"/>
          <w:szCs w:val="32"/>
        </w:rPr>
        <w:t>谁起草、谁审查</w:t>
      </w:r>
      <w:r>
        <w:rPr>
          <w:rFonts w:hint="eastAsia" w:ascii="仿宋_GB2312" w:eastAsia="仿宋_GB2312" w:cs="仿宋_GB2312"/>
          <w:sz w:val="32"/>
          <w:szCs w:val="32"/>
          <w:lang w:eastAsia="zh-CN"/>
        </w:rPr>
        <w:t>”</w:t>
      </w:r>
      <w:r>
        <w:rPr>
          <w:rFonts w:hint="eastAsia" w:ascii="仿宋_GB2312" w:eastAsia="仿宋_GB2312" w:cs="仿宋_GB2312"/>
          <w:sz w:val="32"/>
          <w:szCs w:val="32"/>
        </w:rPr>
        <w:t>原则，对涉企政策文件进行审查，维护市场公平竞争秩序。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eastAsia="楷体" w:cs="楷体"/>
          <w:sz w:val="32"/>
          <w:szCs w:val="32"/>
        </w:rPr>
      </w:pPr>
      <w:r>
        <w:rPr>
          <w:rFonts w:hint="eastAsia" w:ascii="楷体" w:eastAsia="楷体" w:cs="楷体"/>
          <w:sz w:val="32"/>
          <w:szCs w:val="32"/>
        </w:rPr>
        <w:t>（四）规范重大行政决策程序，强化科学民主依法决策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eastAsia="zh-CN"/>
        </w:rPr>
        <w:t>严格落实重大行政决策要求，实行</w:t>
      </w:r>
      <w:r>
        <w:rPr>
          <w:rFonts w:hint="eastAsia" w:ascii="仿宋_GB2312" w:eastAsia="仿宋_GB2312" w:cs="仿宋_GB2312"/>
          <w:caps w:val="0"/>
          <w:smallCaps w:val="0"/>
          <w:snapToGrid/>
          <w:vanish w:val="0"/>
          <w:color w:val="auto"/>
          <w:sz w:val="32"/>
          <w:szCs w:val="32"/>
          <w:vertAlign w:val="baseline"/>
        </w:rPr>
        <w:t>重大行政决策科学民主合法</w:t>
      </w:r>
      <w:r>
        <w:rPr>
          <w:rFonts w:hint="eastAsia" w:ascii="仿宋_GB2312" w:eastAsia="仿宋_GB2312" w:cs="仿宋_GB2312"/>
          <w:caps w:val="0"/>
          <w:smallCaps w:val="0"/>
          <w:snapToGrid/>
          <w:vanish w:val="0"/>
          <w:color w:val="auto"/>
          <w:sz w:val="32"/>
          <w:szCs w:val="32"/>
          <w:vertAlign w:val="baseline"/>
          <w:lang w:eastAsia="zh-CN"/>
        </w:rPr>
        <w:t>审查。</w:t>
      </w:r>
      <w:r>
        <w:rPr>
          <w:rFonts w:ascii="仿宋_GB2312" w:eastAsia="仿宋_GB2312" w:cs="仿宋_GB2312"/>
          <w:caps w:val="0"/>
          <w:smallCaps w:val="0"/>
          <w:snapToGrid/>
          <w:vanish w:val="0"/>
          <w:color w:val="auto"/>
          <w:sz w:val="32"/>
          <w:szCs w:val="32"/>
          <w:vertAlign w:val="baseline"/>
          <w:lang w:eastAsia="zh-CN"/>
        </w:rPr>
        <w:t>梨花节</w:t>
      </w:r>
      <w:r>
        <w:rPr>
          <w:rFonts w:hint="eastAsia" w:ascii="仿宋_GB2312" w:eastAsia="仿宋_GB2312" w:cs="仿宋_GB2312"/>
          <w:caps w:val="0"/>
          <w:smallCaps w:val="0"/>
          <w:snapToGrid/>
          <w:vanish w:val="0"/>
          <w:color w:val="auto"/>
          <w:sz w:val="32"/>
          <w:szCs w:val="32"/>
          <w:vertAlign w:val="baseline"/>
          <w:lang w:eastAsia="zh-CN"/>
        </w:rPr>
        <w:t>、</w:t>
      </w:r>
      <w:r>
        <w:rPr>
          <w:rFonts w:ascii="仿宋_GB2312" w:eastAsia="仿宋_GB2312" w:cs="仿宋_GB2312"/>
          <w:caps w:val="0"/>
          <w:smallCaps w:val="0"/>
          <w:snapToGrid/>
          <w:vanish w:val="0"/>
          <w:color w:val="auto"/>
          <w:sz w:val="32"/>
          <w:szCs w:val="32"/>
          <w:vertAlign w:val="baseline"/>
          <w:lang w:eastAsia="zh-CN"/>
        </w:rPr>
        <w:t>南果梨欢乐季等</w:t>
      </w:r>
      <w:r>
        <w:rPr>
          <w:rFonts w:hint="eastAsia" w:ascii="仿宋_GB2312" w:eastAsia="仿宋_GB2312" w:cs="仿宋_GB2312"/>
          <w:caps w:val="0"/>
          <w:smallCaps w:val="0"/>
          <w:snapToGrid/>
          <w:vanish w:val="0"/>
          <w:color w:val="auto"/>
          <w:sz w:val="32"/>
          <w:szCs w:val="32"/>
          <w:vertAlign w:val="baseline"/>
          <w:lang w:eastAsia="zh-CN"/>
        </w:rPr>
        <w:t>重大活动以及政策性文件的出台等</w:t>
      </w: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eastAsia="zh-CN"/>
        </w:rPr>
        <w:t>所有重大决策事前组织开展了公开征求意见、合法性审查、</w:t>
      </w:r>
      <w:r>
        <w:rPr>
          <w:rFonts w:hint="eastAsia" w:ascii="仿宋_GB2312" w:eastAsia="仿宋_GB2312" w:cs="仿宋_GB2312"/>
          <w:caps w:val="0"/>
          <w:smallCaps w:val="0"/>
          <w:snapToGrid/>
          <w:vanish w:val="0"/>
          <w:color w:val="auto"/>
          <w:sz w:val="32"/>
          <w:szCs w:val="32"/>
          <w:vertAlign w:val="baseline"/>
        </w:rPr>
        <w:t>重大行政决策事项风险评估</w:t>
      </w:r>
      <w:r>
        <w:rPr>
          <w:rFonts w:hint="eastAsia" w:ascii="仿宋_GB2312" w:eastAsia="仿宋_GB2312" w:cs="仿宋_GB2312"/>
          <w:caps w:val="0"/>
          <w:smallCaps w:val="0"/>
          <w:snapToGrid/>
          <w:vanish w:val="0"/>
          <w:color w:val="auto"/>
          <w:sz w:val="32"/>
          <w:szCs w:val="32"/>
          <w:vertAlign w:val="baseline"/>
          <w:lang w:eastAsia="zh-CN"/>
        </w:rPr>
        <w:t>等程序，经局党组集体研究讨论后上报市政府，并</w:t>
      </w: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eastAsia="zh-CN"/>
        </w:rPr>
        <w:t>按照流程向</w:t>
      </w: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rPr>
        <w:t>报市司法局备案。</w:t>
      </w:r>
      <w:r>
        <w:rPr>
          <w:rStyle w:val="11"/>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rPr>
        <w:t>落实法律顾问制度，</w:t>
      </w: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t>202</w:t>
      </w:r>
      <w:r>
        <w:rPr>
          <w:rFonts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t>5</w:t>
      </w: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t>年与</w:t>
      </w:r>
      <w:r>
        <w:rPr>
          <w:rFonts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t>李英</w:t>
      </w: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t>律师</w:t>
      </w: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rPr>
        <w:t>签订法律顾问合同，</w:t>
      </w: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eastAsia="zh-CN"/>
        </w:rPr>
        <w:t>聘请其为我局专职法律顾问，</w:t>
      </w: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rPr>
        <w:t>为我局</w:t>
      </w: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eastAsia="zh-CN"/>
        </w:rPr>
        <w:t>的</w:t>
      </w: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rPr>
        <w:t>重大决策、实施法律行为前进行法律风险评估和合法性审查工作</w:t>
      </w:r>
      <w:r>
        <w:rPr>
          <w:rFonts w:hint="eastAsia" w:ascii="仿宋_GB2312" w:eastAsia="仿宋_GB2312" w:cs="仿宋_GB2312"/>
          <w:sz w:val="32"/>
          <w:szCs w:val="32"/>
        </w:rPr>
        <w:t>，有效防范决策风险。全年无重大决策失误导致的行政复议或行政诉讼案件。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eastAsia="楷体" w:cs="楷体"/>
          <w:sz w:val="32"/>
          <w:szCs w:val="32"/>
        </w:rPr>
      </w:pPr>
      <w:r>
        <w:rPr>
          <w:rFonts w:hint="eastAsia" w:ascii="楷体" w:eastAsia="楷体" w:cs="楷体"/>
          <w:sz w:val="32"/>
          <w:szCs w:val="32"/>
        </w:rPr>
        <w:t>（五）推进严格规范公正文明执法，提升行政执法质效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40" w:lineRule="exact"/>
        <w:ind w:left="0" w:right="0" w:firstLine="602" w:firstLineChars="200"/>
        <w:contextualSpacing w:val="0"/>
        <w:jc w:val="both"/>
        <w:textAlignment w:val="auto"/>
        <w:outlineLvl w:val="9"/>
        <w:rPr>
          <w:rFonts w:hint="eastAsia" w:ascii="仿宋" w:eastAsia="仿宋" w:cs="仿宋"/>
          <w:b/>
          <w:bCs/>
          <w:caps w:val="0"/>
          <w:smallCaps w:val="0"/>
          <w:snapToGrid/>
          <w:vanish w:val="0"/>
          <w:color w:val="auto"/>
          <w:sz w:val="30"/>
          <w:szCs w:val="30"/>
          <w:vertAlign w:val="baseline"/>
        </w:rPr>
      </w:pPr>
      <w:r>
        <w:rPr>
          <w:rFonts w:ascii="仿宋" w:eastAsia="仿宋" w:cs="仿宋"/>
          <w:b/>
          <w:bCs/>
          <w:caps w:val="0"/>
          <w:smallCaps w:val="0"/>
          <w:snapToGrid/>
          <w:vanish w:val="0"/>
          <w:color w:val="auto"/>
          <w:sz w:val="30"/>
          <w:szCs w:val="30"/>
          <w:vertAlign w:val="baseline"/>
        </w:rPr>
        <w:t>1.</w:t>
      </w:r>
      <w:r>
        <w:rPr>
          <w:rFonts w:hint="eastAsia" w:ascii="仿宋" w:eastAsia="仿宋" w:cs="仿宋"/>
          <w:b/>
          <w:bCs/>
          <w:caps w:val="0"/>
          <w:smallCaps w:val="0"/>
          <w:snapToGrid/>
          <w:vanish w:val="0"/>
          <w:color w:val="auto"/>
          <w:sz w:val="30"/>
          <w:szCs w:val="30"/>
          <w:vertAlign w:val="baseline"/>
        </w:rPr>
        <w:t>完善执法制度建设</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rPr>
      </w:pPr>
      <w:r>
        <w:rPr>
          <w:rFonts w:hint="eastAsia" w:ascii="仿宋_GB2312" w:eastAsia="仿宋_GB2312" w:cs="仿宋_GB2312"/>
          <w:b/>
          <w:bCs/>
          <w:i w:val="0"/>
          <w:iCs w:val="0"/>
          <w:caps w:val="0"/>
          <w:smallCaps w:val="0"/>
          <w:snapToGrid/>
          <w:vanish w:val="0"/>
          <w:color w:val="auto"/>
          <w:spacing w:val="0"/>
          <w:sz w:val="32"/>
          <w:szCs w:val="32"/>
          <w:shd w:val="clear" w:color="auto" w:fill="FFFFFF"/>
          <w:vertAlign w:val="baseline"/>
          <w:lang w:val="en-US" w:eastAsia="zh-CN"/>
        </w:rPr>
        <w:t>一是</w:t>
      </w: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rPr>
        <w:t>规范执法流程与行为。建立健全了文化执法的各项工作制度和流程。在执法过程中，严格按照法定程序进行，确保程序合法、公正。执法人员持证上岗，亮证执法，使用规范的执法文书和用语，做到文明执法、公正执法。同时，加强对执法过程的监督和管理，定期开展执法案卷评查，及时发现和纠正执法中存在的问题。</w:t>
      </w:r>
      <w:r>
        <w:rPr>
          <w:rFonts w:hint="eastAsia" w:ascii="仿宋_GB2312" w:eastAsia="仿宋_GB2312" w:cs="仿宋_GB2312"/>
          <w:b/>
          <w:bCs/>
          <w:i w:val="0"/>
          <w:iCs w:val="0"/>
          <w:caps w:val="0"/>
          <w:smallCaps w:val="0"/>
          <w:snapToGrid/>
          <w:vanish w:val="0"/>
          <w:color w:val="auto"/>
          <w:spacing w:val="0"/>
          <w:sz w:val="32"/>
          <w:szCs w:val="32"/>
          <w:shd w:val="clear" w:color="auto" w:fill="FFFFFF"/>
          <w:vertAlign w:val="baseline"/>
        </w:rPr>
        <w:t>二是</w:t>
      </w: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eastAsia="zh-CN"/>
        </w:rPr>
        <w:t>完善</w:t>
      </w: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rPr>
        <w:t>行政执法监督机制。</w:t>
      </w: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eastAsia="zh-CN"/>
        </w:rPr>
        <w:t>对照省市</w:t>
      </w: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t>《文化市场综合执法行政处罚裁量权适用办法》《自由裁量权基准》</w:t>
      </w: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rPr>
        <w:t>《包容免罚清单》</w:t>
      </w: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eastAsia="zh-CN"/>
        </w:rPr>
        <w:t>等一系列制度性文件</w:t>
      </w: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rPr>
        <w:t>，</w:t>
      </w: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eastAsia="zh-CN"/>
        </w:rPr>
        <w:t>指导监督文化市场综合行政执法工作。</w:t>
      </w: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rPr>
        <w:t>对现行的行政裁量权基准进行全面梳理，重点审查是否存在越权制定的情形，确保所有基准均依据法定权限和程序制定。全年未发现越权制定和冲突的情况。</w:t>
      </w: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t>开展了2025年度行政执法案卷自检自查及评查工作，评查80件行政处罚案卷，对存在的问题进行通报整改。</w:t>
      </w:r>
      <w:r>
        <w:rPr>
          <w:rFonts w:hint="eastAsia" w:ascii="仿宋_GB2312" w:eastAsia="仿宋_GB2312" w:cs="仿宋_GB2312"/>
          <w:b/>
          <w:bCs/>
          <w:i w:val="0"/>
          <w:iCs w:val="0"/>
          <w:caps w:val="0"/>
          <w:smallCaps w:val="0"/>
          <w:snapToGrid/>
          <w:vanish w:val="0"/>
          <w:color w:val="auto"/>
          <w:spacing w:val="0"/>
          <w:sz w:val="32"/>
          <w:szCs w:val="32"/>
          <w:shd w:val="clear" w:color="auto" w:fill="FFFFFF"/>
          <w:vertAlign w:val="baseline"/>
        </w:rPr>
        <w:t>三是</w:t>
      </w: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rPr>
        <w:t>落实案件审核制度。市</w:t>
      </w: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t>文化执法队建立内部的监督体系，实行案件审核制度。每一起行政处罚案件在作出决定前，都要经过法制部门或法制审核人员的严格审核，重点审查案件事实是否清楚、证据是否确凿、程序是否合法、裁量权行使是否适当等。召开案审会，各部门共同讨论案情，对案件裁量基准进行分析研讨。重大案件提交局党组会审核，由局班子成员集体研究讨论，全程记入党组会记录，并进行社会风险稳定性评估。对于审核不通过的案件，要求执法人员补充调查或重新作出处理，从源头上保障执法质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40" w:lineRule="exact"/>
        <w:ind w:left="0" w:right="0" w:firstLine="602" w:firstLineChars="200"/>
        <w:contextualSpacing w:val="0"/>
        <w:jc w:val="both"/>
        <w:textAlignment w:val="auto"/>
        <w:outlineLvl w:val="9"/>
        <w:rPr>
          <w:rFonts w:hint="eastAsia" w:ascii="仿宋" w:eastAsia="仿宋" w:cs="仿宋"/>
          <w:b/>
          <w:bCs/>
          <w:caps w:val="0"/>
          <w:smallCaps w:val="0"/>
          <w:snapToGrid/>
          <w:vanish w:val="0"/>
          <w:color w:val="auto"/>
          <w:sz w:val="30"/>
          <w:szCs w:val="30"/>
          <w:vertAlign w:val="baseline"/>
        </w:rPr>
      </w:pPr>
      <w:r>
        <w:rPr>
          <w:rFonts w:ascii="仿宋" w:eastAsia="仿宋" w:cs="仿宋"/>
          <w:b/>
          <w:bCs/>
          <w:caps w:val="0"/>
          <w:smallCaps w:val="0"/>
          <w:snapToGrid/>
          <w:vanish w:val="0"/>
          <w:color w:val="auto"/>
          <w:sz w:val="30"/>
          <w:szCs w:val="30"/>
          <w:vertAlign w:val="baseline"/>
        </w:rPr>
        <w:t>2.</w:t>
      </w:r>
      <w:r>
        <w:rPr>
          <w:rFonts w:hint="eastAsia" w:ascii="仿宋" w:eastAsia="仿宋" w:cs="仿宋"/>
          <w:b/>
          <w:bCs/>
          <w:caps w:val="0"/>
          <w:smallCaps w:val="0"/>
          <w:snapToGrid/>
          <w:vanish w:val="0"/>
          <w:color w:val="auto"/>
          <w:sz w:val="30"/>
          <w:szCs w:val="30"/>
          <w:vertAlign w:val="baseline"/>
        </w:rPr>
        <w:t>强化执法监督检查</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pPr>
      <w:r>
        <w:rPr>
          <w:rFonts w:hint="eastAsia" w:ascii="仿宋_GB2312" w:eastAsia="仿宋_GB2312" w:cs="仿宋_GB2312"/>
          <w:b/>
          <w:bCs/>
          <w:i w:val="0"/>
          <w:iCs w:val="0"/>
          <w:caps w:val="0"/>
          <w:smallCaps w:val="0"/>
          <w:snapToGrid/>
          <w:vanish w:val="0"/>
          <w:color w:val="auto"/>
          <w:spacing w:val="0"/>
          <w:sz w:val="32"/>
          <w:szCs w:val="32"/>
          <w:shd w:val="clear" w:color="auto" w:fill="FFFFFF"/>
          <w:vertAlign w:val="baseline"/>
          <w:lang w:val="en-US" w:eastAsia="zh-CN"/>
        </w:rPr>
        <w:t>一是</w:t>
      </w: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t>开展日常巡查。按照“双随机、一公开”监管要求，制定日常巡查计划，加大对文化市场的巡查力度，对网吧、娱乐场所、出版物市场等重点领域进行定期巡查，及时发现和查处违法违规行为。同时加大线上执法力度，减少入企检查频次，“文网卫士监管平台”作为全省试点受到省厅通报表扬。</w:t>
      </w:r>
      <w:r>
        <w:rPr>
          <w:rFonts w:hint="eastAsia" w:ascii="仿宋_GB2312" w:eastAsia="仿宋_GB2312" w:cs="仿宋_GB2312"/>
          <w:b/>
          <w:bCs/>
          <w:i w:val="0"/>
          <w:iCs w:val="0"/>
          <w:caps w:val="0"/>
          <w:smallCaps w:val="0"/>
          <w:snapToGrid/>
          <w:vanish w:val="0"/>
          <w:color w:val="auto"/>
          <w:spacing w:val="0"/>
          <w:sz w:val="32"/>
          <w:szCs w:val="32"/>
          <w:shd w:val="clear" w:color="auto" w:fill="FFFFFF"/>
          <w:vertAlign w:val="baseline"/>
          <w:lang w:val="en-US" w:eastAsia="zh-CN"/>
        </w:rPr>
        <w:t>二是</w:t>
      </w: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t>组织专项整治行动。结合文化市场特点和工作实际，组织开展了“扫黄打非”、暑期文化市场整治、网络文化市场专项整治、强制消费导游乱象专项集中整治等一系列专项行动，严厉打击各类违法违规行为，维护文化市场秩序。</w:t>
      </w:r>
      <w:r>
        <w:rPr>
          <w:rFonts w:hint="eastAsia" w:ascii="仿宋_GB2312" w:eastAsia="仿宋_GB2312" w:cs="仿宋_GB2312"/>
          <w:b/>
          <w:bCs/>
          <w:i w:val="0"/>
          <w:iCs w:val="0"/>
          <w:caps w:val="0"/>
          <w:smallCaps w:val="0"/>
          <w:snapToGrid/>
          <w:vanish w:val="0"/>
          <w:color w:val="auto"/>
          <w:spacing w:val="0"/>
          <w:sz w:val="32"/>
          <w:szCs w:val="32"/>
          <w:shd w:val="clear" w:color="auto" w:fill="FFFFFF"/>
          <w:vertAlign w:val="baseline"/>
          <w:lang w:val="en-US" w:eastAsia="zh-CN"/>
        </w:rPr>
        <w:t>三是</w:t>
      </w: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t>加强部门协作。加强与公安、市场监管、网信等部门的协作配合，建立健全联合执法机制，形成执法合力。在办理重大案件时，及时与相关部门沟通协调，共同开展调查取证和案件查处工作，有效打击了文化市场违法犯罪行为。</w:t>
      </w:r>
      <w:r>
        <w:rPr>
          <w:rFonts w:hint="eastAsia" w:ascii="仿宋_GB2312" w:eastAsia="仿宋_GB2312" w:cs="仿宋_GB2312"/>
          <w:b/>
          <w:bCs/>
          <w:i w:val="0"/>
          <w:iCs w:val="0"/>
          <w:caps w:val="0"/>
          <w:smallCaps w:val="0"/>
          <w:snapToGrid/>
          <w:vanish w:val="0"/>
          <w:color w:val="auto"/>
          <w:spacing w:val="0"/>
          <w:sz w:val="32"/>
          <w:szCs w:val="32"/>
          <w:shd w:val="clear" w:color="auto" w:fill="FFFFFF"/>
          <w:vertAlign w:val="baseline"/>
          <w:lang w:val="en-US" w:eastAsia="zh-CN"/>
        </w:rPr>
        <w:t>四是</w:t>
      </w: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t>持续发挥文旅法庭和文旅法律服务站作用，快速处理涉及文化旅游领域的法律纠纷，更好的保障游客和从业者的合法权益。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eastAsia="楷体" w:cs="楷体"/>
          <w:sz w:val="32"/>
          <w:szCs w:val="32"/>
        </w:rPr>
      </w:pPr>
      <w:r>
        <w:rPr>
          <w:rFonts w:hint="eastAsia" w:ascii="楷体" w:eastAsia="楷体" w:cs="楷体"/>
          <w:sz w:val="32"/>
          <w:szCs w:val="32"/>
        </w:rPr>
        <w:t>（六）加强执法队伍建设，夯实法治建设根基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40" w:lineRule="exact"/>
        <w:ind w:left="0" w:right="0" w:firstLine="642" w:firstLineChars="200"/>
        <w:contextualSpacing w:val="0"/>
        <w:jc w:val="both"/>
        <w:textAlignment w:val="auto"/>
        <w:outlineLvl w:val="9"/>
        <w:rPr>
          <w:rFonts w:ascii="仿宋_GB2312" w:eastAsia="仿宋_GB2312" w:cs="仿宋_GB2312"/>
          <w:b/>
          <w:bCs/>
          <w:caps w:val="0"/>
          <w:smallCaps w:val="0"/>
          <w:snapToGrid/>
          <w:vanish w:val="0"/>
          <w:color w:val="auto"/>
          <w:sz w:val="32"/>
          <w:szCs w:val="32"/>
          <w:vertAlign w:val="baseline"/>
        </w:rPr>
      </w:pPr>
      <w:r>
        <w:rPr>
          <w:rFonts w:ascii="仿宋_GB2312" w:eastAsia="仿宋_GB2312" w:cs="仿宋_GB2312"/>
          <w:b/>
          <w:bCs/>
          <w:caps w:val="0"/>
          <w:smallCaps w:val="0"/>
          <w:snapToGrid/>
          <w:vanish w:val="0"/>
          <w:color w:val="auto"/>
          <w:sz w:val="32"/>
          <w:szCs w:val="32"/>
          <w:vertAlign w:val="baseline"/>
        </w:rPr>
        <w:t>1.</w:t>
      </w:r>
      <w:r>
        <w:rPr>
          <w:rFonts w:hint="eastAsia" w:ascii="仿宋_GB2312" w:eastAsia="仿宋_GB2312" w:cs="仿宋_GB2312"/>
          <w:b/>
          <w:bCs/>
          <w:caps w:val="0"/>
          <w:smallCaps w:val="0"/>
          <w:snapToGrid/>
          <w:vanish w:val="0"/>
          <w:color w:val="auto"/>
          <w:sz w:val="32"/>
          <w:szCs w:val="32"/>
          <w:vertAlign w:val="baseline"/>
        </w:rPr>
        <w:t>全面实行行政执法人员持证上岗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pP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t>组织局机关执法、监督人。组织本系统执法人员46名，监督人员2名参加参加了市司法局举办的执法、监督人员法律业务培训。组织具有行政执法职权且未取得执法证的5名同志参加了司法局的行政执法资格培训考试。</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ascii="仿宋_GB2312" w:eastAsia="仿宋_GB2312" w:cs="仿宋_GB2312"/>
          <w:b/>
          <w:bCs/>
          <w:i w:val="0"/>
          <w:iCs w:val="0"/>
          <w:caps w:val="0"/>
          <w:smallCaps w:val="0"/>
          <w:snapToGrid/>
          <w:vanish w:val="0"/>
          <w:color w:val="auto"/>
          <w:spacing w:val="0"/>
          <w:sz w:val="32"/>
          <w:szCs w:val="32"/>
          <w:shd w:val="clear" w:color="auto" w:fill="FFFFFF"/>
          <w:vertAlign w:val="baseline"/>
          <w:lang w:eastAsia="zh-CN"/>
        </w:rPr>
      </w:pPr>
      <w:r>
        <w:rPr>
          <w:rFonts w:ascii="仿宋_GB2312" w:eastAsia="仿宋_GB2312" w:cs="仿宋_GB2312"/>
          <w:b/>
          <w:bCs/>
          <w:i w:val="0"/>
          <w:iCs w:val="0"/>
          <w:caps w:val="0"/>
          <w:smallCaps w:val="0"/>
          <w:snapToGrid/>
          <w:vanish w:val="0"/>
          <w:color w:val="auto"/>
          <w:spacing w:val="0"/>
          <w:sz w:val="32"/>
          <w:szCs w:val="32"/>
          <w:shd w:val="clear" w:color="auto" w:fill="FFFFFF"/>
          <w:vertAlign w:val="baseline"/>
          <w:lang w:eastAsia="zh-CN"/>
        </w:rPr>
        <w:t>2.</w:t>
      </w:r>
      <w:r>
        <w:rPr>
          <w:rFonts w:hint="eastAsia" w:ascii="仿宋_GB2312" w:eastAsia="仿宋_GB2312" w:cs="仿宋_GB2312"/>
          <w:b/>
          <w:bCs/>
          <w:i w:val="0"/>
          <w:iCs w:val="0"/>
          <w:caps w:val="0"/>
          <w:smallCaps w:val="0"/>
          <w:snapToGrid/>
          <w:vanish w:val="0"/>
          <w:color w:val="auto"/>
          <w:spacing w:val="0"/>
          <w:sz w:val="32"/>
          <w:szCs w:val="32"/>
          <w:shd w:val="clear" w:color="auto" w:fill="FFFFFF"/>
          <w:vertAlign w:val="baseline"/>
          <w:lang w:eastAsia="zh-CN"/>
        </w:rPr>
        <w:t>加强执法人员培训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pP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t>局系统举办全系统法治专题培训班3期，其中，针对文化市场执法中的重点难点问题，邀请专家学者进行业务培训，内容涵盖文化市场相关法律法规、执法程序、证据收集等方面，组织开展全市执法培训2次。同时，邀请律师对全体执法、监督人员进行了专门的业务法律培训1次，对新修订的《文物法》进行细致讲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eastAsia="楷体" w:cs="楷体"/>
          <w:sz w:val="32"/>
          <w:szCs w:val="32"/>
        </w:rPr>
      </w:pPr>
      <w:r>
        <w:rPr>
          <w:rFonts w:ascii="仿宋_GB2312" w:eastAsia="仿宋_GB2312" w:cs="仿宋_GB2312"/>
          <w:caps w:val="0"/>
          <w:smallCaps w:val="0"/>
          <w:snapToGrid/>
          <w:vanish w:val="0"/>
          <w:color w:val="auto"/>
          <w:sz w:val="32"/>
          <w:szCs w:val="32"/>
          <w:vertAlign w:val="baseline"/>
        </w:rPr>
        <w:t>（</w:t>
      </w:r>
      <w:r>
        <w:rPr>
          <w:rFonts w:hint="eastAsia" w:ascii="楷体" w:eastAsia="楷体" w:cs="楷体"/>
          <w:sz w:val="32"/>
          <w:szCs w:val="32"/>
        </w:rPr>
        <w:t>七）落实普法责任，加强法治宣传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pP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t>严格落实“谁执法谁普法”责任制，提高普法针对性和实效性。积极开展普法进社区活动，全年进社区普法6次，通过发放宣传资料、现场答疑等方式，向群众普及《中华人民共和国宪法》、《中华人民共和国未成年人保护法》、《安全生产法》、《旅游法》等法律法规，全年共发放宣传资料700余份，接受群众咨询120余人次，引导群众知法守法用法。全面营造“尊重宪法、学习宪法、遵守宪法、维护宪法、运用宪法”的浓厚氛围。针对我市电影院对于未成年人优惠政策没有落实到位的问题，专门召集影院负责人召开会议，对《未成年人保护法》中相关条款进行解读，推动影院落实未成年人优惠政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二、主要负责人履行推进法治政府建设第一责任人职责</w:t>
      </w:r>
      <w:bookmarkStart w:id="0" w:name="_GoBack"/>
      <w:bookmarkEnd w:id="0"/>
      <w:r>
        <w:rPr>
          <w:rFonts w:hint="eastAsia" w:ascii="黑体" w:hAnsi="黑体" w:eastAsia="黑体" w:cs="黑体"/>
          <w:sz w:val="32"/>
          <w:szCs w:val="32"/>
        </w:rPr>
        <w:t>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pP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t>局党组书记、局长作为法治建设第一责任人，坚持重要工作亲自部署、重大问题亲自过问、重点环节亲自协调、重要案件亲自督办。局党组定期听取本单位法治政府建设相关工作情况汇报，及时研究解决法治政府建设中的重大问题，全年党组会议专题研究法治工作6次，审议重大案件决策事项15项。班子成员结合工作职能领域，按照法治建设责任制的要求，进行专题研究，从目标任务、组织领导、制度举措、工作检查等方面明确工作方向。要求班子成员述职述廉必述法，认真履行“一岗双责”责任，把法治建设融于分管业务中，形成“一把手”亲自抓、分管领导具体抓、业务科室协同抓的工作格局。严格执行重大行政决策合法性审查、集体讨论等法治工作制度。有计划安排业务人员讲解专业法规，坚持审慎审批，规范执法行为。聘请法律顾问对各类项目合同、重要协议条款进行审核把关，保障各项工作在法治框架下运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三、存在的问题与不足</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40" w:lineRule="exact"/>
        <w:ind w:left="0" w:right="0" w:firstLine="600" w:firstLineChars="200"/>
        <w:contextualSpacing w:val="0"/>
        <w:jc w:val="both"/>
        <w:textAlignment w:val="auto"/>
        <w:outlineLvl w:val="9"/>
        <w:rPr>
          <w:rFonts w:hint="eastAsia" w:ascii="楷体" w:hAnsi="楷体" w:eastAsia="楷体" w:cs="楷体"/>
          <w:caps w:val="0"/>
          <w:smallCaps w:val="0"/>
          <w:snapToGrid/>
          <w:vanish w:val="0"/>
          <w:color w:val="auto"/>
          <w:sz w:val="30"/>
          <w:szCs w:val="30"/>
          <w:vertAlign w:val="baseline"/>
        </w:rPr>
      </w:pPr>
      <w:r>
        <w:rPr>
          <w:rFonts w:hint="eastAsia" w:ascii="楷体" w:hAnsi="楷体" w:eastAsia="楷体" w:cs="楷体"/>
          <w:caps w:val="0"/>
          <w:smallCaps w:val="0"/>
          <w:snapToGrid/>
          <w:vanish w:val="0"/>
          <w:color w:val="auto"/>
          <w:sz w:val="30"/>
          <w:szCs w:val="30"/>
          <w:vertAlign w:val="baseline"/>
          <w:lang w:val="en-US" w:eastAsia="zh-CN"/>
        </w:rPr>
        <w:t>（一）</w:t>
      </w:r>
      <w:r>
        <w:rPr>
          <w:rFonts w:hint="eastAsia" w:ascii="楷体" w:hAnsi="楷体" w:eastAsia="楷体" w:cs="楷体"/>
          <w:caps w:val="0"/>
          <w:smallCaps w:val="0"/>
          <w:snapToGrid/>
          <w:vanish w:val="0"/>
          <w:color w:val="auto"/>
          <w:sz w:val="30"/>
          <w:szCs w:val="30"/>
          <w:vertAlign w:val="baseline"/>
        </w:rPr>
        <w:t>执法力量相对薄弱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pP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t>随着文化市场的不断发展和监管领域的不断拓展，执法任务日益繁重，而执法人员数量相对不足，难以满足实际工作需要。同时，执法人员的专业结构不够合理，缺乏法律、信息技术、文化产业等方面的专业人才，在一定程度上影响了执法工作的质量和效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40" w:lineRule="exact"/>
        <w:ind w:left="0" w:right="0" w:firstLine="600" w:firstLineChars="200"/>
        <w:contextualSpacing w:val="0"/>
        <w:jc w:val="both"/>
        <w:textAlignment w:val="auto"/>
        <w:outlineLvl w:val="9"/>
        <w:rPr>
          <w:rFonts w:hint="eastAsia" w:ascii="楷体" w:hAnsi="楷体" w:eastAsia="楷体" w:cs="楷体"/>
          <w:caps w:val="0"/>
          <w:smallCaps w:val="0"/>
          <w:snapToGrid/>
          <w:vanish w:val="0"/>
          <w:color w:val="auto"/>
          <w:sz w:val="30"/>
          <w:szCs w:val="30"/>
          <w:vertAlign w:val="baseline"/>
          <w:lang w:val="en-US" w:eastAsia="zh-CN"/>
        </w:rPr>
      </w:pPr>
      <w:r>
        <w:rPr>
          <w:rFonts w:hint="eastAsia" w:ascii="楷体" w:hAnsi="楷体" w:eastAsia="楷体" w:cs="楷体"/>
          <w:caps w:val="0"/>
          <w:smallCaps w:val="0"/>
          <w:snapToGrid/>
          <w:vanish w:val="0"/>
          <w:color w:val="auto"/>
          <w:sz w:val="30"/>
          <w:szCs w:val="30"/>
          <w:vertAlign w:val="baseline"/>
          <w:lang w:val="en-US" w:eastAsia="zh-CN"/>
        </w:rPr>
        <w:t>（二）执法装备有待改善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pP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t>市执法队的执法装备相对落后，部分执法设备老化、损坏，无法满足执法工作的实际需求。例如，移动执法终端数量不足，无法实现执法人员人手一台；执法车辆配备不足，影响了执法工作的快速响应和现场处置能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40" w:lineRule="exact"/>
        <w:ind w:left="0" w:right="0" w:firstLine="600" w:firstLineChars="200"/>
        <w:contextualSpacing w:val="0"/>
        <w:jc w:val="both"/>
        <w:textAlignment w:val="auto"/>
        <w:outlineLvl w:val="9"/>
        <w:rPr>
          <w:rFonts w:hint="eastAsia" w:ascii="楷体" w:hAnsi="楷体" w:eastAsia="楷体" w:cs="楷体"/>
          <w:caps w:val="0"/>
          <w:smallCaps w:val="0"/>
          <w:snapToGrid/>
          <w:vanish w:val="0"/>
          <w:color w:val="auto"/>
          <w:sz w:val="30"/>
          <w:szCs w:val="30"/>
          <w:vertAlign w:val="baseline"/>
          <w:lang w:val="en-US" w:eastAsia="zh-CN"/>
        </w:rPr>
      </w:pPr>
      <w:r>
        <w:rPr>
          <w:rFonts w:hint="eastAsia" w:ascii="楷体" w:hAnsi="楷体" w:eastAsia="楷体" w:cs="楷体"/>
          <w:caps w:val="0"/>
          <w:smallCaps w:val="0"/>
          <w:snapToGrid/>
          <w:vanish w:val="0"/>
          <w:color w:val="auto"/>
          <w:sz w:val="30"/>
          <w:szCs w:val="30"/>
          <w:vertAlign w:val="baseline"/>
          <w:lang w:val="en-US" w:eastAsia="zh-CN"/>
        </w:rPr>
        <w:t>（三）法治宣传方式有待创新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pP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t>在法治宣传工作中，虽然采取了多种宣传方式，但宣传效果还不够理想。部分宣传方式仍然比较传统，缺乏创新性和吸引力，难以引起社会公众的广泛关注和参与。同时，法治宣传的针对性还不够强，未能充分考虑不同群体的法律需求和接受能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40" w:lineRule="exact"/>
        <w:ind w:left="0" w:right="0" w:firstLine="600" w:firstLineChars="200"/>
        <w:contextualSpacing w:val="0"/>
        <w:jc w:val="both"/>
        <w:textAlignment w:val="auto"/>
        <w:outlineLvl w:val="9"/>
        <w:rPr>
          <w:rFonts w:hint="eastAsia" w:ascii="楷体" w:hAnsi="楷体" w:eastAsia="楷体" w:cs="楷体"/>
          <w:caps w:val="0"/>
          <w:smallCaps w:val="0"/>
          <w:snapToGrid/>
          <w:vanish w:val="0"/>
          <w:color w:val="auto"/>
          <w:sz w:val="30"/>
          <w:szCs w:val="30"/>
          <w:vertAlign w:val="baseline"/>
          <w:lang w:val="en-US" w:eastAsia="zh-CN"/>
        </w:rPr>
      </w:pPr>
      <w:r>
        <w:rPr>
          <w:rFonts w:hint="eastAsia" w:ascii="楷体" w:hAnsi="楷体" w:eastAsia="楷体" w:cs="楷体"/>
          <w:caps w:val="0"/>
          <w:smallCaps w:val="0"/>
          <w:snapToGrid/>
          <w:vanish w:val="0"/>
          <w:color w:val="auto"/>
          <w:sz w:val="30"/>
          <w:szCs w:val="30"/>
          <w:vertAlign w:val="baseline"/>
          <w:lang w:val="en-US" w:eastAsia="zh-CN"/>
        </w:rPr>
        <w:t>（四）新旧业态监管失衡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pP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t>对传统出版物、演出市场执法标准成熟，但对数字音乐、网络直播等新业态缺乏统一规范，存在监管空白或过度监管并存的情况。面对网络文化内容快速传播、侵权行为隐蔽化等问题，执法部门缺乏大数据分析、AI监测等技术手段，难以实现精准执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四、2026年法治政府建设工作计划</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40" w:lineRule="exact"/>
        <w:ind w:left="0" w:right="0" w:firstLine="600" w:firstLineChars="200"/>
        <w:contextualSpacing w:val="0"/>
        <w:jc w:val="both"/>
        <w:textAlignment w:val="auto"/>
        <w:outlineLvl w:val="9"/>
        <w:rPr>
          <w:rFonts w:hint="eastAsia" w:ascii="楷体" w:hAnsi="楷体" w:eastAsia="楷体" w:cs="楷体"/>
          <w:caps w:val="0"/>
          <w:smallCaps w:val="0"/>
          <w:snapToGrid/>
          <w:vanish w:val="0"/>
          <w:color w:val="auto"/>
          <w:sz w:val="30"/>
          <w:szCs w:val="30"/>
          <w:vertAlign w:val="baseline"/>
          <w:lang w:val="en-US" w:eastAsia="zh-CN"/>
        </w:rPr>
      </w:pPr>
      <w:r>
        <w:rPr>
          <w:rFonts w:hint="eastAsia" w:ascii="楷体" w:hAnsi="楷体" w:eastAsia="楷体" w:cs="楷体"/>
          <w:caps w:val="0"/>
          <w:smallCaps w:val="0"/>
          <w:snapToGrid/>
          <w:vanish w:val="0"/>
          <w:color w:val="auto"/>
          <w:sz w:val="30"/>
          <w:szCs w:val="30"/>
          <w:vertAlign w:val="baseline"/>
          <w:lang w:val="en-US" w:eastAsia="zh-CN"/>
        </w:rPr>
        <w:t>（一）深化理论武装，提升法治素养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pP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t>持续强化领导带头尊法学法守法用法，将习近平法治思想作为党组理论学习中心组学习重点，每年至少开展1次专题研讨。组织全体执法、监督人员参加法治线上线下学习，学时不少于60学时/年。进一步确保执法人员熟悉执法业务，提升干部队伍运用法治思维和法治方式的能力。</w:t>
      </w:r>
    </w:p>
    <w:p>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uppressAutoHyphens w:val="0"/>
        <w:kinsoku/>
        <w:wordWrap/>
        <w:overflowPunct/>
        <w:topLinePunct w:val="0"/>
        <w:autoSpaceDE/>
        <w:autoSpaceDN/>
        <w:bidi w:val="0"/>
        <w:adjustRightInd/>
        <w:snapToGrid/>
        <w:spacing w:before="0" w:beforeAutospacing="0" w:after="0" w:afterAutospacing="0" w:line="540" w:lineRule="exact"/>
        <w:ind w:left="0" w:right="0" w:firstLine="640" w:firstLineChars="200"/>
        <w:contextualSpacing w:val="0"/>
        <w:jc w:val="both"/>
        <w:textAlignment w:val="auto"/>
        <w:outlineLvl w:val="9"/>
        <w:rPr>
          <w:rFonts w:hint="eastAsia" w:ascii="楷体" w:hAnsi="楷体" w:eastAsia="楷体" w:cs="楷体"/>
          <w:b w:val="0"/>
          <w:bCs w:val="0"/>
          <w:i w:val="0"/>
          <w:iCs w:val="0"/>
          <w:caps w:val="0"/>
          <w:smallCaps w:val="0"/>
          <w:snapToGrid/>
          <w:vanish w:val="0"/>
          <w:color w:val="auto"/>
          <w:spacing w:val="0"/>
          <w:sz w:val="32"/>
          <w:szCs w:val="32"/>
          <w:shd w:val="clear" w:color="auto" w:fill="FFFFFF"/>
          <w:vertAlign w:val="baseline"/>
          <w:lang w:eastAsia="zh-CN"/>
        </w:rPr>
      </w:pPr>
      <w:r>
        <w:rPr>
          <w:rFonts w:hint="eastAsia" w:ascii="楷体" w:hAnsi="楷体" w:eastAsia="楷体" w:cs="楷体"/>
          <w:b w:val="0"/>
          <w:bCs w:val="0"/>
          <w:i w:val="0"/>
          <w:iCs w:val="0"/>
          <w:caps w:val="0"/>
          <w:smallCaps w:val="0"/>
          <w:snapToGrid/>
          <w:vanish w:val="0"/>
          <w:color w:val="auto"/>
          <w:spacing w:val="0"/>
          <w:sz w:val="32"/>
          <w:szCs w:val="32"/>
          <w:shd w:val="clear" w:color="auto" w:fill="FFFFFF"/>
          <w:vertAlign w:val="baseline"/>
          <w:lang w:eastAsia="zh-CN"/>
        </w:rPr>
        <w:t>创新行业监管各项措施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pP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t>针对文旅行业新兴业态，构建行政监管和行业自律并行的内容安全和生产安全监管方式。加快推进“互联网＋政务服务”。持续推进“一网通办”建设，细化更多便企便民服务。把握文旅融合趋势，密切关注民宿、沉浸式体验等新业态或混合业态，努力打造与高水平开放、高质量发展相适应的执法监管工作机制。</w:t>
      </w:r>
    </w:p>
    <w:p>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uppressAutoHyphens w:val="0"/>
        <w:kinsoku/>
        <w:wordWrap/>
        <w:overflowPunct/>
        <w:topLinePunct w:val="0"/>
        <w:autoSpaceDE/>
        <w:autoSpaceDN/>
        <w:bidi w:val="0"/>
        <w:adjustRightInd/>
        <w:snapToGrid/>
        <w:spacing w:before="0" w:beforeAutospacing="0" w:after="0" w:afterAutospacing="0" w:line="540" w:lineRule="exact"/>
        <w:ind w:left="0" w:right="0" w:firstLine="640" w:firstLineChars="200"/>
        <w:contextualSpacing w:val="0"/>
        <w:jc w:val="both"/>
        <w:textAlignment w:val="auto"/>
        <w:outlineLvl w:val="9"/>
        <w:rPr>
          <w:rFonts w:hint="eastAsia" w:ascii="楷体" w:hAnsi="楷体" w:eastAsia="楷体" w:cs="楷体"/>
          <w:b w:val="0"/>
          <w:bCs w:val="0"/>
          <w:i w:val="0"/>
          <w:iCs w:val="0"/>
          <w:caps w:val="0"/>
          <w:smallCaps w:val="0"/>
          <w:snapToGrid/>
          <w:vanish w:val="0"/>
          <w:color w:val="auto"/>
          <w:spacing w:val="0"/>
          <w:sz w:val="32"/>
          <w:szCs w:val="32"/>
          <w:shd w:val="clear" w:color="auto" w:fill="FFFFFF"/>
          <w:vertAlign w:val="baseline"/>
          <w:lang w:eastAsia="zh-CN"/>
        </w:rPr>
      </w:pPr>
      <w:r>
        <w:rPr>
          <w:rFonts w:hint="eastAsia" w:ascii="楷体" w:hAnsi="楷体" w:eastAsia="楷体" w:cs="楷体"/>
          <w:b w:val="0"/>
          <w:bCs w:val="0"/>
          <w:i w:val="0"/>
          <w:iCs w:val="0"/>
          <w:caps w:val="0"/>
          <w:smallCaps w:val="0"/>
          <w:snapToGrid/>
          <w:vanish w:val="0"/>
          <w:color w:val="auto"/>
          <w:spacing w:val="0"/>
          <w:sz w:val="32"/>
          <w:szCs w:val="32"/>
          <w:shd w:val="clear" w:color="auto" w:fill="FFFFFF"/>
          <w:vertAlign w:val="baseline"/>
          <w:lang w:eastAsia="zh-CN"/>
        </w:rPr>
        <w:t>优化法治化市场环境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pP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t>对违法行为轻微、及时改正、没有造成危害后果、当事人积极配合检查调查的违法行为，实行“轻微不罚”；对初次违法、危害后果轻微、及时改正、当事人积极配合检查调查的违法行为，实行“首违不罚”。行政处罚不是目的，解决群众及市场主体的急难愁盼才是关键所在，要让文化执法既有力度更有温度，实现了刚性执法和柔性服务的有机结合，切实为优化我市营商环境出实招、下实功。</w:t>
      </w:r>
    </w:p>
    <w:p>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uppressAutoHyphens w:val="0"/>
        <w:kinsoku/>
        <w:wordWrap/>
        <w:overflowPunct/>
        <w:topLinePunct w:val="0"/>
        <w:autoSpaceDE/>
        <w:autoSpaceDN/>
        <w:bidi w:val="0"/>
        <w:adjustRightInd/>
        <w:snapToGrid/>
        <w:spacing w:before="0" w:beforeAutospacing="0" w:after="0" w:afterAutospacing="0" w:line="540" w:lineRule="exact"/>
        <w:ind w:left="0" w:right="0" w:firstLine="640" w:firstLineChars="200"/>
        <w:contextualSpacing w:val="0"/>
        <w:jc w:val="both"/>
        <w:textAlignment w:val="auto"/>
        <w:outlineLvl w:val="9"/>
        <w:rPr>
          <w:rFonts w:hint="eastAsia" w:ascii="楷体" w:hAnsi="楷体" w:eastAsia="楷体" w:cs="楷体"/>
          <w:b w:val="0"/>
          <w:bCs w:val="0"/>
          <w:i w:val="0"/>
          <w:iCs w:val="0"/>
          <w:caps w:val="0"/>
          <w:smallCaps w:val="0"/>
          <w:snapToGrid/>
          <w:vanish w:val="0"/>
          <w:color w:val="auto"/>
          <w:spacing w:val="0"/>
          <w:sz w:val="32"/>
          <w:szCs w:val="32"/>
          <w:shd w:val="clear" w:color="auto" w:fill="FFFFFF"/>
          <w:vertAlign w:val="baseline"/>
          <w:lang w:eastAsia="zh-CN"/>
        </w:rPr>
      </w:pPr>
      <w:r>
        <w:rPr>
          <w:rFonts w:hint="eastAsia" w:ascii="楷体" w:hAnsi="楷体" w:eastAsia="楷体" w:cs="楷体"/>
          <w:b w:val="0"/>
          <w:bCs w:val="0"/>
          <w:i w:val="0"/>
          <w:iCs w:val="0"/>
          <w:caps w:val="0"/>
          <w:smallCaps w:val="0"/>
          <w:snapToGrid/>
          <w:vanish w:val="0"/>
          <w:color w:val="auto"/>
          <w:spacing w:val="0"/>
          <w:sz w:val="32"/>
          <w:szCs w:val="32"/>
          <w:shd w:val="clear" w:color="auto" w:fill="FFFFFF"/>
          <w:vertAlign w:val="baseline"/>
          <w:lang w:eastAsia="zh-CN"/>
        </w:rPr>
        <w:t>进一步规范文旅广电系统行政执法行为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pPr>
      <w:r>
        <w:rPr>
          <w:rFonts w:hint="eastAsia" w:ascii="仿宋_GB2312" w:eastAsia="仿宋_GB2312" w:cs="仿宋_GB2312"/>
          <w:b w:val="0"/>
          <w:bCs w:val="0"/>
          <w:i w:val="0"/>
          <w:iCs w:val="0"/>
          <w:caps w:val="0"/>
          <w:smallCaps w:val="0"/>
          <w:snapToGrid/>
          <w:vanish w:val="0"/>
          <w:color w:val="auto"/>
          <w:spacing w:val="0"/>
          <w:sz w:val="32"/>
          <w:szCs w:val="32"/>
          <w:shd w:val="clear" w:color="auto" w:fill="FFFFFF"/>
          <w:vertAlign w:val="baseline"/>
          <w:lang w:val="en-US" w:eastAsia="zh-CN"/>
        </w:rPr>
        <w:t>严防行政执法不作为、乱作为和不规范、不公开等问题,促进全系统行政执法能力水平切实提高,行政执法质量效能切实增强,行政执法队伍建设切实加强,市场主体和人民群众满意度切实提升。抓好市场监管，做好节假日和敏感时期专项检查和应急处置工作，推动各项任务圆满完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rPr>
        <w:t>鞍山市文化旅游和广播电视局</w:t>
      </w:r>
      <w:r>
        <w:rPr>
          <w:rFonts w:hint="eastAsia" w:asci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日</w:t>
      </w:r>
      <w:r>
        <w:rPr>
          <w:rFonts w:hint="eastAsia" w:ascii="仿宋_GB2312" w:eastAsia="仿宋_GB2312" w:cs="仿宋_GB2312"/>
          <w:sz w:val="32"/>
          <w:szCs w:val="32"/>
          <w:lang w:val="en-US" w:eastAsia="zh-CN"/>
        </w:rPr>
        <w:t xml:space="preserve">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xi Sans">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2B70E"/>
    <w:multiLevelType w:val="singleLevel"/>
    <w:tmpl w:val="DFB2B70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rsids>
    <w:rsidRoot w:val="00000000"/>
    <w:rsid w:val="17BA6673"/>
    <w:rsid w:val="37893D5C"/>
    <w:rsid w:val="3BBE7ED6"/>
    <w:rsid w:val="6DEA0D26"/>
    <w:rsid w:val="76CFEEFD"/>
    <w:rsid w:val="7EFE3180"/>
    <w:rsid w:val="7FEE27FF"/>
    <w:rsid w:val="7FFAAC05"/>
    <w:rsid w:val="EF3B89F1"/>
    <w:rsid w:val="FFBE52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hAnsi="Times New Roman" w:eastAsia="宋体" w:cs="Times New Roman"/>
      <w:snapToGrid/>
      <w:color w:val="auto"/>
      <w:spacing w:val="0"/>
      <w:w w:val="100"/>
      <w:kern w:val="2"/>
      <w:position w:val="0"/>
      <w:sz w:val="21"/>
      <w:szCs w:val="24"/>
      <w:u w:val="none" w:color="auto"/>
      <w:shd w:val="clear" w:color="auto" w:fill="auto"/>
      <w:vertAlign w:val="baseline"/>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Calibri" w:hAnsi="Calibri" w:eastAsia="宋体" w:cs="Times New Roman"/>
      <w:snapToGrid/>
      <w:color w:val="auto"/>
      <w:spacing w:val="0"/>
      <w:w w:val="100"/>
      <w:kern w:val="0"/>
      <w:position w:val="0"/>
      <w:sz w:val="24"/>
      <w:szCs w:val="24"/>
      <w:u w:val="none" w:color="auto"/>
      <w:shd w:val="clear" w:color="auto" w:fill="auto"/>
      <w:vertAlign w:val="baseline"/>
      <w:lang w:val="en-US" w:eastAsia="zh-CN" w:bidi="ar-SA"/>
    </w:rPr>
  </w:style>
  <w:style w:type="character" w:styleId="11">
    <w:name w:val="Strong"/>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10</Pages>
  <Words>4807</Words>
  <Characters>4904</Characters>
  <Lines>208</Lines>
  <Paragraphs>50</Paragraphs>
  <TotalTime>10</TotalTime>
  <ScaleCrop>false</ScaleCrop>
  <LinksUpToDate>false</LinksUpToDate>
  <CharactersWithSpaces>4911</CharactersWithSpaces>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2025-11-14T22:56:00Z</dcterms:created>
  <dc:creator>23013RK75C</dc:creator>
  <cp:lastModifiedBy>as01</cp:lastModifiedBy>
  <cp:lastPrinted>2025-11-19T03:27:00Z</cp:lastPrinted>
  <dcterms:modified xsi:type="dcterms:W3CDTF">2026-03-23T08:34:56Z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F15EA5A3765146729392B6B88226F8CE_13</vt:lpwstr>
  </property>
  <property fmtid="{D5CDD505-2E9C-101B-9397-08002B2CF9AE}" pid="3" name="KSOProductBuildVer">
    <vt:lpwstr>2052-11.8.2.10422</vt:lpwstr>
  </property>
  <property fmtid="{D5CDD505-2E9C-101B-9397-08002B2CF9AE}" pid="4" name="KSOTemplateDocerSaveRecord">
    <vt:lpwstr>eyJoZGlkIjoiNTEyMTE5NmI0ZDE4ZjE0ZWYxOTNlODZiZjlhODg3MDkiLCJ1c2VySWQiOiI2NjM1OTc5MTEifQ==</vt:lpwstr>
  </property>
</Properties>
</file>