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辽宁省文化市场综合行政</w:t>
      </w:r>
      <w:bookmarkStart w:id="0" w:name="_GoBack"/>
      <w:bookmarkEnd w:id="0"/>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执法不予行政处罚事项清单</w:t>
      </w:r>
    </w:p>
    <w:tbl>
      <w:tblPr>
        <w:tblStyle w:val="4"/>
        <w:tblW w:w="149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784"/>
        <w:gridCol w:w="2760"/>
        <w:gridCol w:w="2610"/>
        <w:gridCol w:w="5430"/>
        <w:gridCol w:w="1384"/>
        <w:gridCol w:w="1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784" w:type="dxa"/>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管理领域</w:t>
            </w:r>
          </w:p>
        </w:tc>
        <w:tc>
          <w:tcPr>
            <w:tcW w:w="2760" w:type="dxa"/>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违法事项</w:t>
            </w:r>
          </w:p>
        </w:tc>
        <w:tc>
          <w:tcPr>
            <w:tcW w:w="2610" w:type="dxa"/>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适用情形</w:t>
            </w:r>
          </w:p>
        </w:tc>
        <w:tc>
          <w:tcPr>
            <w:tcW w:w="5430" w:type="dxa"/>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法定依据</w:t>
            </w:r>
          </w:p>
        </w:tc>
        <w:tc>
          <w:tcPr>
            <w:tcW w:w="1384" w:type="dxa"/>
            <w:tcBorders>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配套监管措施</w:t>
            </w:r>
          </w:p>
        </w:tc>
        <w:tc>
          <w:tcPr>
            <w:tcW w:w="1226" w:type="dxa"/>
            <w:tcBorders>
              <w:left w:val="single" w:color="000000" w:sz="4" w:space="0"/>
              <w:bottom w:val="single" w:color="auto"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权力层级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文化</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违反《互联网上网服务营业场所管理条例》第二十条，互联网上网服务营业场所经营单位未悬挂《网络文化经营许可证》</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首次被发现，且能当场按规定悬挂的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2.《互联网上网服务营业场所管理条例》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第三十一条</w:t>
            </w:r>
            <w:r>
              <w:rPr>
                <w:rFonts w:hint="eastAsia" w:ascii="仿宋" w:hAnsi="仿宋" w:eastAsia="仿宋" w:cs="仿宋"/>
                <w:i w:val="0"/>
                <w:iCs w:val="0"/>
                <w:color w:val="000000"/>
                <w:kern w:val="0"/>
                <w:sz w:val="20"/>
                <w:szCs w:val="20"/>
                <w:u w:val="none"/>
                <w:lang w:val="en-US" w:eastAsia="zh-CN" w:bidi="ar"/>
              </w:rPr>
              <w:t xml:space="preserve"> </w:t>
            </w:r>
            <w:r>
              <w:rPr>
                <w:rFonts w:hint="default" w:ascii="仿宋" w:hAnsi="仿宋" w:eastAsia="仿宋" w:cs="仿宋"/>
                <w:i w:val="0"/>
                <w:iCs w:val="0"/>
                <w:color w:val="000000"/>
                <w:kern w:val="0"/>
                <w:sz w:val="20"/>
                <w:szCs w:val="20"/>
                <w:u w:val="none"/>
                <w:lang w:val="en-US" w:eastAsia="zh-CN" w:bidi="ar"/>
              </w:rPr>
              <w:t>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0"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2</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文化</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违反《互联网上网服务营业场所管理条例》第二十一条第二款，互联网上网服务营业场所经营单位未在营业场所入口处的显著位置悬挂未成年人禁入标志</w:t>
            </w:r>
          </w:p>
          <w:p>
            <w:pPr>
              <w:keepNext w:val="0"/>
              <w:keepLines w:val="0"/>
              <w:widowControl/>
              <w:suppressLineNumbers w:val="0"/>
              <w:tabs>
                <w:tab w:val="left" w:pos="633"/>
              </w:tabs>
              <w:jc w:val="both"/>
              <w:rPr>
                <w:rFonts w:hint="eastAsia" w:ascii="仿宋" w:hAnsi="仿宋" w:eastAsia="仿宋" w:cs="仿宋"/>
                <w:i w:val="0"/>
                <w:iCs w:val="0"/>
                <w:color w:val="000000"/>
                <w:kern w:val="0"/>
                <w:sz w:val="20"/>
                <w:szCs w:val="20"/>
                <w:u w:val="none"/>
                <w:lang w:val="en-US" w:eastAsia="zh-CN" w:bidi="ar"/>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首次被发现，且能当场按规定悬挂的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2.《互联网上网服务营业场所管理条例》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第三十一条　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0"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3</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0"/>
                <w:sz w:val="20"/>
                <w:szCs w:val="20"/>
                <w:u w:val="none"/>
                <w:lang w:val="en-US" w:eastAsia="zh-CN" w:bidi="ar"/>
              </w:rPr>
            </w:pP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违反《互联网上网服务营业场所管理条例》第十九条，未建立场内巡查制度</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首次被发现且未造成严重影响，能够积极配合按规定建立巡查制度的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2.《互联网上网服务营业场所管理条例》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二)未建立场内巡查制度，或者发现上网消费者的违法行为未予制止并向文化行政部门、公安机关举报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0"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4</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文化</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违反《娱乐场所管理条例》第三十条，娱乐场所未按照条例规定悬挂警示标志</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首次被发现，且能当场按规定悬挂的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2.《娱乐场所管理条例》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第五十一条：娱乐场所未按照本条例规定悬挂警示标志、未成年人禁入或者限入标志的，由县级人民政府文化主管部门、县级公安部门依据法定职权责令改正，给予警告。</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5</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违反《音像制品管理条例》第十八条第二款、第二十二条第二款、第三十三条第二款，音像制品制作、复制、批发、零售单位变更地址、法定代表人或者主要负责人等，未依照条例规定办理备案手续</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2.《音像制品管理条例》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黑体" w:hAnsi="黑体" w:eastAsia="黑体" w:cs="黑体"/>
                <w:i w:val="0"/>
                <w:iCs w:val="0"/>
                <w:color w:val="000000"/>
                <w:kern w:val="0"/>
                <w:sz w:val="24"/>
                <w:szCs w:val="24"/>
                <w:u w:val="none"/>
                <w:lang w:val="en-US" w:eastAsia="zh-CN" w:bidi="ar"/>
              </w:rPr>
            </w:pPr>
            <w:r>
              <w:rPr>
                <w:rFonts w:hint="eastAsia" w:ascii="仿宋" w:hAnsi="仿宋" w:eastAsia="仿宋" w:cs="仿宋"/>
                <w:i w:val="0"/>
                <w:iCs w:val="0"/>
                <w:color w:val="000000"/>
                <w:kern w:val="0"/>
                <w:sz w:val="20"/>
                <w:szCs w:val="20"/>
                <w:u w:val="none"/>
                <w:lang w:val="en-US" w:eastAsia="zh-CN" w:bidi="ar"/>
              </w:rPr>
              <w:t>第四十四条 有下列行为之一的，由出版行政主管部门责令改正，给予警告；情节严重的，并责令停业整顿或者由原发证机关吊销许可证：(二)音像制品出版、制作、复制、批发、零售单位变更名称、地址、法定代表人或者主要负责人、业务范围等，未依照本条例规定办理审批、备案手续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6</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违反《音像制品管理条例》第十二条第二款，音像出版单位未依照条例的规定送交样本</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2.《音像制品管理条例》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第四十四条 有下列行为之一的，由出版行政主管部门责令改正，给予警告；情节严重的，并责令停业整顿或者由原发证机关吊销许可证：(</w:t>
            </w:r>
            <w:r>
              <w:rPr>
                <w:rFonts w:hint="default" w:ascii="仿宋" w:hAnsi="仿宋" w:eastAsia="仿宋" w:cs="仿宋"/>
                <w:i w:val="0"/>
                <w:iCs w:val="0"/>
                <w:color w:val="000000"/>
                <w:kern w:val="0"/>
                <w:sz w:val="20"/>
                <w:szCs w:val="20"/>
                <w:u w:val="none"/>
                <w:lang w:val="en-US" w:eastAsia="zh-CN" w:bidi="ar"/>
              </w:rPr>
              <w:t>四)音像出版单位未依照本条例的规定送交样本的</w:t>
            </w:r>
            <w:r>
              <w:rPr>
                <w:rFonts w:hint="eastAsia" w:ascii="仿宋" w:hAnsi="仿宋" w:eastAsia="仿宋" w:cs="仿宋"/>
                <w:i w:val="0"/>
                <w:iCs w:val="0"/>
                <w:color w:val="000000"/>
                <w:kern w:val="0"/>
                <w:sz w:val="20"/>
                <w:szCs w:val="20"/>
                <w:u w:val="none"/>
                <w:lang w:val="en-US" w:eastAsia="zh-CN" w:bidi="ar"/>
              </w:rPr>
              <w:t>。</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7</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违反《出版物市场管理规定》第十三条第一款，单位、个人从事出版物出租业务未备案</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2.《出版物市场管理规定》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第三十七条</w:t>
            </w:r>
            <w:r>
              <w:rPr>
                <w:rFonts w:hint="default" w:ascii="仿宋" w:hAnsi="仿宋" w:eastAsia="仿宋" w:cs="仿宋"/>
                <w:i w:val="0"/>
                <w:iCs w:val="0"/>
                <w:color w:val="000000"/>
                <w:kern w:val="0"/>
                <w:sz w:val="20"/>
                <w:szCs w:val="20"/>
                <w:u w:val="none"/>
                <w:lang w:val="en-US" w:eastAsia="zh-CN" w:bidi="ar"/>
              </w:rPr>
              <w:t> 违反本规定，有下列行为之一的，由出版行政主管部门责令停止违法行为，予以警告，并处3万元以下罚款：</w:t>
            </w:r>
            <w:r>
              <w:rPr>
                <w:rFonts w:hint="eastAsia" w:ascii="仿宋" w:hAnsi="仿宋" w:eastAsia="仿宋" w:cs="仿宋"/>
                <w:i w:val="0"/>
                <w:iCs w:val="0"/>
                <w:color w:val="000000"/>
                <w:kern w:val="0"/>
                <w:sz w:val="20"/>
                <w:szCs w:val="20"/>
                <w:u w:val="none"/>
                <w:lang w:val="en-US" w:eastAsia="zh-CN" w:bidi="ar"/>
              </w:rPr>
              <w:t>（十一）应按本规定进行备案而未备案的。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8</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违反《出版物市场管理规定》第十五条第二款，已经取得出版物经营许可证的单位、个人在批准的经营范围内通过互联网等信息网络从事出版物发行业务未备案</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2.《出版物市场管理规定》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第三十七条</w:t>
            </w:r>
            <w:r>
              <w:rPr>
                <w:rFonts w:hint="default" w:ascii="仿宋" w:hAnsi="仿宋" w:eastAsia="仿宋" w:cs="仿宋"/>
                <w:i w:val="0"/>
                <w:iCs w:val="0"/>
                <w:color w:val="000000"/>
                <w:kern w:val="0"/>
                <w:sz w:val="20"/>
                <w:szCs w:val="20"/>
                <w:u w:val="none"/>
                <w:lang w:val="en-US" w:eastAsia="zh-CN" w:bidi="ar"/>
              </w:rPr>
              <w:t> 违反本规定，有下列行为之一的，由出版行政主管部门责令停止违法行为，予以警告，并处3万元以下罚款：</w:t>
            </w:r>
            <w:r>
              <w:rPr>
                <w:rFonts w:hint="eastAsia" w:ascii="仿宋" w:hAnsi="仿宋" w:eastAsia="仿宋" w:cs="仿宋"/>
                <w:i w:val="0"/>
                <w:iCs w:val="0"/>
                <w:color w:val="000000"/>
                <w:kern w:val="0"/>
                <w:sz w:val="20"/>
                <w:szCs w:val="20"/>
                <w:u w:val="none"/>
                <w:lang w:val="en-US" w:eastAsia="zh-CN" w:bidi="ar"/>
              </w:rPr>
              <w:t>（十一）应按本规定进行备案而未备案的。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9</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违反《出版物市场管理规定》第二十二条第二款第（五）项，出版物经营许可证未在经营场所明显处张挂</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首次被发现，且能当场按规定张挂的</w:t>
            </w:r>
          </w:p>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2.《出版物市场管理规定》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第三十七条</w:t>
            </w:r>
            <w:r>
              <w:rPr>
                <w:rFonts w:hint="default" w:ascii="仿宋" w:hAnsi="仿宋" w:eastAsia="仿宋" w:cs="仿宋"/>
                <w:i w:val="0"/>
                <w:iCs w:val="0"/>
                <w:color w:val="000000"/>
                <w:kern w:val="0"/>
                <w:sz w:val="20"/>
                <w:szCs w:val="20"/>
                <w:u w:val="none"/>
                <w:lang w:val="en-US" w:eastAsia="zh-CN" w:bidi="ar"/>
              </w:rPr>
              <w:t> 违反本规定，有下列行为之一的，由出版行政主管部门责令停止违法行为，予以警告，并处3万元以下罚款：</w:t>
            </w:r>
            <w:r>
              <w:rPr>
                <w:rFonts w:hint="eastAsia" w:ascii="仿宋" w:hAnsi="仿宋" w:eastAsia="仿宋" w:cs="仿宋"/>
                <w:i w:val="0"/>
                <w:iCs w:val="0"/>
                <w:color w:val="000000"/>
                <w:kern w:val="0"/>
                <w:sz w:val="20"/>
                <w:szCs w:val="20"/>
                <w:u w:val="none"/>
                <w:lang w:val="en-US" w:eastAsia="zh-CN" w:bidi="ar"/>
              </w:rPr>
              <w:t>（五）出版物经营许可证未在经营场所明显处张挂或者未在网页醒目位置公开出版物经营许可证和营业执照登载的有关信息或者链接标识的；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10</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pPr>
            <w:r>
              <w:rPr>
                <w:rFonts w:hint="eastAsia" w:ascii="仿宋" w:hAnsi="仿宋" w:eastAsia="仿宋" w:cs="仿宋"/>
                <w:i w:val="0"/>
                <w:iCs w:val="0"/>
                <w:color w:val="000000"/>
                <w:kern w:val="2"/>
                <w:sz w:val="20"/>
                <w:szCs w:val="20"/>
                <w:u w:val="none"/>
                <w:lang w:val="en-US" w:eastAsia="zh-CN" w:bidi="ar-SA"/>
              </w:rPr>
              <w:t>违反《出版物市场管理规定》第二十二条第二款第（五）项，未在网页醒目位置公开出版物经营许可证和营业执照登载的有关信息或者链接标识</w:t>
            </w:r>
          </w:p>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2.《出版物市场管理规定》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第三十七条</w:t>
            </w:r>
            <w:r>
              <w:rPr>
                <w:rFonts w:hint="default" w:ascii="仿宋" w:hAnsi="仿宋" w:eastAsia="仿宋" w:cs="仿宋"/>
                <w:i w:val="0"/>
                <w:iCs w:val="0"/>
                <w:color w:val="000000"/>
                <w:kern w:val="0"/>
                <w:sz w:val="20"/>
                <w:szCs w:val="20"/>
                <w:u w:val="none"/>
                <w:lang w:val="en-US" w:eastAsia="zh-CN" w:bidi="ar"/>
              </w:rPr>
              <w:t> 违反本规定，有下列行为之一的，由出版行政主管部门责令停止违法行为，予以警告，并处3万元以下罚款：</w:t>
            </w:r>
            <w:r>
              <w:rPr>
                <w:rFonts w:hint="eastAsia" w:ascii="仿宋" w:hAnsi="仿宋" w:eastAsia="仿宋" w:cs="仿宋"/>
                <w:i w:val="0"/>
                <w:iCs w:val="0"/>
                <w:color w:val="000000"/>
                <w:kern w:val="0"/>
                <w:sz w:val="20"/>
                <w:szCs w:val="20"/>
                <w:u w:val="none"/>
                <w:lang w:val="en-US" w:eastAsia="zh-CN" w:bidi="ar"/>
              </w:rPr>
              <w:t>（五）出版物经营许可证未在经营场所明显处张挂或者未在网页醒目位置公开出版物经营许可证和营业执照登载的有关信息或者链接标识的；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11</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违反《出版管理条例》第二十二条，出版单位未依照条例的规定送交出版物的样本</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r>
              <w:rPr>
                <w:rFonts w:hint="eastAsia" w:ascii="仿宋" w:hAnsi="仿宋" w:eastAsia="仿宋" w:cs="仿宋"/>
                <w:i w:val="0"/>
                <w:iCs w:val="0"/>
                <w:color w:val="000000"/>
                <w:kern w:val="2"/>
                <w:sz w:val="20"/>
                <w:szCs w:val="20"/>
                <w:u w:val="none"/>
                <w:lang w:val="en-US" w:eastAsia="zh-CN" w:bidi="ar-SA"/>
              </w:rPr>
              <w:t>出版管理条例</w:t>
            </w:r>
            <w:r>
              <w:rPr>
                <w:rFonts w:hint="eastAsia" w:ascii="仿宋" w:hAnsi="仿宋" w:eastAsia="仿宋" w:cs="仿宋"/>
                <w:i w:val="0"/>
                <w:iCs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第六十七条　有下列行为之一的，由出版行政主管部门责令改正，给予警告；情节严重的，责令限期停业整顿或者由原发证机关吊销许可证：（三）出版单位未依照本条例的规定送交出版物的样本的</w:t>
            </w:r>
            <w:r>
              <w:rPr>
                <w:rFonts w:hint="eastAsia" w:ascii="仿宋" w:hAnsi="仿宋" w:eastAsia="仿宋" w:cs="仿宋"/>
                <w:i w:val="0"/>
                <w:iCs w:val="0"/>
                <w:color w:val="000000"/>
                <w:kern w:val="0"/>
                <w:sz w:val="20"/>
                <w:szCs w:val="20"/>
                <w:u w:val="none"/>
                <w:lang w:val="en-US" w:eastAsia="zh-CN" w:bidi="ar"/>
              </w:rPr>
              <w:t>。</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12</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违反《印刷业管理条例》第二十八条，从事包装装潢印刷品印刷经营活动的企业擅自留存委托印刷的包装装潢印刷品的成品、半成品、废品和印板、纸型、印刷底片、原稿等</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首次被发现，且留存的物品未被非法使用的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r>
              <w:rPr>
                <w:rFonts w:hint="eastAsia" w:ascii="仿宋" w:hAnsi="仿宋" w:eastAsia="仿宋" w:cs="仿宋"/>
                <w:i w:val="0"/>
                <w:iCs w:val="0"/>
                <w:color w:val="000000"/>
                <w:kern w:val="2"/>
                <w:sz w:val="20"/>
                <w:szCs w:val="20"/>
                <w:u w:val="none"/>
                <w:lang w:val="en-US" w:eastAsia="zh-CN" w:bidi="ar-SA"/>
              </w:rPr>
              <w:t>印刷业管理条例</w:t>
            </w:r>
            <w:r>
              <w:rPr>
                <w:rFonts w:hint="eastAsia" w:ascii="仿宋" w:hAnsi="仿宋" w:eastAsia="仿宋" w:cs="仿宋"/>
                <w:i w:val="0"/>
                <w:iCs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第四十四条 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13</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2"/>
                <w:sz w:val="20"/>
                <w:szCs w:val="20"/>
                <w:u w:val="none"/>
                <w:lang w:val="en-US" w:eastAsia="zh-CN" w:bidi="ar-SA"/>
              </w:rPr>
              <w:t>违反《印刷业管理条例》第三十一条第三款，从事其他印刷品印刷经营活动的企业和个人在所保留的样本、样张上未加盖“样本”“样张”戳记</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首次被发现，且保留的样本、样张未被非法使用的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2.《印刷业管理条例》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第四十四条 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14</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出版</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2"/>
                <w:sz w:val="20"/>
                <w:szCs w:val="20"/>
                <w:u w:val="none"/>
                <w:lang w:val="en-US" w:eastAsia="zh-CN" w:bidi="ar-SA"/>
              </w:rPr>
              <w:t>违反《网络出版服务管理规定》第十九条第一款，网络出版服务单位未在其网站首页标明《网络出版服务许可证》编号</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首次被发现的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r>
              <w:rPr>
                <w:rFonts w:hint="default" w:ascii="仿宋" w:hAnsi="仿宋" w:eastAsia="仿宋" w:cs="仿宋"/>
                <w:i w:val="0"/>
                <w:iCs w:val="0"/>
                <w:color w:val="000000"/>
                <w:kern w:val="2"/>
                <w:sz w:val="20"/>
                <w:szCs w:val="20"/>
                <w:u w:val="none"/>
                <w:lang w:val="en-US" w:eastAsia="zh-CN" w:bidi="ar-SA"/>
              </w:rPr>
              <w:t>网络出版服务管理规定</w:t>
            </w:r>
            <w:r>
              <w:rPr>
                <w:rFonts w:hint="eastAsia" w:ascii="仿宋" w:hAnsi="仿宋" w:eastAsia="仿宋" w:cs="仿宋"/>
                <w:i w:val="0"/>
                <w:iCs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第五十八条 有下列行为之一的，由出版行政主管部门责令改正，予以警告，并处3万元以下罚款：（二）违反本规定第十九条，未标明有关许可信息或者未核验有关网站的《网络出版服务许可证》的</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0"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15</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旅游</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2"/>
                <w:sz w:val="20"/>
                <w:szCs w:val="20"/>
                <w:u w:val="none"/>
                <w:lang w:val="en-US" w:eastAsia="zh-CN" w:bidi="ar-SA"/>
              </w:rPr>
              <w:t>违反《旅游安全管理</w:t>
            </w:r>
            <w:r>
              <w:rPr>
                <w:rFonts w:hint="eastAsia" w:ascii="仿宋" w:hAnsi="仿宋" w:eastAsia="仿宋" w:cs="仿宋"/>
                <w:i w:val="0"/>
                <w:iCs w:val="0"/>
                <w:color w:val="000000"/>
                <w:kern w:val="2"/>
                <w:sz w:val="20"/>
                <w:szCs w:val="20"/>
                <w:u w:val="none"/>
                <w:lang w:val="en-US" w:eastAsia="zh-CN" w:bidi="ar-SA"/>
              </w:rPr>
              <w:t>暂行</w:t>
            </w:r>
            <w:r>
              <w:rPr>
                <w:rFonts w:hint="default" w:ascii="仿宋" w:hAnsi="仿宋" w:eastAsia="仿宋" w:cs="仿宋"/>
                <w:i w:val="0"/>
                <w:iCs w:val="0"/>
                <w:color w:val="000000"/>
                <w:kern w:val="2"/>
                <w:sz w:val="20"/>
                <w:szCs w:val="20"/>
                <w:u w:val="none"/>
                <w:lang w:val="en-US" w:eastAsia="zh-CN" w:bidi="ar-SA"/>
              </w:rPr>
              <w:t>办法》第十二条第三款，旅行社未将安全信息卡交由旅游者或者未告知旅游者相关信息</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首次被发现，且能当场将安全信息卡交由旅游者并告知旅游者相关信息的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r>
              <w:rPr>
                <w:rFonts w:hint="default" w:ascii="仿宋" w:hAnsi="仿宋" w:eastAsia="仿宋" w:cs="仿宋"/>
                <w:i w:val="0"/>
                <w:iCs w:val="0"/>
                <w:color w:val="000000"/>
                <w:kern w:val="2"/>
                <w:sz w:val="20"/>
                <w:szCs w:val="20"/>
                <w:u w:val="none"/>
                <w:lang w:val="en-US" w:eastAsia="zh-CN" w:bidi="ar-SA"/>
              </w:rPr>
              <w:t>《旅游安全管理</w:t>
            </w:r>
            <w:r>
              <w:rPr>
                <w:rFonts w:hint="eastAsia" w:ascii="仿宋" w:hAnsi="仿宋" w:eastAsia="仿宋" w:cs="仿宋"/>
                <w:i w:val="0"/>
                <w:iCs w:val="0"/>
                <w:color w:val="000000"/>
                <w:kern w:val="2"/>
                <w:sz w:val="20"/>
                <w:szCs w:val="20"/>
                <w:u w:val="none"/>
                <w:lang w:val="en-US" w:eastAsia="zh-CN" w:bidi="ar-SA"/>
              </w:rPr>
              <w:t>暂行</w:t>
            </w:r>
            <w:r>
              <w:rPr>
                <w:rFonts w:hint="default" w:ascii="仿宋" w:hAnsi="仿宋" w:eastAsia="仿宋" w:cs="仿宋"/>
                <w:i w:val="0"/>
                <w:iCs w:val="0"/>
                <w:color w:val="000000"/>
                <w:kern w:val="2"/>
                <w:sz w:val="20"/>
                <w:szCs w:val="20"/>
                <w:u w:val="none"/>
                <w:lang w:val="en-US" w:eastAsia="zh-CN" w:bidi="ar-SA"/>
              </w:rPr>
              <w:t>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第三十五条　旅行社违反本办法第十二条的规定，不按要求制作安全信息卡，未将安全信息卡交由旅游者，或者未告知旅游者相关信息的，由旅游主管部门给予警告，可并处2000元以下罚款；情节严重的，处2000元以上10000元以下罚款。</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9"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16</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旅游</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2"/>
                <w:sz w:val="20"/>
                <w:szCs w:val="20"/>
                <w:u w:val="none"/>
                <w:lang w:val="en-US" w:eastAsia="zh-CN" w:bidi="ar-SA"/>
              </w:rPr>
              <w:t>违反《旅行社条例实施细则》第二十六条，旅行社及其分社未悬挂旅行社业务经营许可证、旅行社分社备案登记证明</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首次被发现，且能当场按规定悬挂的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r>
              <w:rPr>
                <w:rFonts w:hint="default" w:ascii="仿宋" w:hAnsi="仿宋" w:eastAsia="仿宋" w:cs="仿宋"/>
                <w:i w:val="0"/>
                <w:iCs w:val="0"/>
                <w:color w:val="000000"/>
                <w:kern w:val="0"/>
                <w:sz w:val="20"/>
                <w:szCs w:val="20"/>
                <w:u w:val="none"/>
                <w:lang w:val="en-US" w:eastAsia="zh-CN" w:bidi="ar"/>
              </w:rPr>
              <w:t>《旅行社条例实施细则》</w:t>
            </w:r>
          </w:p>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0"/>
                <w:szCs w:val="20"/>
                <w:u w:val="none"/>
                <w:lang w:val="en-US" w:eastAsia="zh-CN" w:bidi="ar-SA"/>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9" w:hRule="atLeast"/>
          <w:jc w:val="center"/>
        </w:trPr>
        <w:tc>
          <w:tcPr>
            <w:tcW w:w="750"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17</w:t>
            </w:r>
          </w:p>
        </w:tc>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top"/>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广电</w:t>
            </w:r>
          </w:p>
        </w:tc>
        <w:tc>
          <w:tcPr>
            <w:tcW w:w="27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违反《卫星电视广播地面接收设施管理规定》第八条第一款，个人安装和使用卫星地面接收设施</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首次被发现，危害后果轻微且能积极配合拆除卫星地面接收设施的</w:t>
            </w:r>
          </w:p>
        </w:tc>
        <w:tc>
          <w:tcPr>
            <w:tcW w:w="54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1.《中华人民共和国行政处罚法》</w:t>
            </w:r>
          </w:p>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第三十三条　违法行为轻微并及时改正，没有造成危害后果的，不予行政处罚。初次违法且危害后果轻微并及时改正的，可以不予行政处罚。</w:t>
            </w:r>
          </w:p>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当事人有证据足以证明没有主观过错的，不予行政处罚。法律、行政法规另有规定的，从其规定。</w:t>
            </w:r>
          </w:p>
          <w:p>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对当事人的违法行为依法不予行政处罚的，行政机关应当对当事人进行教育。</w:t>
            </w:r>
          </w:p>
          <w:p>
            <w:pPr>
              <w:keepNext w:val="0"/>
              <w:keepLines w:val="0"/>
              <w:widowControl/>
              <w:numPr>
                <w:ilvl w:val="0"/>
                <w:numId w:val="0"/>
              </w:numPr>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2.《卫星</w:t>
            </w:r>
            <w:r>
              <w:rPr>
                <w:rFonts w:hint="eastAsia" w:ascii="仿宋" w:hAnsi="仿宋" w:eastAsia="仿宋" w:cs="仿宋"/>
                <w:i w:val="0"/>
                <w:iCs w:val="0"/>
                <w:color w:val="000000"/>
                <w:kern w:val="2"/>
                <w:sz w:val="20"/>
                <w:szCs w:val="20"/>
                <w:u w:val="none"/>
                <w:lang w:val="en-US" w:eastAsia="zh-CN" w:bidi="ar-SA"/>
              </w:rPr>
              <w:t>电视广播地面接收设施管理规定</w:t>
            </w:r>
            <w:r>
              <w:rPr>
                <w:rFonts w:hint="eastAsia" w:ascii="仿宋" w:hAnsi="仿宋" w:eastAsia="仿宋" w:cs="仿宋"/>
                <w:i w:val="0"/>
                <w:iCs w:val="0"/>
                <w:color w:val="000000"/>
                <w:kern w:val="0"/>
                <w:sz w:val="20"/>
                <w:szCs w:val="20"/>
                <w:u w:val="none"/>
                <w:lang w:val="en-US" w:eastAsia="zh-CN" w:bidi="ar"/>
              </w:rPr>
              <w:t>》</w:t>
            </w:r>
          </w:p>
          <w:p>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第十条 第三款 违反本规定，擅自安装和使用卫星地面接收设施的，由广播电视行政管理部门没收其安装和使用的卫星地面接收设施，对个人可以并处</w:t>
            </w:r>
            <w:r>
              <w:rPr>
                <w:rFonts w:hint="default" w:ascii="仿宋" w:hAnsi="仿宋" w:eastAsia="仿宋" w:cs="仿宋"/>
                <w:i w:val="0"/>
                <w:iCs w:val="0"/>
                <w:color w:val="000000"/>
                <w:kern w:val="0"/>
                <w:sz w:val="20"/>
                <w:szCs w:val="20"/>
                <w:u w:val="none"/>
                <w:lang w:val="en-US" w:eastAsia="zh-CN" w:bidi="ar"/>
              </w:rPr>
              <w:t>5000</w:t>
            </w:r>
            <w:r>
              <w:rPr>
                <w:rFonts w:hint="eastAsia" w:ascii="仿宋" w:hAnsi="仿宋" w:eastAsia="仿宋" w:cs="仿宋"/>
                <w:i w:val="0"/>
                <w:iCs w:val="0"/>
                <w:color w:val="000000"/>
                <w:kern w:val="0"/>
                <w:sz w:val="20"/>
                <w:szCs w:val="20"/>
                <w:u w:val="none"/>
                <w:lang w:val="en-US" w:eastAsia="zh-CN" w:bidi="ar"/>
              </w:rPr>
              <w:t>元以下的罚款，对单位可以并处</w:t>
            </w:r>
            <w:r>
              <w:rPr>
                <w:rFonts w:hint="default" w:ascii="仿宋" w:hAnsi="仿宋" w:eastAsia="仿宋" w:cs="仿宋"/>
                <w:i w:val="0"/>
                <w:iCs w:val="0"/>
                <w:color w:val="000000"/>
                <w:kern w:val="0"/>
                <w:sz w:val="20"/>
                <w:szCs w:val="20"/>
                <w:u w:val="none"/>
                <w:lang w:val="en-US" w:eastAsia="zh-CN" w:bidi="ar"/>
              </w:rPr>
              <w:t>5</w:t>
            </w:r>
            <w:r>
              <w:rPr>
                <w:rFonts w:hint="eastAsia" w:ascii="仿宋" w:hAnsi="仿宋" w:eastAsia="仿宋" w:cs="仿宋"/>
                <w:i w:val="0"/>
                <w:iCs w:val="0"/>
                <w:color w:val="000000"/>
                <w:kern w:val="0"/>
                <w:sz w:val="20"/>
                <w:szCs w:val="20"/>
                <w:u w:val="none"/>
                <w:lang w:val="en-US" w:eastAsia="zh-CN" w:bidi="ar"/>
              </w:rPr>
              <w:t>万元以下的罚款。</w:t>
            </w:r>
          </w:p>
        </w:tc>
        <w:tc>
          <w:tcPr>
            <w:tcW w:w="13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责令改正，回访检查</w:t>
            </w:r>
          </w:p>
        </w:tc>
        <w:tc>
          <w:tcPr>
            <w:tcW w:w="1226" w:type="dxa"/>
            <w:tcBorders>
              <w:top w:val="single" w:color="auto" w:sz="4" w:space="0"/>
              <w:left w:val="single" w:color="auto" w:sz="4" w:space="0"/>
              <w:bottom w:val="single" w:color="auto" w:sz="4" w:space="0"/>
            </w:tcBorders>
            <w:noWrap/>
            <w:vAlign w:val="center"/>
          </w:tcPr>
          <w:p>
            <w:pPr>
              <w:keepNext w:val="0"/>
              <w:keepLines w:val="0"/>
              <w:widowControl/>
              <w:suppressLineNumbers w:val="0"/>
              <w:jc w:val="both"/>
              <w:textAlignment w:val="top"/>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eastAsia="zh-CN" w:bidi="ar"/>
              </w:rPr>
              <w:t>设区的</w:t>
            </w:r>
            <w:r>
              <w:rPr>
                <w:rFonts w:hint="eastAsia" w:ascii="仿宋" w:hAnsi="仿宋" w:eastAsia="仿宋" w:cs="仿宋"/>
                <w:i w:val="0"/>
                <w:iCs w:val="0"/>
                <w:color w:val="000000"/>
                <w:kern w:val="0"/>
                <w:sz w:val="20"/>
                <w:szCs w:val="20"/>
                <w:u w:val="none"/>
                <w:lang w:val="en-US" w:eastAsia="zh-CN" w:bidi="ar"/>
              </w:rPr>
              <w:t>市级、县级</w:t>
            </w:r>
          </w:p>
        </w:tc>
      </w:tr>
    </w:tbl>
    <w:p/>
    <w:p/>
    <w:sectPr>
      <w:footerReference r:id="rId3" w:type="default"/>
      <w:pgSz w:w="16838" w:h="11906" w:orient="landscape"/>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Q4YTA4NDU0NTE2YzY0MmRmODJiZTBjYTY5ZDMifQ=="/>
  </w:docVars>
  <w:rsids>
    <w:rsidRoot w:val="00000000"/>
    <w:rsid w:val="05EC31C5"/>
    <w:rsid w:val="317863A6"/>
    <w:rsid w:val="6866E836"/>
    <w:rsid w:val="6FCA5FA6"/>
    <w:rsid w:val="BEB7F15D"/>
    <w:rsid w:val="CFFFB9A0"/>
    <w:rsid w:val="FFBE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2023-07-28T18:55:00Z</dcterms:created>
  <dc:creator>lenovo</dc:creator>
  <cp:lastModifiedBy>lenovo</cp:lastModifiedBy>
  <cp:lastPrinted>2023-10-31T06:02:19Z</cp:lastPrinted>
  <dcterms:modified xsi:type="dcterms:W3CDTF">2023-10-31T06:06:09Z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AEECD77E138C4BC3A2AC334387ED24D8_12</vt:lpwstr>
  </property>
</Properties>
</file>