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topLinePunct/>
        <w:spacing w:line="525" w:lineRule="atLeas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1" w:name="_GoBack"/>
      <w:bookmarkEnd w:id="1"/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辽宁省卫生健康系统优化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营商环境若干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举措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为深入贯彻落实省委、省政府优化营商环境的系列部署要求，聚焦企业群众健康需求，切实发挥卫生健康部门服务保障作用，制定以下具体措施。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一、优化卫生健康服务</w:t>
      </w:r>
      <w:bookmarkStart w:id="0" w:name="OLE_LINK1"/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模式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.实施就医暖心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便民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服务。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二级以上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公立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医院结合就诊需求扩容周末门诊和节假日门诊，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及时公开发布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出诊信息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针对老年人、儿童、残疾人、孕产妇等重点群体，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推进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就医环境适老化、无障碍等改造，配齐配足候诊椅、轮椅、平车、母婴室等便民设备设施。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2.进一步提升就医体验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二级以上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公立医院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分时段预约精确至30分钟以内，预约诊疗到院后就诊等待时间缩短至20分钟以内。二级以上公立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医院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在门诊、住院部建立“一站式”服务中心。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拓展人工智能在医疗卫生领域应用场景。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互联网医院全部开展线上复诊服务，每个市至少有1所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医院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提供“互联网+护理”服务。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3.推动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eastAsia="zh-CN"/>
        </w:rPr>
        <w:t>检查检验结果互认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有序扩大互认机构和区域范围</w:t>
      </w:r>
      <w:r>
        <w:rPr>
          <w:rFonts w:hint="eastAsia" w:ascii="Times New Roman" w:hAnsi="Times New Roman" w:eastAsia="仿宋" w:cs="Times New Roman"/>
          <w:color w:val="auto"/>
          <w:sz w:val="36"/>
          <w:szCs w:val="36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推动紧密型医联体加快实现内部信息互通共享和服务整合衔接，率先实现互认。推进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全省二级以上公立医院检查检验结果跨机构调阅共享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，减少重复检查检验，减轻患者就医负担。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</w:rPr>
        <w:t>、</w:t>
      </w: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扩大卫生健康服务供给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4.加快建设高水平医院。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推进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国家医学中心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、区域医疗中心、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中医药传承创新中心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、中西医协同“旗舰”医院建设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，建强省级区域医疗中心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重点建设高水平医院15家左右，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建强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特色专科、平台专科、薄弱专科不少于140个。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加快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提升医疗质量同质化水平，增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设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市、县级质控中心不少于200个。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eastAsia="zh-CN"/>
        </w:rPr>
        <w:t>增强托育服务供给能力。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进一步完善生育支持政策，持续实施育儿补贴制度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建立健全多元化、多样化托育服务供给体系，着力扩大普惠托育服务供给，抓好以城市为单元整体推进普惠托育服务发展，进一步减轻群众生育养育负担。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6.完善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老年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eastAsia="zh-CN"/>
        </w:rPr>
        <w:t>健康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服务。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推动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全省三级公立综合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性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医院、公立综合性中医医院规范设置老年医学科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二级以上综合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性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医院老年医学科设置率不低于90%。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扩大康复护理、安宁疗护服务供给。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鼓励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基层医疗卫生机构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根据居民需求设置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老年护理床位。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7.提升妇幼保健服务水平。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全省二、三级公立综合性医院全部提供儿科服务，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加快建设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生育友好医院和儿童友好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医院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。全面实施母婴安全五项制度，落实妊娠风险筛查机制，强化高危孕产妇专案管理，实施儿童青少年体重、视力、心理、骨骼、口腔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健康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促进行动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计划。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8.促进发展健康新业态。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t>积极支持生物医药企业协同医院开展科技创新，鼓励医院参与药物、医疗器械临床试验及细胞临床研究。引导医疗卫生机构临床资源与企业需求有效对接，推动前沿技术研发与转化，搭建医企协同合作桥梁。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  <w:t>三、深化公共卫生服务能效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9.开展“一站式”基层慢性病健康管理服务。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t>发挥乡镇卫生院和社区卫生服务中心糖尿病、高血压、慢阻肺等慢性病基层健康管理服务枢纽作用，推动设置“一站式”慢性病健康管理中心，整合防、筛、诊、治、管、康全流程健康管理服务功能，为群众提供综合、系统、连续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10.推进预防接种服务规范可及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。构建科学完备的预防接种单位分级管理体系，接种单位可提供咨询、预约服务，城镇服务半径不超过5公里、农村不超过10公里。每个县区至少1个接种单位提供节假日疫苗接种服务。探索为企事业单位提供预防接种个性化服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11.实施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职业健康帮扶行动。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聚焦中小微企业，实施重点劳动者免费职业健康检查。持续深化职业病危害专项治理，开展重点职业病和危害因素监测。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12.不断提升全民健康素养水平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。常态化开展爱国卫生运动，巩固无烟环境建设成果，持续打造健康绿色生活环境。广泛开展健康科普与文化宣传，扩充省级健康科普资源库、专家库，深入社区、学校、企业、乡村开展多样化健康服务，全民健康素养水平逐年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四</w:t>
      </w: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</w:rPr>
        <w:t>、提升政务服务质效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13.推动政务服务提质增效。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t>全面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落实“一网通办”“只提交一次材料”改革。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t>优化审批流程，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省本级审批事项审批时长压缩至法定时限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50%。推动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t>医院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“办事不找关系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，用权不图好处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eastAsia="zh-CN"/>
        </w:rPr>
        <w:t>成为常态，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二级以上公立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医院全部公开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《办事不找关系指南》，实现手机扫码即可查看、办理，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eastAsia="zh-CN"/>
        </w:rPr>
        <w:t>方便群众就医。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left="0" w:leftChars="0" w:firstLine="722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14.深化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“高效办成一件事”等便民服务。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健全“新生儿出生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一件事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重点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办事项常态化推进机制，优化跨部门业务流程，打通数据壁垒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，实现“一次申报、联动办理”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6"/>
          <w:szCs w:val="36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五、打造</w:t>
      </w:r>
      <w:r>
        <w:rPr>
          <w:rStyle w:val="8"/>
          <w:rFonts w:hint="default" w:ascii="Times New Roman" w:hAnsi="Times New Roman" w:eastAsia="黑体" w:cs="Times New Roman"/>
          <w:color w:val="auto"/>
          <w:sz w:val="36"/>
          <w:szCs w:val="36"/>
        </w:rPr>
        <w:t>法治化营商环境</w:t>
      </w:r>
      <w:r>
        <w:rPr>
          <w:rFonts w:hint="default" w:ascii="Times New Roman" w:hAnsi="Times New Roman" w:eastAsia="宋体" w:cs="Times New Roman"/>
          <w:color w:val="auto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15.维护公平竞争的市场秩序。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在政策制定中严格执行公平竞争审查制度。加强公立医疗卫生机构政府采购管理工作，进一步提高政府采购透明度和采购效率。鼓励社会力量规范参与医疗卫生服务。清理废除妨碍全国统一</w:t>
      </w:r>
      <w:r>
        <w:rPr>
          <w:rFonts w:hint="eastAsia" w:ascii="Times New Roman" w:hAnsi="Times New Roman" w:eastAsia="仿宋" w:cs="Times New Roman"/>
          <w:color w:val="auto"/>
          <w:sz w:val="36"/>
          <w:szCs w:val="36"/>
          <w:lang w:val="en-US" w:eastAsia="zh-CN"/>
        </w:rPr>
        <w:t>大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市场和公平竞争的政策措施和隐性壁垒。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16.规范涉企执法检查。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全面推行卫生健康监督执法“综合查一次”“进一次门、查多项事”的联合执法模式，大力整治乱检查、“吃拿卡要”等问题，对各级各类医院统一开展抽查检查。实行首次轻微违法免罚等柔性执法举措，修订卫生健康行政执法裁量权基准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620" w:lineRule="exact"/>
        <w:ind w:firstLine="722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17.营造良好的行业风气。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常态化开展医德医风教育、行风教育和谈心谈话，健全完善医德医风考评制度，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</w:rPr>
        <w:t>将评价结果与职称晋升、绩效分配、评优评先挂钩。</w:t>
      </w:r>
      <w:r>
        <w:rPr>
          <w:rFonts w:hint="default" w:ascii="Times New Roman" w:hAnsi="Times New Roman" w:eastAsia="仿宋" w:cs="Times New Roman"/>
          <w:color w:val="auto"/>
          <w:sz w:val="36"/>
          <w:szCs w:val="36"/>
          <w:lang w:val="en-US" w:eastAsia="zh-CN"/>
        </w:rPr>
        <w:t>落实医院工作人员廉洁从业九项准则。持续纠治医疗卫生领域不正之风，巩固风清气正的行业生态。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  <w:tab w:val="left" w:pos="8640"/>
        </w:tabs>
        <w:kinsoku/>
        <w:wordWrap/>
        <w:overflowPunct/>
        <w:topLinePunct/>
        <w:autoSpaceDE/>
        <w:autoSpaceDN/>
        <w:bidi w:val="0"/>
        <w:adjustRightInd/>
        <w:snapToGrid w:val="0"/>
        <w:spacing w:line="2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</w:p>
    <w:sectPr>
      <w:footerReference r:id="rId3" w:type="default"/>
      <w:pgSz w:w="12240" w:h="15840"/>
      <w:pgMar w:top="1440" w:right="1797" w:bottom="1440" w:left="179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1828800" cy="541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541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pt;height:42.65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C2Tk/WAAAABwEAAA8AAAAAAAAAAQAgAAAAOAAAAGRycy9kb3ducmV2Lnht&#10;bFBLAQIUABQAAAAIAIdO4kArwaTfHgIAACgEAAAOAAAAAAAAAAEAIAAAADs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258C"/>
    <w:rsid w:val="115C3E7B"/>
    <w:rsid w:val="2AFD8937"/>
    <w:rsid w:val="2BA9A89A"/>
    <w:rsid w:val="2D374229"/>
    <w:rsid w:val="305C4A62"/>
    <w:rsid w:val="33DF5412"/>
    <w:rsid w:val="34CF7B9C"/>
    <w:rsid w:val="36732D61"/>
    <w:rsid w:val="3E6FE2E6"/>
    <w:rsid w:val="46BD2AB5"/>
    <w:rsid w:val="4E733E08"/>
    <w:rsid w:val="4EDFD5F3"/>
    <w:rsid w:val="4FEF64C9"/>
    <w:rsid w:val="4FFA44D6"/>
    <w:rsid w:val="50817B64"/>
    <w:rsid w:val="5B5D8E9B"/>
    <w:rsid w:val="5FFD15AA"/>
    <w:rsid w:val="64AA6627"/>
    <w:rsid w:val="6A5DE8C2"/>
    <w:rsid w:val="6C365382"/>
    <w:rsid w:val="6C7FE202"/>
    <w:rsid w:val="6CC83C97"/>
    <w:rsid w:val="6DED9570"/>
    <w:rsid w:val="6EF50079"/>
    <w:rsid w:val="7ACE9349"/>
    <w:rsid w:val="7BFE7714"/>
    <w:rsid w:val="7CFEC979"/>
    <w:rsid w:val="7DB7DFB5"/>
    <w:rsid w:val="7EE92DA5"/>
    <w:rsid w:val="7F73335F"/>
    <w:rsid w:val="BEFFC5D9"/>
    <w:rsid w:val="BFD71846"/>
    <w:rsid w:val="D0FBD0AE"/>
    <w:rsid w:val="D9CA193E"/>
    <w:rsid w:val="DEDC2AC3"/>
    <w:rsid w:val="DF261527"/>
    <w:rsid w:val="EEB9D93B"/>
    <w:rsid w:val="F466EEC8"/>
    <w:rsid w:val="F4D56D7A"/>
    <w:rsid w:val="F6ED242F"/>
    <w:rsid w:val="F778CFE3"/>
    <w:rsid w:val="F7B6615B"/>
    <w:rsid w:val="F7EF1F30"/>
    <w:rsid w:val="FCBB7E04"/>
    <w:rsid w:val="FD778A4D"/>
    <w:rsid w:val="FEF580DF"/>
    <w:rsid w:val="FFFA1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after="120"/>
      <w:textAlignment w:val="baseline"/>
    </w:pPr>
    <w:rPr>
      <w:rFonts w:ascii="Times New Roman" w:hAnsi="Times New Roman"/>
    </w:r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content"/>
    <w:basedOn w:val="1"/>
    <w:qFormat/>
    <w:uiPriority w:val="0"/>
  </w:style>
  <w:style w:type="paragraph" w:customStyle="1" w:styleId="1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paragraph" w:customStyle="1" w:styleId="11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12">
    <w:name w:val="s_left"/>
    <w:basedOn w:val="1"/>
    <w:qFormat/>
    <w:uiPriority w:val="0"/>
    <w:pPr>
      <w:jc w:val="left"/>
    </w:pPr>
  </w:style>
  <w:style w:type="paragraph" w:customStyle="1" w:styleId="13">
    <w:name w:val="s_right"/>
    <w:basedOn w:val="1"/>
    <w:qFormat/>
    <w:uiPriority w:val="0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2181</Words>
  <Characters>2225</Characters>
  <Lines>1</Lines>
  <Paragraphs>1</Paragraphs>
  <TotalTime>0</TotalTime>
  <ScaleCrop>false</ScaleCrop>
  <LinksUpToDate>false</LinksUpToDate>
  <CharactersWithSpaces>2290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2026-01-04T10:51:00Z</dcterms:created>
  <dc:creator>thtf</dc:creator>
  <cp:lastModifiedBy>贾程程</cp:lastModifiedBy>
  <cp:lastPrinted>2026-01-01T15:21:00Z</cp:lastPrinted>
  <dcterms:modified xsi:type="dcterms:W3CDTF">2026-01-09T11:50:23Z</dcterms:modified>
  <dc:title>$htmlTitle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87BACD9AF8BF156E7CAE5C6993AEDCD3</vt:lpwstr>
  </property>
  <property fmtid="{D5CDD505-2E9C-101B-9397-08002B2CF9AE}" pid="4" name="KSOTemplateDocerSaveRecord">
    <vt:lpwstr>eyJoZGlkIjoiZjI0NGE2YTA5ZjRhMDM0YzM5ZGJlODJjNTZlODhiZjEiLCJ1c2VySWQiOiIyMjY5ODU4NDUifQ==</vt:lpwstr>
  </property>
</Properties>
</file>