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textAlignment w:val="baseline"/>
        <w:rPr>
          <w:rFonts w:ascii="黑体" w:hAnsi="黑体" w:eastAsia="黑体" w:cs="Times New Roman"/>
          <w:kern w:val="0"/>
          <w:sz w:val="48"/>
          <w:szCs w:val="20"/>
        </w:rPr>
      </w:pPr>
    </w:p>
    <w:p>
      <w:pPr>
        <w:adjustRightInd w:val="0"/>
        <w:snapToGrid w:val="0"/>
        <w:jc w:val="center"/>
        <w:textAlignment w:val="baseline"/>
        <w:rPr>
          <w:rFonts w:ascii="黑体" w:hAnsi="黑体" w:eastAsia="黑体" w:cs="Times New Roman"/>
          <w:kern w:val="0"/>
          <w:sz w:val="48"/>
          <w:szCs w:val="20"/>
        </w:rPr>
      </w:pPr>
    </w:p>
    <w:p>
      <w:pPr>
        <w:adjustRightInd w:val="0"/>
        <w:snapToGrid w:val="0"/>
        <w:jc w:val="center"/>
        <w:textAlignment w:val="baseline"/>
        <w:rPr>
          <w:rFonts w:ascii="黑体" w:hAnsi="黑体" w:eastAsia="黑体" w:cs="Times New Roman"/>
          <w:kern w:val="0"/>
          <w:sz w:val="48"/>
          <w:szCs w:val="20"/>
        </w:rPr>
      </w:pPr>
    </w:p>
    <w:p>
      <w:pPr>
        <w:adjustRightInd w:val="0"/>
        <w:snapToGrid w:val="0"/>
        <w:jc w:val="center"/>
        <w:textAlignment w:val="baseline"/>
        <w:rPr>
          <w:rFonts w:ascii="方正小标宋简体" w:hAnsi="方正小标宋简体" w:eastAsia="方正小标宋简体" w:cs="Times New Roman"/>
          <w:kern w:val="0"/>
          <w:sz w:val="48"/>
          <w:szCs w:val="20"/>
        </w:rPr>
      </w:pPr>
    </w:p>
    <w:p>
      <w:pPr>
        <w:adjustRightInd w:val="0"/>
        <w:snapToGrid w:val="0"/>
        <w:jc w:val="center"/>
        <w:textAlignment w:val="baseline"/>
        <w:rPr>
          <w:rFonts w:ascii="方正小标宋简体" w:hAnsi="方正小标宋简体" w:eastAsia="方正小标宋简体" w:cs="Times New Roman"/>
          <w:kern w:val="0"/>
          <w:sz w:val="48"/>
          <w:szCs w:val="20"/>
        </w:rPr>
      </w:pPr>
    </w:p>
    <w:p>
      <w:pPr>
        <w:adjustRightInd w:val="0"/>
        <w:snapToGrid w:val="0"/>
        <w:jc w:val="center"/>
        <w:textAlignment w:val="baseline"/>
        <w:rPr>
          <w:rFonts w:ascii="宋体" w:hAnsi="宋体" w:eastAsia="宋体" w:cs="Times New Roman"/>
          <w:kern w:val="0"/>
          <w:sz w:val="48"/>
          <w:szCs w:val="20"/>
        </w:rPr>
      </w:pPr>
      <w:r>
        <w:rPr>
          <w:rFonts w:hint="eastAsia" w:ascii="宋体" w:hAnsi="宋体" w:eastAsia="宋体" w:cs="Times New Roman"/>
          <w:kern w:val="0"/>
          <w:sz w:val="48"/>
          <w:szCs w:val="20"/>
        </w:rPr>
        <w:t>辽宁台安高新</w:t>
      </w:r>
      <w:r>
        <w:rPr>
          <w:rFonts w:ascii="宋体" w:hAnsi="宋体" w:eastAsia="宋体" w:cs="Times New Roman"/>
          <w:kern w:val="0"/>
          <w:sz w:val="48"/>
          <w:szCs w:val="20"/>
        </w:rPr>
        <w:t>农业产业</w:t>
      </w:r>
      <w:r>
        <w:rPr>
          <w:rFonts w:hint="eastAsia" w:ascii="宋体" w:hAnsi="宋体" w:eastAsia="宋体" w:cs="Times New Roman"/>
          <w:kern w:val="0"/>
          <w:sz w:val="48"/>
          <w:szCs w:val="20"/>
        </w:rPr>
        <w:t>开发区</w:t>
      </w:r>
      <w:r>
        <w:rPr>
          <w:rFonts w:hint="eastAsia" w:ascii="宋体" w:hAnsi="宋体" w:eastAsia="宋体" w:cs="Times New Roman"/>
          <w:kern w:val="0"/>
          <w:sz w:val="48"/>
          <w:szCs w:val="20"/>
          <w:lang w:val="en-US" w:eastAsia="zh-CN"/>
        </w:rPr>
        <w:t>发展</w:t>
      </w:r>
      <w:r>
        <w:rPr>
          <w:rFonts w:ascii="宋体" w:hAnsi="宋体" w:eastAsia="宋体" w:cs="Times New Roman"/>
          <w:kern w:val="0"/>
          <w:sz w:val="48"/>
          <w:szCs w:val="20"/>
        </w:rPr>
        <w:t>规划</w:t>
      </w:r>
    </w:p>
    <w:p>
      <w:pPr>
        <w:adjustRightInd w:val="0"/>
        <w:snapToGrid w:val="0"/>
        <w:jc w:val="center"/>
        <w:textAlignment w:val="baseline"/>
        <w:rPr>
          <w:rFonts w:ascii="方正小标宋简体" w:hAnsi="方正小标宋简体" w:eastAsia="方正小标宋简体" w:cs="Times New Roman"/>
          <w:kern w:val="0"/>
          <w:sz w:val="48"/>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p>
    <w:p>
      <w:pPr>
        <w:adjustRightInd w:val="0"/>
        <w:snapToGrid w:val="0"/>
        <w:jc w:val="center"/>
        <w:textAlignment w:val="baseline"/>
        <w:rPr>
          <w:rFonts w:ascii="楷体" w:hAnsi="楷体" w:eastAsia="楷体" w:cs="Times New Roman"/>
          <w:kern w:val="0"/>
          <w:sz w:val="32"/>
          <w:szCs w:val="20"/>
        </w:rPr>
      </w:pPr>
      <w:r>
        <w:rPr>
          <w:rFonts w:hint="eastAsia" w:ascii="楷体" w:hAnsi="楷体" w:eastAsia="楷体" w:cs="Times New Roman"/>
          <w:kern w:val="0"/>
          <w:sz w:val="32"/>
          <w:szCs w:val="20"/>
        </w:rPr>
        <w:t>辽宁</w:t>
      </w:r>
      <w:r>
        <w:rPr>
          <w:rFonts w:ascii="楷体" w:hAnsi="楷体" w:eastAsia="楷体" w:cs="Times New Roman"/>
          <w:kern w:val="0"/>
          <w:sz w:val="32"/>
          <w:szCs w:val="20"/>
        </w:rPr>
        <w:t>台安高新农业产业开发区</w:t>
      </w:r>
      <w:r>
        <w:rPr>
          <w:rFonts w:hint="eastAsia" w:ascii="楷体" w:hAnsi="楷体" w:eastAsia="楷体" w:cs="Times New Roman"/>
          <w:kern w:val="0"/>
          <w:sz w:val="32"/>
          <w:szCs w:val="20"/>
        </w:rPr>
        <w:t>管委会</w:t>
      </w:r>
    </w:p>
    <w:p>
      <w:pPr>
        <w:adjustRightInd w:val="0"/>
        <w:snapToGrid w:val="0"/>
        <w:jc w:val="center"/>
        <w:textAlignment w:val="baseline"/>
        <w:rPr>
          <w:rFonts w:ascii="楷体" w:hAnsi="楷体" w:eastAsia="楷体" w:cs="Times New Roman"/>
          <w:kern w:val="0"/>
          <w:sz w:val="32"/>
          <w:szCs w:val="20"/>
        </w:rPr>
      </w:pPr>
      <w:r>
        <w:rPr>
          <w:rFonts w:hint="eastAsia" w:ascii="楷体" w:hAnsi="楷体" w:eastAsia="楷体" w:cs="Times New Roman"/>
          <w:kern w:val="0"/>
          <w:sz w:val="32"/>
          <w:szCs w:val="20"/>
        </w:rPr>
        <w:t>北京</w:t>
      </w:r>
      <w:r>
        <w:rPr>
          <w:rFonts w:ascii="楷体" w:hAnsi="楷体" w:eastAsia="楷体" w:cs="Times New Roman"/>
          <w:kern w:val="0"/>
          <w:sz w:val="32"/>
          <w:szCs w:val="20"/>
        </w:rPr>
        <w:t>北达城市规划设计研究院</w:t>
      </w:r>
    </w:p>
    <w:p>
      <w:pPr>
        <w:adjustRightInd w:val="0"/>
        <w:snapToGrid w:val="0"/>
        <w:jc w:val="center"/>
        <w:textAlignment w:val="baseline"/>
        <w:rPr>
          <w:rFonts w:hint="eastAsia" w:ascii="楷体" w:hAnsi="楷体" w:eastAsia="楷体" w:cs="Times New Roman"/>
          <w:kern w:val="0"/>
          <w:sz w:val="32"/>
          <w:szCs w:val="20"/>
          <w:lang w:eastAsia="zh-CN"/>
        </w:rPr>
      </w:pPr>
      <w:r>
        <w:rPr>
          <w:rFonts w:ascii="楷体" w:hAnsi="楷体" w:eastAsia="楷体" w:cs="Times New Roman"/>
          <w:kern w:val="0"/>
          <w:sz w:val="32"/>
          <w:szCs w:val="20"/>
        </w:rPr>
        <w:t>202</w:t>
      </w:r>
      <w:r>
        <w:rPr>
          <w:rFonts w:hint="eastAsia" w:ascii="楷体" w:hAnsi="楷体" w:eastAsia="楷体" w:cs="Times New Roman"/>
          <w:kern w:val="0"/>
          <w:sz w:val="32"/>
          <w:szCs w:val="20"/>
          <w:lang w:val="en-US" w:eastAsia="zh-CN"/>
        </w:rPr>
        <w:t>4</w:t>
      </w:r>
      <w:r>
        <w:rPr>
          <w:rFonts w:ascii="楷体" w:hAnsi="楷体" w:eastAsia="楷体" w:cs="Times New Roman"/>
          <w:kern w:val="0"/>
          <w:sz w:val="32"/>
          <w:szCs w:val="20"/>
        </w:rPr>
        <w:t>.</w:t>
      </w:r>
      <w:r>
        <w:rPr>
          <w:rFonts w:hint="eastAsia" w:ascii="楷体" w:hAnsi="楷体" w:eastAsia="楷体" w:cs="Times New Roman"/>
          <w:kern w:val="0"/>
          <w:sz w:val="32"/>
          <w:szCs w:val="20"/>
          <w:lang w:val="en-US" w:eastAsia="zh-CN"/>
        </w:rPr>
        <w:t>5</w:t>
      </w:r>
    </w:p>
    <w:sdt>
      <w:sdtPr>
        <w:rPr>
          <w:rFonts w:asciiTheme="minorHAnsi" w:hAnsiTheme="minorHAnsi" w:eastAsiaTheme="minorEastAsia" w:cstheme="minorBidi"/>
          <w:color w:val="auto"/>
          <w:kern w:val="2"/>
          <w:sz w:val="21"/>
          <w:szCs w:val="22"/>
          <w:lang w:val="zh-CN"/>
        </w:rPr>
        <w:id w:val="-191570120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6"/>
            <w:jc w:val="center"/>
          </w:pPr>
          <w:r>
            <w:rPr>
              <w:rFonts w:ascii="宋体" w:hAnsi="宋体" w:eastAsia="宋体"/>
              <w:color w:val="auto"/>
              <w:lang w:val="zh-CN"/>
            </w:rPr>
            <w:t>目录</w:t>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TOC \o "1-3" \h \z \u </w:instrText>
          </w:r>
          <w:r>
            <w:rPr>
              <w:rFonts w:ascii="仿宋" w:hAnsi="仿宋" w:eastAsia="仿宋"/>
              <w:bCs/>
              <w:lang w:val="zh-CN"/>
            </w:rPr>
            <w:fldChar w:fldCharType="separate"/>
          </w:r>
          <w:r>
            <w:rPr>
              <w:rFonts w:ascii="仿宋" w:hAnsi="仿宋" w:eastAsia="仿宋"/>
              <w:bCs/>
              <w:lang w:val="zh-CN"/>
            </w:rPr>
            <w:fldChar w:fldCharType="begin"/>
          </w:r>
          <w:r>
            <w:rPr>
              <w:rFonts w:ascii="仿宋" w:hAnsi="仿宋" w:eastAsia="仿宋"/>
              <w:bCs/>
              <w:lang w:val="zh-CN"/>
            </w:rPr>
            <w:instrText xml:space="preserve"> HYPERLINK \l _Toc23872 </w:instrText>
          </w:r>
          <w:r>
            <w:rPr>
              <w:rFonts w:ascii="仿宋" w:hAnsi="仿宋" w:eastAsia="仿宋"/>
              <w:bCs/>
              <w:lang w:val="zh-CN"/>
            </w:rPr>
            <w:fldChar w:fldCharType="separate"/>
          </w:r>
          <w:r>
            <w:rPr>
              <w:rFonts w:hint="eastAsia" w:ascii="黑体" w:hAnsi="黑体" w:eastAsia="黑体"/>
              <w:szCs w:val="44"/>
            </w:rPr>
            <w:t>第1章 总则</w:t>
          </w:r>
          <w:r>
            <w:tab/>
          </w:r>
          <w:r>
            <w:fldChar w:fldCharType="begin"/>
          </w:r>
          <w:r>
            <w:instrText xml:space="preserve"> PAGEREF _Toc23872 \h </w:instrText>
          </w:r>
          <w:r>
            <w:fldChar w:fldCharType="separate"/>
          </w:r>
          <w:r>
            <w:t>1</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_Toc29332 </w:instrText>
          </w:r>
          <w:r>
            <w:rPr>
              <w:rFonts w:ascii="仿宋" w:hAnsi="仿宋" w:eastAsia="仿宋"/>
              <w:bCs/>
              <w:lang w:val="zh-CN"/>
            </w:rPr>
            <w:fldChar w:fldCharType="separate"/>
          </w:r>
          <w:r>
            <w:rPr>
              <w:rFonts w:hint="eastAsia" w:ascii="黑体" w:hAnsi="黑体" w:eastAsia="黑体"/>
              <w:szCs w:val="32"/>
            </w:rPr>
            <w:t>1.1 规划背景</w:t>
          </w:r>
          <w:r>
            <w:tab/>
          </w:r>
          <w:r>
            <w:fldChar w:fldCharType="begin"/>
          </w:r>
          <w:r>
            <w:instrText xml:space="preserve"> PAGEREF _Toc29332 \h </w:instrText>
          </w:r>
          <w:r>
            <w:fldChar w:fldCharType="separate"/>
          </w:r>
          <w:r>
            <w:t>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_Toc17971 </w:instrText>
          </w:r>
          <w:r>
            <w:rPr>
              <w:rFonts w:ascii="仿宋" w:hAnsi="仿宋" w:eastAsia="仿宋"/>
              <w:bCs/>
              <w:lang w:val="zh-CN"/>
            </w:rPr>
            <w:fldChar w:fldCharType="separate"/>
          </w:r>
          <w:r>
            <w:rPr>
              <w:rFonts w:hint="eastAsia" w:ascii="楷体" w:hAnsi="楷体" w:eastAsia="楷体"/>
              <w:szCs w:val="32"/>
              <w:lang w:val="en-US"/>
            </w:rPr>
            <w:t xml:space="preserve">1.1.1 </w:t>
          </w:r>
          <w:r>
            <w:rPr>
              <w:rFonts w:hint="eastAsia" w:ascii="楷体" w:hAnsi="楷体" w:eastAsia="楷体"/>
              <w:szCs w:val="32"/>
            </w:rPr>
            <w:t>国家产业政策背景</w:t>
          </w:r>
          <w:r>
            <w:tab/>
          </w:r>
          <w:r>
            <w:fldChar w:fldCharType="begin"/>
          </w:r>
          <w:r>
            <w:instrText xml:space="preserve"> PAGEREF _Toc17971 \h </w:instrText>
          </w:r>
          <w:r>
            <w:fldChar w:fldCharType="separate"/>
          </w:r>
          <w:r>
            <w:t>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_Toc815 </w:instrText>
          </w:r>
          <w:r>
            <w:rPr>
              <w:rFonts w:ascii="仿宋" w:hAnsi="仿宋" w:eastAsia="仿宋"/>
              <w:bCs/>
              <w:lang w:val="zh-CN"/>
            </w:rPr>
            <w:fldChar w:fldCharType="separate"/>
          </w:r>
          <w:r>
            <w:rPr>
              <w:rFonts w:hint="eastAsia" w:ascii="楷体" w:hAnsi="楷体" w:eastAsia="楷体"/>
              <w:szCs w:val="32"/>
              <w:lang w:val="en-US"/>
            </w:rPr>
            <w:t xml:space="preserve">1.1.2 </w:t>
          </w:r>
          <w:r>
            <w:rPr>
              <w:rFonts w:hint="eastAsia" w:ascii="楷体" w:hAnsi="楷体" w:eastAsia="楷体"/>
              <w:szCs w:val="32"/>
            </w:rPr>
            <w:t>区域发展背景</w:t>
          </w:r>
          <w:r>
            <w:tab/>
          </w:r>
          <w:r>
            <w:fldChar w:fldCharType="begin"/>
          </w:r>
          <w:r>
            <w:instrText xml:space="preserve"> PAGEREF _Toc815 \h </w:instrText>
          </w:r>
          <w:r>
            <w:fldChar w:fldCharType="separate"/>
          </w:r>
          <w:r>
            <w:t>2</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_Toc3233 </w:instrText>
          </w:r>
          <w:r>
            <w:rPr>
              <w:rFonts w:ascii="仿宋" w:hAnsi="仿宋" w:eastAsia="仿宋"/>
              <w:bCs/>
              <w:lang w:val="zh-CN"/>
            </w:rPr>
            <w:fldChar w:fldCharType="separate"/>
          </w:r>
          <w:r>
            <w:rPr>
              <w:rFonts w:hint="eastAsia" w:ascii="楷体" w:hAnsi="楷体" w:eastAsia="楷体"/>
              <w:szCs w:val="32"/>
              <w:lang w:val="en-US"/>
            </w:rPr>
            <w:t xml:space="preserve">1.1.3 </w:t>
          </w:r>
          <w:r>
            <w:rPr>
              <w:rFonts w:hint="eastAsia" w:ascii="楷体" w:hAnsi="楷体" w:eastAsia="楷体"/>
              <w:szCs w:val="32"/>
            </w:rPr>
            <w:t>地方</w:t>
          </w:r>
          <w:r>
            <w:rPr>
              <w:rFonts w:ascii="楷体" w:hAnsi="楷体" w:eastAsia="楷体"/>
              <w:szCs w:val="32"/>
            </w:rPr>
            <w:t>政策</w:t>
          </w:r>
          <w:r>
            <w:rPr>
              <w:rFonts w:hint="eastAsia" w:ascii="楷体" w:hAnsi="楷体" w:eastAsia="楷体"/>
              <w:szCs w:val="32"/>
            </w:rPr>
            <w:t>背景</w:t>
          </w:r>
          <w:r>
            <w:tab/>
          </w:r>
          <w:r>
            <w:fldChar w:fldCharType="begin"/>
          </w:r>
          <w:r>
            <w:instrText xml:space="preserve"> PAGEREF _Toc3233 \h </w:instrText>
          </w:r>
          <w:r>
            <w:fldChar w:fldCharType="separate"/>
          </w:r>
          <w:r>
            <w:t>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_Toc14157 </w:instrText>
          </w:r>
          <w:r>
            <w:rPr>
              <w:rFonts w:ascii="仿宋" w:hAnsi="仿宋" w:eastAsia="仿宋"/>
              <w:bCs/>
              <w:lang w:val="zh-CN"/>
            </w:rPr>
            <w:fldChar w:fldCharType="separate"/>
          </w:r>
          <w:r>
            <w:rPr>
              <w:rFonts w:hint="eastAsia" w:ascii="黑体" w:hAnsi="黑体" w:eastAsia="黑体"/>
              <w:szCs w:val="32"/>
            </w:rPr>
            <w:t>1.2 规划</w:t>
          </w:r>
          <w:r>
            <w:rPr>
              <w:rFonts w:ascii="黑体" w:hAnsi="黑体" w:eastAsia="黑体"/>
              <w:szCs w:val="32"/>
            </w:rPr>
            <w:t>范围</w:t>
          </w:r>
          <w:r>
            <w:tab/>
          </w:r>
          <w:r>
            <w:fldChar w:fldCharType="begin"/>
          </w:r>
          <w:r>
            <w:instrText xml:space="preserve"> PAGEREF _Toc14157 \h </w:instrText>
          </w:r>
          <w:r>
            <w:fldChar w:fldCharType="separate"/>
          </w:r>
          <w:r>
            <w:t>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_Toc2479 </w:instrText>
          </w:r>
          <w:r>
            <w:rPr>
              <w:rFonts w:ascii="仿宋" w:hAnsi="仿宋" w:eastAsia="仿宋"/>
              <w:bCs/>
              <w:lang w:val="zh-CN"/>
            </w:rPr>
            <w:fldChar w:fldCharType="separate"/>
          </w:r>
          <w:r>
            <w:rPr>
              <w:rFonts w:hint="eastAsia" w:ascii="黑体" w:hAnsi="黑体" w:eastAsia="黑体"/>
              <w:szCs w:val="32"/>
            </w:rPr>
            <w:t>1.3 规划</w:t>
          </w:r>
          <w:r>
            <w:rPr>
              <w:rFonts w:ascii="黑体" w:hAnsi="黑体" w:eastAsia="黑体"/>
              <w:szCs w:val="32"/>
            </w:rPr>
            <w:t>期限</w:t>
          </w:r>
          <w:r>
            <w:tab/>
          </w:r>
          <w:r>
            <w:fldChar w:fldCharType="begin"/>
          </w:r>
          <w:r>
            <w:instrText xml:space="preserve"> PAGEREF _Toc2479 \h </w:instrText>
          </w:r>
          <w:r>
            <w:fldChar w:fldCharType="separate"/>
          </w:r>
          <w:r>
            <w:t>4</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_Toc25861 </w:instrText>
          </w:r>
          <w:r>
            <w:rPr>
              <w:rFonts w:ascii="仿宋" w:hAnsi="仿宋" w:eastAsia="仿宋"/>
              <w:bCs/>
              <w:lang w:val="zh-CN"/>
            </w:rPr>
            <w:fldChar w:fldCharType="separate"/>
          </w:r>
          <w:r>
            <w:rPr>
              <w:rFonts w:hint="eastAsia" w:ascii="黑体" w:hAnsi="黑体" w:eastAsia="黑体"/>
              <w:szCs w:val="44"/>
            </w:rPr>
            <w:t>第2章 基础</w:t>
          </w:r>
          <w:r>
            <w:rPr>
              <w:rFonts w:ascii="黑体" w:hAnsi="黑体" w:eastAsia="黑体"/>
              <w:szCs w:val="44"/>
            </w:rPr>
            <w:t>条件分析</w:t>
          </w:r>
          <w:r>
            <w:tab/>
          </w:r>
          <w:r>
            <w:fldChar w:fldCharType="begin"/>
          </w:r>
          <w:r>
            <w:instrText xml:space="preserve"> PAGEREF _Toc25861 \h </w:instrText>
          </w:r>
          <w:r>
            <w:fldChar w:fldCharType="separate"/>
          </w:r>
          <w:r>
            <w:t>7</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_Toc16000 </w:instrText>
          </w:r>
          <w:r>
            <w:rPr>
              <w:rFonts w:ascii="仿宋" w:hAnsi="仿宋" w:eastAsia="仿宋"/>
              <w:bCs/>
              <w:lang w:val="zh-CN"/>
            </w:rPr>
            <w:fldChar w:fldCharType="separate"/>
          </w:r>
          <w:r>
            <w:rPr>
              <w:rFonts w:hint="eastAsia" w:ascii="黑体" w:hAnsi="黑体" w:eastAsia="黑体"/>
              <w:szCs w:val="32"/>
            </w:rPr>
            <w:t>2.1 发展</w:t>
          </w:r>
          <w:r>
            <w:rPr>
              <w:rFonts w:ascii="黑体" w:hAnsi="黑体" w:eastAsia="黑体"/>
              <w:szCs w:val="32"/>
            </w:rPr>
            <w:t>现状</w:t>
          </w:r>
          <w:r>
            <w:tab/>
          </w:r>
          <w:r>
            <w:fldChar w:fldCharType="begin"/>
          </w:r>
          <w:r>
            <w:instrText xml:space="preserve"> PAGEREF _Toc16000 \h </w:instrText>
          </w:r>
          <w:r>
            <w:fldChar w:fldCharType="separate"/>
          </w:r>
          <w:r>
            <w:t>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_Toc1739 </w:instrText>
          </w:r>
          <w:r>
            <w:rPr>
              <w:rFonts w:ascii="仿宋" w:hAnsi="仿宋" w:eastAsia="仿宋"/>
              <w:bCs/>
              <w:lang w:val="zh-CN"/>
            </w:rPr>
            <w:fldChar w:fldCharType="separate"/>
          </w:r>
          <w:r>
            <w:rPr>
              <w:rFonts w:hint="eastAsia" w:ascii="楷体" w:hAnsi="楷体" w:eastAsia="楷体"/>
              <w:szCs w:val="32"/>
              <w:lang w:val="en-US"/>
            </w:rPr>
            <w:t xml:space="preserve">2.1.1 </w:t>
          </w:r>
          <w:r>
            <w:rPr>
              <w:rFonts w:hint="eastAsia" w:ascii="楷体" w:hAnsi="楷体" w:eastAsia="楷体"/>
              <w:szCs w:val="32"/>
            </w:rPr>
            <w:t>区域</w:t>
          </w:r>
          <w:r>
            <w:rPr>
              <w:rFonts w:ascii="楷体" w:hAnsi="楷体" w:eastAsia="楷体"/>
              <w:szCs w:val="32"/>
            </w:rPr>
            <w:t>交通分析</w:t>
          </w:r>
          <w:r>
            <w:tab/>
          </w:r>
          <w:r>
            <w:fldChar w:fldCharType="begin"/>
          </w:r>
          <w:r>
            <w:instrText xml:space="preserve"> PAGEREF _Toc1739 \h </w:instrText>
          </w:r>
          <w:r>
            <w:fldChar w:fldCharType="separate"/>
          </w:r>
          <w:r>
            <w:t>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_Toc10790 </w:instrText>
          </w:r>
          <w:r>
            <w:rPr>
              <w:rFonts w:ascii="仿宋" w:hAnsi="仿宋" w:eastAsia="仿宋"/>
              <w:bCs/>
              <w:lang w:val="zh-CN"/>
            </w:rPr>
            <w:fldChar w:fldCharType="separate"/>
          </w:r>
          <w:r>
            <w:rPr>
              <w:rFonts w:hint="eastAsia" w:ascii="楷体" w:hAnsi="楷体" w:eastAsia="楷体"/>
              <w:szCs w:val="32"/>
            </w:rPr>
            <w:t>图1 规划区</w:t>
          </w:r>
          <w:r>
            <w:rPr>
              <w:rFonts w:ascii="楷体" w:hAnsi="楷体" w:eastAsia="楷体"/>
              <w:szCs w:val="32"/>
            </w:rPr>
            <w:t>区位图</w:t>
          </w:r>
          <w:r>
            <w:tab/>
          </w:r>
          <w:r>
            <w:fldChar w:fldCharType="begin"/>
          </w:r>
          <w:r>
            <w:instrText xml:space="preserve"> PAGEREF _Toc10790 \h </w:instrText>
          </w:r>
          <w:r>
            <w:fldChar w:fldCharType="separate"/>
          </w:r>
          <w:r>
            <w:t>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_Toc7184 </w:instrText>
          </w:r>
          <w:r>
            <w:rPr>
              <w:rFonts w:ascii="仿宋" w:hAnsi="仿宋" w:eastAsia="仿宋"/>
              <w:bCs/>
              <w:lang w:val="zh-CN"/>
            </w:rPr>
            <w:fldChar w:fldCharType="separate"/>
          </w:r>
          <w:r>
            <w:rPr>
              <w:rFonts w:hint="eastAsia" w:ascii="楷体" w:hAnsi="楷体" w:eastAsia="楷体"/>
              <w:szCs w:val="32"/>
              <w:lang w:val="en-US"/>
            </w:rPr>
            <w:t xml:space="preserve">2.1.2 </w:t>
          </w:r>
          <w:r>
            <w:rPr>
              <w:rFonts w:hint="eastAsia" w:ascii="楷体" w:hAnsi="楷体" w:eastAsia="楷体"/>
              <w:szCs w:val="32"/>
            </w:rPr>
            <w:t>土地</w:t>
          </w:r>
          <w:r>
            <w:rPr>
              <w:rFonts w:ascii="楷体" w:hAnsi="楷体" w:eastAsia="楷体"/>
              <w:szCs w:val="32"/>
            </w:rPr>
            <w:t>利用现状</w:t>
          </w:r>
          <w:r>
            <w:tab/>
          </w:r>
          <w:r>
            <w:fldChar w:fldCharType="begin"/>
          </w:r>
          <w:r>
            <w:instrText xml:space="preserve"> PAGEREF _Toc7184 \h </w:instrText>
          </w:r>
          <w:r>
            <w:fldChar w:fldCharType="separate"/>
          </w:r>
          <w:r>
            <w:t>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_Toc82 </w:instrText>
          </w:r>
          <w:r>
            <w:rPr>
              <w:rFonts w:ascii="仿宋" w:hAnsi="仿宋" w:eastAsia="仿宋"/>
              <w:bCs/>
              <w:lang w:val="zh-CN"/>
            </w:rPr>
            <w:fldChar w:fldCharType="separate"/>
          </w:r>
          <w:r>
            <w:rPr>
              <w:rFonts w:hint="eastAsia" w:ascii="楷体" w:hAnsi="楷体" w:eastAsia="楷体"/>
              <w:szCs w:val="32"/>
            </w:rPr>
            <w:t>图2 土地利用现状图</w:t>
          </w:r>
          <w:r>
            <w:tab/>
          </w:r>
          <w:r>
            <w:fldChar w:fldCharType="begin"/>
          </w:r>
          <w:r>
            <w:instrText xml:space="preserve"> PAGEREF _Toc82 \h </w:instrText>
          </w:r>
          <w:r>
            <w:fldChar w:fldCharType="separate"/>
          </w:r>
          <w:r>
            <w:t>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_Toc31677 </w:instrText>
          </w:r>
          <w:r>
            <w:rPr>
              <w:rFonts w:ascii="仿宋" w:hAnsi="仿宋" w:eastAsia="仿宋"/>
              <w:bCs/>
              <w:lang w:val="zh-CN"/>
            </w:rPr>
            <w:fldChar w:fldCharType="separate"/>
          </w:r>
          <w:r>
            <w:rPr>
              <w:rFonts w:hint="eastAsia" w:ascii="楷体" w:hAnsi="楷体" w:eastAsia="楷体"/>
              <w:szCs w:val="32"/>
            </w:rPr>
            <w:t>表</w:t>
          </w:r>
          <w:r>
            <w:rPr>
              <w:rFonts w:ascii="楷体" w:hAnsi="楷体" w:eastAsia="楷体"/>
              <w:szCs w:val="32"/>
            </w:rPr>
            <w:t>1</w:t>
          </w:r>
          <w:r>
            <w:rPr>
              <w:rFonts w:hint="eastAsia" w:ascii="楷体" w:hAnsi="楷体" w:eastAsia="楷体"/>
              <w:szCs w:val="32"/>
            </w:rPr>
            <w:t>现状</w:t>
          </w:r>
          <w:r>
            <w:rPr>
              <w:rFonts w:ascii="楷体" w:hAnsi="楷体" w:eastAsia="楷体"/>
              <w:szCs w:val="32"/>
            </w:rPr>
            <w:t>土地利用一览表</w:t>
          </w:r>
          <w:r>
            <w:tab/>
          </w:r>
          <w:r>
            <w:fldChar w:fldCharType="begin"/>
          </w:r>
          <w:r>
            <w:instrText xml:space="preserve"> PAGEREF _Toc31677 \h </w:instrText>
          </w:r>
          <w:r>
            <w:fldChar w:fldCharType="separate"/>
          </w:r>
          <w:r>
            <w:t>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_Toc20057 </w:instrText>
          </w:r>
          <w:r>
            <w:rPr>
              <w:rFonts w:ascii="仿宋" w:hAnsi="仿宋" w:eastAsia="仿宋"/>
              <w:bCs/>
              <w:lang w:val="zh-CN"/>
            </w:rPr>
            <w:fldChar w:fldCharType="separate"/>
          </w:r>
          <w:r>
            <w:rPr>
              <w:rFonts w:hint="eastAsia" w:ascii="楷体" w:hAnsi="楷体" w:eastAsia="楷体"/>
              <w:szCs w:val="32"/>
              <w:lang w:val="en-US"/>
            </w:rPr>
            <w:t xml:space="preserve">2.1.3 </w:t>
          </w:r>
          <w:r>
            <w:rPr>
              <w:rFonts w:hint="eastAsia" w:ascii="楷体" w:hAnsi="楷体" w:eastAsia="楷体"/>
              <w:szCs w:val="32"/>
            </w:rPr>
            <w:t>产业</w:t>
          </w:r>
          <w:r>
            <w:rPr>
              <w:rFonts w:ascii="楷体" w:hAnsi="楷体" w:eastAsia="楷体"/>
              <w:szCs w:val="32"/>
            </w:rPr>
            <w:t>发展现状</w:t>
          </w:r>
          <w:r>
            <w:tab/>
          </w:r>
          <w:r>
            <w:fldChar w:fldCharType="begin"/>
          </w:r>
          <w:r>
            <w:instrText xml:space="preserve"> PAGEREF _Toc20057 \h </w:instrText>
          </w:r>
          <w:r>
            <w:fldChar w:fldCharType="separate"/>
          </w:r>
          <w:r>
            <w:t>10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_Toc3995 </w:instrText>
          </w:r>
          <w:r>
            <w:rPr>
              <w:rFonts w:ascii="仿宋" w:hAnsi="仿宋" w:eastAsia="仿宋"/>
              <w:bCs/>
              <w:lang w:val="zh-CN"/>
            </w:rPr>
            <w:fldChar w:fldCharType="separate"/>
          </w:r>
          <w:r>
            <w:rPr>
              <w:rFonts w:hint="eastAsia" w:ascii="楷体" w:hAnsi="楷体" w:eastAsia="楷体"/>
              <w:szCs w:val="32"/>
              <w:lang w:val="en-US"/>
            </w:rPr>
            <w:t xml:space="preserve">2.1.4 </w:t>
          </w:r>
          <w:r>
            <w:rPr>
              <w:rFonts w:hint="eastAsia" w:ascii="楷体" w:hAnsi="楷体" w:eastAsia="楷体"/>
              <w:szCs w:val="32"/>
            </w:rPr>
            <w:t>基础</w:t>
          </w:r>
          <w:r>
            <w:rPr>
              <w:rFonts w:ascii="楷体" w:hAnsi="楷体" w:eastAsia="楷体"/>
              <w:szCs w:val="32"/>
            </w:rPr>
            <w:t>设施现状</w:t>
          </w:r>
          <w:r>
            <w:tab/>
          </w:r>
          <w:r>
            <w:fldChar w:fldCharType="begin"/>
          </w:r>
          <w:r>
            <w:instrText xml:space="preserve"> PAGEREF _Toc3995 \h </w:instrText>
          </w:r>
          <w:r>
            <w:fldChar w:fldCharType="separate"/>
          </w:r>
          <w:r>
            <w:t>10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_Toc18821 </w:instrText>
          </w:r>
          <w:r>
            <w:rPr>
              <w:rFonts w:ascii="仿宋" w:hAnsi="仿宋" w:eastAsia="仿宋"/>
              <w:bCs/>
              <w:lang w:val="zh-CN"/>
            </w:rPr>
            <w:fldChar w:fldCharType="separate"/>
          </w:r>
          <w:r>
            <w:rPr>
              <w:rFonts w:hint="eastAsia" w:ascii="楷体" w:hAnsi="楷体" w:eastAsia="楷体"/>
              <w:szCs w:val="32"/>
            </w:rPr>
            <w:t>图3 基础</w:t>
          </w:r>
          <w:r>
            <w:rPr>
              <w:rFonts w:ascii="楷体" w:hAnsi="楷体" w:eastAsia="楷体"/>
              <w:szCs w:val="32"/>
            </w:rPr>
            <w:t>设施现状图</w:t>
          </w:r>
          <w:r>
            <w:tab/>
          </w:r>
          <w:r>
            <w:fldChar w:fldCharType="begin"/>
          </w:r>
          <w:r>
            <w:instrText xml:space="preserve"> PAGEREF _Toc18821 \h </w:instrText>
          </w:r>
          <w:r>
            <w:fldChar w:fldCharType="separate"/>
          </w:r>
          <w:r>
            <w:t>11</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_Toc26599 </w:instrText>
          </w:r>
          <w:r>
            <w:rPr>
              <w:rFonts w:ascii="仿宋" w:hAnsi="仿宋" w:eastAsia="仿宋"/>
              <w:bCs/>
              <w:lang w:val="zh-CN"/>
            </w:rPr>
            <w:fldChar w:fldCharType="separate"/>
          </w:r>
          <w:r>
            <w:rPr>
              <w:rFonts w:hint="eastAsia" w:ascii="黑体" w:hAnsi="黑体" w:eastAsia="黑体"/>
              <w:szCs w:val="32"/>
            </w:rPr>
            <w:t>2.2 条件</w:t>
          </w:r>
          <w:r>
            <w:rPr>
              <w:rFonts w:ascii="黑体" w:hAnsi="黑体" w:eastAsia="黑体"/>
              <w:szCs w:val="32"/>
            </w:rPr>
            <w:t>分析</w:t>
          </w:r>
          <w:r>
            <w:tab/>
          </w:r>
          <w:r>
            <w:fldChar w:fldCharType="begin"/>
          </w:r>
          <w:r>
            <w:instrText xml:space="preserve"> PAGEREF _Toc26599 \h </w:instrText>
          </w:r>
          <w:r>
            <w:fldChar w:fldCharType="separate"/>
          </w:r>
          <w:r>
            <w:t>12</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_Toc6349 </w:instrText>
          </w:r>
          <w:r>
            <w:rPr>
              <w:rFonts w:ascii="仿宋" w:hAnsi="仿宋" w:eastAsia="仿宋"/>
              <w:bCs/>
              <w:lang w:val="zh-CN"/>
            </w:rPr>
            <w:fldChar w:fldCharType="separate"/>
          </w:r>
          <w:r>
            <w:rPr>
              <w:rFonts w:hint="eastAsia" w:ascii="楷体" w:hAnsi="楷体" w:eastAsia="楷体"/>
              <w:szCs w:val="32"/>
              <w:lang w:val="en-US"/>
            </w:rPr>
            <w:t xml:space="preserve">2.2.1 </w:t>
          </w:r>
          <w:r>
            <w:rPr>
              <w:rFonts w:hint="eastAsia" w:ascii="楷体" w:hAnsi="楷体" w:eastAsia="楷体"/>
              <w:szCs w:val="32"/>
            </w:rPr>
            <w:t>发展优势</w:t>
          </w:r>
          <w:r>
            <w:tab/>
          </w:r>
          <w:r>
            <w:fldChar w:fldCharType="begin"/>
          </w:r>
          <w:r>
            <w:instrText xml:space="preserve"> PAGEREF _Toc6349 \h </w:instrText>
          </w:r>
          <w:r>
            <w:fldChar w:fldCharType="separate"/>
          </w:r>
          <w:r>
            <w:t>12</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_Toc20647 </w:instrText>
          </w:r>
          <w:r>
            <w:rPr>
              <w:rFonts w:ascii="仿宋" w:hAnsi="仿宋" w:eastAsia="仿宋"/>
              <w:bCs/>
              <w:lang w:val="zh-CN"/>
            </w:rPr>
            <w:fldChar w:fldCharType="separate"/>
          </w:r>
          <w:r>
            <w:rPr>
              <w:rFonts w:hint="eastAsia" w:ascii="楷体" w:hAnsi="楷体" w:eastAsia="楷体"/>
              <w:szCs w:val="32"/>
              <w:lang w:val="en-US"/>
            </w:rPr>
            <w:t xml:space="preserve">2.2.2 </w:t>
          </w:r>
          <w:r>
            <w:rPr>
              <w:rFonts w:hint="eastAsia" w:ascii="楷体" w:hAnsi="楷体" w:eastAsia="楷体"/>
              <w:szCs w:val="32"/>
            </w:rPr>
            <w:t>发展劣势</w:t>
          </w:r>
          <w:r>
            <w:tab/>
          </w:r>
          <w:r>
            <w:fldChar w:fldCharType="begin"/>
          </w:r>
          <w:r>
            <w:instrText xml:space="preserve"> PAGEREF _Toc20647 \h </w:instrText>
          </w:r>
          <w:r>
            <w:fldChar w:fldCharType="separate"/>
          </w:r>
          <w:r>
            <w:t>13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_Toc15718 </w:instrText>
          </w:r>
          <w:r>
            <w:rPr>
              <w:rFonts w:ascii="仿宋" w:hAnsi="仿宋" w:eastAsia="仿宋"/>
              <w:bCs/>
              <w:lang w:val="zh-CN"/>
            </w:rPr>
            <w:fldChar w:fldCharType="separate"/>
          </w:r>
          <w:r>
            <w:rPr>
              <w:rFonts w:hint="eastAsia" w:ascii="楷体" w:hAnsi="楷体" w:eastAsia="楷体"/>
              <w:szCs w:val="32"/>
              <w:lang w:val="en-US"/>
            </w:rPr>
            <w:t xml:space="preserve">2.2.3 </w:t>
          </w:r>
          <w:r>
            <w:rPr>
              <w:rFonts w:hint="eastAsia" w:ascii="楷体" w:hAnsi="楷体" w:eastAsia="楷体"/>
              <w:szCs w:val="32"/>
            </w:rPr>
            <w:t>发展机遇</w:t>
          </w:r>
          <w:r>
            <w:tab/>
          </w:r>
          <w:r>
            <w:fldChar w:fldCharType="begin"/>
          </w:r>
          <w:r>
            <w:instrText xml:space="preserve"> PAGEREF _Toc15718 \h </w:instrText>
          </w:r>
          <w:r>
            <w:fldChar w:fldCharType="separate"/>
          </w:r>
          <w:r>
            <w:t>14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_Toc7797 </w:instrText>
          </w:r>
          <w:r>
            <w:rPr>
              <w:rFonts w:ascii="仿宋" w:hAnsi="仿宋" w:eastAsia="仿宋"/>
              <w:bCs/>
              <w:lang w:val="zh-CN"/>
            </w:rPr>
            <w:fldChar w:fldCharType="separate"/>
          </w:r>
          <w:r>
            <w:rPr>
              <w:rFonts w:hint="eastAsia" w:ascii="楷体" w:hAnsi="楷体" w:eastAsia="楷体"/>
              <w:szCs w:val="32"/>
              <w:lang w:val="en-US"/>
            </w:rPr>
            <w:t xml:space="preserve">2.2.4 </w:t>
          </w:r>
          <w:r>
            <w:rPr>
              <w:rFonts w:hint="eastAsia" w:ascii="楷体" w:hAnsi="楷体" w:eastAsia="楷体"/>
              <w:szCs w:val="32"/>
            </w:rPr>
            <w:t>发展挑战</w:t>
          </w:r>
          <w:r>
            <w:tab/>
          </w:r>
          <w:r>
            <w:fldChar w:fldCharType="begin"/>
          </w:r>
          <w:r>
            <w:instrText xml:space="preserve"> PAGEREF _Toc7797 \h </w:instrText>
          </w:r>
          <w:r>
            <w:fldChar w:fldCharType="separate"/>
          </w:r>
          <w:r>
            <w:t>15</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_Toc6351 </w:instrText>
          </w:r>
          <w:r>
            <w:rPr>
              <w:rFonts w:ascii="仿宋" w:hAnsi="仿宋" w:eastAsia="仿宋"/>
              <w:bCs/>
              <w:lang w:val="zh-CN"/>
            </w:rPr>
            <w:fldChar w:fldCharType="separate"/>
          </w:r>
          <w:r>
            <w:rPr>
              <w:rFonts w:hint="eastAsia" w:ascii="黑体" w:hAnsi="黑体" w:eastAsia="黑体"/>
              <w:szCs w:val="32"/>
            </w:rPr>
            <w:t>2.3 综合</w:t>
          </w:r>
          <w:r>
            <w:rPr>
              <w:rFonts w:ascii="黑体" w:hAnsi="黑体" w:eastAsia="黑体"/>
              <w:szCs w:val="32"/>
            </w:rPr>
            <w:t>研判</w:t>
          </w:r>
          <w:r>
            <w:tab/>
          </w:r>
          <w:r>
            <w:fldChar w:fldCharType="begin"/>
          </w:r>
          <w:r>
            <w:instrText xml:space="preserve"> PAGEREF _Toc6351 \h </w:instrText>
          </w:r>
          <w:r>
            <w:fldChar w:fldCharType="separate"/>
          </w:r>
          <w:r>
            <w:t>16</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_Toc22239 </w:instrText>
          </w:r>
          <w:r>
            <w:rPr>
              <w:rFonts w:ascii="仿宋" w:hAnsi="仿宋" w:eastAsia="仿宋"/>
              <w:bCs/>
              <w:lang w:val="zh-CN"/>
            </w:rPr>
            <w:fldChar w:fldCharType="separate"/>
          </w:r>
          <w:r>
            <w:rPr>
              <w:rFonts w:hint="eastAsia" w:ascii="黑体" w:hAnsi="黑体" w:eastAsia="黑体"/>
              <w:szCs w:val="44"/>
            </w:rPr>
            <w:t>第3章 发展</w:t>
          </w:r>
          <w:r>
            <w:rPr>
              <w:rFonts w:ascii="黑体" w:hAnsi="黑体" w:eastAsia="黑体"/>
              <w:szCs w:val="44"/>
            </w:rPr>
            <w:t>定位和目标</w:t>
          </w:r>
          <w:r>
            <w:tab/>
          </w:r>
          <w:r>
            <w:fldChar w:fldCharType="begin"/>
          </w:r>
          <w:r>
            <w:instrText xml:space="preserve"> PAGEREF _Toc22239 \h </w:instrText>
          </w:r>
          <w:r>
            <w:fldChar w:fldCharType="separate"/>
          </w:r>
          <w:r>
            <w:t>18</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_Toc17475 </w:instrText>
          </w:r>
          <w:r>
            <w:rPr>
              <w:rFonts w:ascii="仿宋" w:hAnsi="仿宋" w:eastAsia="仿宋"/>
              <w:bCs/>
              <w:lang w:val="zh-CN"/>
            </w:rPr>
            <w:fldChar w:fldCharType="separate"/>
          </w:r>
          <w:r>
            <w:rPr>
              <w:rFonts w:hint="eastAsia" w:ascii="黑体" w:hAnsi="黑体" w:eastAsia="黑体"/>
              <w:szCs w:val="32"/>
            </w:rPr>
            <w:t>3.1 发展</w:t>
          </w:r>
          <w:r>
            <w:rPr>
              <w:rFonts w:ascii="黑体" w:hAnsi="黑体" w:eastAsia="黑体"/>
              <w:szCs w:val="32"/>
            </w:rPr>
            <w:t>定位</w:t>
          </w:r>
          <w:r>
            <w:tab/>
          </w:r>
          <w:r>
            <w:fldChar w:fldCharType="begin"/>
          </w:r>
          <w:r>
            <w:instrText xml:space="preserve"> PAGEREF _Toc17475 \h </w:instrText>
          </w:r>
          <w:r>
            <w:fldChar w:fldCharType="separate"/>
          </w:r>
          <w:r>
            <w:t>18</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_Toc14479 </w:instrText>
          </w:r>
          <w:r>
            <w:rPr>
              <w:rFonts w:ascii="仿宋" w:hAnsi="仿宋" w:eastAsia="仿宋"/>
              <w:bCs/>
              <w:lang w:val="zh-CN"/>
            </w:rPr>
            <w:fldChar w:fldCharType="separate"/>
          </w:r>
          <w:r>
            <w:rPr>
              <w:rFonts w:hint="eastAsia" w:ascii="黑体" w:hAnsi="黑体" w:eastAsia="黑体"/>
              <w:szCs w:val="32"/>
            </w:rPr>
            <w:t>3.2 发展</w:t>
          </w:r>
          <w:r>
            <w:rPr>
              <w:rFonts w:ascii="黑体" w:hAnsi="黑体" w:eastAsia="黑体"/>
              <w:szCs w:val="32"/>
            </w:rPr>
            <w:t>目标</w:t>
          </w:r>
          <w:r>
            <w:tab/>
          </w:r>
          <w:r>
            <w:fldChar w:fldCharType="begin"/>
          </w:r>
          <w:r>
            <w:instrText xml:space="preserve"> PAGEREF _Toc14479 \h </w:instrText>
          </w:r>
          <w:r>
            <w:fldChar w:fldCharType="separate"/>
          </w:r>
          <w:r>
            <w:t>19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_Toc19638 </w:instrText>
          </w:r>
          <w:r>
            <w:rPr>
              <w:rFonts w:ascii="仿宋" w:hAnsi="仿宋" w:eastAsia="仿宋"/>
              <w:bCs/>
              <w:lang w:val="zh-CN"/>
            </w:rPr>
            <w:fldChar w:fldCharType="separate"/>
          </w:r>
          <w:r>
            <w:rPr>
              <w:rFonts w:hint="eastAsia" w:ascii="楷体" w:hAnsi="楷体" w:eastAsia="楷体"/>
              <w:szCs w:val="32"/>
              <w:lang w:val="en-US"/>
            </w:rPr>
            <w:t xml:space="preserve">3.2.1 </w:t>
          </w:r>
          <w:r>
            <w:rPr>
              <w:rFonts w:hint="eastAsia" w:ascii="楷体" w:hAnsi="楷体" w:eastAsia="楷体"/>
              <w:szCs w:val="32"/>
            </w:rPr>
            <w:t>近期目标</w:t>
          </w:r>
          <w:r>
            <w:tab/>
          </w:r>
          <w:r>
            <w:fldChar w:fldCharType="begin"/>
          </w:r>
          <w:r>
            <w:instrText xml:space="preserve"> PAGEREF _Toc19638 \h </w:instrText>
          </w:r>
          <w:r>
            <w:fldChar w:fldCharType="separate"/>
          </w:r>
          <w:r>
            <w:t>19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_Toc2510 </w:instrText>
          </w:r>
          <w:r>
            <w:rPr>
              <w:rFonts w:ascii="仿宋" w:hAnsi="仿宋" w:eastAsia="仿宋"/>
              <w:bCs/>
              <w:lang w:val="zh-CN"/>
            </w:rPr>
            <w:fldChar w:fldCharType="separate"/>
          </w:r>
          <w:r>
            <w:rPr>
              <w:rFonts w:hint="eastAsia" w:ascii="楷体" w:hAnsi="楷体" w:eastAsia="楷体"/>
              <w:szCs w:val="32"/>
              <w:lang w:val="en-US"/>
            </w:rPr>
            <w:t xml:space="preserve">3.2.2 </w:t>
          </w:r>
          <w:r>
            <w:rPr>
              <w:rFonts w:hint="eastAsia" w:ascii="楷体" w:hAnsi="楷体" w:eastAsia="楷体"/>
              <w:szCs w:val="32"/>
            </w:rPr>
            <w:t>中期</w:t>
          </w:r>
          <w:r>
            <w:rPr>
              <w:rFonts w:ascii="楷体" w:hAnsi="楷体" w:eastAsia="楷体"/>
              <w:szCs w:val="32"/>
            </w:rPr>
            <w:t>目标</w:t>
          </w:r>
          <w:r>
            <w:tab/>
          </w:r>
          <w:r>
            <w:fldChar w:fldCharType="begin"/>
          </w:r>
          <w:r>
            <w:instrText xml:space="preserve"> PAGEREF _Toc2510 \h </w:instrText>
          </w:r>
          <w:r>
            <w:fldChar w:fldCharType="separate"/>
          </w:r>
          <w:r>
            <w:t>19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_Toc16332 </w:instrText>
          </w:r>
          <w:r>
            <w:rPr>
              <w:rFonts w:ascii="仿宋" w:hAnsi="仿宋" w:eastAsia="仿宋"/>
              <w:bCs/>
              <w:lang w:val="zh-CN"/>
            </w:rPr>
            <w:fldChar w:fldCharType="separate"/>
          </w:r>
          <w:r>
            <w:rPr>
              <w:rFonts w:hint="eastAsia" w:ascii="楷体" w:hAnsi="楷体" w:eastAsia="楷体"/>
              <w:szCs w:val="32"/>
              <w:lang w:val="en-US"/>
            </w:rPr>
            <w:t xml:space="preserve">3.2.3 </w:t>
          </w:r>
          <w:r>
            <w:rPr>
              <w:rFonts w:hint="eastAsia" w:ascii="楷体" w:hAnsi="楷体" w:eastAsia="楷体"/>
              <w:szCs w:val="32"/>
            </w:rPr>
            <w:t>远期目标</w:t>
          </w:r>
          <w:r>
            <w:tab/>
          </w:r>
          <w:r>
            <w:fldChar w:fldCharType="begin"/>
          </w:r>
          <w:r>
            <w:instrText xml:space="preserve"> PAGEREF _Toc16332 \h </w:instrText>
          </w:r>
          <w:r>
            <w:fldChar w:fldCharType="separate"/>
          </w:r>
          <w:r>
            <w:t>19</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_Toc2093 </w:instrText>
          </w:r>
          <w:r>
            <w:rPr>
              <w:rFonts w:ascii="仿宋" w:hAnsi="仿宋" w:eastAsia="仿宋"/>
              <w:bCs/>
              <w:lang w:val="zh-CN"/>
            </w:rPr>
            <w:fldChar w:fldCharType="separate"/>
          </w:r>
          <w:r>
            <w:rPr>
              <w:rFonts w:hint="eastAsia" w:ascii="黑体" w:hAnsi="黑体" w:eastAsia="黑体"/>
              <w:szCs w:val="32"/>
            </w:rPr>
            <w:t>3.3 发展</w:t>
          </w:r>
          <w:r>
            <w:rPr>
              <w:rFonts w:ascii="黑体" w:hAnsi="黑体" w:eastAsia="黑体"/>
              <w:szCs w:val="32"/>
            </w:rPr>
            <w:t>策略</w:t>
          </w:r>
          <w:r>
            <w:tab/>
          </w:r>
          <w:r>
            <w:fldChar w:fldCharType="begin"/>
          </w:r>
          <w:r>
            <w:instrText xml:space="preserve"> PAGEREF _Toc2093 \h </w:instrText>
          </w:r>
          <w:r>
            <w:fldChar w:fldCharType="separate"/>
          </w:r>
          <w:r>
            <w:t>20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_Toc6504 </w:instrText>
          </w:r>
          <w:r>
            <w:rPr>
              <w:rFonts w:ascii="仿宋" w:hAnsi="仿宋" w:eastAsia="仿宋"/>
              <w:bCs/>
              <w:lang w:val="zh-CN"/>
            </w:rPr>
            <w:fldChar w:fldCharType="separate"/>
          </w:r>
          <w:r>
            <w:rPr>
              <w:rFonts w:hint="eastAsia" w:ascii="楷体" w:hAnsi="楷体" w:eastAsia="楷体"/>
              <w:szCs w:val="32"/>
              <w:lang w:val="en-US"/>
            </w:rPr>
            <w:t xml:space="preserve">3.3.1 </w:t>
          </w:r>
          <w:r>
            <w:rPr>
              <w:rFonts w:hint="eastAsia" w:ascii="楷体" w:hAnsi="楷体" w:eastAsia="楷体"/>
              <w:szCs w:val="32"/>
            </w:rPr>
            <w:t>集群发展策略</w:t>
          </w:r>
          <w:r>
            <w:tab/>
          </w:r>
          <w:r>
            <w:fldChar w:fldCharType="begin"/>
          </w:r>
          <w:r>
            <w:instrText xml:space="preserve"> PAGEREF _Toc6504 \h </w:instrText>
          </w:r>
          <w:r>
            <w:fldChar w:fldCharType="separate"/>
          </w:r>
          <w:r>
            <w:t>20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_Toc27216 </w:instrText>
          </w:r>
          <w:r>
            <w:rPr>
              <w:rFonts w:ascii="仿宋" w:hAnsi="仿宋" w:eastAsia="仿宋"/>
              <w:bCs/>
              <w:lang w:val="zh-CN"/>
            </w:rPr>
            <w:fldChar w:fldCharType="separate"/>
          </w:r>
          <w:r>
            <w:rPr>
              <w:rFonts w:hint="eastAsia" w:ascii="楷体" w:hAnsi="楷体" w:eastAsia="楷体"/>
              <w:szCs w:val="32"/>
              <w:lang w:val="en-US"/>
            </w:rPr>
            <w:t xml:space="preserve">3.3.2 </w:t>
          </w:r>
          <w:r>
            <w:rPr>
              <w:rFonts w:hint="eastAsia" w:ascii="楷体" w:hAnsi="楷体" w:eastAsia="楷体"/>
              <w:szCs w:val="32"/>
            </w:rPr>
            <w:t>规划指引策略</w:t>
          </w:r>
          <w:r>
            <w:tab/>
          </w:r>
          <w:r>
            <w:fldChar w:fldCharType="begin"/>
          </w:r>
          <w:r>
            <w:instrText xml:space="preserve"> PAGEREF _Toc27216 \h </w:instrText>
          </w:r>
          <w:r>
            <w:fldChar w:fldCharType="separate"/>
          </w:r>
          <w:r>
            <w:t>20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_Toc24255 </w:instrText>
          </w:r>
          <w:r>
            <w:rPr>
              <w:rFonts w:ascii="仿宋" w:hAnsi="仿宋" w:eastAsia="仿宋"/>
              <w:bCs/>
              <w:lang w:val="zh-CN"/>
            </w:rPr>
            <w:fldChar w:fldCharType="separate"/>
          </w:r>
          <w:r>
            <w:rPr>
              <w:rFonts w:hint="eastAsia" w:ascii="楷体" w:hAnsi="楷体" w:eastAsia="楷体"/>
              <w:szCs w:val="32"/>
              <w:lang w:val="en-US"/>
            </w:rPr>
            <w:t xml:space="preserve">3.3.3 </w:t>
          </w:r>
          <w:r>
            <w:rPr>
              <w:rFonts w:hint="eastAsia" w:ascii="楷体" w:hAnsi="楷体" w:eastAsia="楷体"/>
              <w:szCs w:val="32"/>
            </w:rPr>
            <w:t>环境提升策略</w:t>
          </w:r>
          <w:r>
            <w:tab/>
          </w:r>
          <w:r>
            <w:fldChar w:fldCharType="begin"/>
          </w:r>
          <w:r>
            <w:instrText xml:space="preserve"> PAGEREF _Toc24255 \h </w:instrText>
          </w:r>
          <w:r>
            <w:fldChar w:fldCharType="separate"/>
          </w:r>
          <w:r>
            <w:t>20</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_Toc11565 </w:instrText>
          </w:r>
          <w:r>
            <w:rPr>
              <w:rFonts w:ascii="仿宋" w:hAnsi="仿宋" w:eastAsia="仿宋"/>
              <w:bCs/>
              <w:lang w:val="zh-CN"/>
            </w:rPr>
            <w:fldChar w:fldCharType="separate"/>
          </w:r>
          <w:r>
            <w:rPr>
              <w:rFonts w:hint="eastAsia" w:ascii="楷体" w:hAnsi="楷体" w:eastAsia="楷体"/>
              <w:szCs w:val="32"/>
              <w:lang w:val="en-US"/>
            </w:rPr>
            <w:t xml:space="preserve">3.3.4 </w:t>
          </w:r>
          <w:r>
            <w:rPr>
              <w:rFonts w:hint="eastAsia" w:ascii="楷体" w:hAnsi="楷体" w:eastAsia="楷体"/>
              <w:szCs w:val="32"/>
            </w:rPr>
            <w:t>创新突破策略</w:t>
          </w:r>
          <w:r>
            <w:tab/>
          </w:r>
          <w:r>
            <w:fldChar w:fldCharType="begin"/>
          </w:r>
          <w:r>
            <w:instrText xml:space="preserve"> PAGEREF _Toc11565 \h </w:instrText>
          </w:r>
          <w:r>
            <w:fldChar w:fldCharType="separate"/>
          </w:r>
          <w:r>
            <w:t>21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_Toc23328 </w:instrText>
          </w:r>
          <w:r>
            <w:rPr>
              <w:rFonts w:ascii="仿宋" w:hAnsi="仿宋" w:eastAsia="仿宋"/>
              <w:bCs/>
              <w:lang w:val="zh-CN"/>
            </w:rPr>
            <w:fldChar w:fldCharType="separate"/>
          </w:r>
          <w:r>
            <w:rPr>
              <w:rFonts w:hint="eastAsia" w:ascii="楷体" w:hAnsi="楷体" w:eastAsia="楷体"/>
              <w:szCs w:val="32"/>
              <w:lang w:val="en-US"/>
            </w:rPr>
            <w:t xml:space="preserve">3.3.5 </w:t>
          </w:r>
          <w:r>
            <w:rPr>
              <w:rFonts w:hint="eastAsia" w:ascii="楷体" w:hAnsi="楷体" w:eastAsia="楷体"/>
              <w:szCs w:val="32"/>
            </w:rPr>
            <w:t>龙头引领策略</w:t>
          </w:r>
          <w:r>
            <w:tab/>
          </w:r>
          <w:r>
            <w:fldChar w:fldCharType="begin"/>
          </w:r>
          <w:r>
            <w:instrText xml:space="preserve"> PAGEREF _Toc23328 \h </w:instrText>
          </w:r>
          <w:r>
            <w:fldChar w:fldCharType="separate"/>
          </w:r>
          <w:r>
            <w:t>21</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_Toc28742 </w:instrText>
          </w:r>
          <w:r>
            <w:rPr>
              <w:rFonts w:ascii="仿宋" w:hAnsi="仿宋" w:eastAsia="仿宋"/>
              <w:bCs/>
              <w:lang w:val="zh-CN"/>
            </w:rPr>
            <w:fldChar w:fldCharType="separate"/>
          </w:r>
          <w:r>
            <w:rPr>
              <w:rFonts w:hint="eastAsia" w:ascii="黑体" w:hAnsi="黑体" w:eastAsia="黑体"/>
              <w:szCs w:val="32"/>
            </w:rPr>
            <w:t>3.4 指标</w:t>
          </w:r>
          <w:r>
            <w:rPr>
              <w:rFonts w:ascii="黑体" w:hAnsi="黑体" w:eastAsia="黑体"/>
              <w:szCs w:val="32"/>
            </w:rPr>
            <w:t>体系</w:t>
          </w:r>
          <w:r>
            <w:tab/>
          </w:r>
          <w:r>
            <w:fldChar w:fldCharType="begin"/>
          </w:r>
          <w:r>
            <w:instrText xml:space="preserve"> PAGEREF _Toc28742 \h </w:instrText>
          </w:r>
          <w:r>
            <w:fldChar w:fldCharType="separate"/>
          </w:r>
          <w:r>
            <w:t>21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_Toc21445 </w:instrText>
          </w:r>
          <w:r>
            <w:rPr>
              <w:rFonts w:ascii="仿宋" w:hAnsi="仿宋" w:eastAsia="仿宋"/>
              <w:bCs/>
              <w:lang w:val="zh-CN"/>
            </w:rPr>
            <w:fldChar w:fldCharType="separate"/>
          </w:r>
          <w:r>
            <w:rPr>
              <w:rFonts w:hint="eastAsia" w:ascii="楷体" w:hAnsi="楷体" w:eastAsia="楷体"/>
              <w:szCs w:val="32"/>
            </w:rPr>
            <w:t>表2规划指标</w:t>
          </w:r>
          <w:r>
            <w:rPr>
              <w:rFonts w:ascii="楷体" w:hAnsi="楷体" w:eastAsia="楷体"/>
              <w:szCs w:val="32"/>
            </w:rPr>
            <w:t>体系一览表</w:t>
          </w:r>
          <w:r>
            <w:tab/>
          </w:r>
          <w:r>
            <w:fldChar w:fldCharType="begin"/>
          </w:r>
          <w:r>
            <w:instrText xml:space="preserve"> PAGEREF _Toc21445 \h </w:instrText>
          </w:r>
          <w:r>
            <w:fldChar w:fldCharType="separate"/>
          </w:r>
          <w:r>
            <w:t>22</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_Toc163 </w:instrText>
          </w:r>
          <w:r>
            <w:rPr>
              <w:rFonts w:ascii="仿宋" w:hAnsi="仿宋" w:eastAsia="仿宋"/>
              <w:bCs/>
              <w:lang w:val="zh-CN"/>
            </w:rPr>
            <w:fldChar w:fldCharType="separate"/>
          </w:r>
          <w:r>
            <w:rPr>
              <w:rFonts w:hint="eastAsia" w:ascii="黑体" w:hAnsi="黑体" w:eastAsia="黑体"/>
              <w:szCs w:val="44"/>
            </w:rPr>
            <w:t>第4章 产业</w:t>
          </w:r>
          <w:r>
            <w:rPr>
              <w:rFonts w:ascii="黑体" w:hAnsi="黑体" w:eastAsia="黑体"/>
              <w:szCs w:val="44"/>
            </w:rPr>
            <w:t>选择及发展重点</w:t>
          </w:r>
          <w:r>
            <w:tab/>
          </w:r>
          <w:r>
            <w:fldChar w:fldCharType="begin"/>
          </w:r>
          <w:r>
            <w:instrText xml:space="preserve"> PAGEREF _Toc163 \h </w:instrText>
          </w:r>
          <w:r>
            <w:fldChar w:fldCharType="separate"/>
          </w:r>
          <w:r>
            <w:t>23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_Toc29550 </w:instrText>
          </w:r>
          <w:r>
            <w:rPr>
              <w:rFonts w:ascii="仿宋" w:hAnsi="仿宋" w:eastAsia="仿宋"/>
              <w:bCs/>
              <w:lang w:val="zh-CN"/>
            </w:rPr>
            <w:fldChar w:fldCharType="separate"/>
          </w:r>
          <w:r>
            <w:rPr>
              <w:rFonts w:hint="eastAsia" w:ascii="黑体" w:hAnsi="黑体" w:eastAsia="黑体"/>
              <w:szCs w:val="32"/>
            </w:rPr>
            <w:t>4.1 产业</w:t>
          </w:r>
          <w:r>
            <w:rPr>
              <w:rFonts w:ascii="黑体" w:hAnsi="黑体" w:eastAsia="黑体"/>
              <w:szCs w:val="32"/>
            </w:rPr>
            <w:t>体系构建</w:t>
          </w:r>
          <w:r>
            <w:tab/>
          </w:r>
          <w:r>
            <w:fldChar w:fldCharType="begin"/>
          </w:r>
          <w:r>
            <w:instrText xml:space="preserve"> PAGEREF _Toc29550 \h </w:instrText>
          </w:r>
          <w:r>
            <w:fldChar w:fldCharType="separate"/>
          </w:r>
          <w:r>
            <w:t>23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_Toc28814 </w:instrText>
          </w:r>
          <w:r>
            <w:rPr>
              <w:rFonts w:ascii="仿宋" w:hAnsi="仿宋" w:eastAsia="仿宋"/>
              <w:bCs/>
              <w:lang w:val="zh-CN"/>
            </w:rPr>
            <w:fldChar w:fldCharType="separate"/>
          </w:r>
          <w:r>
            <w:rPr>
              <w:rFonts w:hint="eastAsia" w:ascii="黑体" w:hAnsi="黑体" w:eastAsia="黑体"/>
              <w:szCs w:val="32"/>
            </w:rPr>
            <w:t>4.2 聚焦</w:t>
          </w:r>
          <w:r>
            <w:rPr>
              <w:rFonts w:ascii="黑体" w:hAnsi="黑体" w:eastAsia="黑体"/>
              <w:szCs w:val="32"/>
            </w:rPr>
            <w:t>农产品加工，强化产业链条</w:t>
          </w:r>
          <w:r>
            <w:tab/>
          </w:r>
          <w:r>
            <w:fldChar w:fldCharType="begin"/>
          </w:r>
          <w:r>
            <w:instrText xml:space="preserve"> PAGEREF _Toc28814 \h </w:instrText>
          </w:r>
          <w:r>
            <w:fldChar w:fldCharType="separate"/>
          </w:r>
          <w:r>
            <w:t>23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_Toc29591 </w:instrText>
          </w:r>
          <w:r>
            <w:rPr>
              <w:rFonts w:ascii="仿宋" w:hAnsi="仿宋" w:eastAsia="仿宋"/>
              <w:bCs/>
              <w:lang w:val="zh-CN"/>
            </w:rPr>
            <w:fldChar w:fldCharType="separate"/>
          </w:r>
          <w:r>
            <w:rPr>
              <w:rFonts w:hint="eastAsia" w:ascii="楷体" w:hAnsi="楷体" w:eastAsia="楷体"/>
              <w:szCs w:val="32"/>
              <w:lang w:val="en-US"/>
            </w:rPr>
            <w:t xml:space="preserve">4.2.1 </w:t>
          </w:r>
          <w:r>
            <w:rPr>
              <w:rFonts w:hint="eastAsia" w:ascii="楷体" w:hAnsi="楷体" w:eastAsia="楷体"/>
              <w:szCs w:val="32"/>
            </w:rPr>
            <w:t>肉鸡产业</w:t>
          </w:r>
          <w:r>
            <w:rPr>
              <w:rFonts w:ascii="楷体" w:hAnsi="楷体" w:eastAsia="楷体"/>
              <w:szCs w:val="32"/>
            </w:rPr>
            <w:t>链</w:t>
          </w:r>
          <w:r>
            <w:rPr>
              <w:rFonts w:hint="eastAsia" w:ascii="楷体" w:hAnsi="楷体" w:eastAsia="楷体"/>
              <w:szCs w:val="32"/>
            </w:rPr>
            <w:t>条</w:t>
          </w:r>
          <w:r>
            <w:tab/>
          </w:r>
          <w:r>
            <w:fldChar w:fldCharType="begin"/>
          </w:r>
          <w:r>
            <w:instrText xml:space="preserve"> PAGEREF _Toc29591 \h </w:instrText>
          </w:r>
          <w:r>
            <w:fldChar w:fldCharType="separate"/>
          </w:r>
          <w:r>
            <w:t>23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_Toc19056 </w:instrText>
          </w:r>
          <w:r>
            <w:rPr>
              <w:rFonts w:ascii="仿宋" w:hAnsi="仿宋" w:eastAsia="仿宋"/>
              <w:bCs/>
              <w:lang w:val="zh-CN"/>
            </w:rPr>
            <w:fldChar w:fldCharType="separate"/>
          </w:r>
          <w:r>
            <w:rPr>
              <w:rFonts w:hint="eastAsia" w:ascii="楷体" w:hAnsi="楷体" w:eastAsia="楷体"/>
              <w:szCs w:val="32"/>
            </w:rPr>
            <w:t>图4 白羽鸡特色产业链</w:t>
          </w:r>
          <w:r>
            <w:tab/>
          </w:r>
          <w:r>
            <w:fldChar w:fldCharType="begin"/>
          </w:r>
          <w:r>
            <w:instrText xml:space="preserve"> PAGEREF _Toc19056 \h </w:instrText>
          </w:r>
          <w:r>
            <w:fldChar w:fldCharType="separate"/>
          </w:r>
          <w:r>
            <w:t>24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_Toc30847 </w:instrText>
          </w:r>
          <w:r>
            <w:rPr>
              <w:rFonts w:ascii="仿宋" w:hAnsi="仿宋" w:eastAsia="仿宋"/>
              <w:bCs/>
              <w:lang w:val="zh-CN"/>
            </w:rPr>
            <w:fldChar w:fldCharType="separate"/>
          </w:r>
          <w:r>
            <w:rPr>
              <w:rFonts w:hint="eastAsia" w:ascii="楷体" w:hAnsi="楷体" w:eastAsia="楷体"/>
              <w:szCs w:val="32"/>
              <w:lang w:val="en-US"/>
            </w:rPr>
            <w:t xml:space="preserve">4.2.2 </w:t>
          </w:r>
          <w:r>
            <w:rPr>
              <w:rFonts w:hint="eastAsia" w:ascii="楷体" w:hAnsi="楷体" w:eastAsia="楷体"/>
              <w:szCs w:val="32"/>
            </w:rPr>
            <w:t>生猪产业链条</w:t>
          </w:r>
          <w:r>
            <w:tab/>
          </w:r>
          <w:r>
            <w:fldChar w:fldCharType="begin"/>
          </w:r>
          <w:r>
            <w:instrText xml:space="preserve"> PAGEREF _Toc30847 \h </w:instrText>
          </w:r>
          <w:r>
            <w:fldChar w:fldCharType="separate"/>
          </w:r>
          <w:r>
            <w:t>24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_Toc7987 </w:instrText>
          </w:r>
          <w:r>
            <w:rPr>
              <w:rFonts w:ascii="仿宋" w:hAnsi="仿宋" w:eastAsia="仿宋"/>
              <w:bCs/>
              <w:lang w:val="zh-CN"/>
            </w:rPr>
            <w:fldChar w:fldCharType="separate"/>
          </w:r>
          <w:r>
            <w:rPr>
              <w:rFonts w:hint="eastAsia" w:ascii="楷体" w:hAnsi="楷体" w:eastAsia="楷体"/>
              <w:szCs w:val="32"/>
            </w:rPr>
            <w:t>图</w:t>
          </w:r>
          <w:r>
            <w:rPr>
              <w:rFonts w:ascii="楷体" w:hAnsi="楷体" w:eastAsia="楷体"/>
              <w:szCs w:val="32"/>
            </w:rPr>
            <w:t>5</w:t>
          </w:r>
          <w:r>
            <w:rPr>
              <w:rFonts w:hint="eastAsia" w:ascii="楷体" w:hAnsi="楷体" w:eastAsia="楷体"/>
              <w:szCs w:val="32"/>
            </w:rPr>
            <w:t xml:space="preserve"> 生猪特色产业链</w:t>
          </w:r>
          <w:r>
            <w:tab/>
          </w:r>
          <w:r>
            <w:fldChar w:fldCharType="begin"/>
          </w:r>
          <w:r>
            <w:instrText xml:space="preserve"> PAGEREF _Toc7987 \h </w:instrText>
          </w:r>
          <w:r>
            <w:fldChar w:fldCharType="separate"/>
          </w:r>
          <w:r>
            <w:t>24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_Toc32356 </w:instrText>
          </w:r>
          <w:r>
            <w:rPr>
              <w:rFonts w:ascii="仿宋" w:hAnsi="仿宋" w:eastAsia="仿宋"/>
              <w:bCs/>
              <w:lang w:val="zh-CN"/>
            </w:rPr>
            <w:fldChar w:fldCharType="separate"/>
          </w:r>
          <w:r>
            <w:rPr>
              <w:rFonts w:hint="eastAsia" w:ascii="楷体" w:hAnsi="楷体" w:eastAsia="楷体"/>
              <w:szCs w:val="32"/>
              <w:lang w:val="en-US"/>
            </w:rPr>
            <w:t xml:space="preserve">4.2.3 </w:t>
          </w:r>
          <w:r>
            <w:rPr>
              <w:rFonts w:hint="eastAsia" w:ascii="楷体" w:hAnsi="楷体" w:eastAsia="楷体"/>
              <w:szCs w:val="32"/>
            </w:rPr>
            <w:t>玉米深加工产业</w:t>
          </w:r>
          <w:r>
            <w:rPr>
              <w:rFonts w:ascii="楷体" w:hAnsi="楷体" w:eastAsia="楷体"/>
              <w:szCs w:val="32"/>
            </w:rPr>
            <w:t>链条</w:t>
          </w:r>
          <w:r>
            <w:tab/>
          </w:r>
          <w:r>
            <w:fldChar w:fldCharType="begin"/>
          </w:r>
          <w:r>
            <w:instrText xml:space="preserve"> PAGEREF _Toc32356 \h </w:instrText>
          </w:r>
          <w:r>
            <w:fldChar w:fldCharType="separate"/>
          </w:r>
          <w:r>
            <w:t>24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_Toc29974 </w:instrText>
          </w:r>
          <w:r>
            <w:rPr>
              <w:rFonts w:ascii="仿宋" w:hAnsi="仿宋" w:eastAsia="仿宋"/>
              <w:bCs/>
              <w:lang w:val="zh-CN"/>
            </w:rPr>
            <w:fldChar w:fldCharType="separate"/>
          </w:r>
          <w:r>
            <w:rPr>
              <w:rFonts w:hint="eastAsia" w:ascii="楷体" w:hAnsi="楷体" w:eastAsia="楷体"/>
              <w:szCs w:val="32"/>
            </w:rPr>
            <w:t>图6 玉米深加工特色产业链</w:t>
          </w:r>
          <w:r>
            <w:tab/>
          </w:r>
          <w:r>
            <w:fldChar w:fldCharType="begin"/>
          </w:r>
          <w:r>
            <w:instrText xml:space="preserve"> PAGEREF _Toc29974 \h </w:instrText>
          </w:r>
          <w:r>
            <w:fldChar w:fldCharType="separate"/>
          </w:r>
          <w:r>
            <w:t>25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_Toc27038 </w:instrText>
          </w:r>
          <w:r>
            <w:rPr>
              <w:rFonts w:ascii="仿宋" w:hAnsi="仿宋" w:eastAsia="仿宋"/>
              <w:bCs/>
              <w:lang w:val="zh-CN"/>
            </w:rPr>
            <w:fldChar w:fldCharType="separate"/>
          </w:r>
          <w:r>
            <w:rPr>
              <w:rFonts w:hint="eastAsia" w:ascii="楷体" w:hAnsi="楷体" w:eastAsia="楷体"/>
              <w:szCs w:val="32"/>
              <w:lang w:val="en-US"/>
            </w:rPr>
            <w:t xml:space="preserve">4.2.4 </w:t>
          </w:r>
          <w:r>
            <w:rPr>
              <w:rFonts w:hint="eastAsia" w:ascii="楷体" w:hAnsi="楷体" w:eastAsia="楷体"/>
              <w:szCs w:val="32"/>
            </w:rPr>
            <w:t>预制菜</w:t>
          </w:r>
          <w:r>
            <w:rPr>
              <w:rFonts w:ascii="楷体" w:hAnsi="楷体" w:eastAsia="楷体"/>
              <w:szCs w:val="32"/>
            </w:rPr>
            <w:t>产业链条</w:t>
          </w:r>
          <w:r>
            <w:tab/>
          </w:r>
          <w:r>
            <w:fldChar w:fldCharType="begin"/>
          </w:r>
          <w:r>
            <w:instrText xml:space="preserve"> PAGEREF _Toc27038 \h </w:instrText>
          </w:r>
          <w:r>
            <w:fldChar w:fldCharType="separate"/>
          </w:r>
          <w:r>
            <w:t>25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_Toc480 </w:instrText>
          </w:r>
          <w:r>
            <w:rPr>
              <w:rFonts w:ascii="仿宋" w:hAnsi="仿宋" w:eastAsia="仿宋"/>
              <w:bCs/>
              <w:lang w:val="zh-CN"/>
            </w:rPr>
            <w:fldChar w:fldCharType="separate"/>
          </w:r>
          <w:r>
            <w:rPr>
              <w:rFonts w:hint="eastAsia" w:ascii="楷体" w:hAnsi="楷体" w:eastAsia="楷体"/>
              <w:szCs w:val="32"/>
            </w:rPr>
            <w:t>图7 预制菜产业链</w:t>
          </w:r>
          <w:r>
            <w:tab/>
          </w:r>
          <w:r>
            <w:fldChar w:fldCharType="begin"/>
          </w:r>
          <w:r>
            <w:instrText xml:space="preserve"> PAGEREF _Toc480 \h </w:instrText>
          </w:r>
          <w:r>
            <w:fldChar w:fldCharType="separate"/>
          </w:r>
          <w:r>
            <w:t>25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_Toc6263 </w:instrText>
          </w:r>
          <w:r>
            <w:rPr>
              <w:rFonts w:ascii="仿宋" w:hAnsi="仿宋" w:eastAsia="仿宋"/>
              <w:bCs/>
              <w:lang w:val="zh-CN"/>
            </w:rPr>
            <w:fldChar w:fldCharType="separate"/>
          </w:r>
          <w:r>
            <w:rPr>
              <w:rFonts w:hint="eastAsia" w:ascii="楷体" w:hAnsi="楷体" w:eastAsia="楷体"/>
              <w:szCs w:val="32"/>
              <w:lang w:val="en-US"/>
            </w:rPr>
            <w:t xml:space="preserve">4.2.5 </w:t>
          </w:r>
          <w:r>
            <w:rPr>
              <w:rFonts w:hint="eastAsia" w:ascii="楷体" w:hAnsi="楷体" w:eastAsia="楷体"/>
              <w:szCs w:val="32"/>
            </w:rPr>
            <w:t>水产加工</w:t>
          </w:r>
          <w:r>
            <w:rPr>
              <w:rFonts w:ascii="楷体" w:hAnsi="楷体" w:eastAsia="楷体"/>
              <w:szCs w:val="32"/>
            </w:rPr>
            <w:t>产业链条</w:t>
          </w:r>
          <w:r>
            <w:tab/>
          </w:r>
          <w:r>
            <w:fldChar w:fldCharType="begin"/>
          </w:r>
          <w:r>
            <w:instrText xml:space="preserve"> PAGEREF _Toc6263 \h </w:instrText>
          </w:r>
          <w:r>
            <w:fldChar w:fldCharType="separate"/>
          </w:r>
          <w:r>
            <w:t>26</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_Toc13258 </w:instrText>
          </w:r>
          <w:r>
            <w:rPr>
              <w:rFonts w:ascii="仿宋" w:hAnsi="仿宋" w:eastAsia="仿宋"/>
              <w:bCs/>
              <w:lang w:val="zh-CN"/>
            </w:rPr>
            <w:fldChar w:fldCharType="separate"/>
          </w:r>
          <w:r>
            <w:rPr>
              <w:rFonts w:hint="eastAsia" w:ascii="楷体" w:hAnsi="楷体" w:eastAsia="楷体"/>
              <w:szCs w:val="32"/>
            </w:rPr>
            <w:t>图8 水产加工特色产业链</w:t>
          </w:r>
          <w:r>
            <w:tab/>
          </w:r>
          <w:r>
            <w:fldChar w:fldCharType="begin"/>
          </w:r>
          <w:r>
            <w:instrText xml:space="preserve"> PAGEREF _Toc13258 \h </w:instrText>
          </w:r>
          <w:r>
            <w:fldChar w:fldCharType="separate"/>
          </w:r>
          <w:r>
            <w:t>26</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_Toc3323 </w:instrText>
          </w:r>
          <w:r>
            <w:rPr>
              <w:rFonts w:ascii="仿宋" w:hAnsi="仿宋" w:eastAsia="仿宋"/>
              <w:bCs/>
              <w:lang w:val="zh-CN"/>
            </w:rPr>
            <w:fldChar w:fldCharType="separate"/>
          </w:r>
          <w:r>
            <w:rPr>
              <w:rFonts w:hint="eastAsia" w:ascii="黑体" w:hAnsi="黑体" w:eastAsia="黑体"/>
              <w:szCs w:val="32"/>
            </w:rPr>
            <w:t>4.3 发展</w:t>
          </w:r>
          <w:r>
            <w:rPr>
              <w:rFonts w:ascii="黑体" w:hAnsi="黑体" w:eastAsia="黑体"/>
              <w:szCs w:val="32"/>
            </w:rPr>
            <w:t>生物科技，助力农业绿色发展</w:t>
          </w:r>
          <w:r>
            <w:tab/>
          </w:r>
          <w:r>
            <w:fldChar w:fldCharType="begin"/>
          </w:r>
          <w:r>
            <w:instrText xml:space="preserve"> PAGEREF _Toc3323 \h </w:instrText>
          </w:r>
          <w:r>
            <w:fldChar w:fldCharType="separate"/>
          </w:r>
          <w:r>
            <w:t>26</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_Toc26267 </w:instrText>
          </w:r>
          <w:r>
            <w:rPr>
              <w:rFonts w:ascii="仿宋" w:hAnsi="仿宋" w:eastAsia="仿宋"/>
              <w:bCs/>
              <w:lang w:val="zh-CN"/>
            </w:rPr>
            <w:fldChar w:fldCharType="separate"/>
          </w:r>
          <w:r>
            <w:rPr>
              <w:rFonts w:hint="eastAsia" w:ascii="楷体" w:hAnsi="楷体" w:eastAsia="楷体"/>
              <w:szCs w:val="32"/>
              <w:lang w:val="en-US"/>
            </w:rPr>
            <w:t xml:space="preserve">4.3.1 </w:t>
          </w:r>
          <w:r>
            <w:rPr>
              <w:rFonts w:hint="eastAsia" w:ascii="楷体" w:hAnsi="楷体" w:eastAsia="楷体"/>
              <w:szCs w:val="32"/>
            </w:rPr>
            <w:t>生物</w:t>
          </w:r>
          <w:r>
            <w:rPr>
              <w:rFonts w:ascii="楷体" w:hAnsi="楷体" w:eastAsia="楷体"/>
              <w:szCs w:val="32"/>
            </w:rPr>
            <w:t>科技产业链条</w:t>
          </w:r>
          <w:r>
            <w:tab/>
          </w:r>
          <w:r>
            <w:fldChar w:fldCharType="begin"/>
          </w:r>
          <w:r>
            <w:instrText xml:space="preserve"> PAGEREF _Toc26267 \h </w:instrText>
          </w:r>
          <w:r>
            <w:fldChar w:fldCharType="separate"/>
          </w:r>
          <w:r>
            <w:t>26</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_Toc13845 </w:instrText>
          </w:r>
          <w:r>
            <w:rPr>
              <w:rFonts w:ascii="仿宋" w:hAnsi="仿宋" w:eastAsia="仿宋"/>
              <w:bCs/>
              <w:lang w:val="zh-CN"/>
            </w:rPr>
            <w:fldChar w:fldCharType="separate"/>
          </w:r>
          <w:r>
            <w:rPr>
              <w:rFonts w:hint="eastAsia" w:ascii="楷体" w:hAnsi="楷体" w:eastAsia="楷体"/>
              <w:szCs w:val="32"/>
            </w:rPr>
            <w:t>图9 生物科技产业链</w:t>
          </w:r>
          <w:r>
            <w:tab/>
          </w:r>
          <w:r>
            <w:fldChar w:fldCharType="begin"/>
          </w:r>
          <w:r>
            <w:instrText xml:space="preserve"> PAGEREF _Toc13845 \h </w:instrText>
          </w:r>
          <w:r>
            <w:fldChar w:fldCharType="separate"/>
          </w:r>
          <w:r>
            <w:t>27</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_Toc20171 </w:instrText>
          </w:r>
          <w:r>
            <w:rPr>
              <w:rFonts w:ascii="仿宋" w:hAnsi="仿宋" w:eastAsia="仿宋"/>
              <w:bCs/>
              <w:lang w:val="zh-CN"/>
            </w:rPr>
            <w:fldChar w:fldCharType="separate"/>
          </w:r>
          <w:r>
            <w:rPr>
              <w:rFonts w:hint="eastAsia" w:ascii="黑体" w:hAnsi="黑体" w:eastAsia="黑体"/>
              <w:szCs w:val="32"/>
            </w:rPr>
            <w:t>4.4 推动</w:t>
          </w:r>
          <w:r>
            <w:rPr>
              <w:rFonts w:ascii="黑体" w:hAnsi="黑体" w:eastAsia="黑体"/>
              <w:szCs w:val="32"/>
            </w:rPr>
            <w:t>现代服务业</w:t>
          </w:r>
          <w:r>
            <w:rPr>
              <w:rFonts w:hint="eastAsia" w:ascii="黑体" w:hAnsi="黑体" w:eastAsia="黑体"/>
              <w:szCs w:val="32"/>
            </w:rPr>
            <w:t>同</w:t>
          </w:r>
          <w:r>
            <w:rPr>
              <w:rFonts w:ascii="黑体" w:hAnsi="黑体" w:eastAsia="黑体"/>
              <w:szCs w:val="32"/>
            </w:rPr>
            <w:t>现代农业深度融合</w:t>
          </w:r>
          <w:r>
            <w:tab/>
          </w:r>
          <w:r>
            <w:fldChar w:fldCharType="begin"/>
          </w:r>
          <w:r>
            <w:instrText xml:space="preserve"> PAGEREF _Toc20171 \h </w:instrText>
          </w:r>
          <w:r>
            <w:fldChar w:fldCharType="separate"/>
          </w:r>
          <w:r>
            <w:t>27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_Toc23211 </w:instrText>
          </w:r>
          <w:r>
            <w:rPr>
              <w:rFonts w:ascii="仿宋" w:hAnsi="仿宋" w:eastAsia="仿宋"/>
              <w:bCs/>
              <w:lang w:val="zh-CN"/>
            </w:rPr>
            <w:fldChar w:fldCharType="separate"/>
          </w:r>
          <w:r>
            <w:rPr>
              <w:rFonts w:hint="eastAsia" w:ascii="楷体" w:hAnsi="楷体" w:eastAsia="楷体"/>
              <w:szCs w:val="32"/>
              <w:lang w:val="en-US"/>
            </w:rPr>
            <w:t xml:space="preserve">4.4.1 </w:t>
          </w:r>
          <w:r>
            <w:rPr>
              <w:rFonts w:hint="eastAsia" w:ascii="楷体" w:hAnsi="楷体" w:eastAsia="楷体"/>
              <w:szCs w:val="32"/>
            </w:rPr>
            <w:t>建设高端农业服务平台</w:t>
          </w:r>
          <w:r>
            <w:tab/>
          </w:r>
          <w:r>
            <w:fldChar w:fldCharType="begin"/>
          </w:r>
          <w:r>
            <w:instrText xml:space="preserve"> PAGEREF _Toc23211 \h </w:instrText>
          </w:r>
          <w:r>
            <w:fldChar w:fldCharType="separate"/>
          </w:r>
          <w:r>
            <w:t>27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_Toc12975 </w:instrText>
          </w:r>
          <w:r>
            <w:rPr>
              <w:rFonts w:ascii="仿宋" w:hAnsi="仿宋" w:eastAsia="仿宋"/>
              <w:bCs/>
              <w:lang w:val="zh-CN"/>
            </w:rPr>
            <w:fldChar w:fldCharType="separate"/>
          </w:r>
          <w:r>
            <w:rPr>
              <w:rFonts w:hint="eastAsia" w:ascii="楷体" w:hAnsi="楷体" w:eastAsia="楷体"/>
              <w:szCs w:val="32"/>
              <w:lang w:val="en-US"/>
            </w:rPr>
            <w:t xml:space="preserve">4.4.2 </w:t>
          </w:r>
          <w:r>
            <w:rPr>
              <w:rFonts w:hint="eastAsia" w:ascii="楷体" w:hAnsi="楷体" w:eastAsia="楷体"/>
              <w:szCs w:val="32"/>
            </w:rPr>
            <w:t>整合创新资源，转化孵化创新成果</w:t>
          </w:r>
          <w:r>
            <w:tab/>
          </w:r>
          <w:r>
            <w:fldChar w:fldCharType="begin"/>
          </w:r>
          <w:r>
            <w:instrText xml:space="preserve"> PAGEREF _Toc12975 \h </w:instrText>
          </w:r>
          <w:r>
            <w:fldChar w:fldCharType="separate"/>
          </w:r>
          <w:r>
            <w:t>28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_Toc32420 </w:instrText>
          </w:r>
          <w:r>
            <w:rPr>
              <w:rFonts w:ascii="仿宋" w:hAnsi="仿宋" w:eastAsia="仿宋"/>
              <w:bCs/>
              <w:lang w:val="zh-CN"/>
            </w:rPr>
            <w:fldChar w:fldCharType="separate"/>
          </w:r>
          <w:r>
            <w:rPr>
              <w:rFonts w:hint="eastAsia" w:ascii="楷体" w:hAnsi="楷体" w:eastAsia="楷体"/>
              <w:szCs w:val="32"/>
              <w:lang w:val="en-US"/>
            </w:rPr>
            <w:t xml:space="preserve">4.4.3 </w:t>
          </w:r>
          <w:r>
            <w:rPr>
              <w:rFonts w:hint="eastAsia" w:ascii="楷体" w:hAnsi="楷体" w:eastAsia="楷体"/>
              <w:szCs w:val="32"/>
            </w:rPr>
            <w:t>完善联农带农机制，加快推进农业农村现代化</w:t>
          </w:r>
          <w:r>
            <w:tab/>
          </w:r>
          <w:r>
            <w:fldChar w:fldCharType="begin"/>
          </w:r>
          <w:r>
            <w:instrText xml:space="preserve"> PAGEREF _Toc32420 \h </w:instrText>
          </w:r>
          <w:r>
            <w:fldChar w:fldCharType="separate"/>
          </w:r>
          <w:r>
            <w:t>30</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_Toc2547 </w:instrText>
          </w:r>
          <w:r>
            <w:rPr>
              <w:rFonts w:ascii="仿宋" w:hAnsi="仿宋" w:eastAsia="仿宋"/>
              <w:bCs/>
              <w:lang w:val="zh-CN"/>
            </w:rPr>
            <w:fldChar w:fldCharType="separate"/>
          </w:r>
          <w:r>
            <w:rPr>
              <w:rFonts w:hint="eastAsia" w:ascii="黑体" w:hAnsi="黑体" w:eastAsia="黑体"/>
              <w:szCs w:val="32"/>
            </w:rPr>
            <w:t>4.5 产业</w:t>
          </w:r>
          <w:r>
            <w:rPr>
              <w:rFonts w:ascii="黑体" w:hAnsi="黑体" w:eastAsia="黑体"/>
              <w:szCs w:val="32"/>
            </w:rPr>
            <w:t>功能分区</w:t>
          </w:r>
          <w:r>
            <w:tab/>
          </w:r>
          <w:r>
            <w:fldChar w:fldCharType="begin"/>
          </w:r>
          <w:r>
            <w:instrText xml:space="preserve"> PAGEREF _Toc2547 \h </w:instrText>
          </w:r>
          <w:r>
            <w:fldChar w:fldCharType="separate"/>
          </w:r>
          <w:r>
            <w:t>30</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_Toc6385 </w:instrText>
          </w:r>
          <w:r>
            <w:rPr>
              <w:rFonts w:ascii="仿宋" w:hAnsi="仿宋" w:eastAsia="仿宋"/>
              <w:bCs/>
              <w:lang w:val="zh-CN"/>
            </w:rPr>
            <w:fldChar w:fldCharType="separate"/>
          </w:r>
          <w:r>
            <w:rPr>
              <w:rFonts w:hint="eastAsia" w:ascii="黑体" w:hAnsi="黑体" w:eastAsia="黑体"/>
              <w:szCs w:val="44"/>
            </w:rPr>
            <w:t>第5章 空间</w:t>
          </w:r>
          <w:r>
            <w:rPr>
              <w:rFonts w:ascii="黑体" w:hAnsi="黑体" w:eastAsia="黑体"/>
              <w:szCs w:val="44"/>
            </w:rPr>
            <w:t>布局指引</w:t>
          </w:r>
          <w:r>
            <w:tab/>
          </w:r>
          <w:r>
            <w:fldChar w:fldCharType="begin"/>
          </w:r>
          <w:r>
            <w:instrText xml:space="preserve"> PAGEREF _Toc6385 \h </w:instrText>
          </w:r>
          <w:r>
            <w:fldChar w:fldCharType="separate"/>
          </w:r>
          <w:r>
            <w:t>32</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_Toc7658 </w:instrText>
          </w:r>
          <w:r>
            <w:rPr>
              <w:rFonts w:ascii="仿宋" w:hAnsi="仿宋" w:eastAsia="仿宋"/>
              <w:bCs/>
              <w:lang w:val="zh-CN"/>
            </w:rPr>
            <w:fldChar w:fldCharType="separate"/>
          </w:r>
          <w:r>
            <w:rPr>
              <w:rFonts w:hint="eastAsia" w:ascii="黑体" w:hAnsi="黑体" w:eastAsia="黑体"/>
              <w:szCs w:val="32"/>
            </w:rPr>
            <w:t xml:space="preserve">5.1 </w:t>
          </w:r>
          <w:r>
            <w:rPr>
              <w:rFonts w:hint="eastAsia" w:ascii="黑体" w:hAnsi="黑体" w:eastAsia="黑体"/>
              <w:szCs w:val="32"/>
              <w:lang w:val="en-US" w:eastAsia="zh-CN"/>
            </w:rPr>
            <w:t>规划范围</w:t>
          </w:r>
          <w:r>
            <w:tab/>
          </w:r>
          <w:r>
            <w:fldChar w:fldCharType="begin"/>
          </w:r>
          <w:r>
            <w:instrText xml:space="preserve"> PAGEREF _Toc7658 \h </w:instrText>
          </w:r>
          <w:r>
            <w:fldChar w:fldCharType="separate"/>
          </w:r>
          <w:r>
            <w:t>32</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_Toc27411 </w:instrText>
          </w:r>
          <w:r>
            <w:rPr>
              <w:rFonts w:ascii="仿宋" w:hAnsi="仿宋" w:eastAsia="仿宋"/>
              <w:bCs/>
              <w:lang w:val="zh-CN"/>
            </w:rPr>
            <w:fldChar w:fldCharType="separate"/>
          </w:r>
          <w:r>
            <w:rPr>
              <w:rFonts w:hint="eastAsia" w:ascii="楷体" w:hAnsi="楷体" w:eastAsia="楷体"/>
              <w:szCs w:val="32"/>
            </w:rPr>
            <w:t>图10 规划区</w:t>
          </w:r>
          <w:r>
            <w:rPr>
              <w:rFonts w:hint="eastAsia" w:ascii="楷体" w:hAnsi="楷体" w:eastAsia="楷体"/>
              <w:szCs w:val="32"/>
              <w:lang w:val="en-US" w:eastAsia="zh-CN"/>
            </w:rPr>
            <w:t>范围图</w:t>
          </w:r>
          <w:r>
            <w:tab/>
          </w:r>
          <w:r>
            <w:fldChar w:fldCharType="begin"/>
          </w:r>
          <w:r>
            <w:instrText xml:space="preserve"> PAGEREF _Toc27411 \h </w:instrText>
          </w:r>
          <w:r>
            <w:fldChar w:fldCharType="separate"/>
          </w:r>
          <w:r>
            <w:t>32</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_Toc22923 </w:instrText>
          </w:r>
          <w:r>
            <w:rPr>
              <w:rFonts w:ascii="仿宋" w:hAnsi="仿宋" w:eastAsia="仿宋"/>
              <w:bCs/>
              <w:lang w:val="zh-CN"/>
            </w:rPr>
            <w:fldChar w:fldCharType="separate"/>
          </w:r>
          <w:r>
            <w:rPr>
              <w:rFonts w:hint="eastAsia" w:ascii="黑体" w:hAnsi="黑体" w:eastAsia="黑体"/>
              <w:szCs w:val="32"/>
            </w:rPr>
            <w:t>5.2 空间</w:t>
          </w:r>
          <w:r>
            <w:rPr>
              <w:rFonts w:ascii="黑体" w:hAnsi="黑体" w:eastAsia="黑体"/>
              <w:szCs w:val="32"/>
            </w:rPr>
            <w:t>布局原则</w:t>
          </w:r>
          <w:r>
            <w:tab/>
          </w:r>
          <w:r>
            <w:fldChar w:fldCharType="begin"/>
          </w:r>
          <w:r>
            <w:instrText xml:space="preserve"> PAGEREF _Toc22923 \h </w:instrText>
          </w:r>
          <w:r>
            <w:fldChar w:fldCharType="separate"/>
          </w:r>
          <w:r>
            <w:t>33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_Toc3516 </w:instrText>
          </w:r>
          <w:r>
            <w:rPr>
              <w:rFonts w:ascii="仿宋" w:hAnsi="仿宋" w:eastAsia="仿宋"/>
              <w:bCs/>
              <w:lang w:val="zh-CN"/>
            </w:rPr>
            <w:fldChar w:fldCharType="separate"/>
          </w:r>
          <w:r>
            <w:rPr>
              <w:rFonts w:hint="eastAsia" w:ascii="黑体" w:hAnsi="黑体" w:eastAsia="黑体"/>
              <w:szCs w:val="32"/>
            </w:rPr>
            <w:t>5.3 总体</w:t>
          </w:r>
          <w:r>
            <w:rPr>
              <w:rFonts w:ascii="黑体" w:hAnsi="黑体" w:eastAsia="黑体"/>
              <w:szCs w:val="32"/>
            </w:rPr>
            <w:t>空间结构</w:t>
          </w:r>
          <w:r>
            <w:tab/>
          </w:r>
          <w:r>
            <w:fldChar w:fldCharType="begin"/>
          </w:r>
          <w:r>
            <w:instrText xml:space="preserve"> PAGEREF _Toc3516 \h </w:instrText>
          </w:r>
          <w:r>
            <w:fldChar w:fldCharType="separate"/>
          </w:r>
          <w:r>
            <w:t>33</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_Toc11785 </w:instrText>
          </w:r>
          <w:r>
            <w:rPr>
              <w:rFonts w:ascii="仿宋" w:hAnsi="仿宋" w:eastAsia="仿宋"/>
              <w:bCs/>
              <w:lang w:val="zh-CN"/>
            </w:rPr>
            <w:fldChar w:fldCharType="separate"/>
          </w:r>
          <w:r>
            <w:rPr>
              <w:rFonts w:hint="eastAsia" w:ascii="黑体" w:hAnsi="黑体" w:eastAsia="黑体"/>
              <w:szCs w:val="32"/>
            </w:rPr>
            <w:t>5.4 土地</w:t>
          </w:r>
          <w:r>
            <w:rPr>
              <w:rFonts w:ascii="黑体" w:hAnsi="黑体" w:eastAsia="黑体"/>
              <w:szCs w:val="32"/>
            </w:rPr>
            <w:t>利用规划</w:t>
          </w:r>
          <w:r>
            <w:tab/>
          </w:r>
          <w:r>
            <w:fldChar w:fldCharType="begin"/>
          </w:r>
          <w:r>
            <w:instrText xml:space="preserve"> PAGEREF _Toc11785 \h </w:instrText>
          </w:r>
          <w:r>
            <w:fldChar w:fldCharType="separate"/>
          </w:r>
          <w:r>
            <w:t>34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_Toc9077 </w:instrText>
          </w:r>
          <w:r>
            <w:rPr>
              <w:rFonts w:ascii="仿宋" w:hAnsi="仿宋" w:eastAsia="仿宋"/>
              <w:bCs/>
              <w:lang w:val="zh-CN"/>
            </w:rPr>
            <w:fldChar w:fldCharType="separate"/>
          </w:r>
          <w:r>
            <w:rPr>
              <w:rFonts w:hint="eastAsia" w:ascii="楷体" w:hAnsi="楷体" w:eastAsia="楷体"/>
              <w:szCs w:val="32"/>
            </w:rPr>
            <w:t>表</w:t>
          </w:r>
          <w:r>
            <w:rPr>
              <w:rFonts w:ascii="楷体" w:hAnsi="楷体" w:eastAsia="楷体"/>
              <w:szCs w:val="32"/>
            </w:rPr>
            <w:t>3</w:t>
          </w:r>
          <w:r>
            <w:rPr>
              <w:rFonts w:hint="eastAsia" w:ascii="楷体" w:hAnsi="楷体" w:eastAsia="楷体"/>
              <w:szCs w:val="32"/>
            </w:rPr>
            <w:t>规划土地利用一览表</w:t>
          </w:r>
          <w:r>
            <w:tab/>
          </w:r>
          <w:r>
            <w:fldChar w:fldCharType="begin"/>
          </w:r>
          <w:r>
            <w:instrText xml:space="preserve"> PAGEREF _Toc9077 \h </w:instrText>
          </w:r>
          <w:r>
            <w:fldChar w:fldCharType="separate"/>
          </w:r>
          <w:r>
            <w:t>34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_Toc22884 </w:instrText>
          </w:r>
          <w:r>
            <w:rPr>
              <w:rFonts w:ascii="仿宋" w:hAnsi="仿宋" w:eastAsia="仿宋"/>
              <w:bCs/>
              <w:lang w:val="zh-CN"/>
            </w:rPr>
            <w:fldChar w:fldCharType="separate"/>
          </w:r>
          <w:r>
            <w:rPr>
              <w:rFonts w:hint="eastAsia" w:ascii="楷体" w:hAnsi="楷体" w:eastAsia="楷体"/>
              <w:szCs w:val="32"/>
              <w:lang w:val="en-US"/>
            </w:rPr>
            <w:t xml:space="preserve">5.4.1 </w:t>
          </w:r>
          <w:r>
            <w:rPr>
              <w:rFonts w:hint="eastAsia" w:ascii="楷体" w:hAnsi="楷体" w:eastAsia="楷体"/>
              <w:szCs w:val="32"/>
            </w:rPr>
            <w:t>公共管理与公共服务设施用地</w:t>
          </w:r>
          <w:r>
            <w:tab/>
          </w:r>
          <w:r>
            <w:fldChar w:fldCharType="begin"/>
          </w:r>
          <w:r>
            <w:instrText xml:space="preserve"> PAGEREF _Toc22884 \h </w:instrText>
          </w:r>
          <w:r>
            <w:fldChar w:fldCharType="separate"/>
          </w:r>
          <w:r>
            <w:t>34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_Toc26992 </w:instrText>
          </w:r>
          <w:r>
            <w:rPr>
              <w:rFonts w:ascii="仿宋" w:hAnsi="仿宋" w:eastAsia="仿宋"/>
              <w:bCs/>
              <w:lang w:val="zh-CN"/>
            </w:rPr>
            <w:fldChar w:fldCharType="separate"/>
          </w:r>
          <w:r>
            <w:rPr>
              <w:rFonts w:hint="eastAsia" w:ascii="楷体" w:hAnsi="楷体" w:eastAsia="楷体"/>
              <w:szCs w:val="32"/>
              <w:lang w:val="en-US"/>
            </w:rPr>
            <w:t xml:space="preserve">5.4.2 </w:t>
          </w:r>
          <w:r>
            <w:rPr>
              <w:rFonts w:hint="eastAsia" w:ascii="楷体" w:hAnsi="楷体" w:eastAsia="楷体"/>
              <w:szCs w:val="32"/>
            </w:rPr>
            <w:t>商业服务业设施用地</w:t>
          </w:r>
          <w:r>
            <w:tab/>
          </w:r>
          <w:r>
            <w:fldChar w:fldCharType="begin"/>
          </w:r>
          <w:r>
            <w:instrText xml:space="preserve"> PAGEREF _Toc26992 \h </w:instrText>
          </w:r>
          <w:r>
            <w:fldChar w:fldCharType="separate"/>
          </w:r>
          <w:r>
            <w:t>35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_Toc1649 </w:instrText>
          </w:r>
          <w:r>
            <w:rPr>
              <w:rFonts w:ascii="仿宋" w:hAnsi="仿宋" w:eastAsia="仿宋"/>
              <w:bCs/>
              <w:lang w:val="zh-CN"/>
            </w:rPr>
            <w:fldChar w:fldCharType="separate"/>
          </w:r>
          <w:r>
            <w:rPr>
              <w:rFonts w:hint="eastAsia" w:ascii="楷体" w:hAnsi="楷体" w:eastAsia="楷体"/>
              <w:szCs w:val="32"/>
              <w:lang w:val="en-US"/>
            </w:rPr>
            <w:t xml:space="preserve">5.4.3 </w:t>
          </w:r>
          <w:r>
            <w:rPr>
              <w:rFonts w:hint="eastAsia" w:ascii="楷体" w:hAnsi="楷体" w:eastAsia="楷体"/>
              <w:szCs w:val="32"/>
            </w:rPr>
            <w:t>工业用地</w:t>
          </w:r>
          <w:r>
            <w:tab/>
          </w:r>
          <w:r>
            <w:fldChar w:fldCharType="begin"/>
          </w:r>
          <w:r>
            <w:instrText xml:space="preserve"> PAGEREF _Toc1649 \h </w:instrText>
          </w:r>
          <w:r>
            <w:fldChar w:fldCharType="separate"/>
          </w:r>
          <w:r>
            <w:t>35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_Toc24559 </w:instrText>
          </w:r>
          <w:r>
            <w:rPr>
              <w:rFonts w:ascii="仿宋" w:hAnsi="仿宋" w:eastAsia="仿宋"/>
              <w:bCs/>
              <w:lang w:val="zh-CN"/>
            </w:rPr>
            <w:fldChar w:fldCharType="separate"/>
          </w:r>
          <w:r>
            <w:rPr>
              <w:rFonts w:hint="eastAsia" w:ascii="楷体" w:hAnsi="楷体" w:eastAsia="楷体"/>
              <w:szCs w:val="32"/>
              <w:lang w:val="en-US"/>
            </w:rPr>
            <w:t xml:space="preserve">5.4.4 </w:t>
          </w:r>
          <w:r>
            <w:rPr>
              <w:rFonts w:hint="eastAsia" w:ascii="楷体" w:hAnsi="楷体" w:eastAsia="楷体"/>
              <w:szCs w:val="32"/>
            </w:rPr>
            <w:t>仓储物流</w:t>
          </w:r>
          <w:r>
            <w:rPr>
              <w:rFonts w:ascii="楷体" w:hAnsi="楷体" w:eastAsia="楷体"/>
              <w:szCs w:val="32"/>
            </w:rPr>
            <w:t>用地</w:t>
          </w:r>
          <w:r>
            <w:tab/>
          </w:r>
          <w:r>
            <w:fldChar w:fldCharType="begin"/>
          </w:r>
          <w:r>
            <w:instrText xml:space="preserve"> PAGEREF _Toc24559 \h </w:instrText>
          </w:r>
          <w:r>
            <w:fldChar w:fldCharType="separate"/>
          </w:r>
          <w:r>
            <w:t>35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_Toc14883 </w:instrText>
          </w:r>
          <w:r>
            <w:rPr>
              <w:rFonts w:ascii="仿宋" w:hAnsi="仿宋" w:eastAsia="仿宋"/>
              <w:bCs/>
              <w:lang w:val="zh-CN"/>
            </w:rPr>
            <w:fldChar w:fldCharType="separate"/>
          </w:r>
          <w:r>
            <w:rPr>
              <w:rFonts w:hint="eastAsia" w:ascii="楷体" w:hAnsi="楷体" w:eastAsia="楷体"/>
              <w:szCs w:val="32"/>
              <w:lang w:val="en-US"/>
            </w:rPr>
            <w:t xml:space="preserve">5.4.5 </w:t>
          </w:r>
          <w:r>
            <w:rPr>
              <w:rFonts w:hint="eastAsia" w:ascii="楷体" w:hAnsi="楷体" w:eastAsia="楷体"/>
              <w:szCs w:val="32"/>
            </w:rPr>
            <w:t>道路与交通</w:t>
          </w:r>
          <w:r>
            <w:rPr>
              <w:rFonts w:ascii="楷体" w:hAnsi="楷体" w:eastAsia="楷体"/>
              <w:szCs w:val="32"/>
            </w:rPr>
            <w:t>设施用地</w:t>
          </w:r>
          <w:r>
            <w:tab/>
          </w:r>
          <w:r>
            <w:fldChar w:fldCharType="begin"/>
          </w:r>
          <w:r>
            <w:instrText xml:space="preserve"> PAGEREF _Toc14883 \h </w:instrText>
          </w:r>
          <w:r>
            <w:fldChar w:fldCharType="separate"/>
          </w:r>
          <w:r>
            <w:t>35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_Toc20201 </w:instrText>
          </w:r>
          <w:r>
            <w:rPr>
              <w:rFonts w:ascii="仿宋" w:hAnsi="仿宋" w:eastAsia="仿宋"/>
              <w:bCs/>
              <w:lang w:val="zh-CN"/>
            </w:rPr>
            <w:fldChar w:fldCharType="separate"/>
          </w:r>
          <w:r>
            <w:rPr>
              <w:rFonts w:hint="eastAsia" w:ascii="楷体" w:hAnsi="楷体" w:eastAsia="楷体"/>
              <w:szCs w:val="32"/>
              <w:lang w:val="en-US"/>
            </w:rPr>
            <w:t xml:space="preserve">5.4.6 </w:t>
          </w:r>
          <w:r>
            <w:rPr>
              <w:rFonts w:hint="eastAsia" w:ascii="楷体" w:hAnsi="楷体" w:eastAsia="楷体"/>
              <w:szCs w:val="32"/>
            </w:rPr>
            <w:t>公用设施用地</w:t>
          </w:r>
          <w:r>
            <w:tab/>
          </w:r>
          <w:r>
            <w:fldChar w:fldCharType="begin"/>
          </w:r>
          <w:r>
            <w:instrText xml:space="preserve"> PAGEREF _Toc20201 \h </w:instrText>
          </w:r>
          <w:r>
            <w:fldChar w:fldCharType="separate"/>
          </w:r>
          <w:r>
            <w:t>36</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_Toc24608 </w:instrText>
          </w:r>
          <w:r>
            <w:rPr>
              <w:rFonts w:ascii="仿宋" w:hAnsi="仿宋" w:eastAsia="仿宋"/>
              <w:bCs/>
              <w:lang w:val="zh-CN"/>
            </w:rPr>
            <w:fldChar w:fldCharType="separate"/>
          </w:r>
          <w:r>
            <w:rPr>
              <w:rFonts w:hint="eastAsia" w:ascii="楷体" w:hAnsi="楷体" w:eastAsia="楷体"/>
              <w:szCs w:val="32"/>
              <w:lang w:val="en-US"/>
            </w:rPr>
            <w:t xml:space="preserve">5.4.7 </w:t>
          </w:r>
          <w:r>
            <w:rPr>
              <w:rFonts w:hint="eastAsia" w:ascii="楷体" w:hAnsi="楷体" w:eastAsia="楷体"/>
              <w:szCs w:val="32"/>
            </w:rPr>
            <w:t>绿地与广场用地</w:t>
          </w:r>
          <w:r>
            <w:tab/>
          </w:r>
          <w:r>
            <w:fldChar w:fldCharType="begin"/>
          </w:r>
          <w:r>
            <w:instrText xml:space="preserve"> PAGEREF _Toc24608 \h </w:instrText>
          </w:r>
          <w:r>
            <w:fldChar w:fldCharType="separate"/>
          </w:r>
          <w:r>
            <w:t>36</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_Toc20693 </w:instrText>
          </w:r>
          <w:r>
            <w:rPr>
              <w:rFonts w:ascii="仿宋" w:hAnsi="仿宋" w:eastAsia="仿宋"/>
              <w:bCs/>
              <w:lang w:val="zh-CN"/>
            </w:rPr>
            <w:fldChar w:fldCharType="separate"/>
          </w:r>
          <w:r>
            <w:rPr>
              <w:rFonts w:hint="eastAsia" w:ascii="黑体" w:hAnsi="黑体" w:eastAsia="黑体"/>
              <w:szCs w:val="32"/>
            </w:rPr>
            <w:t>5.5 园区远景发展产业与空间设想（详见附件6）</w:t>
          </w:r>
          <w:r>
            <w:tab/>
          </w:r>
          <w:r>
            <w:fldChar w:fldCharType="begin"/>
          </w:r>
          <w:r>
            <w:instrText xml:space="preserve"> PAGEREF _Toc20693 \h </w:instrText>
          </w:r>
          <w:r>
            <w:fldChar w:fldCharType="separate"/>
          </w:r>
          <w:r>
            <w:t>36</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_Toc6365 </w:instrText>
          </w:r>
          <w:r>
            <w:rPr>
              <w:rFonts w:ascii="仿宋" w:hAnsi="仿宋" w:eastAsia="仿宋"/>
              <w:bCs/>
              <w:lang w:val="zh-CN"/>
            </w:rPr>
            <w:fldChar w:fldCharType="separate"/>
          </w:r>
          <w:r>
            <w:rPr>
              <w:rFonts w:hint="eastAsia" w:ascii="黑体" w:hAnsi="黑体" w:eastAsia="黑体"/>
              <w:szCs w:val="44"/>
            </w:rPr>
            <w:t>第6章 支撑</w:t>
          </w:r>
          <w:r>
            <w:rPr>
              <w:rFonts w:ascii="黑体" w:hAnsi="黑体" w:eastAsia="黑体"/>
              <w:szCs w:val="44"/>
            </w:rPr>
            <w:t>体系规划</w:t>
          </w:r>
          <w:r>
            <w:tab/>
          </w:r>
          <w:r>
            <w:fldChar w:fldCharType="begin"/>
          </w:r>
          <w:r>
            <w:instrText xml:space="preserve"> PAGEREF _Toc6365 \h </w:instrText>
          </w:r>
          <w:r>
            <w:fldChar w:fldCharType="separate"/>
          </w:r>
          <w:r>
            <w:t>37</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_Toc7358 </w:instrText>
          </w:r>
          <w:r>
            <w:rPr>
              <w:rFonts w:ascii="仿宋" w:hAnsi="仿宋" w:eastAsia="仿宋"/>
              <w:bCs/>
              <w:lang w:val="zh-CN"/>
            </w:rPr>
            <w:fldChar w:fldCharType="separate"/>
          </w:r>
          <w:r>
            <w:rPr>
              <w:rFonts w:hint="eastAsia" w:ascii="黑体" w:hAnsi="黑体" w:eastAsia="黑体"/>
              <w:szCs w:val="32"/>
            </w:rPr>
            <w:t>6.1 道路</w:t>
          </w:r>
          <w:r>
            <w:rPr>
              <w:rFonts w:ascii="黑体" w:hAnsi="黑体" w:eastAsia="黑体"/>
              <w:szCs w:val="32"/>
            </w:rPr>
            <w:t>交通规划</w:t>
          </w:r>
          <w:r>
            <w:tab/>
          </w:r>
          <w:r>
            <w:fldChar w:fldCharType="begin"/>
          </w:r>
          <w:r>
            <w:instrText xml:space="preserve"> PAGEREF _Toc7358 \h </w:instrText>
          </w:r>
          <w:r>
            <w:fldChar w:fldCharType="separate"/>
          </w:r>
          <w:r>
            <w:t>37</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_Toc15842 </w:instrText>
          </w:r>
          <w:r>
            <w:rPr>
              <w:rFonts w:ascii="仿宋" w:hAnsi="仿宋" w:eastAsia="仿宋"/>
              <w:bCs/>
              <w:lang w:val="zh-CN"/>
            </w:rPr>
            <w:fldChar w:fldCharType="separate"/>
          </w:r>
          <w:r>
            <w:rPr>
              <w:rFonts w:hint="eastAsia" w:ascii="黑体" w:hAnsi="黑体" w:eastAsia="黑体"/>
              <w:szCs w:val="32"/>
            </w:rPr>
            <w:t>6.2 公共</w:t>
          </w:r>
          <w:r>
            <w:rPr>
              <w:rFonts w:ascii="黑体" w:hAnsi="黑体" w:eastAsia="黑体"/>
              <w:szCs w:val="32"/>
            </w:rPr>
            <w:t>服务</w:t>
          </w:r>
          <w:r>
            <w:rPr>
              <w:rFonts w:hint="eastAsia" w:ascii="黑体" w:hAnsi="黑体" w:eastAsia="黑体"/>
              <w:szCs w:val="32"/>
            </w:rPr>
            <w:t>设施</w:t>
          </w:r>
          <w:r>
            <w:rPr>
              <w:rFonts w:ascii="黑体" w:hAnsi="黑体" w:eastAsia="黑体"/>
              <w:szCs w:val="32"/>
            </w:rPr>
            <w:t>规划</w:t>
          </w:r>
          <w:r>
            <w:tab/>
          </w:r>
          <w:r>
            <w:fldChar w:fldCharType="begin"/>
          </w:r>
          <w:r>
            <w:instrText xml:space="preserve"> PAGEREF _Toc15842 \h </w:instrText>
          </w:r>
          <w:r>
            <w:fldChar w:fldCharType="separate"/>
          </w:r>
          <w:r>
            <w:t>37</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_Toc21008 </w:instrText>
          </w:r>
          <w:r>
            <w:rPr>
              <w:rFonts w:ascii="仿宋" w:hAnsi="仿宋" w:eastAsia="仿宋"/>
              <w:bCs/>
              <w:lang w:val="zh-CN"/>
            </w:rPr>
            <w:fldChar w:fldCharType="separate"/>
          </w:r>
          <w:r>
            <w:rPr>
              <w:rFonts w:hint="eastAsia" w:ascii="黑体" w:hAnsi="黑体" w:eastAsia="黑体"/>
              <w:szCs w:val="32"/>
            </w:rPr>
            <w:t>6.3 市政</w:t>
          </w:r>
          <w:r>
            <w:rPr>
              <w:rFonts w:ascii="黑体" w:hAnsi="黑体" w:eastAsia="黑体"/>
              <w:szCs w:val="32"/>
            </w:rPr>
            <w:t>基础设施规划</w:t>
          </w:r>
          <w:r>
            <w:tab/>
          </w:r>
          <w:r>
            <w:fldChar w:fldCharType="begin"/>
          </w:r>
          <w:r>
            <w:instrText xml:space="preserve"> PAGEREF _Toc21008 \h </w:instrText>
          </w:r>
          <w:r>
            <w:fldChar w:fldCharType="separate"/>
          </w:r>
          <w:r>
            <w:t>38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_Toc29924 </w:instrText>
          </w:r>
          <w:r>
            <w:rPr>
              <w:rFonts w:ascii="仿宋" w:hAnsi="仿宋" w:eastAsia="仿宋"/>
              <w:bCs/>
              <w:lang w:val="zh-CN"/>
            </w:rPr>
            <w:fldChar w:fldCharType="separate"/>
          </w:r>
          <w:r>
            <w:rPr>
              <w:rFonts w:hint="eastAsia" w:ascii="楷体" w:hAnsi="楷体" w:eastAsia="楷体"/>
              <w:szCs w:val="32"/>
              <w:lang w:val="en-US"/>
            </w:rPr>
            <w:t xml:space="preserve">6.3.1 </w:t>
          </w:r>
          <w:r>
            <w:rPr>
              <w:rFonts w:hint="eastAsia" w:ascii="楷体" w:hAnsi="楷体" w:eastAsia="楷体"/>
              <w:szCs w:val="32"/>
            </w:rPr>
            <w:t>供水规划</w:t>
          </w:r>
          <w:r>
            <w:rPr>
              <w:rFonts w:hint="eastAsia" w:ascii="楷体" w:hAnsi="楷体" w:eastAsia="楷体"/>
              <w:bCs/>
              <w:szCs w:val="32"/>
            </w:rPr>
            <w:t>（详见附件9）</w:t>
          </w:r>
          <w:r>
            <w:tab/>
          </w:r>
          <w:r>
            <w:fldChar w:fldCharType="begin"/>
          </w:r>
          <w:r>
            <w:instrText xml:space="preserve"> PAGEREF _Toc29924 \h </w:instrText>
          </w:r>
          <w:r>
            <w:fldChar w:fldCharType="separate"/>
          </w:r>
          <w:r>
            <w:t>38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_Toc23490 </w:instrText>
          </w:r>
          <w:r>
            <w:rPr>
              <w:rFonts w:ascii="仿宋" w:hAnsi="仿宋" w:eastAsia="仿宋"/>
              <w:bCs/>
              <w:lang w:val="zh-CN"/>
            </w:rPr>
            <w:fldChar w:fldCharType="separate"/>
          </w:r>
          <w:r>
            <w:rPr>
              <w:rFonts w:hint="eastAsia" w:ascii="楷体" w:hAnsi="楷体" w:eastAsia="楷体"/>
              <w:szCs w:val="32"/>
              <w:lang w:val="en-US"/>
            </w:rPr>
            <w:t xml:space="preserve">6.3.2 </w:t>
          </w:r>
          <w:r>
            <w:rPr>
              <w:rFonts w:hint="eastAsia" w:ascii="楷体" w:hAnsi="楷体" w:eastAsia="楷体"/>
              <w:szCs w:val="32"/>
            </w:rPr>
            <w:t>污水规划</w:t>
          </w:r>
          <w:r>
            <w:rPr>
              <w:rFonts w:hint="eastAsia" w:ascii="楷体" w:hAnsi="楷体" w:eastAsia="楷体"/>
              <w:bCs/>
              <w:szCs w:val="32"/>
            </w:rPr>
            <w:t>（详见附件10）</w:t>
          </w:r>
          <w:r>
            <w:tab/>
          </w:r>
          <w:r>
            <w:fldChar w:fldCharType="begin"/>
          </w:r>
          <w:r>
            <w:instrText xml:space="preserve"> PAGEREF _Toc23490 \h </w:instrText>
          </w:r>
          <w:r>
            <w:fldChar w:fldCharType="separate"/>
          </w:r>
          <w:r>
            <w:t>38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_Toc12488 </w:instrText>
          </w:r>
          <w:r>
            <w:rPr>
              <w:rFonts w:ascii="仿宋" w:hAnsi="仿宋" w:eastAsia="仿宋"/>
              <w:bCs/>
              <w:lang w:val="zh-CN"/>
            </w:rPr>
            <w:fldChar w:fldCharType="separate"/>
          </w:r>
          <w:r>
            <w:rPr>
              <w:rFonts w:hint="eastAsia" w:ascii="楷体" w:hAnsi="楷体" w:eastAsia="楷体"/>
              <w:szCs w:val="32"/>
              <w:lang w:val="en-US"/>
            </w:rPr>
            <w:t xml:space="preserve">6.3.3 </w:t>
          </w:r>
          <w:r>
            <w:rPr>
              <w:rFonts w:hint="eastAsia" w:ascii="楷体" w:hAnsi="楷体" w:eastAsia="楷体"/>
              <w:szCs w:val="32"/>
            </w:rPr>
            <w:t>供电规划</w:t>
          </w:r>
          <w:r>
            <w:rPr>
              <w:rFonts w:hint="eastAsia" w:ascii="楷体" w:hAnsi="楷体" w:eastAsia="楷体"/>
              <w:bCs/>
              <w:szCs w:val="32"/>
            </w:rPr>
            <w:t>（详见附件11）</w:t>
          </w:r>
          <w:r>
            <w:tab/>
          </w:r>
          <w:r>
            <w:fldChar w:fldCharType="begin"/>
          </w:r>
          <w:r>
            <w:instrText xml:space="preserve"> PAGEREF _Toc12488 \h </w:instrText>
          </w:r>
          <w:r>
            <w:fldChar w:fldCharType="separate"/>
          </w:r>
          <w:r>
            <w:t>38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_Toc28099 </w:instrText>
          </w:r>
          <w:r>
            <w:rPr>
              <w:rFonts w:ascii="仿宋" w:hAnsi="仿宋" w:eastAsia="仿宋"/>
              <w:bCs/>
              <w:lang w:val="zh-CN"/>
            </w:rPr>
            <w:fldChar w:fldCharType="separate"/>
          </w:r>
          <w:r>
            <w:rPr>
              <w:rFonts w:hint="eastAsia" w:ascii="楷体" w:hAnsi="楷体" w:eastAsia="楷体"/>
              <w:szCs w:val="32"/>
              <w:lang w:val="en-US"/>
            </w:rPr>
            <w:t xml:space="preserve">6.3.4 </w:t>
          </w:r>
          <w:r>
            <w:rPr>
              <w:rFonts w:hint="eastAsia" w:ascii="楷体" w:hAnsi="楷体" w:eastAsia="楷体"/>
              <w:szCs w:val="32"/>
            </w:rPr>
            <w:t>燃气规划</w:t>
          </w:r>
          <w:r>
            <w:rPr>
              <w:rFonts w:hint="eastAsia" w:ascii="楷体" w:hAnsi="楷体" w:eastAsia="楷体"/>
              <w:bCs/>
              <w:szCs w:val="32"/>
            </w:rPr>
            <w:t>（详见附件12）</w:t>
          </w:r>
          <w:r>
            <w:tab/>
          </w:r>
          <w:r>
            <w:fldChar w:fldCharType="begin"/>
          </w:r>
          <w:r>
            <w:instrText xml:space="preserve"> PAGEREF _Toc28099 \h </w:instrText>
          </w:r>
          <w:r>
            <w:fldChar w:fldCharType="separate"/>
          </w:r>
          <w:r>
            <w:t>38</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_Toc14304 </w:instrText>
          </w:r>
          <w:r>
            <w:rPr>
              <w:rFonts w:ascii="仿宋" w:hAnsi="仿宋" w:eastAsia="仿宋"/>
              <w:bCs/>
              <w:lang w:val="zh-CN"/>
            </w:rPr>
            <w:fldChar w:fldCharType="separate"/>
          </w:r>
          <w:r>
            <w:rPr>
              <w:rFonts w:hint="eastAsia" w:ascii="楷体" w:hAnsi="楷体" w:eastAsia="楷体"/>
              <w:szCs w:val="32"/>
              <w:lang w:val="en-US"/>
            </w:rPr>
            <w:t xml:space="preserve">6.3.5 </w:t>
          </w:r>
          <w:r>
            <w:rPr>
              <w:rFonts w:hint="eastAsia" w:ascii="楷体" w:hAnsi="楷体" w:eastAsia="楷体"/>
              <w:szCs w:val="32"/>
            </w:rPr>
            <w:t>供热规划</w:t>
          </w:r>
          <w:r>
            <w:rPr>
              <w:rFonts w:hint="eastAsia" w:ascii="楷体" w:hAnsi="楷体" w:eastAsia="楷体"/>
              <w:bCs/>
              <w:szCs w:val="32"/>
            </w:rPr>
            <w:t>（详见附件13）</w:t>
          </w:r>
          <w:r>
            <w:tab/>
          </w:r>
          <w:r>
            <w:fldChar w:fldCharType="begin"/>
          </w:r>
          <w:r>
            <w:instrText xml:space="preserve"> PAGEREF _Toc14304 \h </w:instrText>
          </w:r>
          <w:r>
            <w:fldChar w:fldCharType="separate"/>
          </w:r>
          <w:r>
            <w:t>39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_Toc30417 </w:instrText>
          </w:r>
          <w:r>
            <w:rPr>
              <w:rFonts w:ascii="仿宋" w:hAnsi="仿宋" w:eastAsia="仿宋"/>
              <w:bCs/>
              <w:lang w:val="zh-CN"/>
            </w:rPr>
            <w:fldChar w:fldCharType="separate"/>
          </w:r>
          <w:r>
            <w:rPr>
              <w:rFonts w:hint="eastAsia" w:ascii="楷体" w:hAnsi="楷体" w:eastAsia="楷体"/>
              <w:szCs w:val="32"/>
              <w:lang w:val="en-US"/>
            </w:rPr>
            <w:t xml:space="preserve">6.3.6 </w:t>
          </w:r>
          <w:r>
            <w:rPr>
              <w:rFonts w:hint="eastAsia" w:ascii="楷体" w:hAnsi="楷体" w:eastAsia="楷体"/>
              <w:szCs w:val="32"/>
            </w:rPr>
            <w:t>环卫规划</w:t>
          </w:r>
          <w:r>
            <w:rPr>
              <w:rFonts w:hint="eastAsia" w:ascii="楷体" w:hAnsi="楷体" w:eastAsia="楷体"/>
              <w:bCs/>
              <w:szCs w:val="32"/>
            </w:rPr>
            <w:t>（详见附件14）</w:t>
          </w:r>
          <w:r>
            <w:tab/>
          </w:r>
          <w:r>
            <w:fldChar w:fldCharType="begin"/>
          </w:r>
          <w:r>
            <w:instrText xml:space="preserve"> PAGEREF _Toc30417 \h </w:instrText>
          </w:r>
          <w:r>
            <w:fldChar w:fldCharType="separate"/>
          </w:r>
          <w:r>
            <w:t>39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_Toc16598 </w:instrText>
          </w:r>
          <w:r>
            <w:rPr>
              <w:rFonts w:ascii="仿宋" w:hAnsi="仿宋" w:eastAsia="仿宋"/>
              <w:bCs/>
              <w:lang w:val="zh-CN"/>
            </w:rPr>
            <w:fldChar w:fldCharType="separate"/>
          </w:r>
          <w:r>
            <w:rPr>
              <w:rFonts w:hint="eastAsia" w:ascii="楷体" w:hAnsi="楷体" w:eastAsia="楷体"/>
              <w:szCs w:val="32"/>
              <w:lang w:val="en-US"/>
            </w:rPr>
            <w:t xml:space="preserve">6.3.7 </w:t>
          </w:r>
          <w:r>
            <w:rPr>
              <w:rFonts w:hint="eastAsia" w:ascii="楷体" w:hAnsi="楷体" w:eastAsia="楷体"/>
              <w:szCs w:val="32"/>
            </w:rPr>
            <w:t>消防规划</w:t>
          </w:r>
          <w:r>
            <w:rPr>
              <w:rFonts w:hint="eastAsia" w:ascii="楷体" w:hAnsi="楷体" w:eastAsia="楷体"/>
              <w:bCs/>
              <w:szCs w:val="32"/>
            </w:rPr>
            <w:t>（详见附件14）</w:t>
          </w:r>
          <w:r>
            <w:tab/>
          </w:r>
          <w:r>
            <w:fldChar w:fldCharType="begin"/>
          </w:r>
          <w:r>
            <w:instrText xml:space="preserve"> PAGEREF _Toc16598 \h </w:instrText>
          </w:r>
          <w:r>
            <w:fldChar w:fldCharType="separate"/>
          </w:r>
          <w:r>
            <w:t>39</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_Toc29230 </w:instrText>
          </w:r>
          <w:r>
            <w:rPr>
              <w:rFonts w:ascii="仿宋" w:hAnsi="仿宋" w:eastAsia="仿宋"/>
              <w:bCs/>
              <w:lang w:val="zh-CN"/>
            </w:rPr>
            <w:fldChar w:fldCharType="separate"/>
          </w:r>
          <w:r>
            <w:rPr>
              <w:rFonts w:hint="eastAsia" w:ascii="楷体" w:hAnsi="楷体" w:eastAsia="楷体"/>
              <w:szCs w:val="32"/>
              <w:lang w:val="en-US"/>
            </w:rPr>
            <w:t xml:space="preserve">6.3.8 </w:t>
          </w:r>
          <w:r>
            <w:rPr>
              <w:rFonts w:hint="eastAsia" w:ascii="楷体" w:hAnsi="楷体" w:eastAsia="楷体"/>
              <w:szCs w:val="32"/>
            </w:rPr>
            <w:t>抗震规划</w:t>
          </w:r>
          <w:r>
            <w:tab/>
          </w:r>
          <w:r>
            <w:fldChar w:fldCharType="begin"/>
          </w:r>
          <w:r>
            <w:instrText xml:space="preserve"> PAGEREF _Toc29230 \h </w:instrText>
          </w:r>
          <w:r>
            <w:fldChar w:fldCharType="separate"/>
          </w:r>
          <w:r>
            <w:t>39</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_Toc1057 </w:instrText>
          </w:r>
          <w:r>
            <w:rPr>
              <w:rFonts w:ascii="仿宋" w:hAnsi="仿宋" w:eastAsia="仿宋"/>
              <w:bCs/>
              <w:lang w:val="zh-CN"/>
            </w:rPr>
            <w:fldChar w:fldCharType="separate"/>
          </w:r>
          <w:r>
            <w:rPr>
              <w:rFonts w:hint="eastAsia" w:ascii="黑体" w:hAnsi="黑体" w:eastAsia="黑体"/>
              <w:szCs w:val="44"/>
            </w:rPr>
            <w:t>第7章 重点</w:t>
          </w:r>
          <w:r>
            <w:rPr>
              <w:rFonts w:ascii="黑体" w:hAnsi="黑体" w:eastAsia="黑体"/>
              <w:szCs w:val="44"/>
            </w:rPr>
            <w:t>项目策划</w:t>
          </w:r>
          <w:r>
            <w:tab/>
          </w:r>
          <w:r>
            <w:fldChar w:fldCharType="begin"/>
          </w:r>
          <w:r>
            <w:instrText xml:space="preserve"> PAGEREF _Toc1057 \h </w:instrText>
          </w:r>
          <w:r>
            <w:fldChar w:fldCharType="separate"/>
          </w:r>
          <w:r>
            <w:t>41</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_Toc8137 </w:instrText>
          </w:r>
          <w:r>
            <w:rPr>
              <w:rFonts w:ascii="仿宋" w:hAnsi="仿宋" w:eastAsia="仿宋"/>
              <w:bCs/>
              <w:lang w:val="zh-CN"/>
            </w:rPr>
            <w:fldChar w:fldCharType="separate"/>
          </w:r>
          <w:r>
            <w:rPr>
              <w:rFonts w:hint="eastAsia" w:ascii="黑体" w:hAnsi="黑体" w:eastAsia="黑体"/>
              <w:szCs w:val="32"/>
            </w:rPr>
            <w:t>7.1 重点</w:t>
          </w:r>
          <w:r>
            <w:rPr>
              <w:rFonts w:ascii="黑体" w:hAnsi="黑体" w:eastAsia="黑体"/>
              <w:szCs w:val="32"/>
            </w:rPr>
            <w:t>项目策划</w:t>
          </w:r>
          <w:r>
            <w:tab/>
          </w:r>
          <w:r>
            <w:fldChar w:fldCharType="begin"/>
          </w:r>
          <w:r>
            <w:instrText xml:space="preserve"> PAGEREF _Toc8137 \h </w:instrText>
          </w:r>
          <w:r>
            <w:fldChar w:fldCharType="separate"/>
          </w:r>
          <w:r>
            <w:t>41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_Toc19964 </w:instrText>
          </w:r>
          <w:r>
            <w:rPr>
              <w:rFonts w:ascii="仿宋" w:hAnsi="仿宋" w:eastAsia="仿宋"/>
              <w:bCs/>
              <w:lang w:val="zh-CN"/>
            </w:rPr>
            <w:fldChar w:fldCharType="separate"/>
          </w:r>
          <w:r>
            <w:rPr>
              <w:rFonts w:hint="eastAsia" w:ascii="楷体" w:hAnsi="楷体" w:eastAsia="楷体"/>
              <w:szCs w:val="32"/>
            </w:rPr>
            <w:t>表</w:t>
          </w:r>
          <w:r>
            <w:rPr>
              <w:rFonts w:ascii="楷体" w:hAnsi="楷体" w:eastAsia="楷体"/>
              <w:szCs w:val="32"/>
            </w:rPr>
            <w:t>4</w:t>
          </w:r>
          <w:r>
            <w:rPr>
              <w:rFonts w:hint="eastAsia" w:ascii="楷体" w:hAnsi="楷体" w:eastAsia="楷体"/>
              <w:szCs w:val="32"/>
            </w:rPr>
            <w:t>重点</w:t>
          </w:r>
          <w:r>
            <w:rPr>
              <w:rFonts w:ascii="楷体" w:hAnsi="楷体" w:eastAsia="楷体"/>
              <w:szCs w:val="32"/>
            </w:rPr>
            <w:t>项目策划表</w:t>
          </w:r>
          <w:r>
            <w:tab/>
          </w:r>
          <w:r>
            <w:fldChar w:fldCharType="begin"/>
          </w:r>
          <w:r>
            <w:instrText xml:space="preserve"> PAGEREF _Toc19964 \h </w:instrText>
          </w:r>
          <w:r>
            <w:fldChar w:fldCharType="separate"/>
          </w:r>
          <w:r>
            <w:t>41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_Toc7890 </w:instrText>
          </w:r>
          <w:r>
            <w:rPr>
              <w:rFonts w:ascii="仿宋" w:hAnsi="仿宋" w:eastAsia="仿宋"/>
              <w:bCs/>
              <w:lang w:val="zh-CN"/>
            </w:rPr>
            <w:fldChar w:fldCharType="separate"/>
          </w:r>
          <w:r>
            <w:rPr>
              <w:rFonts w:hint="eastAsia" w:ascii="楷体" w:hAnsi="楷体" w:eastAsia="楷体"/>
              <w:szCs w:val="32"/>
              <w:lang w:val="en-US"/>
            </w:rPr>
            <w:t xml:space="preserve">7.1.1 </w:t>
          </w:r>
          <w:r>
            <w:rPr>
              <w:rFonts w:hint="eastAsia" w:ascii="楷体" w:hAnsi="楷体" w:eastAsia="楷体"/>
              <w:szCs w:val="32"/>
            </w:rPr>
            <w:t>农产品加工技术研发中心</w:t>
          </w:r>
          <w:r>
            <w:tab/>
          </w:r>
          <w:r>
            <w:fldChar w:fldCharType="begin"/>
          </w:r>
          <w:r>
            <w:instrText xml:space="preserve"> PAGEREF _Toc7890 \h </w:instrText>
          </w:r>
          <w:r>
            <w:fldChar w:fldCharType="separate"/>
          </w:r>
          <w:r>
            <w:t>42</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_Toc15667 </w:instrText>
          </w:r>
          <w:r>
            <w:rPr>
              <w:rFonts w:ascii="仿宋" w:hAnsi="仿宋" w:eastAsia="仿宋"/>
              <w:bCs/>
              <w:lang w:val="zh-CN"/>
            </w:rPr>
            <w:fldChar w:fldCharType="separate"/>
          </w:r>
          <w:r>
            <w:rPr>
              <w:rFonts w:hint="eastAsia" w:ascii="楷体" w:hAnsi="楷体" w:eastAsia="楷体"/>
              <w:szCs w:val="32"/>
              <w:lang w:val="en-US"/>
            </w:rPr>
            <w:t xml:space="preserve">7.1.2 </w:t>
          </w:r>
          <w:r>
            <w:rPr>
              <w:rFonts w:hint="eastAsia" w:ascii="楷体" w:hAnsi="楷体" w:eastAsia="楷体"/>
              <w:szCs w:val="32"/>
            </w:rPr>
            <w:t>科技</w:t>
          </w:r>
          <w:r>
            <w:rPr>
              <w:rFonts w:ascii="楷体" w:hAnsi="楷体" w:eastAsia="楷体"/>
              <w:szCs w:val="32"/>
            </w:rPr>
            <w:t>小院</w:t>
          </w:r>
          <w:r>
            <w:tab/>
          </w:r>
          <w:r>
            <w:fldChar w:fldCharType="begin"/>
          </w:r>
          <w:r>
            <w:instrText xml:space="preserve"> PAGEREF _Toc15667 \h </w:instrText>
          </w:r>
          <w:r>
            <w:fldChar w:fldCharType="separate"/>
          </w:r>
          <w:r>
            <w:t>43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_Toc1494 </w:instrText>
          </w:r>
          <w:r>
            <w:rPr>
              <w:rFonts w:ascii="仿宋" w:hAnsi="仿宋" w:eastAsia="仿宋"/>
              <w:bCs/>
              <w:lang w:val="zh-CN"/>
            </w:rPr>
            <w:fldChar w:fldCharType="separate"/>
          </w:r>
          <w:r>
            <w:rPr>
              <w:rFonts w:hint="eastAsia" w:ascii="楷体" w:hAnsi="楷体" w:eastAsia="楷体"/>
              <w:szCs w:val="32"/>
              <w:lang w:val="en-US"/>
            </w:rPr>
            <w:t xml:space="preserve">7.1.3 </w:t>
          </w:r>
          <w:r>
            <w:rPr>
              <w:rFonts w:ascii="楷体" w:hAnsi="楷体" w:eastAsia="楷体"/>
              <w:szCs w:val="32"/>
            </w:rPr>
            <w:t>科研创新中心</w:t>
          </w:r>
          <w:r>
            <w:tab/>
          </w:r>
          <w:r>
            <w:fldChar w:fldCharType="begin"/>
          </w:r>
          <w:r>
            <w:instrText xml:space="preserve"> PAGEREF _Toc1494 \h </w:instrText>
          </w:r>
          <w:r>
            <w:fldChar w:fldCharType="separate"/>
          </w:r>
          <w:r>
            <w:t>43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_Toc32072 </w:instrText>
          </w:r>
          <w:r>
            <w:rPr>
              <w:rFonts w:ascii="仿宋" w:hAnsi="仿宋" w:eastAsia="仿宋"/>
              <w:bCs/>
              <w:lang w:val="zh-CN"/>
            </w:rPr>
            <w:fldChar w:fldCharType="separate"/>
          </w:r>
          <w:r>
            <w:rPr>
              <w:rFonts w:hint="eastAsia" w:ascii="楷体" w:hAnsi="楷体" w:eastAsia="楷体"/>
              <w:szCs w:val="32"/>
              <w:lang w:val="en-US"/>
            </w:rPr>
            <w:t xml:space="preserve">7.1.4 </w:t>
          </w:r>
          <w:r>
            <w:rPr>
              <w:rFonts w:ascii="楷体" w:hAnsi="楷体" w:eastAsia="楷体"/>
              <w:szCs w:val="32"/>
            </w:rPr>
            <w:t>农产品质量安全监测中心</w:t>
          </w:r>
          <w:r>
            <w:tab/>
          </w:r>
          <w:r>
            <w:fldChar w:fldCharType="begin"/>
          </w:r>
          <w:r>
            <w:instrText xml:space="preserve"> PAGEREF _Toc32072 \h </w:instrText>
          </w:r>
          <w:r>
            <w:fldChar w:fldCharType="separate"/>
          </w:r>
          <w:r>
            <w:t>43</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_Toc11477 </w:instrText>
          </w:r>
          <w:r>
            <w:rPr>
              <w:rFonts w:ascii="仿宋" w:hAnsi="仿宋" w:eastAsia="仿宋"/>
              <w:bCs/>
              <w:lang w:val="zh-CN"/>
            </w:rPr>
            <w:fldChar w:fldCharType="separate"/>
          </w:r>
          <w:r>
            <w:rPr>
              <w:rFonts w:hint="eastAsia" w:ascii="楷体" w:hAnsi="楷体" w:eastAsia="楷体"/>
              <w:szCs w:val="32"/>
              <w:lang w:val="en-US"/>
            </w:rPr>
            <w:t xml:space="preserve">7.1.5 </w:t>
          </w:r>
          <w:r>
            <w:rPr>
              <w:rFonts w:ascii="楷体" w:hAnsi="楷体" w:eastAsia="楷体"/>
              <w:szCs w:val="32"/>
            </w:rPr>
            <w:t>创新创业基地</w:t>
          </w:r>
          <w:r>
            <w:tab/>
          </w:r>
          <w:r>
            <w:fldChar w:fldCharType="begin"/>
          </w:r>
          <w:r>
            <w:instrText xml:space="preserve"> PAGEREF _Toc11477 \h </w:instrText>
          </w:r>
          <w:r>
            <w:fldChar w:fldCharType="separate"/>
          </w:r>
          <w:r>
            <w:t>44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_Toc32435 </w:instrText>
          </w:r>
          <w:r>
            <w:rPr>
              <w:rFonts w:ascii="仿宋" w:hAnsi="仿宋" w:eastAsia="仿宋"/>
              <w:bCs/>
              <w:lang w:val="zh-CN"/>
            </w:rPr>
            <w:fldChar w:fldCharType="separate"/>
          </w:r>
          <w:r>
            <w:rPr>
              <w:rFonts w:hint="eastAsia" w:ascii="楷体" w:hAnsi="楷体" w:eastAsia="楷体"/>
              <w:szCs w:val="32"/>
              <w:lang w:val="en-US"/>
            </w:rPr>
            <w:t xml:space="preserve">7.1.6 </w:t>
          </w:r>
          <w:r>
            <w:rPr>
              <w:rFonts w:ascii="楷体" w:hAnsi="楷体" w:eastAsia="楷体"/>
              <w:szCs w:val="32"/>
            </w:rPr>
            <w:t>孵化实训基地</w:t>
          </w:r>
          <w:r>
            <w:tab/>
          </w:r>
          <w:r>
            <w:fldChar w:fldCharType="begin"/>
          </w:r>
          <w:r>
            <w:instrText xml:space="preserve"> PAGEREF _Toc32435 \h </w:instrText>
          </w:r>
          <w:r>
            <w:fldChar w:fldCharType="separate"/>
          </w:r>
          <w:r>
            <w:t>44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_Toc16627 </w:instrText>
          </w:r>
          <w:r>
            <w:rPr>
              <w:rFonts w:ascii="仿宋" w:hAnsi="仿宋" w:eastAsia="仿宋"/>
              <w:bCs/>
              <w:lang w:val="zh-CN"/>
            </w:rPr>
            <w:fldChar w:fldCharType="separate"/>
          </w:r>
          <w:r>
            <w:rPr>
              <w:rFonts w:hint="eastAsia" w:ascii="楷体" w:hAnsi="楷体" w:eastAsia="楷体"/>
              <w:szCs w:val="32"/>
              <w:lang w:val="en-US"/>
            </w:rPr>
            <w:t xml:space="preserve">7.1.7 </w:t>
          </w:r>
          <w:r>
            <w:rPr>
              <w:rFonts w:ascii="楷体" w:hAnsi="楷体" w:eastAsia="楷体"/>
              <w:szCs w:val="32"/>
            </w:rPr>
            <w:t>冷链物流中心</w:t>
          </w:r>
          <w:r>
            <w:tab/>
          </w:r>
          <w:r>
            <w:fldChar w:fldCharType="begin"/>
          </w:r>
          <w:r>
            <w:instrText xml:space="preserve"> PAGEREF _Toc16627 \h </w:instrText>
          </w:r>
          <w:r>
            <w:fldChar w:fldCharType="separate"/>
          </w:r>
          <w:r>
            <w:t>44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_Toc1625 </w:instrText>
          </w:r>
          <w:r>
            <w:rPr>
              <w:rFonts w:ascii="仿宋" w:hAnsi="仿宋" w:eastAsia="仿宋"/>
              <w:bCs/>
              <w:lang w:val="zh-CN"/>
            </w:rPr>
            <w:fldChar w:fldCharType="separate"/>
          </w:r>
          <w:r>
            <w:rPr>
              <w:rFonts w:hint="eastAsia" w:ascii="楷体" w:hAnsi="楷体" w:eastAsia="楷体"/>
              <w:szCs w:val="32"/>
              <w:lang w:val="en-US"/>
            </w:rPr>
            <w:t xml:space="preserve">7.1.8 </w:t>
          </w:r>
          <w:r>
            <w:rPr>
              <w:rFonts w:ascii="楷体" w:hAnsi="楷体" w:eastAsia="楷体"/>
              <w:szCs w:val="32"/>
            </w:rPr>
            <w:t>现代农业</w:t>
          </w:r>
          <w:r>
            <w:rPr>
              <w:rFonts w:hint="eastAsia" w:ascii="楷体" w:hAnsi="楷体" w:eastAsia="楷体"/>
              <w:szCs w:val="32"/>
            </w:rPr>
            <w:t>科学</w:t>
          </w:r>
          <w:r>
            <w:rPr>
              <w:rFonts w:ascii="楷体" w:hAnsi="楷体" w:eastAsia="楷体"/>
              <w:szCs w:val="32"/>
            </w:rPr>
            <w:t>技术培训中心</w:t>
          </w:r>
          <w:r>
            <w:tab/>
          </w:r>
          <w:r>
            <w:fldChar w:fldCharType="begin"/>
          </w:r>
          <w:r>
            <w:instrText xml:space="preserve"> PAGEREF _Toc1625 \h </w:instrText>
          </w:r>
          <w:r>
            <w:fldChar w:fldCharType="separate"/>
          </w:r>
          <w:r>
            <w:t>44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_Toc13993 </w:instrText>
          </w:r>
          <w:r>
            <w:rPr>
              <w:rFonts w:ascii="仿宋" w:hAnsi="仿宋" w:eastAsia="仿宋"/>
              <w:bCs/>
              <w:lang w:val="zh-CN"/>
            </w:rPr>
            <w:fldChar w:fldCharType="separate"/>
          </w:r>
          <w:r>
            <w:rPr>
              <w:rFonts w:hint="eastAsia" w:ascii="楷体" w:hAnsi="楷体" w:eastAsia="楷体"/>
              <w:szCs w:val="32"/>
              <w:lang w:val="en-US"/>
            </w:rPr>
            <w:t xml:space="preserve">7.1.9 </w:t>
          </w:r>
          <w:r>
            <w:rPr>
              <w:rFonts w:ascii="楷体" w:hAnsi="楷体" w:eastAsia="楷体"/>
              <w:szCs w:val="32"/>
            </w:rPr>
            <w:t>现代农业科技成果展示中心</w:t>
          </w:r>
          <w:r>
            <w:tab/>
          </w:r>
          <w:r>
            <w:fldChar w:fldCharType="begin"/>
          </w:r>
          <w:r>
            <w:instrText xml:space="preserve"> PAGEREF _Toc13993 \h </w:instrText>
          </w:r>
          <w:r>
            <w:fldChar w:fldCharType="separate"/>
          </w:r>
          <w:r>
            <w:t>44</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_Toc30050 </w:instrText>
          </w:r>
          <w:r>
            <w:rPr>
              <w:rFonts w:ascii="仿宋" w:hAnsi="仿宋" w:eastAsia="仿宋"/>
              <w:bCs/>
              <w:lang w:val="zh-CN"/>
            </w:rPr>
            <w:fldChar w:fldCharType="separate"/>
          </w:r>
          <w:r>
            <w:rPr>
              <w:rFonts w:hint="eastAsia" w:ascii="楷体" w:hAnsi="楷体" w:eastAsia="楷体"/>
              <w:szCs w:val="32"/>
              <w:lang w:val="en-US"/>
            </w:rPr>
            <w:t xml:space="preserve">7.1.10 </w:t>
          </w:r>
          <w:r>
            <w:rPr>
              <w:rFonts w:ascii="楷体" w:hAnsi="楷体" w:eastAsia="楷体"/>
              <w:szCs w:val="32"/>
            </w:rPr>
            <w:t>配套基础设施</w:t>
          </w:r>
          <w:r>
            <w:tab/>
          </w:r>
          <w:r>
            <w:fldChar w:fldCharType="begin"/>
          </w:r>
          <w:r>
            <w:instrText xml:space="preserve"> PAGEREF _Toc30050 \h </w:instrText>
          </w:r>
          <w:r>
            <w:fldChar w:fldCharType="separate"/>
          </w:r>
          <w:r>
            <w:t>45</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_Toc5805 </w:instrText>
          </w:r>
          <w:r>
            <w:rPr>
              <w:rFonts w:ascii="仿宋" w:hAnsi="仿宋" w:eastAsia="仿宋"/>
              <w:bCs/>
              <w:lang w:val="zh-CN"/>
            </w:rPr>
            <w:fldChar w:fldCharType="separate"/>
          </w:r>
          <w:r>
            <w:rPr>
              <w:rFonts w:hint="eastAsia" w:ascii="黑体" w:hAnsi="黑体" w:eastAsia="黑体"/>
              <w:szCs w:val="32"/>
            </w:rPr>
            <w:t>7.2 招商</w:t>
          </w:r>
          <w:r>
            <w:rPr>
              <w:rFonts w:ascii="黑体" w:hAnsi="黑体" w:eastAsia="黑体"/>
              <w:szCs w:val="32"/>
            </w:rPr>
            <w:t>企业推荐</w:t>
          </w:r>
          <w:r>
            <w:tab/>
          </w:r>
          <w:r>
            <w:fldChar w:fldCharType="begin"/>
          </w:r>
          <w:r>
            <w:instrText xml:space="preserve"> PAGEREF _Toc5805 \h </w:instrText>
          </w:r>
          <w:r>
            <w:fldChar w:fldCharType="separate"/>
          </w:r>
          <w:r>
            <w:t>45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_Toc29975 </w:instrText>
          </w:r>
          <w:r>
            <w:rPr>
              <w:rFonts w:ascii="仿宋" w:hAnsi="仿宋" w:eastAsia="仿宋"/>
              <w:bCs/>
              <w:lang w:val="zh-CN"/>
            </w:rPr>
            <w:fldChar w:fldCharType="separate"/>
          </w:r>
          <w:r>
            <w:rPr>
              <w:rFonts w:hint="eastAsia" w:ascii="楷体" w:hAnsi="楷体" w:eastAsia="楷体"/>
              <w:szCs w:val="32"/>
              <w:lang w:val="en-US"/>
            </w:rPr>
            <w:t xml:space="preserve">7.2.1 </w:t>
          </w:r>
          <w:r>
            <w:rPr>
              <w:rFonts w:hint="eastAsia" w:ascii="楷体" w:hAnsi="楷体" w:eastAsia="楷体"/>
              <w:szCs w:val="32"/>
            </w:rPr>
            <w:t>入园企业要求</w:t>
          </w:r>
          <w:r>
            <w:tab/>
          </w:r>
          <w:r>
            <w:fldChar w:fldCharType="begin"/>
          </w:r>
          <w:r>
            <w:instrText xml:space="preserve"> PAGEREF _Toc29975 \h </w:instrText>
          </w:r>
          <w:r>
            <w:fldChar w:fldCharType="separate"/>
          </w:r>
          <w:r>
            <w:t>45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_Toc17129 </w:instrText>
          </w:r>
          <w:r>
            <w:rPr>
              <w:rFonts w:ascii="仿宋" w:hAnsi="仿宋" w:eastAsia="仿宋"/>
              <w:bCs/>
              <w:lang w:val="zh-CN"/>
            </w:rPr>
            <w:fldChar w:fldCharType="separate"/>
          </w:r>
          <w:r>
            <w:rPr>
              <w:rFonts w:hint="eastAsia" w:ascii="楷体" w:hAnsi="楷体" w:eastAsia="楷体"/>
              <w:szCs w:val="32"/>
            </w:rPr>
            <w:t>表</w:t>
          </w:r>
          <w:r>
            <w:rPr>
              <w:rFonts w:ascii="楷体" w:hAnsi="楷体" w:eastAsia="楷体"/>
              <w:szCs w:val="32"/>
            </w:rPr>
            <w:t>5</w:t>
          </w:r>
          <w:r>
            <w:rPr>
              <w:rFonts w:hint="eastAsia" w:ascii="楷体" w:hAnsi="楷体" w:eastAsia="楷体"/>
              <w:szCs w:val="32"/>
            </w:rPr>
            <w:t>安全禁限控名录</w:t>
          </w:r>
          <w:r>
            <w:tab/>
          </w:r>
          <w:r>
            <w:fldChar w:fldCharType="begin"/>
          </w:r>
          <w:r>
            <w:instrText xml:space="preserve"> PAGEREF _Toc17129 \h </w:instrText>
          </w:r>
          <w:r>
            <w:fldChar w:fldCharType="separate"/>
          </w:r>
          <w:r>
            <w:t>45</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_Toc20088 </w:instrText>
          </w:r>
          <w:r>
            <w:rPr>
              <w:rFonts w:ascii="仿宋" w:hAnsi="仿宋" w:eastAsia="仿宋"/>
              <w:bCs/>
              <w:lang w:val="zh-CN"/>
            </w:rPr>
            <w:fldChar w:fldCharType="separate"/>
          </w:r>
          <w:r>
            <w:rPr>
              <w:rFonts w:hint="eastAsia" w:ascii="楷体" w:hAnsi="楷体" w:eastAsia="楷体"/>
              <w:szCs w:val="32"/>
              <w:lang w:val="en-US"/>
            </w:rPr>
            <w:t xml:space="preserve">7.2.2 </w:t>
          </w:r>
          <w:r>
            <w:rPr>
              <w:rFonts w:hint="eastAsia" w:ascii="楷体" w:hAnsi="楷体" w:eastAsia="楷体"/>
              <w:szCs w:val="32"/>
            </w:rPr>
            <w:t>产业发展方向</w:t>
          </w:r>
          <w:r>
            <w:tab/>
          </w:r>
          <w:r>
            <w:fldChar w:fldCharType="begin"/>
          </w:r>
          <w:r>
            <w:instrText xml:space="preserve"> PAGEREF _Toc20088 \h </w:instrText>
          </w:r>
          <w:r>
            <w:fldChar w:fldCharType="separate"/>
          </w:r>
          <w:r>
            <w:t>47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_Toc31786 </w:instrText>
          </w:r>
          <w:r>
            <w:rPr>
              <w:rFonts w:ascii="仿宋" w:hAnsi="仿宋" w:eastAsia="仿宋"/>
              <w:bCs/>
              <w:lang w:val="zh-CN"/>
            </w:rPr>
            <w:fldChar w:fldCharType="separate"/>
          </w:r>
          <w:r>
            <w:rPr>
              <w:rFonts w:hint="eastAsia" w:ascii="楷体" w:hAnsi="楷体" w:eastAsia="楷体"/>
              <w:szCs w:val="32"/>
              <w:lang w:val="en-US"/>
            </w:rPr>
            <w:t xml:space="preserve">7.2.3 </w:t>
          </w:r>
          <w:r>
            <w:rPr>
              <w:rFonts w:hint="eastAsia" w:ascii="楷体" w:hAnsi="楷体" w:eastAsia="楷体"/>
              <w:szCs w:val="32"/>
            </w:rPr>
            <w:t>环境保护</w:t>
          </w:r>
          <w:r>
            <w:tab/>
          </w:r>
          <w:r>
            <w:fldChar w:fldCharType="begin"/>
          </w:r>
          <w:r>
            <w:instrText xml:space="preserve"> PAGEREF _Toc31786 \h </w:instrText>
          </w:r>
          <w:r>
            <w:fldChar w:fldCharType="separate"/>
          </w:r>
          <w:r>
            <w:t>47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_Toc13217 </w:instrText>
          </w:r>
          <w:r>
            <w:rPr>
              <w:rFonts w:ascii="仿宋" w:hAnsi="仿宋" w:eastAsia="仿宋"/>
              <w:bCs/>
              <w:lang w:val="zh-CN"/>
            </w:rPr>
            <w:fldChar w:fldCharType="separate"/>
          </w:r>
          <w:r>
            <w:rPr>
              <w:rFonts w:hint="eastAsia" w:ascii="楷体" w:hAnsi="楷体" w:eastAsia="楷体"/>
              <w:szCs w:val="32"/>
              <w:lang w:val="en-US"/>
            </w:rPr>
            <w:t xml:space="preserve">7.2.4 </w:t>
          </w:r>
          <w:r>
            <w:rPr>
              <w:rFonts w:hint="eastAsia" w:ascii="楷体" w:hAnsi="楷体" w:eastAsia="楷体"/>
              <w:szCs w:val="32"/>
            </w:rPr>
            <w:t>招商</w:t>
          </w:r>
          <w:r>
            <w:rPr>
              <w:rFonts w:ascii="楷体" w:hAnsi="楷体" w:eastAsia="楷体"/>
              <w:szCs w:val="32"/>
            </w:rPr>
            <w:t>企业推荐</w:t>
          </w:r>
          <w:r>
            <w:tab/>
          </w:r>
          <w:r>
            <w:fldChar w:fldCharType="begin"/>
          </w:r>
          <w:r>
            <w:instrText xml:space="preserve"> PAGEREF _Toc13217 \h </w:instrText>
          </w:r>
          <w:r>
            <w:fldChar w:fldCharType="separate"/>
          </w:r>
          <w:r>
            <w:t>47</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_Toc30339 </w:instrText>
          </w:r>
          <w:r>
            <w:rPr>
              <w:rFonts w:ascii="仿宋" w:hAnsi="仿宋" w:eastAsia="仿宋"/>
              <w:bCs/>
              <w:lang w:val="zh-CN"/>
            </w:rPr>
            <w:fldChar w:fldCharType="separate"/>
          </w:r>
          <w:r>
            <w:rPr>
              <w:rFonts w:hint="eastAsia" w:ascii="楷体" w:hAnsi="楷体" w:eastAsia="楷体"/>
              <w:szCs w:val="32"/>
            </w:rPr>
            <w:t>表</w:t>
          </w:r>
          <w:r>
            <w:rPr>
              <w:rFonts w:ascii="楷体" w:hAnsi="楷体" w:eastAsia="楷体"/>
              <w:szCs w:val="32"/>
            </w:rPr>
            <w:t>6</w:t>
          </w:r>
          <w:r>
            <w:rPr>
              <w:rFonts w:hint="eastAsia" w:ascii="楷体" w:hAnsi="楷体" w:eastAsia="楷体"/>
              <w:szCs w:val="32"/>
            </w:rPr>
            <w:t xml:space="preserve"> </w:t>
          </w:r>
          <w:r>
            <w:rPr>
              <w:rFonts w:ascii="楷体" w:hAnsi="楷体" w:eastAsia="楷体"/>
              <w:szCs w:val="32"/>
            </w:rPr>
            <w:t>招商企业推荐表</w:t>
          </w:r>
          <w:r>
            <w:tab/>
          </w:r>
          <w:r>
            <w:fldChar w:fldCharType="begin"/>
          </w:r>
          <w:r>
            <w:instrText xml:space="preserve"> PAGEREF _Toc30339 \h </w:instrText>
          </w:r>
          <w:r>
            <w:fldChar w:fldCharType="separate"/>
          </w:r>
          <w:r>
            <w:t>48</w:t>
          </w:r>
          <w:r>
            <w:fldChar w:fldCharType="end"/>
          </w:r>
          <w:r>
            <w:rPr>
              <w:rFonts w:ascii="仿宋" w:hAnsi="仿宋" w:eastAsia="仿宋"/>
              <w:bCs/>
              <w:lang w:val="zh-CN"/>
            </w:rPr>
            <w:fldChar w:fldCharType="end"/>
          </w:r>
        </w:p>
        <w:p>
          <w:pPr>
            <w:pStyle w:val="12"/>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_Toc12603 </w:instrText>
          </w:r>
          <w:r>
            <w:rPr>
              <w:rFonts w:ascii="仿宋" w:hAnsi="仿宋" w:eastAsia="仿宋"/>
              <w:bCs/>
              <w:lang w:val="zh-CN"/>
            </w:rPr>
            <w:fldChar w:fldCharType="separate"/>
          </w:r>
          <w:r>
            <w:rPr>
              <w:rFonts w:hint="eastAsia" w:ascii="黑体" w:hAnsi="黑体" w:eastAsia="黑体"/>
              <w:szCs w:val="44"/>
            </w:rPr>
            <w:t>第8章 规划</w:t>
          </w:r>
          <w:r>
            <w:rPr>
              <w:rFonts w:ascii="黑体" w:hAnsi="黑体" w:eastAsia="黑体"/>
              <w:szCs w:val="44"/>
            </w:rPr>
            <w:t>保障措施</w:t>
          </w:r>
          <w:r>
            <w:tab/>
          </w:r>
          <w:r>
            <w:fldChar w:fldCharType="begin"/>
          </w:r>
          <w:r>
            <w:instrText xml:space="preserve"> PAGEREF _Toc12603 \h </w:instrText>
          </w:r>
          <w:r>
            <w:fldChar w:fldCharType="separate"/>
          </w:r>
          <w:r>
            <w:t>50</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_Toc31083 </w:instrText>
          </w:r>
          <w:r>
            <w:rPr>
              <w:rFonts w:ascii="仿宋" w:hAnsi="仿宋" w:eastAsia="仿宋"/>
              <w:bCs/>
              <w:lang w:val="zh-CN"/>
            </w:rPr>
            <w:fldChar w:fldCharType="separate"/>
          </w:r>
          <w:r>
            <w:rPr>
              <w:rFonts w:hint="eastAsia" w:ascii="黑体" w:hAnsi="黑体" w:eastAsia="黑体"/>
              <w:szCs w:val="32"/>
            </w:rPr>
            <w:t>8.1 完善政策</w:t>
          </w:r>
          <w:r>
            <w:rPr>
              <w:rFonts w:ascii="黑体" w:hAnsi="黑体" w:eastAsia="黑体"/>
              <w:szCs w:val="32"/>
            </w:rPr>
            <w:t>支持机制</w:t>
          </w:r>
          <w:r>
            <w:tab/>
          </w:r>
          <w:r>
            <w:fldChar w:fldCharType="begin"/>
          </w:r>
          <w:r>
            <w:instrText xml:space="preserve"> PAGEREF _Toc31083 \h </w:instrText>
          </w:r>
          <w:r>
            <w:fldChar w:fldCharType="separate"/>
          </w:r>
          <w:r>
            <w:t>50</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_Toc28807 </w:instrText>
          </w:r>
          <w:r>
            <w:rPr>
              <w:rFonts w:ascii="仿宋" w:hAnsi="仿宋" w:eastAsia="仿宋"/>
              <w:bCs/>
              <w:lang w:val="zh-CN"/>
            </w:rPr>
            <w:fldChar w:fldCharType="separate"/>
          </w:r>
          <w:r>
            <w:rPr>
              <w:rFonts w:hint="eastAsia" w:ascii="黑体" w:hAnsi="黑体" w:eastAsia="黑体"/>
              <w:szCs w:val="32"/>
            </w:rPr>
            <w:t>8.2 创新</w:t>
          </w:r>
          <w:r>
            <w:rPr>
              <w:rFonts w:ascii="黑体" w:hAnsi="黑体" w:eastAsia="黑体"/>
              <w:szCs w:val="32"/>
            </w:rPr>
            <w:t>财政投入机制</w:t>
          </w:r>
          <w:r>
            <w:tab/>
          </w:r>
          <w:r>
            <w:fldChar w:fldCharType="begin"/>
          </w:r>
          <w:r>
            <w:instrText xml:space="preserve"> PAGEREF _Toc28807 \h </w:instrText>
          </w:r>
          <w:r>
            <w:fldChar w:fldCharType="separate"/>
          </w:r>
          <w:r>
            <w:t>50</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_Toc12828 </w:instrText>
          </w:r>
          <w:r>
            <w:rPr>
              <w:rFonts w:ascii="仿宋" w:hAnsi="仿宋" w:eastAsia="仿宋"/>
              <w:bCs/>
              <w:lang w:val="zh-CN"/>
            </w:rPr>
            <w:fldChar w:fldCharType="separate"/>
          </w:r>
          <w:r>
            <w:rPr>
              <w:rFonts w:hint="eastAsia" w:ascii="黑体" w:hAnsi="黑体" w:eastAsia="黑体"/>
              <w:szCs w:val="32"/>
            </w:rPr>
            <w:t>8.3 大力</w:t>
          </w:r>
          <w:r>
            <w:rPr>
              <w:rFonts w:ascii="黑体" w:hAnsi="黑体" w:eastAsia="黑体"/>
              <w:szCs w:val="32"/>
            </w:rPr>
            <w:t>推进农业创新平台建设</w:t>
          </w:r>
          <w:r>
            <w:tab/>
          </w:r>
          <w:r>
            <w:fldChar w:fldCharType="begin"/>
          </w:r>
          <w:r>
            <w:instrText xml:space="preserve"> PAGEREF _Toc12828 \h </w:instrText>
          </w:r>
          <w:r>
            <w:fldChar w:fldCharType="separate"/>
          </w:r>
          <w:r>
            <w:t>50</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_Toc30415 </w:instrText>
          </w:r>
          <w:r>
            <w:rPr>
              <w:rFonts w:ascii="仿宋" w:hAnsi="仿宋" w:eastAsia="仿宋"/>
              <w:bCs/>
              <w:lang w:val="zh-CN"/>
            </w:rPr>
            <w:fldChar w:fldCharType="separate"/>
          </w:r>
          <w:r>
            <w:rPr>
              <w:rFonts w:hint="eastAsia" w:ascii="黑体" w:hAnsi="黑体" w:eastAsia="黑体"/>
              <w:szCs w:val="32"/>
            </w:rPr>
            <w:t>8.4 完善健全企业退出机制与体系</w:t>
          </w:r>
          <w:r>
            <w:tab/>
          </w:r>
          <w:r>
            <w:fldChar w:fldCharType="begin"/>
          </w:r>
          <w:r>
            <w:instrText xml:space="preserve"> PAGEREF _Toc30415 \h </w:instrText>
          </w:r>
          <w:r>
            <w:fldChar w:fldCharType="separate"/>
          </w:r>
          <w:r>
            <w:t>51</w:t>
          </w:r>
          <w:r>
            <w:fldChar w:fldCharType="end"/>
          </w:r>
          <w:r>
            <w:rPr>
              <w:rFonts w:ascii="仿宋" w:hAnsi="仿宋" w:eastAsia="仿宋"/>
              <w:bCs/>
              <w:lang w:val="zh-CN"/>
            </w:rPr>
            <w:fldChar w:fldCharType="end"/>
          </w:r>
        </w:p>
        <w:p>
          <w:pPr>
            <w:pStyle w:val="7"/>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_Toc20942 </w:instrText>
          </w:r>
          <w:r>
            <w:rPr>
              <w:rFonts w:ascii="仿宋" w:hAnsi="仿宋" w:eastAsia="仿宋"/>
              <w:bCs/>
              <w:lang w:val="zh-CN"/>
            </w:rPr>
            <w:fldChar w:fldCharType="separate"/>
          </w:r>
          <w:r>
            <w:rPr>
              <w:rFonts w:hint="eastAsia" w:ascii="楷体" w:hAnsi="楷体" w:eastAsia="楷体"/>
              <w:szCs w:val="32"/>
            </w:rPr>
            <w:t>图11 企业退出机制流程</w:t>
          </w:r>
          <w:r>
            <w:tab/>
          </w:r>
          <w:r>
            <w:fldChar w:fldCharType="begin"/>
          </w:r>
          <w:r>
            <w:instrText xml:space="preserve"> PAGEREF _Toc20942 \h </w:instrText>
          </w:r>
          <w:r>
            <w:fldChar w:fldCharType="separate"/>
          </w:r>
          <w:r>
            <w:t>52</w:t>
          </w:r>
          <w:r>
            <w:fldChar w:fldCharType="end"/>
          </w:r>
          <w:r>
            <w:rPr>
              <w:rFonts w:ascii="仿宋" w:hAnsi="仿宋" w:eastAsia="仿宋"/>
              <w:bCs/>
              <w:lang w:val="zh-CN"/>
            </w:rPr>
            <w:fldChar w:fldCharType="end"/>
          </w:r>
        </w:p>
        <w:p>
          <w:pPr>
            <w:pStyle w:val="15"/>
            <w:tabs>
              <w:tab w:val="right" w:leader="dot" w:pos="8306"/>
            </w:tabs>
          </w:pPr>
          <w:r>
            <w:rPr>
              <w:rFonts w:ascii="仿宋" w:hAnsi="仿宋" w:eastAsia="仿宋"/>
              <w:bCs/>
              <w:lang w:val="zh-CN"/>
            </w:rPr>
            <w:fldChar w:fldCharType="begin"/>
          </w:r>
          <w:r>
            <w:rPr>
              <w:rFonts w:ascii="仿宋" w:hAnsi="仿宋" w:eastAsia="仿宋"/>
              <w:bCs/>
              <w:lang w:val="zh-CN"/>
            </w:rPr>
            <w:instrText xml:space="preserve"> HYPERLINK \l _Toc13626 </w:instrText>
          </w:r>
          <w:r>
            <w:rPr>
              <w:rFonts w:ascii="仿宋" w:hAnsi="仿宋" w:eastAsia="仿宋"/>
              <w:bCs/>
              <w:lang w:val="zh-CN"/>
            </w:rPr>
            <w:fldChar w:fldCharType="separate"/>
          </w:r>
          <w:r>
            <w:rPr>
              <w:rFonts w:hint="eastAsia" w:ascii="黑体" w:hAnsi="黑体" w:eastAsia="黑体"/>
              <w:szCs w:val="32"/>
            </w:rPr>
            <w:t>8.5 有效</w:t>
          </w:r>
          <w:r>
            <w:rPr>
              <w:rFonts w:ascii="黑体" w:hAnsi="黑体" w:eastAsia="黑体"/>
              <w:szCs w:val="32"/>
            </w:rPr>
            <w:t>保障人才供给</w:t>
          </w:r>
          <w:r>
            <w:tab/>
          </w:r>
          <w:r>
            <w:fldChar w:fldCharType="begin"/>
          </w:r>
          <w:r>
            <w:instrText xml:space="preserve"> PAGEREF _Toc13626 \h </w:instrText>
          </w:r>
          <w:r>
            <w:fldChar w:fldCharType="separate"/>
          </w:r>
          <w:r>
            <w:t>52</w:t>
          </w:r>
          <w:r>
            <w:fldChar w:fldCharType="end"/>
          </w:r>
          <w:r>
            <w:rPr>
              <w:rFonts w:ascii="仿宋" w:hAnsi="仿宋" w:eastAsia="仿宋"/>
              <w:bCs/>
              <w:lang w:val="zh-CN"/>
            </w:rPr>
            <w:fldChar w:fldCharType="end"/>
          </w:r>
        </w:p>
        <w:p>
          <w:r>
            <w:rPr>
              <w:rFonts w:ascii="仿宋" w:hAnsi="仿宋" w:eastAsia="仿宋"/>
              <w:bCs/>
              <w:lang w:val="zh-CN"/>
            </w:rPr>
            <w:fldChar w:fldCharType="end"/>
          </w:r>
        </w:p>
      </w:sdtContent>
    </w:sdt>
    <w:p>
      <w:pPr>
        <w:widowControl/>
        <w:jc w:val="left"/>
        <w:rPr>
          <w:rFonts w:ascii="楷体" w:hAnsi="楷体" w:eastAsia="楷体" w:cs="Times New Roman"/>
          <w:kern w:val="0"/>
          <w:sz w:val="32"/>
          <w:szCs w:val="20"/>
        </w:rPr>
      </w:pPr>
      <w:r>
        <w:rPr>
          <w:rFonts w:ascii="楷体" w:hAnsi="楷体" w:eastAsia="楷体" w:cs="Times New Roman"/>
          <w:kern w:val="0"/>
          <w:sz w:val="32"/>
          <w:szCs w:val="20"/>
        </w:rPr>
        <w:br w:type="page"/>
      </w:r>
    </w:p>
    <w:p>
      <w:pPr>
        <w:adjustRightInd w:val="0"/>
        <w:snapToGrid w:val="0"/>
        <w:spacing w:line="360" w:lineRule="auto"/>
        <w:ind w:left="1606" w:hanging="1606" w:hangingChars="500"/>
        <w:jc w:val="left"/>
        <w:textAlignment w:val="baseline"/>
        <w:rPr>
          <w:rFonts w:ascii="宋体" w:hAnsi="宋体" w:eastAsia="宋体" w:cs="Times New Roman"/>
          <w:kern w:val="0"/>
          <w:sz w:val="32"/>
          <w:szCs w:val="20"/>
        </w:rPr>
      </w:pPr>
      <w:r>
        <w:rPr>
          <w:rFonts w:hint="eastAsia" w:ascii="黑体" w:hAnsi="黑体" w:eastAsia="黑体" w:cs="Times New Roman"/>
          <w:b/>
          <w:kern w:val="0"/>
          <w:sz w:val="32"/>
          <w:szCs w:val="20"/>
        </w:rPr>
        <w:t>项目</w:t>
      </w:r>
      <w:r>
        <w:rPr>
          <w:rFonts w:ascii="黑体" w:hAnsi="黑体" w:eastAsia="黑体" w:cs="Times New Roman"/>
          <w:b/>
          <w:kern w:val="0"/>
          <w:sz w:val="32"/>
          <w:szCs w:val="20"/>
        </w:rPr>
        <w:t>名称：</w:t>
      </w:r>
      <w:r>
        <w:rPr>
          <w:rFonts w:hint="eastAsia" w:ascii="宋体" w:hAnsi="宋体" w:eastAsia="宋体" w:cs="Times New Roman"/>
          <w:kern w:val="0"/>
          <w:sz w:val="32"/>
          <w:szCs w:val="20"/>
        </w:rPr>
        <w:t>辽宁</w:t>
      </w:r>
      <w:r>
        <w:rPr>
          <w:rFonts w:ascii="宋体" w:hAnsi="宋体" w:eastAsia="宋体" w:cs="Times New Roman"/>
          <w:kern w:val="0"/>
          <w:sz w:val="32"/>
          <w:szCs w:val="20"/>
        </w:rPr>
        <w:t>台安高新农业产业开发区</w:t>
      </w:r>
      <w:r>
        <w:rPr>
          <w:rFonts w:hint="eastAsia" w:ascii="宋体" w:hAnsi="宋体" w:eastAsia="宋体" w:cs="Times New Roman"/>
          <w:kern w:val="0"/>
          <w:sz w:val="32"/>
          <w:szCs w:val="20"/>
          <w:lang w:val="en-US" w:eastAsia="zh-CN"/>
        </w:rPr>
        <w:t>发展</w:t>
      </w:r>
      <w:r>
        <w:rPr>
          <w:rFonts w:ascii="宋体" w:hAnsi="宋体" w:eastAsia="宋体" w:cs="Times New Roman"/>
          <w:kern w:val="0"/>
          <w:sz w:val="32"/>
          <w:szCs w:val="20"/>
        </w:rPr>
        <w:t>规划</w:t>
      </w:r>
    </w:p>
    <w:p>
      <w:pPr>
        <w:adjustRightInd w:val="0"/>
        <w:snapToGrid w:val="0"/>
        <w:spacing w:line="360" w:lineRule="auto"/>
        <w:ind w:left="1606" w:hanging="1606" w:hangingChars="500"/>
        <w:jc w:val="left"/>
        <w:textAlignment w:val="baseline"/>
        <w:rPr>
          <w:rFonts w:ascii="宋体" w:hAnsi="宋体" w:eastAsia="宋体" w:cs="Times New Roman"/>
          <w:kern w:val="0"/>
          <w:sz w:val="32"/>
          <w:szCs w:val="20"/>
        </w:rPr>
      </w:pPr>
      <w:r>
        <w:rPr>
          <w:rFonts w:hint="eastAsia" w:ascii="黑体" w:hAnsi="黑体" w:eastAsia="黑体" w:cs="Times New Roman"/>
          <w:b/>
          <w:kern w:val="0"/>
          <w:sz w:val="32"/>
          <w:szCs w:val="20"/>
        </w:rPr>
        <w:t>委托单位</w:t>
      </w:r>
      <w:r>
        <w:rPr>
          <w:rFonts w:ascii="黑体" w:hAnsi="黑体" w:eastAsia="黑体" w:cs="Times New Roman"/>
          <w:b/>
          <w:kern w:val="0"/>
          <w:sz w:val="32"/>
          <w:szCs w:val="20"/>
        </w:rPr>
        <w:t>：</w:t>
      </w:r>
      <w:r>
        <w:rPr>
          <w:rFonts w:hint="eastAsia" w:ascii="宋体" w:hAnsi="宋体" w:eastAsia="宋体" w:cs="Times New Roman"/>
          <w:kern w:val="0"/>
          <w:sz w:val="32"/>
          <w:szCs w:val="20"/>
        </w:rPr>
        <w:t>辽宁</w:t>
      </w:r>
      <w:r>
        <w:rPr>
          <w:rFonts w:ascii="宋体" w:hAnsi="宋体" w:eastAsia="宋体" w:cs="Times New Roman"/>
          <w:kern w:val="0"/>
          <w:sz w:val="32"/>
          <w:szCs w:val="20"/>
        </w:rPr>
        <w:t>台安高新农业产业开发区</w:t>
      </w:r>
      <w:r>
        <w:rPr>
          <w:rFonts w:hint="eastAsia" w:ascii="宋体" w:hAnsi="宋体" w:eastAsia="宋体" w:cs="Times New Roman"/>
          <w:kern w:val="0"/>
          <w:sz w:val="32"/>
          <w:szCs w:val="20"/>
        </w:rPr>
        <w:t>管委会</w:t>
      </w:r>
    </w:p>
    <w:p>
      <w:pPr>
        <w:adjustRightInd w:val="0"/>
        <w:snapToGrid w:val="0"/>
        <w:spacing w:line="360" w:lineRule="auto"/>
        <w:ind w:left="1606" w:hanging="1606" w:hangingChars="500"/>
        <w:jc w:val="left"/>
        <w:textAlignment w:val="baseline"/>
        <w:rPr>
          <w:rFonts w:ascii="黑体" w:hAnsi="黑体" w:eastAsia="黑体" w:cs="Times New Roman"/>
          <w:kern w:val="0"/>
          <w:sz w:val="32"/>
          <w:szCs w:val="20"/>
        </w:rPr>
      </w:pPr>
      <w:r>
        <w:rPr>
          <w:rFonts w:hint="eastAsia" w:ascii="黑体" w:hAnsi="黑体" w:eastAsia="黑体" w:cs="Times New Roman"/>
          <w:b/>
          <w:kern w:val="0"/>
          <w:sz w:val="32"/>
          <w:szCs w:val="20"/>
        </w:rPr>
        <w:t>编制</w:t>
      </w:r>
      <w:r>
        <w:rPr>
          <w:rFonts w:ascii="黑体" w:hAnsi="黑体" w:eastAsia="黑体" w:cs="Times New Roman"/>
          <w:b/>
          <w:kern w:val="0"/>
          <w:sz w:val="32"/>
          <w:szCs w:val="20"/>
        </w:rPr>
        <w:t>单位：</w:t>
      </w:r>
      <w:r>
        <w:rPr>
          <w:rFonts w:ascii="宋体" w:hAnsi="宋体" w:eastAsia="宋体" w:cs="Times New Roman"/>
          <w:kern w:val="0"/>
          <w:sz w:val="32"/>
          <w:szCs w:val="20"/>
        </w:rPr>
        <w:t>北京北达城市规划设计研究院</w:t>
      </w:r>
    </w:p>
    <w:p>
      <w:pPr>
        <w:widowControl/>
        <w:jc w:val="left"/>
        <w:rPr>
          <w:rFonts w:ascii="黑体" w:hAnsi="黑体" w:eastAsia="黑体" w:cs="Times New Roman"/>
          <w:b/>
          <w:kern w:val="0"/>
          <w:sz w:val="32"/>
          <w:szCs w:val="20"/>
        </w:rPr>
      </w:pPr>
      <w:r>
        <w:rPr>
          <w:rFonts w:hint="eastAsia" w:ascii="黑体" w:hAnsi="黑体" w:eastAsia="黑体" w:cs="Times New Roman"/>
          <w:b/>
          <w:kern w:val="0"/>
          <w:sz w:val="32"/>
          <w:szCs w:val="20"/>
        </w:rPr>
        <w:t>资质证书：</w:t>
      </w:r>
    </w:p>
    <w:p>
      <w:pPr>
        <w:widowControl/>
        <w:jc w:val="left"/>
        <w:rPr>
          <w:rFonts w:ascii="黑体" w:hAnsi="黑体" w:eastAsia="黑体" w:cs="Times New Roman"/>
          <w:b/>
          <w:kern w:val="0"/>
          <w:sz w:val="32"/>
          <w:szCs w:val="20"/>
          <w:highlight w:val="yellow"/>
        </w:rPr>
      </w:pPr>
      <w:r>
        <w:drawing>
          <wp:inline distT="0" distB="0" distL="0" distR="0">
            <wp:extent cx="5274310" cy="38277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827780"/>
                    </a:xfrm>
                    <a:prstGeom prst="rect">
                      <a:avLst/>
                    </a:prstGeom>
                  </pic:spPr>
                </pic:pic>
              </a:graphicData>
            </a:graphic>
          </wp:inline>
        </w:drawing>
      </w: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黑体" w:hAnsi="黑体" w:eastAsia="黑体" w:cs="Times New Roman"/>
          <w:b/>
          <w:kern w:val="0"/>
          <w:sz w:val="32"/>
          <w:szCs w:val="20"/>
          <w:highlight w:val="yellow"/>
        </w:rPr>
      </w:pPr>
    </w:p>
    <w:p>
      <w:pPr>
        <w:widowControl/>
        <w:jc w:val="left"/>
        <w:rPr>
          <w:rFonts w:ascii="楷体" w:hAnsi="楷体" w:eastAsia="楷体" w:cs="Times New Roman"/>
          <w:kern w:val="0"/>
          <w:sz w:val="32"/>
          <w:szCs w:val="20"/>
        </w:rPr>
      </w:pPr>
      <w:r>
        <w:rPr>
          <w:rFonts w:ascii="黑体" w:hAnsi="黑体" w:eastAsia="黑体" w:cs="Times New Roman"/>
          <w:b/>
          <w:kern w:val="0"/>
          <w:sz w:val="32"/>
          <w:szCs w:val="20"/>
        </w:rPr>
        <w:t>编制人员：</w:t>
      </w:r>
    </w:p>
    <w:p>
      <w:pPr>
        <w:widowControl/>
        <w:jc w:val="left"/>
        <w:rPr>
          <w:rFonts w:ascii="仿宋" w:hAnsi="仿宋" w:eastAsia="仿宋" w:cs="宋体"/>
          <w:b/>
          <w:sz w:val="28"/>
          <w:szCs w:val="28"/>
        </w:rPr>
      </w:pPr>
      <w:r>
        <w:rPr>
          <w:rFonts w:hint="eastAsia" w:ascii="仿宋" w:hAnsi="仿宋" w:eastAsia="仿宋" w:cs="宋体"/>
          <w:b/>
          <w:sz w:val="28"/>
          <w:szCs w:val="28"/>
        </w:rPr>
        <w:t>项目审定</w:t>
      </w:r>
      <w:r>
        <w:rPr>
          <w:rFonts w:ascii="仿宋" w:hAnsi="仿宋" w:eastAsia="仿宋" w:cs="宋体"/>
          <w:b/>
          <w:sz w:val="28"/>
          <w:szCs w:val="28"/>
        </w:rPr>
        <w:t>：</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姜</w:t>
      </w:r>
      <w:r>
        <w:rPr>
          <w:rFonts w:ascii="Times New Roman" w:hAnsi="Times New Roman" w:eastAsia="仿宋" w:cs="Times New Roman"/>
          <w:sz w:val="32"/>
          <w:szCs w:val="24"/>
        </w:rPr>
        <w:t>东</w:t>
      </w:r>
      <w:r>
        <w:rPr>
          <w:rFonts w:hint="eastAsia" w:ascii="Times New Roman" w:hAnsi="Times New Roman" w:eastAsia="仿宋" w:cs="Times New Roman"/>
          <w:sz w:val="32"/>
          <w:szCs w:val="24"/>
        </w:rPr>
        <w:t>厚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东北分院 院长</w:t>
      </w:r>
    </w:p>
    <w:p>
      <w:pPr>
        <w:autoSpaceDE w:val="0"/>
        <w:autoSpaceDN w:val="0"/>
        <w:spacing w:line="360" w:lineRule="auto"/>
        <w:ind w:firstLine="1280" w:firstLineChars="400"/>
        <w:rPr>
          <w:rFonts w:ascii="Times New Roman" w:hAnsi="Times New Roman" w:eastAsia="仿宋" w:cs="Times New Roman"/>
          <w:sz w:val="32"/>
          <w:szCs w:val="24"/>
        </w:rPr>
      </w:pPr>
      <w:r>
        <w:rPr>
          <w:rFonts w:hint="eastAsia" w:ascii="Times New Roman" w:hAnsi="Times New Roman" w:eastAsia="仿宋" w:cs="Times New Roman"/>
          <w:sz w:val="32"/>
          <w:szCs w:val="24"/>
        </w:rPr>
        <w:t>注册</w:t>
      </w:r>
      <w:r>
        <w:rPr>
          <w:rFonts w:ascii="Times New Roman" w:hAnsi="Times New Roman" w:eastAsia="仿宋" w:cs="Times New Roman"/>
          <w:sz w:val="32"/>
          <w:szCs w:val="24"/>
        </w:rPr>
        <w:t>规划师</w:t>
      </w:r>
      <w:r>
        <w:rPr>
          <w:rFonts w:hint="eastAsia" w:ascii="Times New Roman" w:hAnsi="Times New Roman" w:eastAsia="仿宋" w:cs="Times New Roman"/>
          <w:sz w:val="32"/>
          <w:szCs w:val="24"/>
        </w:rPr>
        <w:t xml:space="preserve">  高级工程师</w:t>
      </w:r>
    </w:p>
    <w:p>
      <w:pPr>
        <w:autoSpaceDE w:val="0"/>
        <w:autoSpaceDN w:val="0"/>
        <w:spacing w:line="360" w:lineRule="auto"/>
        <w:rPr>
          <w:rFonts w:ascii="仿宋" w:hAnsi="仿宋" w:eastAsia="仿宋" w:cs="宋体"/>
          <w:b/>
          <w:sz w:val="28"/>
          <w:szCs w:val="28"/>
        </w:rPr>
      </w:pPr>
      <w:r>
        <w:rPr>
          <w:rFonts w:hint="eastAsia" w:ascii="仿宋" w:hAnsi="仿宋" w:eastAsia="仿宋" w:cs="宋体"/>
          <w:b/>
          <w:sz w:val="28"/>
          <w:szCs w:val="28"/>
        </w:rPr>
        <w:t>项目</w:t>
      </w:r>
      <w:r>
        <w:rPr>
          <w:rFonts w:ascii="仿宋" w:hAnsi="仿宋" w:eastAsia="仿宋" w:cs="宋体"/>
          <w:b/>
          <w:sz w:val="28"/>
          <w:szCs w:val="28"/>
        </w:rPr>
        <w:t>负责人：</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胡延明</w:t>
      </w:r>
      <w:r>
        <w:rPr>
          <w:rFonts w:ascii="Times New Roman" w:hAnsi="Times New Roman" w:eastAsia="仿宋" w:cs="Times New Roman"/>
          <w:sz w:val="32"/>
          <w:szCs w:val="24"/>
        </w:rPr>
        <w:t xml:space="preserve">  </w:t>
      </w:r>
      <w:r>
        <w:rPr>
          <w:rFonts w:hint="eastAsia" w:ascii="Times New Roman" w:hAnsi="Times New Roman" w:eastAsia="仿宋" w:cs="Times New Roman"/>
          <w:sz w:val="32"/>
          <w:szCs w:val="24"/>
        </w:rPr>
        <w:t>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东北分院 副院长</w:t>
      </w:r>
    </w:p>
    <w:p>
      <w:pPr>
        <w:autoSpaceDE w:val="0"/>
        <w:autoSpaceDN w:val="0"/>
        <w:spacing w:line="360" w:lineRule="auto"/>
        <w:rPr>
          <w:rFonts w:ascii="仿宋" w:hAnsi="仿宋" w:eastAsia="仿宋" w:cs="宋体"/>
          <w:b/>
          <w:sz w:val="28"/>
          <w:szCs w:val="28"/>
        </w:rPr>
      </w:pPr>
      <w:r>
        <w:rPr>
          <w:rFonts w:hint="eastAsia" w:ascii="仿宋" w:hAnsi="仿宋" w:eastAsia="仿宋" w:cs="宋体"/>
          <w:b/>
          <w:sz w:val="28"/>
          <w:szCs w:val="28"/>
        </w:rPr>
        <w:t>项目组</w:t>
      </w:r>
      <w:r>
        <w:rPr>
          <w:rFonts w:ascii="仿宋" w:hAnsi="仿宋" w:eastAsia="仿宋" w:cs="宋体"/>
          <w:b/>
          <w:sz w:val="28"/>
          <w:szCs w:val="28"/>
        </w:rPr>
        <w:t>成员：</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徐海涛</w:t>
      </w:r>
      <w:r>
        <w:rPr>
          <w:rFonts w:ascii="Times New Roman" w:hAnsi="Times New Roman" w:eastAsia="仿宋" w:cs="Times New Roman"/>
          <w:sz w:val="32"/>
          <w:szCs w:val="24"/>
        </w:rPr>
        <w:t xml:space="preserve">  </w:t>
      </w:r>
      <w:r>
        <w:rPr>
          <w:rFonts w:hint="eastAsia" w:ascii="Times New Roman" w:hAnsi="Times New Roman" w:eastAsia="仿宋" w:cs="Times New Roman"/>
          <w:sz w:val="32"/>
          <w:szCs w:val="24"/>
        </w:rPr>
        <w:t>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产业</w:t>
      </w:r>
      <w:r>
        <w:rPr>
          <w:rFonts w:ascii="Times New Roman" w:hAnsi="Times New Roman" w:eastAsia="仿宋" w:cs="Times New Roman"/>
          <w:sz w:val="32"/>
          <w:szCs w:val="24"/>
        </w:rPr>
        <w:t>所</w:t>
      </w:r>
      <w:r>
        <w:rPr>
          <w:rFonts w:hint="eastAsia" w:ascii="Times New Roman" w:hAnsi="Times New Roman" w:eastAsia="仿宋" w:cs="Times New Roman"/>
          <w:sz w:val="32"/>
          <w:szCs w:val="24"/>
        </w:rPr>
        <w:t>副所长 高级</w:t>
      </w:r>
      <w:r>
        <w:rPr>
          <w:rFonts w:ascii="Times New Roman" w:hAnsi="Times New Roman" w:eastAsia="仿宋" w:cs="Times New Roman"/>
          <w:sz w:val="32"/>
          <w:szCs w:val="24"/>
        </w:rPr>
        <w:t>经济师</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寇聪慧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注册规划师 高级</w:t>
      </w:r>
      <w:r>
        <w:rPr>
          <w:rFonts w:ascii="Times New Roman" w:hAnsi="Times New Roman" w:eastAsia="仿宋" w:cs="Times New Roman"/>
          <w:sz w:val="32"/>
          <w:szCs w:val="24"/>
        </w:rPr>
        <w:t>工程师</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丁一航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主创</w:t>
      </w:r>
      <w:r>
        <w:rPr>
          <w:rFonts w:ascii="Times New Roman" w:hAnsi="Times New Roman" w:eastAsia="仿宋" w:cs="Times New Roman"/>
          <w:sz w:val="32"/>
          <w:szCs w:val="24"/>
        </w:rPr>
        <w:t>规划师</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李志新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主创</w:t>
      </w:r>
      <w:r>
        <w:rPr>
          <w:rFonts w:ascii="Times New Roman" w:hAnsi="Times New Roman" w:eastAsia="仿宋" w:cs="Times New Roman"/>
          <w:sz w:val="32"/>
          <w:szCs w:val="24"/>
        </w:rPr>
        <w:t>规划师</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张皓男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w:t>
      </w:r>
      <w:r>
        <w:rPr>
          <w:rFonts w:ascii="Times New Roman" w:hAnsi="Times New Roman" w:eastAsia="仿宋" w:cs="Times New Roman"/>
          <w:sz w:val="32"/>
          <w:szCs w:val="24"/>
        </w:rPr>
        <w:t>规划师</w:t>
      </w:r>
    </w:p>
    <w:p>
      <w:pPr>
        <w:autoSpaceDE w:val="0"/>
        <w:autoSpaceDN w:val="0"/>
        <w:spacing w:line="360" w:lineRule="auto"/>
        <w:rPr>
          <w:rFonts w:ascii="Times New Roman" w:hAnsi="Times New Roman" w:eastAsia="仿宋" w:cs="Times New Roman"/>
          <w:sz w:val="32"/>
          <w:szCs w:val="24"/>
        </w:rPr>
      </w:pPr>
      <w:r>
        <w:rPr>
          <w:rFonts w:hint="eastAsia" w:ascii="Times New Roman" w:hAnsi="Times New Roman" w:eastAsia="仿宋" w:cs="Times New Roman"/>
          <w:sz w:val="32"/>
          <w:szCs w:val="24"/>
        </w:rPr>
        <w:t>师公祯  北京</w:t>
      </w:r>
      <w:r>
        <w:rPr>
          <w:rFonts w:ascii="Times New Roman" w:hAnsi="Times New Roman" w:eastAsia="仿宋" w:cs="Times New Roman"/>
          <w:sz w:val="32"/>
          <w:szCs w:val="24"/>
        </w:rPr>
        <w:t>北达城市规划设计研究院</w:t>
      </w:r>
      <w:r>
        <w:rPr>
          <w:rFonts w:hint="eastAsia" w:ascii="Times New Roman" w:hAnsi="Times New Roman" w:eastAsia="仿宋" w:cs="Times New Roman"/>
          <w:sz w:val="32"/>
          <w:szCs w:val="24"/>
        </w:rPr>
        <w:t xml:space="preserve"> </w:t>
      </w:r>
      <w:r>
        <w:rPr>
          <w:rFonts w:ascii="Times New Roman" w:hAnsi="Times New Roman" w:eastAsia="仿宋" w:cs="Times New Roman"/>
          <w:sz w:val="32"/>
          <w:szCs w:val="24"/>
        </w:rPr>
        <w:t>规划师</w:t>
      </w:r>
    </w:p>
    <w:p>
      <w:pPr>
        <w:pStyle w:val="27"/>
        <w:jc w:val="center"/>
        <w:outlineLvl w:val="0"/>
        <w:rPr>
          <w:rFonts w:ascii="黑体" w:hAnsi="黑体" w:eastAsia="黑体"/>
          <w:sz w:val="44"/>
          <w:szCs w:val="44"/>
        </w:rPr>
        <w:sectPr>
          <w:headerReference r:id="rId3" w:type="default"/>
          <w:pgSz w:w="11906" w:h="16838"/>
          <w:pgMar w:top="1440" w:right="1800" w:bottom="1440" w:left="1800" w:header="851" w:footer="992" w:gutter="0"/>
          <w:cols w:space="425" w:num="1"/>
          <w:titlePg/>
          <w:docGrid w:type="lines" w:linePitch="312" w:charSpace="0"/>
        </w:sectPr>
      </w:pPr>
    </w:p>
    <w:p>
      <w:pPr>
        <w:pStyle w:val="27"/>
        <w:jc w:val="center"/>
        <w:outlineLvl w:val="0"/>
        <w:rPr>
          <w:rFonts w:ascii="黑体" w:hAnsi="黑体" w:eastAsia="黑体"/>
          <w:sz w:val="44"/>
          <w:szCs w:val="44"/>
        </w:rPr>
      </w:pPr>
      <w:bookmarkStart w:id="0" w:name="_Toc23872"/>
      <w:r>
        <w:rPr>
          <w:rFonts w:hint="eastAsia" w:ascii="黑体" w:hAnsi="黑体" w:eastAsia="黑体"/>
          <w:sz w:val="44"/>
          <w:szCs w:val="44"/>
        </w:rPr>
        <w:t>总则</w:t>
      </w:r>
      <w:bookmarkEnd w:id="0"/>
    </w:p>
    <w:p>
      <w:pPr>
        <w:pStyle w:val="28"/>
        <w:outlineLvl w:val="1"/>
        <w:rPr>
          <w:rFonts w:ascii="黑体" w:hAnsi="黑体" w:eastAsia="黑体"/>
          <w:sz w:val="32"/>
          <w:szCs w:val="32"/>
        </w:rPr>
      </w:pPr>
      <w:bookmarkStart w:id="1" w:name="_Toc29332"/>
      <w:r>
        <w:rPr>
          <w:rFonts w:hint="eastAsia" w:ascii="黑体" w:hAnsi="黑体" w:eastAsia="黑体"/>
          <w:sz w:val="32"/>
          <w:szCs w:val="32"/>
        </w:rPr>
        <w:t>规划背景</w:t>
      </w:r>
      <w:bookmarkEnd w:id="1"/>
    </w:p>
    <w:p>
      <w:pPr>
        <w:pStyle w:val="28"/>
        <w:numPr>
          <w:ilvl w:val="2"/>
          <w:numId w:val="1"/>
        </w:numPr>
        <w:ind w:firstLine="643" w:firstLineChars="200"/>
        <w:outlineLvl w:val="2"/>
        <w:rPr>
          <w:rFonts w:ascii="楷体" w:hAnsi="楷体" w:eastAsia="楷体"/>
          <w:b/>
          <w:sz w:val="32"/>
          <w:szCs w:val="32"/>
        </w:rPr>
      </w:pPr>
      <w:bookmarkStart w:id="2" w:name="_Toc17971"/>
      <w:r>
        <w:rPr>
          <w:rFonts w:hint="eastAsia" w:ascii="楷体" w:hAnsi="楷体" w:eastAsia="楷体"/>
          <w:b/>
          <w:sz w:val="32"/>
          <w:szCs w:val="32"/>
        </w:rPr>
        <w:t>国家产业政策背景</w:t>
      </w:r>
      <w:bookmarkEnd w:id="2"/>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党</w:t>
      </w:r>
      <w:r>
        <w:rPr>
          <w:rFonts w:ascii="Times New Roman" w:hAnsi="Times New Roman" w:eastAsia="仿宋" w:cs="Times New Roman"/>
          <w:sz w:val="32"/>
          <w:szCs w:val="24"/>
        </w:rPr>
        <w:t>的</w:t>
      </w:r>
      <w:r>
        <w:rPr>
          <w:rFonts w:hint="eastAsia" w:ascii="Times New Roman" w:hAnsi="Times New Roman" w:eastAsia="仿宋" w:cs="Times New Roman"/>
          <w:sz w:val="32"/>
          <w:szCs w:val="24"/>
        </w:rPr>
        <w:t>二十大报告中</w:t>
      </w:r>
      <w:r>
        <w:rPr>
          <w:rFonts w:ascii="Times New Roman" w:hAnsi="Times New Roman" w:eastAsia="仿宋" w:cs="Times New Roman"/>
          <w:sz w:val="32"/>
          <w:szCs w:val="24"/>
        </w:rPr>
        <w:t>明确</w:t>
      </w:r>
      <w:r>
        <w:rPr>
          <w:rFonts w:hint="eastAsia" w:ascii="Times New Roman" w:hAnsi="Times New Roman" w:eastAsia="仿宋" w:cs="Times New Roman"/>
          <w:sz w:val="32"/>
          <w:szCs w:val="24"/>
        </w:rPr>
        <w:t>提出“</w:t>
      </w:r>
      <w:r>
        <w:rPr>
          <w:rFonts w:ascii="Times New Roman" w:hAnsi="Times New Roman" w:eastAsia="仿宋" w:cs="Times New Roman"/>
          <w:sz w:val="32"/>
          <w:szCs w:val="24"/>
        </w:rPr>
        <w:t>我们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全面推进乡村振兴。全面建设社会主义现代化国家，最艰巨最繁重的任务仍然在农村。坚持农业农村优先发展，坚持城乡融合发展，畅通城乡要素流动。加快建设农业强国，扎实推动乡村产业、人才、文化、生态、组织振兴。全方位夯实粮食安全根基，全面落实粮食安全党政同责，牢牢守住十八亿亩耕地红线，逐步把永久基本农田全部建成高标准农田，深入实施种业振兴行动，强化农业科技和装备支撑，健全种粮农民收益保障机制和主产区利益补偿机制，确保中国人的饭碗牢牢端在自己手中。树立大食物观，发展设施农业，构建多元化食物供给体系。发展乡村特色产业，拓宽农民增收致富渠道。巩固拓展脱贫攻坚成果，增强脱贫地区和脱贫群众内生发展动力。统筹乡村基础设施和公共服务布局，建设宜居宜业和美乡村。巩固和完善农村基本经营制度，发展新型农村集体经济，发展新型农业经营主体和社会化服务，发展农业适度规模经营。深化农村土地制度改革，赋予农民更加充分的财产权益。保障进城落户农民合法土地权益，鼓励依法自愿有偿转让。完善农业支持保护制度，健全农村金融服务体系。</w:t>
      </w:r>
      <w:r>
        <w:rPr>
          <w:rFonts w:hint="eastAsia" w:ascii="Times New Roman" w:hAnsi="Times New Roman" w:eastAsia="仿宋" w:cs="Times New Roman"/>
          <w:sz w:val="32"/>
          <w:szCs w:val="24"/>
        </w:rPr>
        <w:t>”</w:t>
      </w:r>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w:t>
      </w:r>
      <w:r>
        <w:rPr>
          <w:rFonts w:ascii="Times New Roman" w:hAnsi="Times New Roman" w:eastAsia="仿宋" w:cs="Times New Roman"/>
          <w:sz w:val="32"/>
          <w:szCs w:val="24"/>
        </w:rPr>
        <w:t>中共中央国务院关于做好2023年全面推进乡村振兴重点工作的意见</w:t>
      </w:r>
      <w:r>
        <w:rPr>
          <w:rFonts w:hint="eastAsia" w:ascii="Times New Roman" w:hAnsi="Times New Roman" w:eastAsia="仿宋" w:cs="Times New Roman"/>
          <w:sz w:val="32"/>
          <w:szCs w:val="24"/>
        </w:rPr>
        <w:t>》（202</w:t>
      </w:r>
      <w:r>
        <w:rPr>
          <w:rFonts w:ascii="Times New Roman" w:hAnsi="Times New Roman" w:eastAsia="仿宋" w:cs="Times New Roman"/>
          <w:sz w:val="32"/>
          <w:szCs w:val="24"/>
        </w:rPr>
        <w:t>3</w:t>
      </w:r>
      <w:r>
        <w:rPr>
          <w:rFonts w:hint="eastAsia" w:ascii="Times New Roman" w:hAnsi="Times New Roman" w:eastAsia="仿宋" w:cs="Times New Roman"/>
          <w:sz w:val="32"/>
          <w:szCs w:val="24"/>
        </w:rPr>
        <w:t>年中央1号文件）提出</w:t>
      </w:r>
      <w:r>
        <w:rPr>
          <w:rFonts w:ascii="Times New Roman" w:hAnsi="Times New Roman" w:eastAsia="仿宋" w:cs="Times New Roman"/>
          <w:sz w:val="32"/>
          <w:szCs w:val="24"/>
        </w:rPr>
        <w:t>继续支持创建农业产业强镇、现代农业产业园、优势特色产业集群。支持国家农村产业融合发展示范园建设。深入推进农业现代化示范区建设。实施文化产业赋能乡村振兴计划。实施乡村休闲旅游精品工程，推动乡村民宿提质升级。深入实施“数商兴农”和“互联网+”农产品出村进城工程，鼓励发展农产品电商直采、定制生产等模式，建设农副产品直播电商基地。提升净菜、中央厨房等产业标准化和规范化水平。培育发展预制菜产业。</w:t>
      </w:r>
    </w:p>
    <w:p>
      <w:pPr>
        <w:pStyle w:val="28"/>
        <w:numPr>
          <w:ilvl w:val="2"/>
          <w:numId w:val="1"/>
        </w:numPr>
        <w:ind w:firstLine="643" w:firstLineChars="200"/>
        <w:outlineLvl w:val="2"/>
        <w:rPr>
          <w:rFonts w:ascii="楷体" w:hAnsi="楷体" w:eastAsia="楷体"/>
          <w:b/>
          <w:sz w:val="32"/>
          <w:szCs w:val="32"/>
        </w:rPr>
      </w:pPr>
      <w:bookmarkStart w:id="3" w:name="_Toc815"/>
      <w:r>
        <w:rPr>
          <w:rFonts w:hint="eastAsia" w:ascii="楷体" w:hAnsi="楷体" w:eastAsia="楷体"/>
          <w:b/>
          <w:sz w:val="32"/>
          <w:szCs w:val="32"/>
        </w:rPr>
        <w:t>区域发展背景</w:t>
      </w:r>
      <w:bookmarkEnd w:id="3"/>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辽宁省“十四五”农业现代化规划》中提出为确保按时保质实现辽宁全省农业农村现代化取得重大进展，辽宁省提出坚持稳粮保供、改革创新、开放合作、融合发展等“九个坚持”基本原则，通过深入实施藏粮于地、藏粮于技战略等，稳定提升粮食和重要农产品生产能力。</w:t>
      </w:r>
    </w:p>
    <w:p>
      <w:pPr>
        <w:spacing w:line="360" w:lineRule="auto"/>
        <w:ind w:firstLine="640" w:firstLineChars="200"/>
        <w:rPr>
          <w:rFonts w:ascii="Times New Roman" w:hAnsi="Times New Roman" w:eastAsia="仿宋" w:cs="Times New Roman"/>
          <w:sz w:val="32"/>
        </w:rPr>
      </w:pPr>
      <w:r>
        <w:rPr>
          <w:rFonts w:hint="eastAsia" w:ascii="Times New Roman" w:hAnsi="Times New Roman" w:eastAsia="仿宋" w:cs="Times New Roman"/>
          <w:sz w:val="32"/>
          <w:szCs w:val="24"/>
        </w:rPr>
        <w:t>《辽宁全面振兴新突破三年行动方案（2023—2025年）》</w:t>
      </w:r>
      <w:r>
        <w:rPr>
          <w:rFonts w:hint="eastAsia" w:ascii="Times New Roman" w:hAnsi="Times New Roman" w:eastAsia="仿宋" w:cs="Times New Roman"/>
          <w:sz w:val="32"/>
        </w:rPr>
        <w:t xml:space="preserve"> 中明确“一圈一带两区”建设加快推进，生态环境建设取得扎实成效，社会治理能力不断增强，人民生活品质持续改善，形成营商环境好、创新能力强、区域格局优、生态环境美、开放活力足、幸福指数高的振兴发展新局面，以中国式现代化辽宁实践推动全面振兴取得新突破。积极扩大有效需求，在推动经济增长上实现新突破（全力以赴扩大有效投资、综合施策扩大进出口）；加快产业结构调整，在建设现代化产业体系上实现新突破（提高产业链供应链安全水平、建设食品工业大省、提升园区发展能级）；促进国企民企外企竞相发展，在培育壮大市场主体上实现新突破（发展壮大民营经济）；坚持农业农村优先发展，在全面推进乡村振兴上实现新突破（加快建设农业强省，保障国家粮食安全，壮大县乡经济实力，稳步提高农村居民收入，建设宜居宜业和美乡村）。</w:t>
      </w:r>
    </w:p>
    <w:p>
      <w:pPr>
        <w:pStyle w:val="28"/>
        <w:numPr>
          <w:ilvl w:val="2"/>
          <w:numId w:val="1"/>
        </w:numPr>
        <w:ind w:firstLine="643" w:firstLineChars="200"/>
        <w:outlineLvl w:val="2"/>
        <w:rPr>
          <w:rFonts w:ascii="楷体" w:hAnsi="楷体" w:eastAsia="楷体"/>
          <w:b/>
          <w:sz w:val="32"/>
          <w:szCs w:val="32"/>
        </w:rPr>
      </w:pPr>
      <w:bookmarkStart w:id="4" w:name="_Toc3233"/>
      <w:r>
        <w:rPr>
          <w:rFonts w:hint="eastAsia" w:ascii="楷体" w:hAnsi="楷体" w:eastAsia="楷体"/>
          <w:b/>
          <w:sz w:val="32"/>
          <w:szCs w:val="32"/>
        </w:rPr>
        <w:t>地方</w:t>
      </w:r>
      <w:r>
        <w:rPr>
          <w:rFonts w:ascii="楷体" w:hAnsi="楷体" w:eastAsia="楷体"/>
          <w:b/>
          <w:sz w:val="32"/>
          <w:szCs w:val="32"/>
        </w:rPr>
        <w:t>政策</w:t>
      </w:r>
      <w:r>
        <w:rPr>
          <w:rFonts w:hint="eastAsia" w:ascii="楷体" w:hAnsi="楷体" w:eastAsia="楷体"/>
          <w:b/>
          <w:sz w:val="32"/>
          <w:szCs w:val="32"/>
        </w:rPr>
        <w:t>背景</w:t>
      </w:r>
      <w:bookmarkEnd w:id="4"/>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台安县高新农业产业开发区“十四五”规划》中确立按照“集聚、引领、特色”的产业发展思路，紧紧围绕“农产品加工、生物科技、现代服务业”三大产业定位，加快产业集聚和集群步伐，力争在区域空间重构、配套设施完备、产业迈向高端等方面取得突破，实现核心区内提质扩容，经济效益总量倍增，创新水平行业领先，营商环境区域最优，生态生产生活安全稳定，成为承载产城融合发展的新区域。</w:t>
      </w:r>
    </w:p>
    <w:p>
      <w:pPr>
        <w:pStyle w:val="28"/>
        <w:outlineLvl w:val="1"/>
        <w:rPr>
          <w:rFonts w:ascii="黑体" w:hAnsi="黑体" w:eastAsia="黑体"/>
          <w:sz w:val="32"/>
          <w:szCs w:val="32"/>
        </w:rPr>
      </w:pPr>
      <w:bookmarkStart w:id="5" w:name="_Toc14157"/>
      <w:r>
        <w:rPr>
          <w:rFonts w:hint="eastAsia" w:ascii="黑体" w:hAnsi="黑体" w:eastAsia="黑体"/>
          <w:sz w:val="32"/>
          <w:szCs w:val="32"/>
        </w:rPr>
        <w:t>规划</w:t>
      </w:r>
      <w:r>
        <w:rPr>
          <w:rFonts w:ascii="黑体" w:hAnsi="黑体" w:eastAsia="黑体"/>
          <w:sz w:val="32"/>
          <w:szCs w:val="32"/>
        </w:rPr>
        <w:t>范围</w:t>
      </w:r>
      <w:bookmarkEnd w:id="5"/>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规划区位于台安县中部，园区管辖范围北至台东街道镇南村，南至何谷村与新开河镇区交界处，西至赵家村，东至雷屯村，面积约10平方千米，园区管理飞地位于高力房镇大高力房村，面积约0.49平方千米，总面积约10.49平方千米。2020年11月被省政府确定为省级经济开发区</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批复范围1. 67平方千米</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本次规划范围按照自然资源部已批复的城镇开发边界3.55平方千米。（详见附件1）</w:t>
      </w:r>
    </w:p>
    <w:p>
      <w:pPr>
        <w:pStyle w:val="28"/>
        <w:outlineLvl w:val="1"/>
        <w:rPr>
          <w:rFonts w:ascii="黑体" w:hAnsi="黑体" w:eastAsia="黑体"/>
          <w:sz w:val="32"/>
          <w:szCs w:val="32"/>
        </w:rPr>
      </w:pPr>
      <w:bookmarkStart w:id="6" w:name="_Toc2479"/>
      <w:r>
        <w:rPr>
          <w:rFonts w:hint="eastAsia" w:ascii="黑体" w:hAnsi="黑体" w:eastAsia="黑体"/>
          <w:sz w:val="32"/>
          <w:szCs w:val="32"/>
        </w:rPr>
        <w:t>规划</w:t>
      </w:r>
      <w:r>
        <w:rPr>
          <w:rFonts w:ascii="黑体" w:hAnsi="黑体" w:eastAsia="黑体"/>
          <w:sz w:val="32"/>
          <w:szCs w:val="32"/>
        </w:rPr>
        <w:t>期限</w:t>
      </w:r>
      <w:bookmarkEnd w:id="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规划期限为202</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-2035年，其中近期为202</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-2025年，中期为202</w:t>
      </w:r>
      <w:r>
        <w:rPr>
          <w:rFonts w:hint="eastAsia" w:ascii="Times New Roman" w:hAnsi="Times New Roman" w:eastAsia="仿宋" w:cs="Times New Roman"/>
          <w:sz w:val="32"/>
          <w:lang w:val="en-US" w:eastAsia="zh-CN"/>
        </w:rPr>
        <w:t>6</w:t>
      </w:r>
      <w:r>
        <w:rPr>
          <w:rFonts w:hint="eastAsia" w:ascii="Times New Roman" w:hAnsi="Times New Roman" w:eastAsia="仿宋" w:cs="Times New Roman"/>
          <w:sz w:val="32"/>
        </w:rPr>
        <w:t>-2030年，远期为203</w:t>
      </w:r>
      <w:r>
        <w:rPr>
          <w:rFonts w:hint="eastAsia" w:ascii="Times New Roman" w:hAnsi="Times New Roman" w:eastAsia="仿宋" w:cs="Times New Roman"/>
          <w:sz w:val="32"/>
          <w:lang w:val="en-US" w:eastAsia="zh-CN"/>
        </w:rPr>
        <w:t>1</w:t>
      </w:r>
      <w:r>
        <w:rPr>
          <w:rFonts w:hint="eastAsia" w:ascii="Times New Roman" w:hAnsi="Times New Roman" w:eastAsia="仿宋" w:cs="Times New Roman"/>
          <w:sz w:val="32"/>
        </w:rPr>
        <w:t>-2035年，远景展望至2050年。</w:t>
      </w:r>
    </w:p>
    <w:p>
      <w:pPr>
        <w:pStyle w:val="28"/>
        <w:rPr>
          <w:rFonts w:ascii="黑体" w:hAnsi="黑体" w:eastAsia="黑体"/>
          <w:sz w:val="32"/>
          <w:szCs w:val="32"/>
        </w:rPr>
      </w:pPr>
      <w:r>
        <w:rPr>
          <w:rFonts w:hint="eastAsia" w:ascii="黑体" w:hAnsi="黑体" w:eastAsia="黑体"/>
          <w:sz w:val="32"/>
          <w:szCs w:val="32"/>
        </w:rPr>
        <w:t>规划</w:t>
      </w:r>
      <w:r>
        <w:rPr>
          <w:rFonts w:ascii="黑体" w:hAnsi="黑体" w:eastAsia="黑体"/>
          <w:sz w:val="32"/>
          <w:szCs w:val="32"/>
        </w:rPr>
        <w:t>依据</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《中华人民共和国国民经济和社会发展“十四五”规划》；</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《全国农业可持续发展规划（2015-2030年）》；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中共中央国务院《乡村振兴战略规划（2018-2022年）》；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中共中央国务院《关于深入推进农业供给侧结构性改革加快培育农业农村发展新动能的若干意见》；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中共中央国务院《关于印发全国主体功能区规划的通知》（国发〔2010〕46号）》；</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中共中央国务院《关于做好2023年全面推进乡村振兴重点工作的意见》（2023年中央1号文件）；</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中共中央国务院《关于促进乡村产业振兴的指导意见》；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中共中央国务院《关于全面推进乡村振兴加快农业农村现代化的意见》；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中共中央办公厅国务院办公厅《数字乡村发展战略纲要》；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农业农村部《全国乡村产业发展规划(2020-2025年)》；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农业农村部财政部《2021年重点强农惠农政策》；</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农业农村部、中央网络安全和信息化委员会办公室《数字农业农村发展规划（2019—2025年）》；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农业农村部《乡村振兴科技支撑行动实施方案》；</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《辽宁省国民经济和社会发展第十四个五年规划和2035年远景目标纲要》；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《辽宁省“十四五”农业农村现代化规划》；</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《辽宁省乡村振兴战略规划（2018-2022年）》；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w:t>
      </w:r>
      <w:r>
        <w:rPr>
          <w:rFonts w:hint="eastAsia" w:ascii="Times New Roman" w:hAnsi="Times New Roman" w:eastAsia="仿宋" w:cs="Times New Roman"/>
          <w:kern w:val="2"/>
          <w:sz w:val="32"/>
          <w:szCs w:val="22"/>
          <w:lang w:val="en-US" w:eastAsia="zh-CN" w:bidi="ar-SA"/>
        </w:rPr>
        <w:fldChar w:fldCharType="begin"/>
      </w:r>
      <w:r>
        <w:rPr>
          <w:rFonts w:hint="eastAsia" w:ascii="Times New Roman" w:hAnsi="Times New Roman" w:eastAsia="仿宋" w:cs="Times New Roman"/>
          <w:kern w:val="2"/>
          <w:sz w:val="32"/>
          <w:szCs w:val="22"/>
          <w:lang w:val="en-US" w:eastAsia="zh-CN" w:bidi="ar-SA"/>
        </w:rPr>
        <w:instrText xml:space="preserve"> HYPERLINK "http://www.baidu.com/link?url=dnkMYkLHf2U03cY_FDk4KhwVWE49v3vedszhweI-U_AjBjbpOX_TtXnGIPHe0SwQosQv2IOr-30Dbob2zMgedq" \t "_blank" </w:instrText>
      </w:r>
      <w:r>
        <w:rPr>
          <w:rFonts w:hint="eastAsia" w:ascii="Times New Roman" w:hAnsi="Times New Roman" w:eastAsia="仿宋" w:cs="Times New Roman"/>
          <w:kern w:val="2"/>
          <w:sz w:val="32"/>
          <w:szCs w:val="22"/>
          <w:lang w:val="en-US" w:eastAsia="zh-CN" w:bidi="ar-SA"/>
        </w:rPr>
        <w:fldChar w:fldCharType="separate"/>
      </w:r>
      <w:r>
        <w:rPr>
          <w:rFonts w:hint="eastAsia" w:ascii="Times New Roman" w:hAnsi="Times New Roman" w:eastAsia="仿宋" w:cs="Times New Roman"/>
          <w:kern w:val="2"/>
          <w:sz w:val="32"/>
          <w:szCs w:val="22"/>
          <w:lang w:val="en-US" w:eastAsia="zh-CN" w:bidi="ar-SA"/>
        </w:rPr>
        <w:t>辽宁省关于促进乡村产业振兴的实施意见</w:t>
      </w:r>
      <w:r>
        <w:rPr>
          <w:rFonts w:hint="eastAsia" w:ascii="Times New Roman" w:hAnsi="Times New Roman" w:eastAsia="仿宋" w:cs="Times New Roman"/>
          <w:kern w:val="2"/>
          <w:sz w:val="32"/>
          <w:szCs w:val="22"/>
          <w:lang w:val="en-US" w:eastAsia="zh-CN" w:bidi="ar-SA"/>
        </w:rPr>
        <w:fldChar w:fldCharType="end"/>
      </w:r>
      <w:r>
        <w:rPr>
          <w:rFonts w:hint="eastAsia" w:ascii="Times New Roman" w:hAnsi="Times New Roman" w:eastAsia="仿宋" w:cs="Times New Roman"/>
          <w:kern w:val="2"/>
          <w:sz w:val="32"/>
          <w:szCs w:val="22"/>
          <w:lang w:val="en-US" w:eastAsia="zh-CN" w:bidi="ar-SA"/>
        </w:rPr>
        <w:t>》（辽政发〔2019〕27号)）</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《辽宁全面振兴新突破三年行动方案（2023—2025年）》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《辽宁省开发区条例》</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《台安县国民经济和社会发展第十四个五年（2021-2025年）规划纲要》</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《台安县国土空间空间总体规划（2021-2035年）》</w:t>
      </w:r>
    </w:p>
    <w:p>
      <w:pPr>
        <w:pStyle w:val="31"/>
        <w:numPr>
          <w:ilvl w:val="0"/>
          <w:numId w:val="3"/>
        </w:numPr>
        <w:spacing w:line="360" w:lineRule="auto"/>
        <w:ind w:left="0" w:firstLine="198" w:firstLineChars="0"/>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《台安县高新农业产业开发区“十四五”规划》</w:t>
      </w:r>
    </w:p>
    <w:p>
      <w:pPr>
        <w:widowControl/>
        <w:jc w:val="left"/>
        <w:rPr>
          <w:rFonts w:ascii="黑体" w:hAnsi="黑体" w:eastAsia="黑体"/>
          <w:sz w:val="44"/>
          <w:szCs w:val="44"/>
        </w:rPr>
      </w:pPr>
      <w:r>
        <w:rPr>
          <w:rFonts w:ascii="黑体" w:hAnsi="黑体" w:eastAsia="黑体"/>
          <w:sz w:val="44"/>
          <w:szCs w:val="44"/>
        </w:rPr>
        <w:br w:type="page"/>
      </w:r>
    </w:p>
    <w:p>
      <w:pPr>
        <w:pStyle w:val="27"/>
        <w:jc w:val="center"/>
        <w:outlineLvl w:val="0"/>
        <w:rPr>
          <w:rFonts w:ascii="黑体" w:hAnsi="黑体" w:eastAsia="黑体"/>
          <w:sz w:val="44"/>
          <w:szCs w:val="44"/>
        </w:rPr>
      </w:pPr>
      <w:bookmarkStart w:id="7" w:name="_Toc25861"/>
      <w:r>
        <w:rPr>
          <w:rFonts w:hint="eastAsia" w:ascii="黑体" w:hAnsi="黑体" w:eastAsia="黑体"/>
          <w:sz w:val="44"/>
          <w:szCs w:val="44"/>
        </w:rPr>
        <w:t>基础</w:t>
      </w:r>
      <w:r>
        <w:rPr>
          <w:rFonts w:ascii="黑体" w:hAnsi="黑体" w:eastAsia="黑体"/>
          <w:sz w:val="44"/>
          <w:szCs w:val="44"/>
        </w:rPr>
        <w:t>条件分析</w:t>
      </w:r>
      <w:bookmarkEnd w:id="7"/>
    </w:p>
    <w:p>
      <w:pPr>
        <w:pStyle w:val="28"/>
        <w:outlineLvl w:val="1"/>
        <w:rPr>
          <w:rFonts w:ascii="黑体" w:hAnsi="黑体" w:eastAsia="黑体"/>
          <w:sz w:val="32"/>
          <w:szCs w:val="32"/>
        </w:rPr>
      </w:pPr>
      <w:bookmarkStart w:id="8" w:name="_Toc16000"/>
      <w:r>
        <w:rPr>
          <w:rFonts w:hint="eastAsia" w:ascii="黑体" w:hAnsi="黑体" w:eastAsia="黑体"/>
          <w:sz w:val="32"/>
          <w:szCs w:val="32"/>
        </w:rPr>
        <w:t>发展</w:t>
      </w:r>
      <w:r>
        <w:rPr>
          <w:rFonts w:ascii="黑体" w:hAnsi="黑体" w:eastAsia="黑体"/>
          <w:sz w:val="32"/>
          <w:szCs w:val="32"/>
        </w:rPr>
        <w:t>现状</w:t>
      </w:r>
      <w:bookmarkEnd w:id="8"/>
    </w:p>
    <w:p>
      <w:pPr>
        <w:pStyle w:val="28"/>
        <w:numPr>
          <w:ilvl w:val="2"/>
          <w:numId w:val="1"/>
        </w:numPr>
        <w:ind w:firstLine="643" w:firstLineChars="200"/>
        <w:outlineLvl w:val="2"/>
        <w:rPr>
          <w:rFonts w:ascii="楷体" w:hAnsi="楷体" w:eastAsia="楷体"/>
          <w:b/>
          <w:sz w:val="32"/>
          <w:szCs w:val="32"/>
        </w:rPr>
      </w:pPr>
      <w:bookmarkStart w:id="9" w:name="_Toc1739"/>
      <w:r>
        <w:rPr>
          <w:rFonts w:hint="eastAsia" w:ascii="楷体" w:hAnsi="楷体" w:eastAsia="楷体"/>
          <w:b/>
          <w:sz w:val="32"/>
          <w:szCs w:val="32"/>
        </w:rPr>
        <w:t>区域</w:t>
      </w:r>
      <w:r>
        <w:rPr>
          <w:rFonts w:ascii="楷体" w:hAnsi="楷体" w:eastAsia="楷体"/>
          <w:b/>
          <w:sz w:val="32"/>
          <w:szCs w:val="32"/>
        </w:rPr>
        <w:t>交通分析</w:t>
      </w:r>
      <w:bookmarkEnd w:id="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便捷交通优势明显。规划区距京沈高速公路台安出入口处仅9公里，距离盘锦港、营口港、锦州港均不足100公里，距大连港300公里，货物运输十分方便；拟建高速公路鞍台高速、火渤铁路过境穿过，也为开发区未来的发展提供了新契机。北侧为台安县城。毗邻县城经济政治中心区，规划区距离台安县城4.8公里，依托县城经济建设发展壮大园区；南侧为新开河机场。鞍山市第一个通用机场，规划区距离新开河机场2.6公里，为人员、产品、信息交流提供快捷交通保障；西北侧为经开区。规划区距离经开区8.8公里，依托经开区项目包保、产学研、物流、职工培训等服务体系，形成错位发展，实现优势互补，全方位引领规划区内企业发展壮大；东南侧为鞍山市区。规划区距离鞍山市区56公里，基于《鞍山市产业用地政策实施指引》等相关政策确保规划区产业发展。</w:t>
      </w:r>
    </w:p>
    <w:p>
      <w:pPr>
        <w:spacing w:line="360" w:lineRule="auto"/>
        <w:ind w:firstLine="420" w:firstLineChars="200"/>
        <w:jc w:val="center"/>
        <w:rPr>
          <w:rFonts w:ascii="Times New Roman" w:hAnsi="Times New Roman" w:eastAsia="仿宋" w:cs="Times New Roman"/>
          <w:sz w:val="32"/>
          <w:szCs w:val="24"/>
        </w:rPr>
      </w:pPr>
      <w:r>
        <w:drawing>
          <wp:inline distT="0" distB="0" distL="0" distR="0">
            <wp:extent cx="5003165" cy="358838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t="1" r="1264" b="938"/>
                    <a:stretch>
                      <a:fillRect/>
                    </a:stretch>
                  </pic:blipFill>
                  <pic:spPr>
                    <a:xfrm>
                      <a:off x="0" y="0"/>
                      <a:ext cx="5017395" cy="3598796"/>
                    </a:xfrm>
                    <a:prstGeom prst="rect">
                      <a:avLst/>
                    </a:prstGeom>
                    <a:ln>
                      <a:noFill/>
                    </a:ln>
                  </pic:spPr>
                </pic:pic>
              </a:graphicData>
            </a:graphic>
          </wp:inline>
        </w:drawing>
      </w:r>
    </w:p>
    <w:p>
      <w:pPr>
        <w:pStyle w:val="28"/>
        <w:numPr>
          <w:ilvl w:val="0"/>
          <w:numId w:val="0"/>
        </w:numPr>
        <w:jc w:val="center"/>
        <w:outlineLvl w:val="2"/>
        <w:rPr>
          <w:rFonts w:ascii="楷体" w:hAnsi="楷体" w:eastAsia="楷体"/>
          <w:b/>
          <w:sz w:val="22"/>
          <w:szCs w:val="32"/>
        </w:rPr>
      </w:pPr>
      <w:bookmarkStart w:id="10" w:name="_Toc10790"/>
      <w:r>
        <w:rPr>
          <w:rFonts w:hint="eastAsia" w:ascii="楷体" w:hAnsi="楷体" w:eastAsia="楷体"/>
          <w:b/>
          <w:sz w:val="22"/>
          <w:szCs w:val="32"/>
        </w:rPr>
        <w:t>图1 规划区</w:t>
      </w:r>
      <w:r>
        <w:rPr>
          <w:rFonts w:ascii="楷体" w:hAnsi="楷体" w:eastAsia="楷体"/>
          <w:b/>
          <w:sz w:val="22"/>
          <w:szCs w:val="32"/>
        </w:rPr>
        <w:t>区位图</w:t>
      </w:r>
      <w:bookmarkEnd w:id="10"/>
    </w:p>
    <w:p>
      <w:pPr>
        <w:pStyle w:val="28"/>
        <w:numPr>
          <w:ilvl w:val="2"/>
          <w:numId w:val="1"/>
        </w:numPr>
        <w:ind w:firstLine="643" w:firstLineChars="200"/>
        <w:outlineLvl w:val="2"/>
        <w:rPr>
          <w:rFonts w:ascii="楷体" w:hAnsi="楷体" w:eastAsia="楷体"/>
          <w:b/>
          <w:sz w:val="32"/>
          <w:szCs w:val="32"/>
        </w:rPr>
      </w:pPr>
      <w:bookmarkStart w:id="11" w:name="_Toc7184"/>
      <w:r>
        <w:rPr>
          <w:rFonts w:hint="eastAsia" w:ascii="楷体" w:hAnsi="楷体" w:eastAsia="楷体"/>
          <w:b/>
          <w:sz w:val="32"/>
          <w:szCs w:val="32"/>
        </w:rPr>
        <w:t>土地</w:t>
      </w:r>
      <w:r>
        <w:rPr>
          <w:rFonts w:ascii="楷体" w:hAnsi="楷体" w:eastAsia="楷体"/>
          <w:b/>
          <w:sz w:val="32"/>
          <w:szCs w:val="32"/>
        </w:rPr>
        <w:t>利用现状</w:t>
      </w:r>
      <w:bookmarkEnd w:id="11"/>
    </w:p>
    <w:p>
      <w:pPr>
        <w:spacing w:line="360" w:lineRule="auto"/>
        <w:ind w:firstLine="640" w:firstLineChars="200"/>
        <w:rPr>
          <w:rFonts w:hint="eastAsia" w:ascii="Times New Roman" w:hAnsi="Times New Roman" w:eastAsia="仿宋" w:cs="Times New Roman"/>
          <w:sz w:val="32"/>
          <w:lang w:eastAsia="zh-CN"/>
        </w:rPr>
      </w:pPr>
      <w:r>
        <w:rPr>
          <w:rFonts w:hint="eastAsia" w:ascii="Times New Roman" w:hAnsi="Times New Roman" w:eastAsia="仿宋" w:cs="Times New Roman"/>
          <w:sz w:val="32"/>
        </w:rPr>
        <w:t>建设用地与非建设用地交错。规划区内现状土地以农用地为主，面积为194.13公顷，占比为54.68%；建设用地面积159.22公顷，占比44.85%；其中工矿用地面积为99.92公顷，占比为28.15%；居住用地面积为24.20公顷，占比为6.82%；交通运输用地面积为22.82公顷，占比为6.43%。仓储用地面积为3.67公顷，占比为1.03%，公用设施用地面积为3.91公顷，占比为1.1%；规划区内未利用土地1.65公顷，占比0.46%</w:t>
      </w:r>
      <w:r>
        <w:rPr>
          <w:rFonts w:hint="eastAsia" w:ascii="Times New Roman" w:hAnsi="Times New Roman" w:eastAsia="仿宋" w:cs="Times New Roman"/>
          <w:sz w:val="32"/>
          <w:lang w:eastAsia="zh-CN"/>
        </w:rPr>
        <w:t>。</w:t>
      </w:r>
    </w:p>
    <w:p>
      <w:pPr>
        <w:spacing w:line="360" w:lineRule="auto"/>
        <w:ind w:firstLine="420" w:firstLineChars="200"/>
        <w:jc w:val="center"/>
        <w:rPr>
          <w:rFonts w:ascii="Times New Roman" w:hAnsi="Times New Roman" w:eastAsia="仿宋" w:cs="Times New Roman"/>
          <w:sz w:val="32"/>
          <w:szCs w:val="24"/>
        </w:rPr>
      </w:pPr>
      <w:r>
        <w:drawing>
          <wp:inline distT="0" distB="0" distL="0" distR="0">
            <wp:extent cx="4826635" cy="4624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833199" cy="4631283"/>
                    </a:xfrm>
                    <a:prstGeom prst="rect">
                      <a:avLst/>
                    </a:prstGeom>
                  </pic:spPr>
                </pic:pic>
              </a:graphicData>
            </a:graphic>
          </wp:inline>
        </w:drawing>
      </w:r>
    </w:p>
    <w:p>
      <w:pPr>
        <w:pStyle w:val="28"/>
        <w:numPr>
          <w:ilvl w:val="0"/>
          <w:numId w:val="0"/>
        </w:numPr>
        <w:jc w:val="center"/>
        <w:outlineLvl w:val="2"/>
        <w:rPr>
          <w:rFonts w:ascii="楷体" w:hAnsi="楷体" w:eastAsia="楷体"/>
          <w:b/>
          <w:sz w:val="22"/>
          <w:szCs w:val="32"/>
        </w:rPr>
      </w:pPr>
      <w:bookmarkStart w:id="12" w:name="_Toc82"/>
      <w:r>
        <w:rPr>
          <w:rFonts w:hint="eastAsia" w:ascii="楷体" w:hAnsi="楷体" w:eastAsia="楷体"/>
          <w:b/>
          <w:sz w:val="22"/>
          <w:szCs w:val="32"/>
        </w:rPr>
        <w:t>图2 土地利用现状图</w:t>
      </w:r>
      <w:bookmarkEnd w:id="12"/>
    </w:p>
    <w:p>
      <w:pPr>
        <w:spacing w:line="360" w:lineRule="auto"/>
        <w:ind w:firstLine="640" w:firstLineChars="200"/>
        <w:rPr>
          <w:rFonts w:ascii="Times New Roman" w:hAnsi="Times New Roman" w:eastAsia="仿宋" w:cs="Times New Roman"/>
          <w:sz w:val="32"/>
          <w:szCs w:val="24"/>
        </w:rPr>
      </w:pPr>
    </w:p>
    <w:p>
      <w:pPr>
        <w:pStyle w:val="28"/>
        <w:numPr>
          <w:ilvl w:val="0"/>
          <w:numId w:val="0"/>
        </w:numPr>
        <w:jc w:val="center"/>
        <w:outlineLvl w:val="2"/>
        <w:rPr>
          <w:rFonts w:ascii="楷体" w:hAnsi="楷体" w:eastAsia="楷体"/>
          <w:b/>
          <w:sz w:val="22"/>
          <w:szCs w:val="32"/>
        </w:rPr>
      </w:pPr>
      <w:bookmarkStart w:id="13" w:name="_Toc129090603"/>
      <w:bookmarkStart w:id="14" w:name="_Toc31677"/>
      <w:r>
        <w:rPr>
          <w:rFonts w:hint="eastAsia" w:ascii="楷体" w:hAnsi="楷体" w:eastAsia="楷体"/>
          <w:b/>
          <w:sz w:val="22"/>
          <w:szCs w:val="32"/>
        </w:rPr>
        <w:t>表</w:t>
      </w:r>
      <w:r>
        <w:rPr>
          <w:rFonts w:ascii="楷体" w:hAnsi="楷体" w:eastAsia="楷体"/>
          <w:b/>
          <w:sz w:val="22"/>
          <w:szCs w:val="32"/>
        </w:rPr>
        <w:t>1</w:t>
      </w:r>
      <w:r>
        <w:rPr>
          <w:rFonts w:hint="eastAsia" w:ascii="楷体" w:hAnsi="楷体" w:eastAsia="楷体"/>
          <w:b/>
          <w:sz w:val="22"/>
          <w:szCs w:val="32"/>
        </w:rPr>
        <w:t>现状</w:t>
      </w:r>
      <w:r>
        <w:rPr>
          <w:rFonts w:ascii="楷体" w:hAnsi="楷体" w:eastAsia="楷体"/>
          <w:b/>
          <w:sz w:val="22"/>
          <w:szCs w:val="32"/>
        </w:rPr>
        <w:t>土地利用一览表</w:t>
      </w:r>
      <w:bookmarkEnd w:id="13"/>
      <w:bookmarkEnd w:id="14"/>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4"/>
        <w:gridCol w:w="2601"/>
        <w:gridCol w:w="260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b/>
                <w:bCs/>
                <w:szCs w:val="21"/>
              </w:rPr>
              <w:t>三调地类</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b/>
                <w:bCs/>
                <w:szCs w:val="21"/>
              </w:rPr>
              <w:t>一级分类</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b/>
                <w:bCs/>
                <w:szCs w:val="21"/>
              </w:rPr>
              <w:t>面积（公顷）</w:t>
            </w:r>
          </w:p>
        </w:tc>
        <w:tc>
          <w:tcPr>
            <w:tcW w:w="784"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b/>
                <w:bCs/>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restar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耕地</w:t>
            </w: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160.84</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45.31%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园地</w:t>
            </w: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5.58</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林地</w:t>
            </w: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10.02</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其他农用地</w:t>
            </w: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17.69</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restar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建设用地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居住用地</w:t>
            </w: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24.20</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公共管理与公共服务用地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1.69</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商业服务业用地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2.43</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工矿用地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99.92</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28.15%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仓储用地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3.67</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交通运输用地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22.82</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公用设施用地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3.91</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vMerge w:val="continue"/>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1513"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特殊用地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0.58</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未利用地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草地</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1.65</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90"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合计</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1513" w:type="pct"/>
            <w:shd w:val="clear" w:color="auto" w:fill="FFFFFF" w:themeFill="background1"/>
            <w:tcMar>
              <w:top w:w="72" w:type="dxa"/>
              <w:left w:w="144" w:type="dxa"/>
              <w:bottom w:w="72" w:type="dxa"/>
              <w:right w:w="14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355.00</w:t>
            </w:r>
          </w:p>
        </w:tc>
        <w:tc>
          <w:tcPr>
            <w:tcW w:w="784" w:type="pct"/>
            <w:shd w:val="clear" w:color="auto" w:fill="FFFFFF" w:themeFill="background1"/>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100.00%</w:t>
            </w:r>
          </w:p>
        </w:tc>
      </w:tr>
    </w:tbl>
    <w:p>
      <w:pPr>
        <w:pStyle w:val="28"/>
        <w:numPr>
          <w:ilvl w:val="2"/>
          <w:numId w:val="1"/>
        </w:numPr>
        <w:ind w:firstLine="643" w:firstLineChars="200"/>
        <w:outlineLvl w:val="2"/>
        <w:rPr>
          <w:rFonts w:ascii="楷体" w:hAnsi="楷体" w:eastAsia="楷体"/>
          <w:b/>
          <w:sz w:val="32"/>
          <w:szCs w:val="32"/>
        </w:rPr>
      </w:pPr>
      <w:bookmarkStart w:id="15" w:name="_Toc20057"/>
      <w:r>
        <w:rPr>
          <w:rFonts w:hint="eastAsia" w:ascii="楷体" w:hAnsi="楷体" w:eastAsia="楷体"/>
          <w:b/>
          <w:sz w:val="32"/>
          <w:szCs w:val="32"/>
        </w:rPr>
        <w:t>产业</w:t>
      </w:r>
      <w:r>
        <w:rPr>
          <w:rFonts w:ascii="楷体" w:hAnsi="楷体" w:eastAsia="楷体"/>
          <w:b/>
          <w:sz w:val="32"/>
          <w:szCs w:val="32"/>
        </w:rPr>
        <w:t>发展现状</w:t>
      </w:r>
      <w:bookmarkEnd w:id="15"/>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产业经济稳步上升。规划区202</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年实现产值</w:t>
      </w:r>
      <w:r>
        <w:rPr>
          <w:rFonts w:hint="eastAsia" w:ascii="Times New Roman" w:hAnsi="Times New Roman" w:eastAsia="仿宋" w:cs="Times New Roman"/>
          <w:sz w:val="32"/>
          <w:lang w:val="en-US" w:eastAsia="zh-CN"/>
        </w:rPr>
        <w:t>113</w:t>
      </w:r>
      <w:r>
        <w:rPr>
          <w:rFonts w:hint="eastAsia" w:ascii="Times New Roman" w:hAnsi="Times New Roman" w:eastAsia="仿宋" w:cs="Times New Roman"/>
          <w:sz w:val="32"/>
        </w:rPr>
        <w:t>亿元，税收</w:t>
      </w:r>
      <w:r>
        <w:rPr>
          <w:rFonts w:hint="eastAsia" w:ascii="Times New Roman" w:hAnsi="Times New Roman" w:eastAsia="仿宋" w:cs="Times New Roman"/>
          <w:sz w:val="32"/>
          <w:lang w:val="en-US" w:eastAsia="zh-CN"/>
        </w:rPr>
        <w:t>1.59</w:t>
      </w:r>
      <w:r>
        <w:rPr>
          <w:rFonts w:hint="eastAsia" w:ascii="Times New Roman" w:hAnsi="Times New Roman" w:eastAsia="仿宋" w:cs="Times New Roman"/>
          <w:sz w:val="32"/>
        </w:rPr>
        <w:t>亿元，带动就业人口近万余人。发展成为全省一流食品加工集聚区。规划区依托台安及周边地区丰富的农产品资源，以食品加工、生物科技、现代服务业做为主导产业的省级高新农业技术产业基地。</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区范围内高新技术企业数量1家，即辽宁星源食品有限公司，园区主导产业为农产品加工、生物科技和现代服务业。行业分布主要有畜禽屠宰加工、蛋制品加工、肉制品加工、水产品加工、蔬菜加工、饲料加工、饮料加工、印刷包装类及仓储物流等。</w:t>
      </w:r>
    </w:p>
    <w:p>
      <w:pPr>
        <w:pStyle w:val="28"/>
        <w:numPr>
          <w:ilvl w:val="2"/>
          <w:numId w:val="1"/>
        </w:numPr>
        <w:ind w:firstLine="643" w:firstLineChars="200"/>
        <w:outlineLvl w:val="2"/>
        <w:rPr>
          <w:rFonts w:ascii="楷体" w:hAnsi="楷体" w:eastAsia="楷体"/>
          <w:b/>
          <w:sz w:val="32"/>
          <w:szCs w:val="32"/>
        </w:rPr>
      </w:pPr>
      <w:bookmarkStart w:id="16" w:name="_Toc3995"/>
      <w:r>
        <w:rPr>
          <w:rFonts w:hint="eastAsia" w:ascii="楷体" w:hAnsi="楷体" w:eastAsia="楷体"/>
          <w:b/>
          <w:sz w:val="32"/>
          <w:szCs w:val="32"/>
        </w:rPr>
        <w:t>基础</w:t>
      </w:r>
      <w:r>
        <w:rPr>
          <w:rFonts w:ascii="楷体" w:hAnsi="楷体" w:eastAsia="楷体"/>
          <w:b/>
          <w:sz w:val="32"/>
          <w:szCs w:val="32"/>
        </w:rPr>
        <w:t>设施现状</w:t>
      </w:r>
      <w:bookmarkEnd w:id="1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设施骨架基本构建。规划区内部及周边道路体系基本形成，同时市政基础设施方面基本完善，为未来规划区内企业发展壮大及运输服务开展提供保障。</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道路交通方面规划区内现有城市主干路一条为S307鞍羊线，连接台安县城与鞍山市区；城市次干路一条为管屯路，目前等级为规划区内部干道；城市支路八条，主要连接规划区与周边各村屯。</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市政设施方面规划区内现状存在一座污水处理厂，位于规划区北部；现状燃气设施为台安县奥德燃气有限公司，位于规划区东北角鞍羊线东侧；现状加气站两处，一处为北规划区部中石化加油站，规划区北侧的为LPG鞍山台安县宇阳加气站位。</w:t>
      </w:r>
    </w:p>
    <w:p>
      <w:pPr>
        <w:spacing w:line="360" w:lineRule="auto"/>
        <w:ind w:firstLine="420" w:firstLineChars="200"/>
        <w:jc w:val="center"/>
        <w:rPr>
          <w:rFonts w:ascii="Times New Roman" w:hAnsi="Times New Roman" w:eastAsia="仿宋" w:cs="Times New Roman"/>
          <w:sz w:val="32"/>
          <w:szCs w:val="24"/>
        </w:rPr>
      </w:pPr>
      <w:r>
        <w:drawing>
          <wp:inline distT="0" distB="0" distL="114300" distR="114300">
            <wp:extent cx="4756785" cy="49510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4756785" cy="4951095"/>
                    </a:xfrm>
                    <a:prstGeom prst="rect">
                      <a:avLst/>
                    </a:prstGeom>
                    <a:noFill/>
                    <a:ln>
                      <a:noFill/>
                    </a:ln>
                  </pic:spPr>
                </pic:pic>
              </a:graphicData>
            </a:graphic>
          </wp:inline>
        </w:drawing>
      </w:r>
    </w:p>
    <w:p>
      <w:pPr>
        <w:pStyle w:val="28"/>
        <w:numPr>
          <w:ilvl w:val="0"/>
          <w:numId w:val="0"/>
        </w:numPr>
        <w:jc w:val="center"/>
        <w:outlineLvl w:val="2"/>
        <w:rPr>
          <w:rFonts w:ascii="楷体" w:hAnsi="楷体" w:eastAsia="楷体"/>
          <w:b/>
          <w:sz w:val="22"/>
          <w:szCs w:val="32"/>
        </w:rPr>
      </w:pPr>
      <w:bookmarkStart w:id="17" w:name="_Toc18821"/>
      <w:r>
        <w:rPr>
          <w:rFonts w:hint="eastAsia" w:ascii="楷体" w:hAnsi="楷体" w:eastAsia="楷体"/>
          <w:b/>
          <w:sz w:val="22"/>
          <w:szCs w:val="32"/>
        </w:rPr>
        <w:t>图3 基础</w:t>
      </w:r>
      <w:r>
        <w:rPr>
          <w:rFonts w:ascii="楷体" w:hAnsi="楷体" w:eastAsia="楷体"/>
          <w:b/>
          <w:sz w:val="22"/>
          <w:szCs w:val="32"/>
        </w:rPr>
        <w:t>设施现状图</w:t>
      </w:r>
      <w:bookmarkEnd w:id="17"/>
    </w:p>
    <w:p>
      <w:pPr>
        <w:pStyle w:val="28"/>
        <w:outlineLvl w:val="1"/>
        <w:rPr>
          <w:rFonts w:ascii="黑体" w:hAnsi="黑体" w:eastAsia="黑体"/>
          <w:sz w:val="32"/>
          <w:szCs w:val="32"/>
        </w:rPr>
      </w:pPr>
      <w:bookmarkStart w:id="18" w:name="_Toc26599"/>
      <w:r>
        <w:rPr>
          <w:rFonts w:hint="eastAsia" w:ascii="黑体" w:hAnsi="黑体" w:eastAsia="黑体"/>
          <w:sz w:val="32"/>
          <w:szCs w:val="32"/>
        </w:rPr>
        <w:t>条件</w:t>
      </w:r>
      <w:r>
        <w:rPr>
          <w:rFonts w:ascii="黑体" w:hAnsi="黑体" w:eastAsia="黑体"/>
          <w:sz w:val="32"/>
          <w:szCs w:val="32"/>
        </w:rPr>
        <w:t>分析</w:t>
      </w:r>
      <w:bookmarkEnd w:id="18"/>
    </w:p>
    <w:p>
      <w:pPr>
        <w:pStyle w:val="28"/>
        <w:numPr>
          <w:ilvl w:val="2"/>
          <w:numId w:val="1"/>
        </w:numPr>
        <w:ind w:firstLine="643" w:firstLineChars="200"/>
        <w:outlineLvl w:val="2"/>
        <w:rPr>
          <w:rFonts w:ascii="楷体" w:hAnsi="楷体" w:eastAsia="楷体"/>
          <w:b/>
          <w:sz w:val="32"/>
          <w:szCs w:val="32"/>
        </w:rPr>
      </w:pPr>
      <w:bookmarkStart w:id="19" w:name="_Toc6349"/>
      <w:r>
        <w:rPr>
          <w:rFonts w:hint="eastAsia" w:ascii="楷体" w:hAnsi="楷体" w:eastAsia="楷体"/>
          <w:b/>
          <w:sz w:val="32"/>
          <w:szCs w:val="32"/>
        </w:rPr>
        <w:t>发展优势</w:t>
      </w:r>
      <w:bookmarkEnd w:id="1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战略优势叠加、区位优势明显。辽宁台安高新农业产业开发区及周边地区处于“一带一路”国家战略中辽宁省“辽蒙欧”通道起点，同时是辽宁沿海经济发展带、环渤海经济圈、大沈阳经济区等“国家级战略”的叠加辐射区域，地理位置优越，区位优势明显。</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农业产业基础扎实、经济发展稳健。优势产业布局完备：辽宁台安高新农业产业开发区及周边地区目前以农村副产品精深加工为主导，规划区内肉鸡、生猪、蔬菜全产业链布局完备；龙头企业带头引领：以安井、禾丰、好味道、九股河食品有限公司等农产品深加工企业为代表，为农业园全产业链发展奠定了坚实基础。以隆瑞塑料包装、鑫安源包装等关联产业项目，保障了农产品冷链物流等生产性服务业与主导产业协同发展；中试基地建设：台安县研发出以食品安全智能生产为目标的预制调理禽类肉制品智能加工与品质提升的关键技术体系，打造出禽肉生产产业链智能化生产新模式；经济稳步增长：202</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年，农开区营业收入</w:t>
      </w:r>
      <w:r>
        <w:rPr>
          <w:rFonts w:hint="eastAsia" w:ascii="Times New Roman" w:hAnsi="Times New Roman" w:eastAsia="仿宋" w:cs="Times New Roman"/>
          <w:sz w:val="32"/>
          <w:lang w:val="en-US" w:eastAsia="zh-CN"/>
        </w:rPr>
        <w:t>113</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4.6</w:t>
      </w:r>
      <w:r>
        <w:rPr>
          <w:rFonts w:hint="eastAsia" w:ascii="Times New Roman" w:hAnsi="Times New Roman" w:eastAsia="仿宋" w:cs="Times New Roman"/>
          <w:sz w:val="32"/>
        </w:rPr>
        <w:t>%；工业总产值71</w:t>
      </w:r>
      <w:r>
        <w:rPr>
          <w:rFonts w:hint="eastAsia" w:ascii="Times New Roman" w:hAnsi="Times New Roman" w:eastAsia="仿宋" w:cs="Times New Roman"/>
          <w:sz w:val="32"/>
          <w:lang w:val="en-US" w:eastAsia="zh-CN"/>
        </w:rPr>
        <w:t>.43</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11.21</w:t>
      </w:r>
      <w:r>
        <w:rPr>
          <w:rFonts w:hint="eastAsia" w:ascii="Times New Roman" w:hAnsi="Times New Roman" w:eastAsia="仿宋" w:cs="Times New Roman"/>
          <w:sz w:val="32"/>
        </w:rPr>
        <w:t>%；固定资产投资</w:t>
      </w:r>
      <w:r>
        <w:rPr>
          <w:rFonts w:hint="eastAsia" w:ascii="Times New Roman" w:hAnsi="Times New Roman" w:eastAsia="仿宋" w:cs="Times New Roman"/>
          <w:sz w:val="32"/>
          <w:lang w:val="en-US" w:eastAsia="zh-CN"/>
        </w:rPr>
        <w:t>10.85</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71.01</w:t>
      </w:r>
      <w:r>
        <w:rPr>
          <w:rFonts w:hint="eastAsia" w:ascii="Times New Roman" w:hAnsi="Times New Roman" w:eastAsia="仿宋" w:cs="Times New Roman"/>
          <w:sz w:val="32"/>
        </w:rPr>
        <w:t>%；一般公共预算收入0.</w:t>
      </w:r>
      <w:r>
        <w:rPr>
          <w:rFonts w:hint="eastAsia" w:ascii="Times New Roman" w:hAnsi="Times New Roman" w:eastAsia="仿宋" w:cs="Times New Roman"/>
          <w:sz w:val="32"/>
          <w:lang w:val="en-US" w:eastAsia="zh-CN"/>
        </w:rPr>
        <w:t>9</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73.3</w:t>
      </w:r>
      <w:r>
        <w:rPr>
          <w:rFonts w:hint="eastAsia" w:ascii="Times New Roman" w:hAnsi="Times New Roman" w:eastAsia="仿宋" w:cs="Times New Roman"/>
          <w:sz w:val="32"/>
        </w:rPr>
        <w:t>%；全口径税收</w:t>
      </w:r>
      <w:r>
        <w:rPr>
          <w:rFonts w:hint="eastAsia" w:ascii="Times New Roman" w:hAnsi="Times New Roman" w:eastAsia="仿宋" w:cs="Times New Roman"/>
          <w:sz w:val="32"/>
          <w:lang w:val="en-US" w:eastAsia="zh-CN"/>
        </w:rPr>
        <w:t>1.59</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138.1</w:t>
      </w:r>
      <w:r>
        <w:rPr>
          <w:rFonts w:hint="eastAsia" w:ascii="Times New Roman" w:hAnsi="Times New Roman" w:eastAsia="仿宋" w:cs="Times New Roman"/>
          <w:sz w:val="32"/>
        </w:rPr>
        <w:t>%；出口额</w:t>
      </w:r>
      <w:r>
        <w:rPr>
          <w:rFonts w:hint="eastAsia" w:ascii="Times New Roman" w:hAnsi="Times New Roman" w:eastAsia="仿宋" w:cs="Times New Roman"/>
          <w:sz w:val="32"/>
          <w:lang w:val="en-US" w:eastAsia="zh-CN"/>
        </w:rPr>
        <w:t>1.62</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33.4</w:t>
      </w:r>
      <w:r>
        <w:rPr>
          <w:rFonts w:hint="eastAsia" w:ascii="Times New Roman" w:hAnsi="Times New Roman" w:eastAsia="仿宋" w:cs="Times New Roman"/>
          <w:sz w:val="32"/>
        </w:rPr>
        <w:t>%；到位内资</w:t>
      </w:r>
      <w:r>
        <w:rPr>
          <w:rFonts w:hint="eastAsia" w:ascii="Times New Roman" w:hAnsi="Times New Roman" w:eastAsia="仿宋" w:cs="Times New Roman"/>
          <w:sz w:val="32"/>
          <w:lang w:val="en-US" w:eastAsia="zh-CN"/>
        </w:rPr>
        <w:t>18</w:t>
      </w:r>
      <w:r>
        <w:rPr>
          <w:rFonts w:hint="eastAsia" w:ascii="Times New Roman" w:hAnsi="Times New Roman" w:eastAsia="仿宋" w:cs="Times New Roman"/>
          <w:sz w:val="32"/>
        </w:rPr>
        <w:t>亿元，同比增长</w:t>
      </w:r>
      <w:r>
        <w:rPr>
          <w:rFonts w:hint="eastAsia" w:ascii="Times New Roman" w:hAnsi="Times New Roman" w:eastAsia="仿宋" w:cs="Times New Roman"/>
          <w:sz w:val="32"/>
          <w:lang w:val="en-US" w:eastAsia="zh-CN"/>
        </w:rPr>
        <w:t>65.14</w:t>
      </w:r>
      <w:r>
        <w:rPr>
          <w:rFonts w:hint="eastAsia" w:ascii="Times New Roman" w:hAnsi="Times New Roman" w:eastAsia="仿宋" w:cs="Times New Roman"/>
          <w:sz w:val="32"/>
        </w:rPr>
        <w:t>%；台安县整体的农业优势资源：台安县创建区域内主导产业相对集中，农产品加工主体优势突出，规模化程度高。已形成蔬菜标准化种植等主导产业格局，并相应配套规模化大田种植，形成了种养结合的生态循环格局。。推动了畜牧业集约化、规模化和集聚化发展，形成了功能完善、布局合理、资源节约、特色突出、集聚显著的现代农产品深加工集群；在农业现代化方面取得的成绩：全县现有温室大棚3.7万栋，智能温室8000栋，建设国家级现代设施农业小区5处，蔬菜标准化基地17.5万亩。现代农业小区的建设为设施农业提档升级和标准化生产提供了有力的支持，带动台安设施农业向高水平发展。</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地势平坦、土地资源相对充足。规划区范围内无永久基本农田且全部用地均位于城镇开发边界集中建设区内，其中现状建设用地159公顷，除去河流防护绿地等面积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规划区内尚有19</w:t>
      </w:r>
      <w:r>
        <w:rPr>
          <w:rFonts w:hint="eastAsia" w:ascii="Times New Roman" w:hAnsi="Times New Roman" w:eastAsia="仿宋" w:cs="Times New Roman"/>
          <w:sz w:val="32"/>
          <w:lang w:val="en-US" w:eastAsia="zh-CN"/>
        </w:rPr>
        <w:t>1</w:t>
      </w:r>
      <w:r>
        <w:rPr>
          <w:rFonts w:hint="eastAsia" w:ascii="Times New Roman" w:hAnsi="Times New Roman" w:eastAsia="仿宋" w:cs="Times New Roman"/>
          <w:sz w:val="32"/>
        </w:rPr>
        <w:t>公顷存量用地可用于开发建设。</w:t>
      </w:r>
    </w:p>
    <w:p>
      <w:pPr>
        <w:pStyle w:val="28"/>
        <w:numPr>
          <w:ilvl w:val="2"/>
          <w:numId w:val="1"/>
        </w:numPr>
        <w:ind w:firstLine="643" w:firstLineChars="200"/>
        <w:outlineLvl w:val="2"/>
        <w:rPr>
          <w:rFonts w:ascii="楷体" w:hAnsi="楷体" w:eastAsia="楷体"/>
          <w:b/>
          <w:sz w:val="32"/>
          <w:szCs w:val="32"/>
        </w:rPr>
      </w:pPr>
      <w:bookmarkStart w:id="20" w:name="_Toc20647"/>
      <w:r>
        <w:rPr>
          <w:rFonts w:hint="eastAsia" w:ascii="楷体" w:hAnsi="楷体" w:eastAsia="楷体"/>
          <w:b/>
          <w:sz w:val="32"/>
          <w:szCs w:val="32"/>
        </w:rPr>
        <w:t>发展劣势</w:t>
      </w:r>
      <w:bookmarkEnd w:id="20"/>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县域经济发展面临人才瓶颈。七普数据显示全县人口总量为300764人，与2010年第六次全国人口普查的332542人相比，人口总量减少31778人，减少9.56%，年平均增长率-1.00%，需正面人才流失严重这一问题。</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综合服务功能不完善。目前规划区内有且仅有一处物流运输公司为辽宁星河物流有限公司，受制于企业规模与资金投入无法满足规划区内产品物流冷链运输的需求，现状规划区内产业以精深加工为主，商业服务功能较为缺乏。</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科技创新能力不均衡。规划区在农作物、禽畜养殖加工方面有一定优势，但在新作物良种育种等方面创新能力不足、创新孵化方面不足、科技成果转化方面不足。且中试基地建设处于初步阶段尚未完全投入使用。</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智慧基础设施有待提升。5G基建、物联网、人工智能等新基建覆盖滞后；受资金限制和重视不足，数字化管理水平还较低。缺少大数据中台，未能实现园区人流、物流、能耗的实时高效管理。</w:t>
      </w:r>
    </w:p>
    <w:p>
      <w:pPr>
        <w:pStyle w:val="28"/>
        <w:numPr>
          <w:ilvl w:val="2"/>
          <w:numId w:val="1"/>
        </w:numPr>
        <w:ind w:firstLine="643" w:firstLineChars="200"/>
        <w:outlineLvl w:val="2"/>
        <w:rPr>
          <w:rFonts w:ascii="楷体" w:hAnsi="楷体" w:eastAsia="楷体"/>
          <w:b/>
          <w:sz w:val="32"/>
          <w:szCs w:val="32"/>
        </w:rPr>
      </w:pPr>
      <w:bookmarkStart w:id="21" w:name="_Toc15718"/>
      <w:r>
        <w:rPr>
          <w:rFonts w:hint="eastAsia" w:ascii="楷体" w:hAnsi="楷体" w:eastAsia="楷体"/>
          <w:b/>
          <w:sz w:val="32"/>
          <w:szCs w:val="32"/>
        </w:rPr>
        <w:t>发展机遇</w:t>
      </w:r>
      <w:bookmarkEnd w:id="21"/>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国家处于实施创新驱动战略、乡村振兴战略的大有可为历史机遇期。习近平总书记指出“抓创新就是抓发展、谋创新就是谋未来”，科技创新是现代农业发展的本质特征。国家连续18年的中央一号文件都是关于三农问题，国家对“三农”支持力度不断加大，预算内固定资产投资继续向重大农业农村建设项目倾斜等。这为规划区域现代农业创新发展提供了大有可为的历史机遇期。2019年3月农业农村部发布《关于开展2019年国家现代农业产业园创建工作的通知》，其中提出重点支持优质粮油、现代种业、健康养殖、中药材等产业园，大力支持符合条件的贫困县、粮食生产功能区、重要农产品生产保护区、特色农产品优势区、国家现代农业示范区等申请创建。</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现代农业发展方式转变的关键期。习近平总书记指出“推进农业供给侧结构性改革，提高农业综合效益和竞争力，是当前和今后一个时期我国农业政策改革和完善的主要方向”。坚持“提质增效转方式、稳粮增收可持续”的主线，大力推进农业供给侧结构性改革，补好农村基础设施和增加市场紧缺农产品的生产等短板，夯实基本面、增进新动能、形成新业态、打造增长点，提高农业供给体系质量和效率，使农产品供给数量充足、品种和质量契合消费者需要。产业发展方式的转变呼唤科技创新；二十大会议精神提出加快中国农业生态化进程。习近平总书记在党的二十大报告中强调：“全面推进乡村振兴。坚持农业农村优先发展，坚持城乡融合发展，畅通城乡要素流动。扎实推动乡村产业、人才、文化、生态、组织振兴。”辽宁省推进产业融合发展。大力发展农产品加工业，统筹发展农产品初加工、精深加工和综合利用加工，辽宁省持续优化产业结构。大力发展优势特色产业，新增设施面积10万亩，加快提升水果、食用菌、花卉等特色产业规模化、专业化、产业化水平。</w:t>
      </w:r>
    </w:p>
    <w:p>
      <w:pPr>
        <w:pStyle w:val="28"/>
        <w:numPr>
          <w:ilvl w:val="2"/>
          <w:numId w:val="1"/>
        </w:numPr>
        <w:ind w:firstLine="643" w:firstLineChars="200"/>
        <w:outlineLvl w:val="2"/>
        <w:rPr>
          <w:rFonts w:ascii="楷体" w:hAnsi="楷体" w:eastAsia="楷体"/>
          <w:b/>
          <w:sz w:val="32"/>
          <w:szCs w:val="32"/>
        </w:rPr>
      </w:pPr>
      <w:bookmarkStart w:id="22" w:name="_Toc7797"/>
      <w:r>
        <w:rPr>
          <w:rFonts w:hint="eastAsia" w:ascii="楷体" w:hAnsi="楷体" w:eastAsia="楷体"/>
          <w:b/>
          <w:sz w:val="32"/>
          <w:szCs w:val="32"/>
        </w:rPr>
        <w:t>发展挑战</w:t>
      </w:r>
      <w:bookmarkEnd w:id="22"/>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中美贸易战”、“新冠疫情”等黑天鹅事件给农业对外合作带来更多的不稳定性与挑战。中美贸易战中面对美国全方位遏制打压，中国必须始终站在历史正确的一边，在历史前进的逻辑中前进，在时代发展的潮流中发展，保持战略定力，坚定必胜信心，不断壮大自己，以自身发展的稳定性应对外部环境的不确定性，牢牢掌握历史主动；“新冠疫情“对蔬菜水果等鲜活农产品带来区域性、阶段性滞销冲击，对畜禽和水产养殖造成短期较大冲击。受疫情管控措施影响致使养殖业饲料供应受阻、交易市场关闭，大量畜禽无饲料可用和被迫压栏，部分养殖户损失巨大甚至濒临破产。上下游产业关联度高，因隔离管制和复工延迟对全产业链造成休克式损伤，致使消费信心短期内难以恢复。</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资源与环境约束加剧。耕地面积刚性减少，水资源短缺与利用效率低下并存，农业生态环境依然脆弱，传统农业发展方式与资源环境约束矛盾突出。农村生态环境脆弱，面源污染等问题突出，农业发展的资源和环境约束日益加剧。</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融合发展过程中，各主体利益联结机制仍需完善。如何让产业链核心企业更好地带动一般经营主体提升参与能力、扩大参与机会，从而间接带动农户提能增收等问题，以及如何有效保护所在农村和农户的基本权益，保证其利益不被边缘化。</w:t>
      </w:r>
    </w:p>
    <w:p>
      <w:pPr>
        <w:pStyle w:val="28"/>
        <w:outlineLvl w:val="1"/>
        <w:rPr>
          <w:rFonts w:ascii="黑体" w:hAnsi="黑体" w:eastAsia="黑体"/>
          <w:sz w:val="32"/>
          <w:szCs w:val="32"/>
        </w:rPr>
      </w:pPr>
      <w:bookmarkStart w:id="23" w:name="_Toc6351"/>
      <w:r>
        <w:rPr>
          <w:rFonts w:hint="eastAsia" w:ascii="黑体" w:hAnsi="黑体" w:eastAsia="黑体"/>
          <w:sz w:val="32"/>
          <w:szCs w:val="32"/>
        </w:rPr>
        <w:t>综合</w:t>
      </w:r>
      <w:r>
        <w:rPr>
          <w:rFonts w:ascii="黑体" w:hAnsi="黑体" w:eastAsia="黑体"/>
          <w:sz w:val="32"/>
          <w:szCs w:val="32"/>
        </w:rPr>
        <w:t>研判</w:t>
      </w:r>
      <w:bookmarkEnd w:id="2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在全国区域层面，规划区需通过积极对接大区域交通，主动融入“一带一路”建设；从辽宁省视角出发，省级推动农业现代化建设进程，规划区将承担更多区域职能；同时农业方面规划区内高品质生态化的现代化农业发展格局尚需加速构造；工业方面基础良好但尚未发展完善全产业链闭环，与农业的关联性有待加强。本次规划亟需真正找准规划区在台安县及周边区域未来发展的地位和角色，同时真正提出适合规划区资源基础的农业及生态产品的产业链闭环。</w:t>
      </w:r>
    </w:p>
    <w:p>
      <w:pPr>
        <w:tabs>
          <w:tab w:val="left" w:pos="720"/>
        </w:tabs>
        <w:spacing w:line="360" w:lineRule="auto"/>
        <w:ind w:firstLine="643" w:firstLineChars="200"/>
        <w:rPr>
          <w:rFonts w:ascii="Times New Roman" w:hAnsi="Times New Roman" w:eastAsia="仿宋" w:cs="Times New Roman"/>
          <w:b/>
          <w:bCs/>
          <w:sz w:val="32"/>
        </w:rPr>
      </w:pPr>
    </w:p>
    <w:p>
      <w:pPr>
        <w:tabs>
          <w:tab w:val="left" w:pos="720"/>
        </w:tabs>
        <w:spacing w:line="360" w:lineRule="auto"/>
        <w:ind w:firstLine="643" w:firstLineChars="200"/>
        <w:rPr>
          <w:rFonts w:ascii="Times New Roman" w:hAnsi="Times New Roman" w:eastAsia="仿宋" w:cs="Times New Roman"/>
          <w:b/>
          <w:bCs/>
          <w:sz w:val="32"/>
        </w:rPr>
      </w:pPr>
    </w:p>
    <w:p>
      <w:pPr>
        <w:tabs>
          <w:tab w:val="left" w:pos="720"/>
        </w:tabs>
        <w:spacing w:line="360" w:lineRule="auto"/>
        <w:ind w:firstLine="640" w:firstLineChars="200"/>
        <w:rPr>
          <w:rFonts w:ascii="Times New Roman" w:hAnsi="Times New Roman" w:eastAsia="仿宋" w:cs="Times New Roman"/>
          <w:sz w:val="32"/>
        </w:rPr>
      </w:pPr>
    </w:p>
    <w:p>
      <w:pPr>
        <w:tabs>
          <w:tab w:val="left" w:pos="720"/>
        </w:tabs>
        <w:spacing w:line="360" w:lineRule="auto"/>
        <w:ind w:firstLine="640" w:firstLineChars="200"/>
        <w:rPr>
          <w:rFonts w:ascii="Times New Roman" w:hAnsi="Times New Roman" w:eastAsia="仿宋" w:cs="Times New Roman"/>
          <w:sz w:val="32"/>
          <w:szCs w:val="24"/>
        </w:rPr>
      </w:pPr>
    </w:p>
    <w:p>
      <w:pPr>
        <w:widowControl/>
        <w:jc w:val="left"/>
        <w:rPr>
          <w:rFonts w:ascii="黑体" w:hAnsi="黑体" w:eastAsia="黑体"/>
          <w:sz w:val="44"/>
          <w:szCs w:val="44"/>
        </w:rPr>
      </w:pPr>
      <w:r>
        <w:rPr>
          <w:rFonts w:ascii="黑体" w:hAnsi="黑体" w:eastAsia="黑体"/>
          <w:sz w:val="44"/>
          <w:szCs w:val="44"/>
        </w:rPr>
        <w:br w:type="page"/>
      </w:r>
    </w:p>
    <w:p>
      <w:pPr>
        <w:pStyle w:val="27"/>
        <w:jc w:val="center"/>
        <w:outlineLvl w:val="0"/>
        <w:rPr>
          <w:rFonts w:ascii="黑体" w:hAnsi="黑体" w:eastAsia="黑体"/>
          <w:sz w:val="44"/>
          <w:szCs w:val="44"/>
        </w:rPr>
      </w:pPr>
      <w:bookmarkStart w:id="24" w:name="_Toc22239"/>
      <w:r>
        <w:rPr>
          <w:rFonts w:hint="eastAsia" w:ascii="黑体" w:hAnsi="黑体" w:eastAsia="黑体"/>
          <w:sz w:val="44"/>
          <w:szCs w:val="44"/>
        </w:rPr>
        <w:t>发展</w:t>
      </w:r>
      <w:r>
        <w:rPr>
          <w:rFonts w:ascii="黑体" w:hAnsi="黑体" w:eastAsia="黑体"/>
          <w:sz w:val="44"/>
          <w:szCs w:val="44"/>
        </w:rPr>
        <w:t>定位和目标</w:t>
      </w:r>
      <w:bookmarkEnd w:id="24"/>
    </w:p>
    <w:p>
      <w:pPr>
        <w:pStyle w:val="28"/>
        <w:outlineLvl w:val="1"/>
        <w:rPr>
          <w:rFonts w:ascii="黑体" w:hAnsi="黑体" w:eastAsia="黑体"/>
          <w:sz w:val="32"/>
          <w:szCs w:val="32"/>
        </w:rPr>
      </w:pPr>
      <w:bookmarkStart w:id="25" w:name="_Toc17475"/>
      <w:r>
        <w:rPr>
          <w:rFonts w:hint="eastAsia" w:ascii="黑体" w:hAnsi="黑体" w:eastAsia="黑体"/>
          <w:sz w:val="32"/>
          <w:szCs w:val="32"/>
        </w:rPr>
        <w:t>发展</w:t>
      </w:r>
      <w:r>
        <w:rPr>
          <w:rFonts w:ascii="黑体" w:hAnsi="黑体" w:eastAsia="黑体"/>
          <w:sz w:val="32"/>
          <w:szCs w:val="32"/>
        </w:rPr>
        <w:t>定位</w:t>
      </w:r>
      <w:bookmarkEnd w:id="25"/>
    </w:p>
    <w:p>
      <w:pPr>
        <w:ind w:firstLine="640" w:firstLineChars="200"/>
        <w:rPr>
          <w:rFonts w:hint="eastAsia" w:ascii="Times New Roman" w:hAnsi="Times New Roman" w:eastAsia="仿宋" w:cs="Times New Roman"/>
          <w:sz w:val="32"/>
          <w:szCs w:val="24"/>
        </w:rPr>
      </w:pPr>
      <w:r>
        <w:rPr>
          <w:rFonts w:hint="eastAsia" w:ascii="Times New Roman" w:hAnsi="Times New Roman" w:eastAsia="仿宋" w:cs="Times New Roman"/>
          <w:sz w:val="32"/>
          <w:szCs w:val="24"/>
        </w:rPr>
        <w:t>按照以“农产品加工</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生物科技</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现代服务业”为三大主导产业领域，围绕“农产品精深加工</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为核心</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做强做大“禽羽深加工</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猪肉深加工</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蛋品加工</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宠物食品</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预制菜</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休闲食品</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啤酒制造”等7条重点产业链；以“生物科技”为左翼 ，培育创新“生物</w:t>
      </w:r>
      <w:r>
        <w:rPr>
          <w:rFonts w:hint="eastAsia" w:ascii="Times New Roman" w:hAnsi="Times New Roman" w:eastAsia="仿宋" w:cs="Times New Roman"/>
          <w:sz w:val="32"/>
          <w:szCs w:val="24"/>
          <w:lang w:val="en-US" w:eastAsia="zh-CN"/>
        </w:rPr>
        <w:t>饲料</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生物发酵”等2条重点产业链；以“现代服务业”为右翼</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孵化完善“冷链物流”重点产业链</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b/>
          <w:bCs/>
          <w:sz w:val="32"/>
          <w:szCs w:val="24"/>
          <w:u w:val="single"/>
        </w:rPr>
        <w:t>构建起台安农开区</w:t>
      </w:r>
      <w:r>
        <w:rPr>
          <w:rFonts w:hint="eastAsia" w:ascii="仿宋" w:hAnsi="仿宋" w:eastAsia="仿宋" w:cs="仿宋"/>
          <w:b/>
          <w:bCs/>
          <w:sz w:val="32"/>
          <w:szCs w:val="24"/>
          <w:u w:val="single"/>
        </w:rPr>
        <w:t>“1+2+N”</w:t>
      </w:r>
      <w:r>
        <w:rPr>
          <w:rFonts w:hint="eastAsia" w:ascii="Times New Roman" w:hAnsi="Times New Roman" w:eastAsia="仿宋" w:cs="Times New Roman"/>
          <w:b/>
          <w:bCs/>
          <w:sz w:val="32"/>
          <w:szCs w:val="24"/>
          <w:u w:val="single"/>
        </w:rPr>
        <w:t>的现代化高新农业产业体系和产业链格局</w:t>
      </w:r>
      <w:r>
        <w:rPr>
          <w:rFonts w:hint="eastAsia" w:ascii="Times New Roman" w:hAnsi="Times New Roman" w:eastAsia="仿宋" w:cs="Times New Roman"/>
          <w:sz w:val="32"/>
          <w:szCs w:val="24"/>
        </w:rPr>
        <w:t>。打造出一个具有区域竞争力的现代化高新农业产业集群。</w:t>
      </w:r>
    </w:p>
    <w:p>
      <w:pPr>
        <w:ind w:firstLine="643" w:firstLineChars="200"/>
        <w:rPr>
          <w:rFonts w:hint="eastAsia" w:ascii="Times New Roman" w:hAnsi="Times New Roman" w:eastAsia="仿宋" w:cs="Times New Roman"/>
          <w:sz w:val="32"/>
          <w:szCs w:val="24"/>
          <w:lang w:eastAsia="zh-CN"/>
        </w:rPr>
      </w:pPr>
      <w:r>
        <w:rPr>
          <w:rFonts w:hint="eastAsia" w:ascii="Times New Roman" w:hAnsi="Times New Roman" w:eastAsia="仿宋" w:cs="Times New Roman"/>
          <w:b/>
          <w:bCs/>
          <w:sz w:val="32"/>
          <w:szCs w:val="24"/>
          <w:u w:val="single"/>
        </w:rPr>
        <w:t>按照“一核一基地三示范区”的发展定位</w:t>
      </w:r>
      <w:r>
        <w:rPr>
          <w:rFonts w:hint="eastAsia" w:ascii="Times New Roman" w:hAnsi="Times New Roman" w:eastAsia="仿宋" w:cs="Times New Roman"/>
          <w:b/>
          <w:bCs/>
          <w:sz w:val="32"/>
          <w:szCs w:val="24"/>
          <w:u w:val="single"/>
          <w:lang w:eastAsia="zh-CN"/>
        </w:rPr>
        <w:t>，</w:t>
      </w:r>
      <w:r>
        <w:rPr>
          <w:rFonts w:hint="eastAsia" w:ascii="Times New Roman" w:hAnsi="Times New Roman" w:eastAsia="仿宋" w:cs="Times New Roman"/>
          <w:b/>
          <w:bCs/>
          <w:sz w:val="32"/>
          <w:szCs w:val="24"/>
          <w:u w:val="single"/>
        </w:rPr>
        <w:t>把台安农开区建设成为辽宁省一二三产融合典范</w:t>
      </w:r>
      <w:r>
        <w:rPr>
          <w:rFonts w:hint="eastAsia" w:ascii="Times New Roman" w:hAnsi="Times New Roman" w:eastAsia="仿宋" w:cs="Times New Roman"/>
          <w:b/>
          <w:bCs/>
          <w:sz w:val="32"/>
          <w:szCs w:val="24"/>
          <w:u w:val="single"/>
          <w:lang w:eastAsia="zh-CN"/>
        </w:rPr>
        <w:t>，</w:t>
      </w:r>
      <w:r>
        <w:rPr>
          <w:rFonts w:hint="eastAsia" w:ascii="Times New Roman" w:hAnsi="Times New Roman" w:eastAsia="仿宋" w:cs="Times New Roman"/>
          <w:b/>
          <w:bCs/>
          <w:sz w:val="32"/>
          <w:szCs w:val="24"/>
          <w:u w:val="single"/>
        </w:rPr>
        <w:t>高新农业产业推动东北振兴、乡村振兴的样本。</w:t>
      </w:r>
      <w:r>
        <w:rPr>
          <w:rFonts w:hint="eastAsia" w:ascii="Times New Roman" w:hAnsi="Times New Roman" w:eastAsia="仿宋" w:cs="Times New Roman"/>
          <w:sz w:val="32"/>
          <w:szCs w:val="24"/>
        </w:rPr>
        <w:t>一核心</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打造成为台安县创建国家级现代农业产业园的驱动力核心；一基地</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辐射东北</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华北</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省内最强</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国内一流的国家级农副产品加工及食品制造产业基地；三示范区</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扎实建设好辽宁省产业质量品牌提升示范区；进一步建设好具有地区影响力的国家农业产业融合发展示范园区</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争创具有台安特色的国家高新农业科技示范园区</w:t>
      </w:r>
      <w:r>
        <w:rPr>
          <w:rFonts w:hint="eastAsia" w:ascii="Times New Roman" w:hAnsi="Times New Roman" w:eastAsia="仿宋" w:cs="Times New Roman"/>
          <w:sz w:val="32"/>
          <w:szCs w:val="24"/>
          <w:lang w:eastAsia="zh-CN"/>
        </w:rPr>
        <w:t>。</w:t>
      </w:r>
    </w:p>
    <w:p>
      <w:pPr>
        <w:ind w:firstLine="640" w:firstLineChars="200"/>
        <w:rPr>
          <w:rFonts w:hint="eastAsia" w:ascii="Times New Roman" w:hAnsi="Times New Roman" w:eastAsia="仿宋" w:cs="Times New Roman"/>
          <w:sz w:val="32"/>
          <w:szCs w:val="24"/>
        </w:rPr>
      </w:pPr>
    </w:p>
    <w:p>
      <w:pPr>
        <w:ind w:firstLine="640" w:firstLineChars="200"/>
        <w:rPr>
          <w:rFonts w:hint="eastAsia" w:ascii="Times New Roman" w:hAnsi="Times New Roman" w:eastAsia="仿宋" w:cs="Times New Roman"/>
          <w:sz w:val="32"/>
          <w:szCs w:val="24"/>
        </w:rPr>
      </w:pPr>
    </w:p>
    <w:p>
      <w:pPr>
        <w:pStyle w:val="28"/>
        <w:outlineLvl w:val="1"/>
        <w:rPr>
          <w:rFonts w:ascii="黑体" w:hAnsi="黑体" w:eastAsia="黑体"/>
          <w:sz w:val="32"/>
          <w:szCs w:val="32"/>
        </w:rPr>
      </w:pPr>
      <w:bookmarkStart w:id="26" w:name="_Toc14479"/>
      <w:r>
        <w:rPr>
          <w:rFonts w:hint="eastAsia" w:ascii="黑体" w:hAnsi="黑体" w:eastAsia="黑体"/>
          <w:sz w:val="32"/>
          <w:szCs w:val="32"/>
        </w:rPr>
        <w:t>发展</w:t>
      </w:r>
      <w:r>
        <w:rPr>
          <w:rFonts w:ascii="黑体" w:hAnsi="黑体" w:eastAsia="黑体"/>
          <w:sz w:val="32"/>
          <w:szCs w:val="32"/>
        </w:rPr>
        <w:t>目标</w:t>
      </w:r>
      <w:bookmarkEnd w:id="26"/>
    </w:p>
    <w:p>
      <w:pPr>
        <w:pStyle w:val="28"/>
        <w:numPr>
          <w:ilvl w:val="2"/>
          <w:numId w:val="1"/>
        </w:numPr>
        <w:ind w:firstLine="643" w:firstLineChars="200"/>
        <w:outlineLvl w:val="2"/>
        <w:rPr>
          <w:rFonts w:ascii="楷体" w:hAnsi="楷体" w:eastAsia="楷体"/>
          <w:b/>
          <w:sz w:val="32"/>
          <w:szCs w:val="32"/>
        </w:rPr>
      </w:pPr>
      <w:bookmarkStart w:id="27" w:name="_Toc19638"/>
      <w:r>
        <w:rPr>
          <w:rFonts w:hint="eastAsia" w:ascii="楷体" w:hAnsi="楷体" w:eastAsia="楷体"/>
          <w:b/>
          <w:sz w:val="32"/>
          <w:szCs w:val="32"/>
        </w:rPr>
        <w:t>近期目标</w:t>
      </w:r>
      <w:bookmarkEnd w:id="27"/>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产业经济目标。到2025年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开发区全产业链总营收超200亿元 ，建设成为东北地区一流的食品加工园区。</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发展质量目标。到2025年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 xml:space="preserve">土地投资强度达到3000万元/公顷 </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“四上”企业达到20个</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形成一个具有国内区域竞争力的高新农业产业集群</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培育一批农产品精深加工领军企业和国内外知名品牌</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综合效益和市场竞争能力达到省内领先。</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科技创新目标。到2025年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高新技术企业达到5家</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企业研发投入占销售收入的比重超过1</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省级以上创新平台达到</w:t>
      </w:r>
      <w:r>
        <w:rPr>
          <w:rFonts w:hint="eastAsia" w:ascii="Times New Roman" w:hAnsi="Times New Roman" w:eastAsia="仿宋" w:cs="Times New Roman"/>
          <w:sz w:val="32"/>
          <w:lang w:val="en-US" w:eastAsia="zh-CN"/>
        </w:rPr>
        <w:t>5</w:t>
      </w:r>
      <w:r>
        <w:rPr>
          <w:rFonts w:hint="eastAsia" w:ascii="Times New Roman" w:hAnsi="Times New Roman" w:eastAsia="仿宋" w:cs="Times New Roman"/>
          <w:sz w:val="32"/>
        </w:rPr>
        <w:t>个。</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联农带农目标。到2025年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就业人数达到1.2万人</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依托龙头企业建设标准化种养基地超过100个</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带动农户超过6万户</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户均增收超过5万元。</w:t>
      </w:r>
    </w:p>
    <w:p>
      <w:pPr>
        <w:pStyle w:val="28"/>
        <w:numPr>
          <w:ilvl w:val="2"/>
          <w:numId w:val="1"/>
        </w:numPr>
        <w:ind w:firstLine="643" w:firstLineChars="200"/>
        <w:outlineLvl w:val="2"/>
        <w:rPr>
          <w:rFonts w:ascii="楷体" w:hAnsi="楷体" w:eastAsia="楷体"/>
          <w:b/>
          <w:sz w:val="32"/>
          <w:szCs w:val="32"/>
        </w:rPr>
      </w:pPr>
      <w:bookmarkStart w:id="28" w:name="_Toc2510"/>
      <w:r>
        <w:rPr>
          <w:rFonts w:hint="eastAsia" w:ascii="楷体" w:hAnsi="楷体" w:eastAsia="楷体"/>
          <w:b/>
          <w:sz w:val="32"/>
          <w:szCs w:val="32"/>
        </w:rPr>
        <w:t>中期</w:t>
      </w:r>
      <w:r>
        <w:rPr>
          <w:rFonts w:ascii="楷体" w:hAnsi="楷体" w:eastAsia="楷体"/>
          <w:b/>
          <w:sz w:val="32"/>
          <w:szCs w:val="32"/>
        </w:rPr>
        <w:t>目标</w:t>
      </w:r>
      <w:bookmarkEnd w:id="28"/>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到2030年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产业园培育发展和引入重点禽畜深加工企业</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种养殖技术创新中心</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衍生品研究中心、物流仓储中心</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线上+线下销售中心等高精尖企业平台15家以上</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吸引一批工业孵化器</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众创空间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技术转移中心等高新载体入驻园区</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规划区总收入达到400亿元。</w:t>
      </w:r>
    </w:p>
    <w:p>
      <w:pPr>
        <w:pStyle w:val="28"/>
        <w:numPr>
          <w:ilvl w:val="2"/>
          <w:numId w:val="1"/>
        </w:numPr>
        <w:ind w:firstLine="643" w:firstLineChars="200"/>
        <w:outlineLvl w:val="2"/>
        <w:rPr>
          <w:rFonts w:ascii="楷体" w:hAnsi="楷体" w:eastAsia="楷体"/>
          <w:b/>
          <w:sz w:val="32"/>
          <w:szCs w:val="32"/>
        </w:rPr>
      </w:pPr>
      <w:bookmarkStart w:id="29" w:name="_Toc16332"/>
      <w:r>
        <w:rPr>
          <w:rFonts w:hint="eastAsia" w:ascii="楷体" w:hAnsi="楷体" w:eastAsia="楷体"/>
          <w:b/>
          <w:sz w:val="32"/>
          <w:szCs w:val="32"/>
        </w:rPr>
        <w:t>远期目标</w:t>
      </w:r>
      <w:bookmarkEnd w:id="29"/>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到2035年 ，产业园农业质量效益和竞争力大幅提升 ，农民持续稳定增收机制有效</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形成示范引领台安县</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辽宁省乃至全国农业现代化样板区</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规划区总收入达到700亿元</w:t>
      </w:r>
      <w:r>
        <w:rPr>
          <w:rFonts w:hint="eastAsia" w:ascii="Times New Roman" w:hAnsi="Times New Roman" w:eastAsia="仿宋" w:cs="Times New Roman"/>
          <w:sz w:val="32"/>
          <w:szCs w:val="24"/>
          <w:lang w:eastAsia="zh-CN"/>
        </w:rPr>
        <w:t>，</w:t>
      </w:r>
      <w:r>
        <w:rPr>
          <w:rFonts w:hint="eastAsia" w:ascii="Times New Roman" w:hAnsi="Times New Roman" w:eastAsia="仿宋" w:cs="Times New Roman"/>
          <w:sz w:val="32"/>
          <w:szCs w:val="24"/>
        </w:rPr>
        <w:t>培育发展和引入高新企业50家以上。</w:t>
      </w:r>
    </w:p>
    <w:p>
      <w:pPr>
        <w:pStyle w:val="28"/>
        <w:outlineLvl w:val="1"/>
        <w:rPr>
          <w:rFonts w:ascii="黑体" w:hAnsi="黑体" w:eastAsia="黑体"/>
          <w:sz w:val="32"/>
          <w:szCs w:val="32"/>
        </w:rPr>
      </w:pPr>
      <w:bookmarkStart w:id="30" w:name="_Toc2093"/>
      <w:r>
        <w:rPr>
          <w:rFonts w:hint="eastAsia" w:ascii="黑体" w:hAnsi="黑体" w:eastAsia="黑体"/>
          <w:sz w:val="32"/>
          <w:szCs w:val="32"/>
        </w:rPr>
        <w:t>发展</w:t>
      </w:r>
      <w:r>
        <w:rPr>
          <w:rFonts w:ascii="黑体" w:hAnsi="黑体" w:eastAsia="黑体"/>
          <w:sz w:val="32"/>
          <w:szCs w:val="32"/>
        </w:rPr>
        <w:t>策略</w:t>
      </w:r>
      <w:bookmarkEnd w:id="30"/>
    </w:p>
    <w:p>
      <w:pPr>
        <w:pStyle w:val="28"/>
        <w:numPr>
          <w:ilvl w:val="2"/>
          <w:numId w:val="1"/>
        </w:numPr>
        <w:ind w:firstLine="643" w:firstLineChars="200"/>
        <w:outlineLvl w:val="2"/>
        <w:rPr>
          <w:rFonts w:ascii="楷体" w:hAnsi="楷体" w:eastAsia="楷体"/>
          <w:b/>
          <w:sz w:val="32"/>
          <w:szCs w:val="32"/>
        </w:rPr>
      </w:pPr>
      <w:bookmarkStart w:id="31" w:name="_Toc6504"/>
      <w:r>
        <w:rPr>
          <w:rFonts w:hint="eastAsia" w:ascii="楷体" w:hAnsi="楷体" w:eastAsia="楷体"/>
          <w:b/>
          <w:sz w:val="32"/>
          <w:szCs w:val="32"/>
        </w:rPr>
        <w:t>集群发展策略</w:t>
      </w:r>
      <w:bookmarkEnd w:id="31"/>
    </w:p>
    <w:p>
      <w:pPr>
        <w:spacing w:line="360" w:lineRule="auto"/>
        <w:ind w:firstLine="640" w:firstLineChars="200"/>
        <w:rPr>
          <w:rFonts w:hint="eastAsia"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构建现代产业新体系是加快新旧动能的转换，打造区域经济高质量发展的重要途径和方法。产业集群是产业现代化发展的主要形态，提升区域经济竞争力的内在，要求及现代产业体系建设的主要内容。农开区产业发展正处在由量变积累到质变升华的关键转折期，要坚持产业集群发展策略，积极构建高质量发展的现代化高新农业产业体系。</w:t>
      </w:r>
    </w:p>
    <w:p>
      <w:pPr>
        <w:pStyle w:val="28"/>
        <w:numPr>
          <w:ilvl w:val="2"/>
          <w:numId w:val="1"/>
        </w:numPr>
        <w:ind w:firstLine="643" w:firstLineChars="200"/>
        <w:outlineLvl w:val="2"/>
        <w:rPr>
          <w:rFonts w:ascii="楷体" w:hAnsi="楷体" w:eastAsia="楷体"/>
          <w:b/>
          <w:sz w:val="32"/>
          <w:szCs w:val="32"/>
        </w:rPr>
      </w:pPr>
      <w:bookmarkStart w:id="32" w:name="_Toc27216"/>
      <w:r>
        <w:rPr>
          <w:rFonts w:hint="eastAsia" w:ascii="楷体" w:hAnsi="楷体" w:eastAsia="楷体"/>
          <w:b/>
          <w:sz w:val="32"/>
          <w:szCs w:val="32"/>
        </w:rPr>
        <w:t>规划指引策略</w:t>
      </w:r>
      <w:bookmarkEnd w:id="32"/>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rPr>
        <w:t>遵循国土空间规划及园区总体规划</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进行科学合理的产业功能空间分区设计与指引，通过产业用地资源和产业空间布局来规范和指引园区产业发展</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加强业态链接提升土   地利用率与可利用性；实行产业用地标准化管理改革；建立入园项目评价与筛选机制；组织闲置土地排查与清退工作。</w:t>
      </w:r>
    </w:p>
    <w:p>
      <w:pPr>
        <w:pStyle w:val="28"/>
        <w:numPr>
          <w:ilvl w:val="2"/>
          <w:numId w:val="1"/>
        </w:numPr>
        <w:ind w:firstLine="643" w:firstLineChars="200"/>
        <w:outlineLvl w:val="2"/>
        <w:rPr>
          <w:rFonts w:ascii="楷体" w:hAnsi="楷体" w:eastAsia="楷体"/>
          <w:b/>
          <w:sz w:val="32"/>
          <w:szCs w:val="32"/>
        </w:rPr>
      </w:pPr>
      <w:bookmarkStart w:id="33" w:name="_Toc24255"/>
      <w:r>
        <w:rPr>
          <w:rFonts w:hint="eastAsia" w:ascii="楷体" w:hAnsi="楷体" w:eastAsia="楷体"/>
          <w:b/>
          <w:sz w:val="32"/>
          <w:szCs w:val="32"/>
        </w:rPr>
        <w:t>环境提升策略</w:t>
      </w:r>
      <w:bookmarkEnd w:id="33"/>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rPr>
        <w:t>加强园区产业基础设施建设</w:t>
      </w:r>
      <w:r>
        <w:rPr>
          <w:rFonts w:hint="eastAsia" w:ascii="仿宋" w:hAnsi="仿宋" w:eastAsia="仿宋" w:cs="仿宋"/>
          <w:sz w:val="32"/>
          <w:szCs w:val="32"/>
          <w:lang w:eastAsia="zh-CN"/>
        </w:rPr>
        <w:t>，</w:t>
      </w:r>
      <w:r>
        <w:rPr>
          <w:rFonts w:hint="eastAsia" w:ascii="仿宋" w:hAnsi="仿宋" w:eastAsia="仿宋" w:cs="仿宋"/>
          <w:sz w:val="32"/>
          <w:szCs w:val="32"/>
        </w:rPr>
        <w:t>打造农业、工业、服务业及农村、城镇、城市等多元融合的新型产业生态环境。一方面要完善硬件设施</w:t>
      </w:r>
      <w:r>
        <w:rPr>
          <w:rFonts w:hint="eastAsia" w:ascii="仿宋" w:hAnsi="仿宋" w:eastAsia="仿宋" w:cs="仿宋"/>
          <w:sz w:val="32"/>
          <w:szCs w:val="32"/>
          <w:lang w:eastAsia="zh-CN"/>
        </w:rPr>
        <w:t>，</w:t>
      </w:r>
      <w:r>
        <w:rPr>
          <w:rFonts w:hint="eastAsia" w:ascii="仿宋" w:hAnsi="仿宋" w:eastAsia="仿宋" w:cs="仿宋"/>
          <w:sz w:val="32"/>
          <w:szCs w:val="32"/>
        </w:rPr>
        <w:t>保障生产运营基础；一方面要提升    软件服务</w:t>
      </w:r>
      <w:r>
        <w:rPr>
          <w:rFonts w:hint="eastAsia" w:ascii="仿宋" w:hAnsi="仿宋" w:eastAsia="仿宋" w:cs="仿宋"/>
          <w:sz w:val="32"/>
          <w:szCs w:val="32"/>
          <w:lang w:eastAsia="zh-CN"/>
        </w:rPr>
        <w:t>，</w:t>
      </w:r>
      <w:r>
        <w:rPr>
          <w:rFonts w:hint="eastAsia" w:ascii="仿宋" w:hAnsi="仿宋" w:eastAsia="仿宋" w:cs="仿宋"/>
          <w:sz w:val="32"/>
          <w:szCs w:val="32"/>
        </w:rPr>
        <w:t>如产业咨询、人才培训等</w:t>
      </w:r>
      <w:r>
        <w:rPr>
          <w:rFonts w:hint="eastAsia" w:ascii="仿宋" w:hAnsi="仿宋" w:eastAsia="仿宋" w:cs="仿宋"/>
          <w:sz w:val="32"/>
          <w:szCs w:val="32"/>
          <w:lang w:eastAsia="zh-CN"/>
        </w:rPr>
        <w:t>，</w:t>
      </w:r>
      <w:r>
        <w:rPr>
          <w:rFonts w:hint="eastAsia" w:ascii="仿宋" w:hAnsi="仿宋" w:eastAsia="仿宋" w:cs="仿宋"/>
          <w:sz w:val="32"/>
          <w:szCs w:val="32"/>
        </w:rPr>
        <w:t>为企业提供优质的软件环境；另外还要为企业</w:t>
      </w:r>
      <w:r>
        <w:rPr>
          <w:rFonts w:hint="eastAsia" w:ascii="仿宋" w:hAnsi="仿宋" w:eastAsia="仿宋" w:cs="仿宋"/>
          <w:sz w:val="32"/>
          <w:szCs w:val="32"/>
          <w:lang w:eastAsia="zh-CN"/>
        </w:rPr>
        <w:t>、</w:t>
      </w:r>
      <w:r>
        <w:rPr>
          <w:rFonts w:hint="eastAsia" w:ascii="仿宋" w:hAnsi="仿宋" w:eastAsia="仿宋" w:cs="仿宋"/>
          <w:sz w:val="32"/>
          <w:szCs w:val="32"/>
        </w:rPr>
        <w:t>职工</w:t>
      </w:r>
      <w:r>
        <w:rPr>
          <w:rFonts w:hint="eastAsia" w:ascii="仿宋" w:hAnsi="仿宋" w:eastAsia="仿宋" w:cs="仿宋"/>
          <w:sz w:val="32"/>
          <w:szCs w:val="32"/>
          <w:lang w:eastAsia="zh-CN"/>
        </w:rPr>
        <w:t>、</w:t>
      </w:r>
      <w:r>
        <w:rPr>
          <w:rFonts w:hint="eastAsia" w:ascii="仿宋" w:hAnsi="仿宋" w:eastAsia="仿宋" w:cs="仿宋"/>
          <w:sz w:val="32"/>
          <w:szCs w:val="32"/>
        </w:rPr>
        <w:t>农户提供良好的生产、发展和生活环境。</w:t>
      </w:r>
    </w:p>
    <w:p>
      <w:pPr>
        <w:pStyle w:val="28"/>
        <w:numPr>
          <w:ilvl w:val="2"/>
          <w:numId w:val="1"/>
        </w:numPr>
        <w:ind w:firstLine="643" w:firstLineChars="200"/>
        <w:outlineLvl w:val="2"/>
        <w:rPr>
          <w:rFonts w:ascii="楷体" w:hAnsi="楷体" w:eastAsia="楷体"/>
          <w:b/>
          <w:sz w:val="32"/>
          <w:szCs w:val="32"/>
        </w:rPr>
      </w:pPr>
      <w:bookmarkStart w:id="34" w:name="_Toc11565"/>
      <w:r>
        <w:rPr>
          <w:rFonts w:hint="eastAsia" w:ascii="楷体" w:hAnsi="楷体" w:eastAsia="楷体"/>
          <w:b/>
          <w:sz w:val="32"/>
          <w:szCs w:val="32"/>
        </w:rPr>
        <w:t>创新突破策略</w:t>
      </w:r>
      <w:bookmarkEnd w:id="3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“政产学研金服用”多位一体融合驱动是推动创新突破、发展动能转换的重要手段。依托渤海大学、沈阳农业大学</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江南大学等高校</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以鞍山市九股河食品有限责任公司</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辽宁安井食品有限公司为龙头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发挥省级专业技术创新中心和星创天地的作用</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重点开发食品深加工相关技术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发展肉禽屠宰深加工、食品深加工等产业。</w:t>
      </w:r>
    </w:p>
    <w:p>
      <w:pPr>
        <w:pStyle w:val="28"/>
        <w:numPr>
          <w:ilvl w:val="2"/>
          <w:numId w:val="1"/>
        </w:numPr>
        <w:ind w:firstLine="643" w:firstLineChars="200"/>
        <w:outlineLvl w:val="2"/>
        <w:rPr>
          <w:rFonts w:hint="eastAsia" w:ascii="楷体" w:hAnsi="楷体" w:eastAsia="楷体"/>
          <w:b/>
          <w:sz w:val="32"/>
          <w:szCs w:val="32"/>
        </w:rPr>
      </w:pPr>
      <w:bookmarkStart w:id="35" w:name="_Toc23328"/>
      <w:r>
        <w:rPr>
          <w:rFonts w:hint="eastAsia" w:ascii="楷体" w:hAnsi="楷体" w:eastAsia="楷体"/>
          <w:b/>
          <w:sz w:val="32"/>
          <w:szCs w:val="32"/>
        </w:rPr>
        <w:t>龙头引领策略</w:t>
      </w:r>
      <w:bookmarkEnd w:id="35"/>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要狠抓由园区管委会主任牵头</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全员参与的台安高新农业产业开发区招商引资“一号工程”</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发挥集体优势不断招引新项目、大项目、好项目。要加强政府服务和引导</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构建起“重点项目—龙头企业—产业链条—产业集群”的产业招商及产业壮大模式</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促进龙头企业创新发展、做大做强</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引导龙头企业积极担当各产业链的“链主”。</w:t>
      </w:r>
    </w:p>
    <w:p>
      <w:pPr>
        <w:spacing w:line="360" w:lineRule="auto"/>
        <w:ind w:firstLine="640" w:firstLineChars="200"/>
        <w:rPr>
          <w:rFonts w:hint="eastAsia" w:ascii="Times New Roman" w:hAnsi="Times New Roman" w:eastAsia="仿宋" w:cs="Times New Roman"/>
          <w:sz w:val="32"/>
        </w:rPr>
      </w:pPr>
    </w:p>
    <w:p>
      <w:pPr>
        <w:pStyle w:val="28"/>
        <w:outlineLvl w:val="1"/>
        <w:rPr>
          <w:rFonts w:ascii="黑体" w:hAnsi="黑体" w:eastAsia="黑体"/>
          <w:sz w:val="32"/>
          <w:szCs w:val="32"/>
        </w:rPr>
      </w:pPr>
      <w:bookmarkStart w:id="36" w:name="_Toc28742"/>
      <w:r>
        <w:rPr>
          <w:rFonts w:hint="eastAsia" w:ascii="黑体" w:hAnsi="黑体" w:eastAsia="黑体"/>
          <w:sz w:val="32"/>
          <w:szCs w:val="32"/>
        </w:rPr>
        <w:t>指标</w:t>
      </w:r>
      <w:r>
        <w:rPr>
          <w:rFonts w:ascii="黑体" w:hAnsi="黑体" w:eastAsia="黑体"/>
          <w:sz w:val="32"/>
          <w:szCs w:val="32"/>
        </w:rPr>
        <w:t>体系</w:t>
      </w:r>
      <w:bookmarkEnd w:id="3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保证经济运行指标高速稳定增长，同时设置以主导产业数量、产值、技术人员数量、科研机构、规划区企业数量和农民可支配收入等方面</w:t>
      </w:r>
      <w:r>
        <w:rPr>
          <w:rFonts w:hint="eastAsia" w:ascii="Times New Roman" w:hAnsi="Times New Roman" w:eastAsia="仿宋" w:cs="Times New Roman"/>
          <w:sz w:val="32"/>
          <w:lang w:val="en-US" w:eastAsia="zh-CN"/>
        </w:rPr>
        <w:t>数据</w:t>
      </w:r>
      <w:r>
        <w:rPr>
          <w:rFonts w:hint="eastAsia" w:ascii="Times New Roman" w:hAnsi="Times New Roman" w:eastAsia="仿宋" w:cs="Times New Roman"/>
          <w:sz w:val="32"/>
        </w:rPr>
        <w:t>建立指标评价体系</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助力规划区打造国家级现代农业产业园。详见下表。</w:t>
      </w:r>
    </w:p>
    <w:p>
      <w:pPr>
        <w:pStyle w:val="28"/>
        <w:numPr>
          <w:ilvl w:val="0"/>
          <w:numId w:val="0"/>
        </w:numPr>
        <w:jc w:val="center"/>
        <w:outlineLvl w:val="2"/>
        <w:rPr>
          <w:rFonts w:ascii="楷体" w:hAnsi="楷体" w:eastAsia="楷体"/>
          <w:b/>
          <w:sz w:val="22"/>
          <w:szCs w:val="32"/>
        </w:rPr>
      </w:pPr>
      <w:bookmarkStart w:id="37" w:name="_Toc21445"/>
      <w:bookmarkStart w:id="38" w:name="_Toc129090604"/>
      <w:r>
        <w:rPr>
          <w:rFonts w:hint="eastAsia" w:ascii="楷体" w:hAnsi="楷体" w:eastAsia="楷体"/>
          <w:b/>
          <w:sz w:val="22"/>
          <w:szCs w:val="32"/>
        </w:rPr>
        <w:t>表2规划指标</w:t>
      </w:r>
      <w:r>
        <w:rPr>
          <w:rFonts w:ascii="楷体" w:hAnsi="楷体" w:eastAsia="楷体"/>
          <w:b/>
          <w:sz w:val="22"/>
          <w:szCs w:val="32"/>
        </w:rPr>
        <w:t>体系一览表</w:t>
      </w:r>
      <w:bookmarkEnd w:id="37"/>
      <w:bookmarkEnd w:id="38"/>
    </w:p>
    <w:tbl>
      <w:tblPr>
        <w:tblStyle w:val="19"/>
        <w:tblW w:w="5000" w:type="pct"/>
        <w:tblInd w:w="0" w:type="dxa"/>
        <w:tblLayout w:type="fixed"/>
        <w:tblCellMar>
          <w:top w:w="0" w:type="dxa"/>
          <w:left w:w="0" w:type="dxa"/>
          <w:bottom w:w="0" w:type="dxa"/>
          <w:right w:w="0" w:type="dxa"/>
        </w:tblCellMar>
      </w:tblPr>
      <w:tblGrid>
        <w:gridCol w:w="1660"/>
        <w:gridCol w:w="3579"/>
        <w:gridCol w:w="1171"/>
        <w:gridCol w:w="1106"/>
        <w:gridCol w:w="1006"/>
      </w:tblGrid>
      <w:tr>
        <w:tblPrEx>
          <w:tblCellMar>
            <w:top w:w="0" w:type="dxa"/>
            <w:left w:w="0" w:type="dxa"/>
            <w:bottom w:w="0" w:type="dxa"/>
            <w:right w:w="0" w:type="dxa"/>
          </w:tblCellMar>
        </w:tblPrEx>
        <w:trPr>
          <w:trHeight w:val="723" w:hRule="atLeast"/>
        </w:trPr>
        <w:tc>
          <w:tcPr>
            <w:tcW w:w="97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一级指标</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二级指标</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基期值</w:t>
            </w:r>
          </w:p>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（202</w:t>
            </w:r>
            <w:r>
              <w:rPr>
                <w:rFonts w:hint="eastAsia" w:ascii="Times New Roman" w:hAnsi="Times New Roman" w:eastAsia="仿宋" w:cs="Times New Roman"/>
                <w:b/>
                <w:bCs/>
                <w:szCs w:val="21"/>
                <w:lang w:val="en-US" w:eastAsia="zh-CN"/>
              </w:rPr>
              <w:t>3</w:t>
            </w:r>
            <w:r>
              <w:rPr>
                <w:rFonts w:hint="eastAsia" w:ascii="Times New Roman" w:hAnsi="Times New Roman" w:eastAsia="仿宋" w:cs="Times New Roman"/>
                <w:b/>
                <w:bCs/>
                <w:szCs w:val="21"/>
              </w:rPr>
              <w:t>）</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目标值</w:t>
            </w:r>
          </w:p>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（2025）</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
                <w:bCs/>
                <w:szCs w:val="21"/>
              </w:rPr>
            </w:pPr>
            <w:r>
              <w:rPr>
                <w:rFonts w:hint="eastAsia" w:ascii="Times New Roman" w:hAnsi="Times New Roman" w:eastAsia="仿宋" w:cs="Times New Roman"/>
                <w:b/>
                <w:bCs/>
                <w:szCs w:val="21"/>
              </w:rPr>
              <w:t>目标值（2035）</w:t>
            </w:r>
          </w:p>
        </w:tc>
      </w:tr>
      <w:tr>
        <w:tblPrEx>
          <w:tblCellMar>
            <w:top w:w="0" w:type="dxa"/>
            <w:left w:w="0" w:type="dxa"/>
            <w:bottom w:w="0" w:type="dxa"/>
            <w:right w:w="0" w:type="dxa"/>
          </w:tblCellMar>
        </w:tblPrEx>
        <w:trPr>
          <w:trHeight w:val="90" w:hRule="atLeast"/>
        </w:trPr>
        <w:tc>
          <w:tcPr>
            <w:tcW w:w="973" w:type="pct"/>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经济运行指标</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规上工业总产值（亿元）</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71.43</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95</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300</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规上工业增加值增速（%）</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16.4</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w:t>
            </w:r>
            <w:r>
              <w:rPr>
                <w:rFonts w:ascii="Times New Roman" w:hAnsi="Times New Roman" w:eastAsia="仿宋" w:cs="Times New Roman"/>
                <w:bCs/>
                <w:szCs w:val="21"/>
              </w:rPr>
              <w:t>2</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w:t>
            </w:r>
            <w:r>
              <w:rPr>
                <w:rFonts w:ascii="Times New Roman" w:hAnsi="Times New Roman" w:eastAsia="仿宋" w:cs="Times New Roman"/>
                <w:bCs/>
                <w:szCs w:val="21"/>
              </w:rPr>
              <w:t>0</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固定资产投资增速（%）</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71.01</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&gt;20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&gt;15</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一般公共预算收入增速（%）</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73.3</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&gt;20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&gt;15</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引进域外资金（内资）（亿元）</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18</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w:t>
            </w:r>
            <w:r>
              <w:rPr>
                <w:rFonts w:ascii="Times New Roman" w:hAnsi="Times New Roman" w:eastAsia="仿宋" w:cs="Times New Roman"/>
                <w:bCs/>
                <w:szCs w:val="21"/>
              </w:rPr>
              <w:t>10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w:t>
            </w:r>
            <w:r>
              <w:rPr>
                <w:rFonts w:ascii="Times New Roman" w:hAnsi="Times New Roman" w:eastAsia="仿宋" w:cs="Times New Roman"/>
                <w:bCs/>
                <w:szCs w:val="21"/>
              </w:rPr>
              <w:t>15</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引进外资额（外资）（万美元）</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ascii="Times New Roman" w:hAnsi="Times New Roman" w:eastAsia="仿宋" w:cs="Times New Roman"/>
                <w:bCs/>
                <w:szCs w:val="21"/>
              </w:rPr>
              <w:t>379</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w:t>
            </w:r>
            <w:r>
              <w:rPr>
                <w:rFonts w:ascii="Times New Roman" w:hAnsi="Times New Roman" w:eastAsia="仿宋" w:cs="Times New Roman"/>
                <w:bCs/>
                <w:szCs w:val="21"/>
              </w:rPr>
              <w:t>200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w:t>
            </w:r>
            <w:r>
              <w:rPr>
                <w:rFonts w:ascii="Times New Roman" w:hAnsi="Times New Roman" w:eastAsia="仿宋" w:cs="Times New Roman"/>
                <w:bCs/>
                <w:szCs w:val="21"/>
              </w:rPr>
              <w:t>400</w:t>
            </w:r>
          </w:p>
        </w:tc>
      </w:tr>
      <w:tr>
        <w:tblPrEx>
          <w:tblCellMar>
            <w:top w:w="0" w:type="dxa"/>
            <w:left w:w="0" w:type="dxa"/>
            <w:bottom w:w="0" w:type="dxa"/>
            <w:right w:w="0" w:type="dxa"/>
          </w:tblCellMar>
        </w:tblPrEx>
        <w:trPr>
          <w:trHeight w:val="155" w:hRule="atLeast"/>
        </w:trPr>
        <w:tc>
          <w:tcPr>
            <w:tcW w:w="97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主导产业</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主导产业类型数量（个）</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3</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3</w:t>
            </w:r>
          </w:p>
        </w:tc>
      </w:tr>
      <w:tr>
        <w:tblPrEx>
          <w:tblCellMar>
            <w:top w:w="0" w:type="dxa"/>
            <w:left w:w="0" w:type="dxa"/>
            <w:bottom w:w="0" w:type="dxa"/>
            <w:right w:w="0" w:type="dxa"/>
          </w:tblCellMar>
        </w:tblPrEx>
        <w:trPr>
          <w:trHeight w:val="90" w:hRule="atLeast"/>
        </w:trPr>
        <w:tc>
          <w:tcPr>
            <w:tcW w:w="9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主导产业产值与园区总产值比例（%）</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78</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85</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90</w:t>
            </w:r>
          </w:p>
        </w:tc>
      </w:tr>
      <w:tr>
        <w:tblPrEx>
          <w:tblCellMar>
            <w:top w:w="0" w:type="dxa"/>
            <w:left w:w="0" w:type="dxa"/>
            <w:bottom w:w="0" w:type="dxa"/>
            <w:right w:w="0" w:type="dxa"/>
          </w:tblCellMar>
        </w:tblPrEx>
        <w:trPr>
          <w:trHeight w:val="90" w:hRule="atLeast"/>
        </w:trPr>
        <w:tc>
          <w:tcPr>
            <w:tcW w:w="97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工业产值</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工业产值与一产产值比例（%）</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230</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&gt;250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&gt;300</w:t>
            </w:r>
          </w:p>
        </w:tc>
      </w:tr>
      <w:tr>
        <w:tblPrEx>
          <w:tblCellMar>
            <w:top w:w="0" w:type="dxa"/>
            <w:left w:w="0" w:type="dxa"/>
            <w:bottom w:w="0" w:type="dxa"/>
            <w:right w:w="0" w:type="dxa"/>
          </w:tblCellMar>
        </w:tblPrEx>
        <w:trPr>
          <w:trHeight w:val="118" w:hRule="atLeast"/>
        </w:trPr>
        <w:tc>
          <w:tcPr>
            <w:tcW w:w="97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 w:val="20"/>
                <w:szCs w:val="20"/>
              </w:rPr>
              <w:t>农民可支配收入</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24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产业园农民可支配收入与出当地平均水平比例（%）</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34</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&gt;40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&gt;50</w:t>
            </w:r>
          </w:p>
        </w:tc>
      </w:tr>
      <w:tr>
        <w:tblPrEx>
          <w:tblCellMar>
            <w:top w:w="0" w:type="dxa"/>
            <w:left w:w="0" w:type="dxa"/>
            <w:bottom w:w="0" w:type="dxa"/>
            <w:right w:w="0" w:type="dxa"/>
          </w:tblCellMar>
        </w:tblPrEx>
        <w:trPr>
          <w:trHeight w:val="90" w:hRule="atLeast"/>
        </w:trPr>
        <w:tc>
          <w:tcPr>
            <w:tcW w:w="97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 w:val="18"/>
                <w:szCs w:val="18"/>
              </w:rPr>
              <w:t>专业技术人员数量</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--（万人）</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0.18</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＞0.5</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＞1.5</w:t>
            </w:r>
          </w:p>
        </w:tc>
      </w:tr>
      <w:tr>
        <w:tblPrEx>
          <w:tblCellMar>
            <w:top w:w="0" w:type="dxa"/>
            <w:left w:w="0" w:type="dxa"/>
            <w:bottom w:w="0" w:type="dxa"/>
            <w:right w:w="0" w:type="dxa"/>
          </w:tblCellMar>
        </w:tblPrEx>
        <w:trPr>
          <w:trHeight w:val="90" w:hRule="atLeast"/>
        </w:trPr>
        <w:tc>
          <w:tcPr>
            <w:tcW w:w="97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经费指标</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农业研究和发展经费支出</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1.15</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＞1.5</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w:t>
            </w:r>
          </w:p>
        </w:tc>
      </w:tr>
      <w:tr>
        <w:tblPrEx>
          <w:tblCellMar>
            <w:top w:w="0" w:type="dxa"/>
            <w:left w:w="0" w:type="dxa"/>
            <w:bottom w:w="0" w:type="dxa"/>
            <w:right w:w="0" w:type="dxa"/>
          </w:tblCellMar>
        </w:tblPrEx>
        <w:trPr>
          <w:trHeight w:val="90" w:hRule="atLeast"/>
        </w:trPr>
        <w:tc>
          <w:tcPr>
            <w:tcW w:w="97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园区企业数量</w:t>
            </w: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主导产业</w:t>
            </w:r>
            <w:r>
              <w:rPr>
                <w:rFonts w:hint="eastAsia" w:ascii="Times New Roman" w:hAnsi="Times New Roman" w:eastAsia="仿宋" w:cs="Times New Roman"/>
                <w:bCs/>
                <w:szCs w:val="21"/>
              </w:rPr>
              <w:t>企业数量（个）</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30</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＞50</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＞100</w:t>
            </w:r>
          </w:p>
        </w:tc>
      </w:tr>
      <w:tr>
        <w:tblPrEx>
          <w:tblCellMar>
            <w:top w:w="0" w:type="dxa"/>
            <w:left w:w="0" w:type="dxa"/>
            <w:bottom w:w="0" w:type="dxa"/>
            <w:right w:w="0" w:type="dxa"/>
          </w:tblCellMar>
        </w:tblPrEx>
        <w:trPr>
          <w:trHeight w:val="90" w:hRule="atLeast"/>
        </w:trPr>
        <w:tc>
          <w:tcPr>
            <w:tcW w:w="9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ascii="Times New Roman" w:hAnsi="Times New Roman" w:eastAsia="仿宋" w:cs="Times New Roman"/>
                <w:bCs/>
                <w:szCs w:val="21"/>
              </w:rPr>
            </w:pPr>
          </w:p>
        </w:tc>
        <w:tc>
          <w:tcPr>
            <w:tcW w:w="209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龙头企业数量（个）</w:t>
            </w:r>
          </w:p>
        </w:tc>
        <w:tc>
          <w:tcPr>
            <w:tcW w:w="68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2</w:t>
            </w:r>
          </w:p>
        </w:tc>
        <w:tc>
          <w:tcPr>
            <w:tcW w:w="64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＞4</w:t>
            </w:r>
          </w:p>
        </w:tc>
        <w:tc>
          <w:tcPr>
            <w:tcW w:w="59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360" w:lineRule="auto"/>
              <w:jc w:val="center"/>
              <w:rPr>
                <w:rFonts w:ascii="Times New Roman" w:hAnsi="Times New Roman" w:eastAsia="仿宋" w:cs="Times New Roman"/>
                <w:bCs/>
                <w:szCs w:val="21"/>
              </w:rPr>
            </w:pPr>
            <w:r>
              <w:rPr>
                <w:rFonts w:hint="eastAsia" w:ascii="Times New Roman" w:hAnsi="Times New Roman" w:eastAsia="仿宋" w:cs="Times New Roman"/>
                <w:bCs/>
                <w:szCs w:val="21"/>
              </w:rPr>
              <w:t>＞8</w:t>
            </w:r>
          </w:p>
        </w:tc>
      </w:tr>
      <w:tr>
        <w:tblPrEx>
          <w:tblCellMar>
            <w:top w:w="0" w:type="dxa"/>
            <w:left w:w="0" w:type="dxa"/>
            <w:bottom w:w="0" w:type="dxa"/>
            <w:right w:w="0" w:type="dxa"/>
          </w:tblCellMar>
        </w:tblPrEx>
        <w:trPr>
          <w:trHeight w:val="90" w:hRule="atLeast"/>
        </w:trPr>
        <w:tc>
          <w:tcPr>
            <w:tcW w:w="973" w:type="pct"/>
            <w:vMerge w:val="restart"/>
            <w:tcBorders>
              <w:top w:val="single" w:color="000000" w:sz="8" w:space="0"/>
              <w:left w:val="single" w:color="000000" w:sz="8" w:space="0"/>
              <w:right w:val="single" w:color="000000" w:sz="8" w:space="0"/>
            </w:tcBorders>
            <w:shd w:val="clear" w:color="auto" w:fill="auto"/>
            <w:vAlign w:val="center"/>
          </w:tcPr>
          <w:p>
            <w:pPr>
              <w:spacing w:line="360" w:lineRule="auto"/>
              <w:jc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研究机构</w:t>
            </w:r>
          </w:p>
        </w:tc>
        <w:tc>
          <w:tcPr>
            <w:tcW w:w="35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both"/>
              <w:rPr>
                <w:rFonts w:hint="eastAsia" w:ascii="Times New Roman" w:hAnsi="Times New Roman" w:eastAsia="仿宋" w:cs="Times New Roman"/>
                <w:bCs/>
                <w:szCs w:val="21"/>
              </w:rPr>
            </w:pPr>
            <w:r>
              <w:rPr>
                <w:rFonts w:hint="eastAsia" w:ascii="Times New Roman" w:hAnsi="Times New Roman" w:eastAsia="仿宋" w:cs="Times New Roman"/>
                <w:bCs/>
                <w:szCs w:val="21"/>
              </w:rPr>
              <w:t>国家级科研项目实验基地（成果孵化）</w:t>
            </w:r>
          </w:p>
        </w:tc>
        <w:tc>
          <w:tcPr>
            <w:tcW w:w="117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0</w:t>
            </w:r>
          </w:p>
        </w:tc>
        <w:tc>
          <w:tcPr>
            <w:tcW w:w="11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w:t>
            </w:r>
          </w:p>
        </w:tc>
        <w:tc>
          <w:tcPr>
            <w:tcW w:w="10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&gt;3</w:t>
            </w:r>
          </w:p>
        </w:tc>
      </w:tr>
      <w:tr>
        <w:tblPrEx>
          <w:tblCellMar>
            <w:top w:w="0" w:type="dxa"/>
            <w:left w:w="0" w:type="dxa"/>
            <w:bottom w:w="0" w:type="dxa"/>
            <w:right w:w="0" w:type="dxa"/>
          </w:tblCellMar>
        </w:tblPrEx>
        <w:trPr>
          <w:trHeight w:val="180" w:hRule="atLeast"/>
        </w:trPr>
        <w:tc>
          <w:tcPr>
            <w:tcW w:w="973" w:type="pct"/>
            <w:vMerge w:val="continue"/>
            <w:tcBorders>
              <w:left w:val="single" w:color="000000" w:sz="8" w:space="0"/>
              <w:right w:val="single" w:color="000000" w:sz="8" w:space="0"/>
            </w:tcBorders>
            <w:shd w:val="clear" w:color="auto" w:fill="auto"/>
            <w:vAlign w:val="center"/>
          </w:tcPr>
          <w:p>
            <w:pPr>
              <w:spacing w:line="360" w:lineRule="auto"/>
              <w:jc w:val="center"/>
              <w:rPr>
                <w:rFonts w:hint="eastAsia" w:ascii="Times New Roman" w:hAnsi="Times New Roman" w:eastAsia="仿宋" w:cs="Times New Roman"/>
                <w:bCs/>
                <w:szCs w:val="21"/>
              </w:rPr>
            </w:pPr>
          </w:p>
        </w:tc>
        <w:tc>
          <w:tcPr>
            <w:tcW w:w="35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both"/>
              <w:rPr>
                <w:rFonts w:hint="eastAsia" w:ascii="Times New Roman" w:hAnsi="Times New Roman" w:eastAsia="仿宋" w:cs="Times New Roman"/>
                <w:bCs/>
                <w:szCs w:val="21"/>
              </w:rPr>
            </w:pPr>
            <w:r>
              <w:rPr>
                <w:rFonts w:hint="eastAsia" w:ascii="Times New Roman" w:hAnsi="Times New Roman" w:eastAsia="仿宋" w:cs="Times New Roman"/>
                <w:bCs/>
                <w:szCs w:val="21"/>
              </w:rPr>
              <w:t>省级科研实验基地（中试基地）</w:t>
            </w:r>
          </w:p>
        </w:tc>
        <w:tc>
          <w:tcPr>
            <w:tcW w:w="117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0</w:t>
            </w:r>
          </w:p>
        </w:tc>
        <w:tc>
          <w:tcPr>
            <w:tcW w:w="11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&gt;1</w:t>
            </w:r>
          </w:p>
        </w:tc>
        <w:tc>
          <w:tcPr>
            <w:tcW w:w="10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&gt;5</w:t>
            </w:r>
          </w:p>
        </w:tc>
      </w:tr>
      <w:tr>
        <w:tblPrEx>
          <w:tblCellMar>
            <w:top w:w="0" w:type="dxa"/>
            <w:left w:w="0" w:type="dxa"/>
            <w:bottom w:w="0" w:type="dxa"/>
            <w:right w:w="0" w:type="dxa"/>
          </w:tblCellMar>
        </w:tblPrEx>
        <w:trPr>
          <w:trHeight w:val="90" w:hRule="atLeast"/>
        </w:trPr>
        <w:tc>
          <w:tcPr>
            <w:tcW w:w="973" w:type="pct"/>
            <w:vMerge w:val="continue"/>
            <w:tcBorders>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Times New Roman" w:hAnsi="Times New Roman" w:eastAsia="仿宋" w:cs="Times New Roman"/>
                <w:bCs/>
                <w:szCs w:val="21"/>
              </w:rPr>
            </w:pPr>
          </w:p>
        </w:tc>
        <w:tc>
          <w:tcPr>
            <w:tcW w:w="35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both"/>
              <w:rPr>
                <w:rFonts w:hint="eastAsia" w:ascii="Times New Roman" w:hAnsi="Times New Roman" w:eastAsia="仿宋" w:cs="Times New Roman"/>
                <w:bCs/>
                <w:szCs w:val="21"/>
              </w:rPr>
            </w:pPr>
            <w:r>
              <w:rPr>
                <w:rFonts w:hint="eastAsia" w:ascii="Times New Roman" w:hAnsi="Times New Roman" w:eastAsia="仿宋" w:cs="Times New Roman"/>
                <w:bCs/>
                <w:szCs w:val="21"/>
              </w:rPr>
              <w:t>科技小院</w:t>
            </w:r>
          </w:p>
        </w:tc>
        <w:tc>
          <w:tcPr>
            <w:tcW w:w="117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1</w:t>
            </w:r>
          </w:p>
        </w:tc>
        <w:tc>
          <w:tcPr>
            <w:tcW w:w="11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&gt;3</w:t>
            </w:r>
          </w:p>
        </w:tc>
        <w:tc>
          <w:tcPr>
            <w:tcW w:w="1006"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top"/>
          </w:tcPr>
          <w:p>
            <w:pPr>
              <w:spacing w:line="360" w:lineRule="auto"/>
              <w:jc w:val="center"/>
              <w:rPr>
                <w:rFonts w:hint="eastAsia" w:ascii="Times New Roman" w:hAnsi="Times New Roman" w:eastAsia="仿宋" w:cs="Times New Roman"/>
                <w:bCs/>
                <w:szCs w:val="21"/>
              </w:rPr>
            </w:pPr>
            <w:r>
              <w:rPr>
                <w:rFonts w:hint="eastAsia" w:ascii="Times New Roman" w:hAnsi="Times New Roman" w:eastAsia="仿宋" w:cs="Times New Roman"/>
                <w:bCs/>
                <w:szCs w:val="21"/>
              </w:rPr>
              <w:t>&gt;5</w:t>
            </w:r>
          </w:p>
        </w:tc>
      </w:tr>
    </w:tbl>
    <w:p>
      <w:pPr>
        <w:spacing w:line="360" w:lineRule="auto"/>
        <w:jc w:val="center"/>
        <w:rPr>
          <w:rFonts w:hint="eastAsia" w:ascii="Times New Roman" w:hAnsi="Times New Roman" w:eastAsia="仿宋" w:cs="Times New Roman"/>
          <w:bCs/>
          <w:szCs w:val="21"/>
        </w:rPr>
      </w:pPr>
    </w:p>
    <w:p>
      <w:pPr>
        <w:pStyle w:val="27"/>
        <w:jc w:val="center"/>
        <w:outlineLvl w:val="0"/>
        <w:rPr>
          <w:rFonts w:ascii="黑体" w:hAnsi="黑体" w:eastAsia="黑体"/>
          <w:sz w:val="44"/>
          <w:szCs w:val="44"/>
        </w:rPr>
      </w:pPr>
      <w:r>
        <w:rPr>
          <w:rFonts w:ascii="黑体" w:hAnsi="黑体" w:eastAsia="黑体"/>
          <w:sz w:val="44"/>
          <w:szCs w:val="44"/>
        </w:rPr>
        <w:br w:type="page"/>
      </w:r>
      <w:bookmarkStart w:id="39" w:name="_Toc163"/>
      <w:r>
        <w:rPr>
          <w:rFonts w:hint="eastAsia" w:ascii="黑体" w:hAnsi="黑体" w:eastAsia="黑体"/>
          <w:sz w:val="44"/>
          <w:szCs w:val="44"/>
        </w:rPr>
        <w:t>产业</w:t>
      </w:r>
      <w:r>
        <w:rPr>
          <w:rFonts w:ascii="黑体" w:hAnsi="黑体" w:eastAsia="黑体"/>
          <w:sz w:val="44"/>
          <w:szCs w:val="44"/>
        </w:rPr>
        <w:t>选择及发展重点</w:t>
      </w:r>
      <w:bookmarkEnd w:id="39"/>
    </w:p>
    <w:p>
      <w:pPr>
        <w:pStyle w:val="28"/>
        <w:outlineLvl w:val="1"/>
        <w:rPr>
          <w:rFonts w:ascii="黑体" w:hAnsi="黑体" w:eastAsia="黑体"/>
          <w:sz w:val="32"/>
          <w:szCs w:val="32"/>
        </w:rPr>
      </w:pPr>
      <w:bookmarkStart w:id="40" w:name="_Toc29550"/>
      <w:r>
        <w:rPr>
          <w:rFonts w:hint="eastAsia" w:ascii="黑体" w:hAnsi="黑体" w:eastAsia="黑体"/>
          <w:sz w:val="32"/>
          <w:szCs w:val="32"/>
        </w:rPr>
        <w:t>产业</w:t>
      </w:r>
      <w:r>
        <w:rPr>
          <w:rFonts w:ascii="黑体" w:hAnsi="黑体" w:eastAsia="黑体"/>
          <w:sz w:val="32"/>
          <w:szCs w:val="32"/>
        </w:rPr>
        <w:t>体系构建</w:t>
      </w:r>
      <w:bookmarkEnd w:id="40"/>
    </w:p>
    <w:p>
      <w:pPr>
        <w:spacing w:line="360" w:lineRule="auto"/>
        <w:ind w:firstLine="640" w:firstLineChars="200"/>
        <w:rPr>
          <w:rFonts w:hint="default" w:ascii="Times New Roman" w:hAnsi="Times New Roman" w:eastAsia="仿宋" w:cs="Times New Roman"/>
          <w:sz w:val="32"/>
          <w:lang w:val="en-US" w:eastAsia="zh-CN"/>
        </w:rPr>
      </w:pPr>
      <w:r>
        <w:rPr>
          <w:rFonts w:hint="eastAsia" w:ascii="Times New Roman" w:hAnsi="Times New Roman" w:eastAsia="仿宋" w:cs="Times New Roman"/>
          <w:sz w:val="32"/>
        </w:rPr>
        <w:t>构建“1+2</w:t>
      </w:r>
      <w:r>
        <w:rPr>
          <w:rFonts w:hint="eastAsia" w:ascii="Times New Roman" w:hAnsi="Times New Roman" w:eastAsia="仿宋" w:cs="Times New Roman"/>
          <w:sz w:val="32"/>
          <w:lang w:val="en-US" w:eastAsia="zh-CN"/>
        </w:rPr>
        <w:t>+N</w:t>
      </w:r>
      <w:r>
        <w:rPr>
          <w:rFonts w:hint="eastAsia" w:ascii="Times New Roman" w:hAnsi="Times New Roman" w:eastAsia="仿宋" w:cs="Times New Roman"/>
          <w:sz w:val="32"/>
        </w:rPr>
        <w:t>”产业结构体系。确定规划区内一大主导产业为农产品加工，以肉鸡肉鸭、生猪、玉米为主体，以农产品种养殖精深加工技术为抓手，带动种养殖模式转变，引领农产品加工业发展的同时深入创新宠物食品与预制菜食品的加工制造，引领食品加工行业模式转变；确定两大优势产业分别为生物科技产业及现代服务产业，其中生物科技产业以</w:t>
      </w:r>
      <w:r>
        <w:rPr>
          <w:rFonts w:hint="eastAsia" w:ascii="Times New Roman" w:hAnsi="Times New Roman" w:eastAsia="仿宋" w:cs="Times New Roman"/>
          <w:sz w:val="32"/>
          <w:lang w:val="en-US" w:eastAsia="zh-CN"/>
        </w:rPr>
        <w:t>生物饲料、生物发酵</w:t>
      </w:r>
      <w:r>
        <w:rPr>
          <w:rFonts w:hint="eastAsia" w:ascii="Times New Roman" w:hAnsi="Times New Roman" w:eastAsia="仿宋" w:cs="Times New Roman"/>
          <w:sz w:val="32"/>
        </w:rPr>
        <w:t>和生物菌为主体加快推进生物科技创新和产业化应用，实现科技自立自强，提升产业链供应链安全稳定水平；推动有效市场和有为政府更好结合，加快生物技术向多领域广泛融合赋能，加快培育生物领域新技术、新产业、新业态、新模式，实现生物经济效益互利共赢；现代服务产业以交通运输冷链物流为主体，重点发展配套金融服务，同时兼顾产品包装及品牌打造等第三产业的建立入驻。通过市场深化，奠定现代服务业发展的雄厚市场基础；通过现代技术运用及服务创新，形成现代服务业发展的良好技术基础；通过产业区位集聚，优化现代服务业发展的生态基础。</w:t>
      </w:r>
      <w:r>
        <w:rPr>
          <w:rFonts w:hint="eastAsia" w:ascii="Times New Roman" w:hAnsi="Times New Roman" w:eastAsia="仿宋" w:cs="Times New Roman"/>
          <w:sz w:val="32"/>
          <w:lang w:val="en-US" w:eastAsia="zh-CN"/>
        </w:rPr>
        <w:t>建立N条产业链。</w:t>
      </w:r>
    </w:p>
    <w:p>
      <w:pPr>
        <w:pStyle w:val="28"/>
        <w:outlineLvl w:val="1"/>
        <w:rPr>
          <w:rFonts w:ascii="黑体" w:hAnsi="黑体" w:eastAsia="黑体"/>
          <w:sz w:val="32"/>
          <w:szCs w:val="32"/>
        </w:rPr>
      </w:pPr>
      <w:bookmarkStart w:id="41" w:name="_Toc28814"/>
      <w:r>
        <w:rPr>
          <w:rFonts w:hint="eastAsia" w:ascii="黑体" w:hAnsi="黑体" w:eastAsia="黑体"/>
          <w:sz w:val="32"/>
          <w:szCs w:val="32"/>
        </w:rPr>
        <w:t>聚焦</w:t>
      </w:r>
      <w:r>
        <w:rPr>
          <w:rFonts w:ascii="黑体" w:hAnsi="黑体" w:eastAsia="黑体"/>
          <w:sz w:val="32"/>
          <w:szCs w:val="32"/>
        </w:rPr>
        <w:t>农产品加工，强化产业链条</w:t>
      </w:r>
      <w:bookmarkEnd w:id="41"/>
    </w:p>
    <w:p>
      <w:pPr>
        <w:pStyle w:val="28"/>
        <w:numPr>
          <w:ilvl w:val="2"/>
          <w:numId w:val="1"/>
        </w:numPr>
        <w:ind w:firstLine="643" w:firstLineChars="200"/>
        <w:outlineLvl w:val="2"/>
        <w:rPr>
          <w:rFonts w:ascii="楷体" w:hAnsi="楷体" w:eastAsia="楷体"/>
          <w:b/>
          <w:sz w:val="32"/>
          <w:szCs w:val="32"/>
        </w:rPr>
      </w:pPr>
      <w:bookmarkStart w:id="42" w:name="_Toc29591"/>
      <w:r>
        <w:rPr>
          <w:rFonts w:hint="eastAsia" w:ascii="楷体" w:hAnsi="楷体" w:eastAsia="楷体"/>
          <w:b/>
          <w:sz w:val="32"/>
          <w:szCs w:val="32"/>
        </w:rPr>
        <w:t>肉鸡产业</w:t>
      </w:r>
      <w:r>
        <w:rPr>
          <w:rFonts w:ascii="楷体" w:hAnsi="楷体" w:eastAsia="楷体"/>
          <w:b/>
          <w:sz w:val="32"/>
          <w:szCs w:val="32"/>
        </w:rPr>
        <w:t>链</w:t>
      </w:r>
      <w:r>
        <w:rPr>
          <w:rFonts w:hint="eastAsia" w:ascii="楷体" w:hAnsi="楷体" w:eastAsia="楷体"/>
          <w:b/>
          <w:sz w:val="32"/>
          <w:szCs w:val="32"/>
        </w:rPr>
        <w:t>条</w:t>
      </w:r>
      <w:bookmarkEnd w:id="42"/>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依托台安国家白羽肉鸡特色产业集群优势，建设以“禽雏孵化——饲料研发——专业养殖——屠宰分割——肉禽制品深加工——配套包装物流”为主的白羽肉鸡产业链。</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产业链设计如下：</w:t>
      </w:r>
    </w:p>
    <w:p>
      <w:pPr>
        <w:ind w:firstLine="420" w:firstLineChars="200"/>
        <w:jc w:val="center"/>
        <w:rPr>
          <w:rFonts w:ascii="Times New Roman" w:hAnsi="Times New Roman" w:eastAsia="仿宋" w:cs="Times New Roman"/>
          <w:sz w:val="32"/>
          <w:szCs w:val="24"/>
        </w:rPr>
      </w:pPr>
      <w:r>
        <w:drawing>
          <wp:inline distT="0" distB="0" distL="0" distR="0">
            <wp:extent cx="5274310" cy="20440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2044065"/>
                    </a:xfrm>
                    <a:prstGeom prst="rect">
                      <a:avLst/>
                    </a:prstGeom>
                  </pic:spPr>
                </pic:pic>
              </a:graphicData>
            </a:graphic>
          </wp:inline>
        </w:drawing>
      </w:r>
    </w:p>
    <w:p>
      <w:pPr>
        <w:pStyle w:val="28"/>
        <w:numPr>
          <w:ilvl w:val="0"/>
          <w:numId w:val="0"/>
        </w:numPr>
        <w:jc w:val="center"/>
        <w:outlineLvl w:val="2"/>
        <w:rPr>
          <w:rFonts w:ascii="楷体" w:hAnsi="楷体" w:eastAsia="楷体"/>
          <w:b/>
          <w:sz w:val="22"/>
          <w:szCs w:val="32"/>
        </w:rPr>
      </w:pPr>
      <w:bookmarkStart w:id="43" w:name="_Toc19056"/>
      <w:r>
        <w:rPr>
          <w:rFonts w:hint="eastAsia" w:ascii="楷体" w:hAnsi="楷体" w:eastAsia="楷体"/>
          <w:b/>
          <w:sz w:val="22"/>
          <w:szCs w:val="32"/>
        </w:rPr>
        <w:t>图4 白羽鸡特色产业链</w:t>
      </w:r>
      <w:bookmarkEnd w:id="43"/>
    </w:p>
    <w:p>
      <w:pPr>
        <w:pStyle w:val="28"/>
        <w:numPr>
          <w:ilvl w:val="2"/>
          <w:numId w:val="1"/>
        </w:numPr>
        <w:ind w:firstLine="643" w:firstLineChars="200"/>
        <w:outlineLvl w:val="2"/>
        <w:rPr>
          <w:rFonts w:ascii="楷体" w:hAnsi="楷体" w:eastAsia="楷体"/>
          <w:b/>
          <w:sz w:val="32"/>
          <w:szCs w:val="32"/>
        </w:rPr>
      </w:pPr>
      <w:bookmarkStart w:id="44" w:name="_Toc30847"/>
      <w:r>
        <w:rPr>
          <w:rFonts w:hint="eastAsia" w:ascii="楷体" w:hAnsi="楷体" w:eastAsia="楷体"/>
          <w:b/>
          <w:sz w:val="32"/>
          <w:szCs w:val="32"/>
        </w:rPr>
        <w:t>生猪产业链条</w:t>
      </w:r>
      <w:bookmarkEnd w:id="4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依托台安生猪调出大县优势，建设以“品种改良——安全饲料——健康养殖——屠宰加工——肉品加工——食品加工——冷链物流——品牌专卖”为主的生猪产业链。</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产业链设计如下：</w:t>
      </w: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7325" cy="2094865"/>
            <wp:effectExtent l="0" t="0" r="9525"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a:stretch>
                      <a:fillRect/>
                    </a:stretch>
                  </pic:blipFill>
                  <pic:spPr>
                    <a:xfrm>
                      <a:off x="0" y="0"/>
                      <a:ext cx="5267325" cy="2094865"/>
                    </a:xfrm>
                    <a:prstGeom prst="rect">
                      <a:avLst/>
                    </a:prstGeom>
                    <a:noFill/>
                    <a:ln>
                      <a:noFill/>
                    </a:ln>
                  </pic:spPr>
                </pic:pic>
              </a:graphicData>
            </a:graphic>
          </wp:inline>
        </w:drawing>
      </w:r>
    </w:p>
    <w:p>
      <w:pPr>
        <w:pStyle w:val="28"/>
        <w:numPr>
          <w:ilvl w:val="0"/>
          <w:numId w:val="0"/>
        </w:numPr>
        <w:jc w:val="center"/>
        <w:outlineLvl w:val="2"/>
        <w:rPr>
          <w:rFonts w:ascii="楷体" w:hAnsi="楷体" w:eastAsia="楷体"/>
          <w:b/>
          <w:sz w:val="22"/>
          <w:szCs w:val="32"/>
        </w:rPr>
      </w:pPr>
      <w:bookmarkStart w:id="45" w:name="_Toc7987"/>
      <w:r>
        <w:rPr>
          <w:rFonts w:hint="eastAsia" w:ascii="楷体" w:hAnsi="楷体" w:eastAsia="楷体"/>
          <w:b/>
          <w:sz w:val="22"/>
          <w:szCs w:val="32"/>
        </w:rPr>
        <w:t>图</w:t>
      </w:r>
      <w:r>
        <w:rPr>
          <w:rFonts w:ascii="楷体" w:hAnsi="楷体" w:eastAsia="楷体"/>
          <w:b/>
          <w:sz w:val="22"/>
          <w:szCs w:val="32"/>
        </w:rPr>
        <w:t>5</w:t>
      </w:r>
      <w:r>
        <w:rPr>
          <w:rFonts w:hint="eastAsia" w:ascii="楷体" w:hAnsi="楷体" w:eastAsia="楷体"/>
          <w:b/>
          <w:sz w:val="22"/>
          <w:szCs w:val="32"/>
        </w:rPr>
        <w:t xml:space="preserve"> 生猪特色产业链</w:t>
      </w:r>
      <w:bookmarkEnd w:id="45"/>
    </w:p>
    <w:p>
      <w:pPr>
        <w:pStyle w:val="28"/>
        <w:numPr>
          <w:ilvl w:val="2"/>
          <w:numId w:val="1"/>
        </w:numPr>
        <w:ind w:firstLine="643" w:firstLineChars="200"/>
        <w:outlineLvl w:val="2"/>
        <w:rPr>
          <w:rFonts w:ascii="楷体" w:hAnsi="楷体" w:eastAsia="楷体"/>
          <w:b/>
          <w:sz w:val="32"/>
          <w:szCs w:val="32"/>
        </w:rPr>
      </w:pPr>
      <w:bookmarkStart w:id="46" w:name="_Toc32356"/>
      <w:r>
        <w:rPr>
          <w:rFonts w:hint="eastAsia" w:ascii="楷体" w:hAnsi="楷体" w:eastAsia="楷体"/>
          <w:b/>
          <w:sz w:val="32"/>
          <w:szCs w:val="32"/>
        </w:rPr>
        <w:t>玉米深加工产业</w:t>
      </w:r>
      <w:r>
        <w:rPr>
          <w:rFonts w:ascii="楷体" w:hAnsi="楷体" w:eastAsia="楷体"/>
          <w:b/>
          <w:sz w:val="32"/>
          <w:szCs w:val="32"/>
        </w:rPr>
        <w:t>链条</w:t>
      </w:r>
      <w:bookmarkEnd w:id="4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以开展高标准农田建设为契机，以规模化种植和集约化生产为抓手，台安县未来将建设以“肥料研发——新品培育——现代化种植收割——初加工——粮食作物深加工——仓储——包装物流运输——销售”为主的玉米深加工产业链。</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产业链设计如下：</w:t>
      </w: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9865" cy="2265045"/>
            <wp:effectExtent l="0" t="0" r="6985"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69865" cy="2265045"/>
                    </a:xfrm>
                    <a:prstGeom prst="rect">
                      <a:avLst/>
                    </a:prstGeom>
                    <a:noFill/>
                    <a:ln>
                      <a:noFill/>
                    </a:ln>
                  </pic:spPr>
                </pic:pic>
              </a:graphicData>
            </a:graphic>
          </wp:inline>
        </w:drawing>
      </w:r>
    </w:p>
    <w:p>
      <w:pPr>
        <w:pStyle w:val="28"/>
        <w:numPr>
          <w:ilvl w:val="0"/>
          <w:numId w:val="0"/>
        </w:numPr>
        <w:jc w:val="center"/>
        <w:outlineLvl w:val="2"/>
        <w:rPr>
          <w:rFonts w:ascii="Times New Roman" w:hAnsi="Times New Roman" w:eastAsia="仿宋" w:cs="Times New Roman"/>
          <w:sz w:val="32"/>
          <w:szCs w:val="24"/>
        </w:rPr>
      </w:pPr>
      <w:bookmarkStart w:id="47" w:name="_Toc29974"/>
      <w:r>
        <w:rPr>
          <w:rFonts w:hint="eastAsia" w:ascii="楷体" w:hAnsi="楷体" w:eastAsia="楷体"/>
          <w:b/>
          <w:sz w:val="22"/>
          <w:szCs w:val="32"/>
        </w:rPr>
        <w:t>图6 玉米深加工特色产业链</w:t>
      </w:r>
      <w:bookmarkEnd w:id="47"/>
    </w:p>
    <w:p>
      <w:pPr>
        <w:pStyle w:val="28"/>
        <w:numPr>
          <w:ilvl w:val="2"/>
          <w:numId w:val="1"/>
        </w:numPr>
        <w:ind w:firstLine="643" w:firstLineChars="200"/>
        <w:outlineLvl w:val="2"/>
        <w:rPr>
          <w:rFonts w:ascii="楷体" w:hAnsi="楷体" w:eastAsia="楷体"/>
          <w:b/>
          <w:sz w:val="32"/>
          <w:szCs w:val="32"/>
        </w:rPr>
      </w:pPr>
      <w:bookmarkStart w:id="48" w:name="_Toc27038"/>
      <w:r>
        <w:rPr>
          <w:rFonts w:hint="eastAsia" w:ascii="楷体" w:hAnsi="楷体" w:eastAsia="楷体"/>
          <w:b/>
          <w:sz w:val="32"/>
          <w:szCs w:val="32"/>
        </w:rPr>
        <w:t>预制菜</w:t>
      </w:r>
      <w:r>
        <w:rPr>
          <w:rFonts w:ascii="楷体" w:hAnsi="楷体" w:eastAsia="楷体"/>
          <w:b/>
          <w:sz w:val="32"/>
          <w:szCs w:val="32"/>
        </w:rPr>
        <w:t>产业链条</w:t>
      </w:r>
      <w:bookmarkEnd w:id="48"/>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依托辽宁安井食品有限公司对速冻食品的相关研发与创新优势，建设以“原料生产——技术研发——科学加工——生物存储——物流运输——销售”为主的预制菜产业链。</w:t>
      </w:r>
    </w:p>
    <w:p>
      <w:pPr>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产业链设计如下：</w:t>
      </w: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6055" cy="2209165"/>
            <wp:effectExtent l="0" t="0" r="10795"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5266055" cy="2209165"/>
                    </a:xfrm>
                    <a:prstGeom prst="rect">
                      <a:avLst/>
                    </a:prstGeom>
                    <a:noFill/>
                    <a:ln>
                      <a:noFill/>
                    </a:ln>
                  </pic:spPr>
                </pic:pic>
              </a:graphicData>
            </a:graphic>
          </wp:inline>
        </w:drawing>
      </w:r>
    </w:p>
    <w:p>
      <w:pPr>
        <w:pStyle w:val="28"/>
        <w:numPr>
          <w:ilvl w:val="0"/>
          <w:numId w:val="0"/>
        </w:numPr>
        <w:jc w:val="center"/>
        <w:outlineLvl w:val="2"/>
        <w:rPr>
          <w:rFonts w:ascii="Times New Roman" w:hAnsi="Times New Roman" w:eastAsia="仿宋" w:cs="Times New Roman"/>
          <w:sz w:val="32"/>
          <w:szCs w:val="24"/>
        </w:rPr>
      </w:pPr>
      <w:bookmarkStart w:id="49" w:name="_Toc480"/>
      <w:r>
        <w:rPr>
          <w:rFonts w:hint="eastAsia" w:ascii="楷体" w:hAnsi="楷体" w:eastAsia="楷体"/>
          <w:b/>
          <w:sz w:val="22"/>
          <w:szCs w:val="32"/>
        </w:rPr>
        <w:t>图7 预制菜产业链</w:t>
      </w:r>
      <w:bookmarkEnd w:id="49"/>
    </w:p>
    <w:p>
      <w:pPr>
        <w:pStyle w:val="28"/>
        <w:numPr>
          <w:ilvl w:val="2"/>
          <w:numId w:val="1"/>
        </w:numPr>
        <w:ind w:firstLine="643" w:firstLineChars="200"/>
        <w:outlineLvl w:val="2"/>
        <w:rPr>
          <w:rFonts w:ascii="楷体" w:hAnsi="楷体" w:eastAsia="楷体"/>
          <w:b/>
          <w:sz w:val="32"/>
          <w:szCs w:val="32"/>
        </w:rPr>
      </w:pPr>
      <w:bookmarkStart w:id="50" w:name="_Toc6263"/>
      <w:r>
        <w:rPr>
          <w:rFonts w:hint="eastAsia" w:ascii="楷体" w:hAnsi="楷体" w:eastAsia="楷体"/>
          <w:b/>
          <w:sz w:val="32"/>
          <w:szCs w:val="32"/>
        </w:rPr>
        <w:t>水产加工</w:t>
      </w:r>
      <w:r>
        <w:rPr>
          <w:rFonts w:ascii="楷体" w:hAnsi="楷体" w:eastAsia="楷体"/>
          <w:b/>
          <w:sz w:val="32"/>
          <w:szCs w:val="32"/>
        </w:rPr>
        <w:t>产业链条</w:t>
      </w:r>
      <w:bookmarkEnd w:id="50"/>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依托台安县南鱼北养、海鱼淡养技术，实现多层次、逆地域、反季节生产的优势，建设以“种苗繁育——饲料研发——科学养殖——精深加工——多级分销——冷链物流”为主的水产加工产业链。</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产业链设计如下：</w:t>
      </w: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9230" cy="2178050"/>
            <wp:effectExtent l="0" t="0" r="7620" b="1270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tretch>
                      <a:fillRect/>
                    </a:stretch>
                  </pic:blipFill>
                  <pic:spPr>
                    <a:xfrm>
                      <a:off x="0" y="0"/>
                      <a:ext cx="5269230" cy="2178050"/>
                    </a:xfrm>
                    <a:prstGeom prst="rect">
                      <a:avLst/>
                    </a:prstGeom>
                    <a:noFill/>
                    <a:ln>
                      <a:noFill/>
                    </a:ln>
                  </pic:spPr>
                </pic:pic>
              </a:graphicData>
            </a:graphic>
          </wp:inline>
        </w:drawing>
      </w:r>
    </w:p>
    <w:p>
      <w:pPr>
        <w:pStyle w:val="28"/>
        <w:numPr>
          <w:ilvl w:val="0"/>
          <w:numId w:val="0"/>
        </w:numPr>
        <w:jc w:val="center"/>
        <w:outlineLvl w:val="2"/>
        <w:rPr>
          <w:rFonts w:ascii="Times New Roman" w:hAnsi="Times New Roman" w:eastAsia="仿宋" w:cs="Times New Roman"/>
          <w:sz w:val="32"/>
          <w:szCs w:val="24"/>
        </w:rPr>
      </w:pPr>
      <w:bookmarkStart w:id="51" w:name="_Toc13258"/>
      <w:r>
        <w:rPr>
          <w:rFonts w:hint="eastAsia" w:ascii="楷体" w:hAnsi="楷体" w:eastAsia="楷体"/>
          <w:b/>
          <w:sz w:val="22"/>
          <w:szCs w:val="32"/>
        </w:rPr>
        <w:t>图8 水产加工特色产业链</w:t>
      </w:r>
      <w:bookmarkEnd w:id="51"/>
    </w:p>
    <w:p>
      <w:pPr>
        <w:pStyle w:val="28"/>
        <w:outlineLvl w:val="1"/>
        <w:rPr>
          <w:rFonts w:ascii="黑体" w:hAnsi="黑体" w:eastAsia="黑体"/>
          <w:sz w:val="32"/>
          <w:szCs w:val="32"/>
        </w:rPr>
      </w:pPr>
      <w:bookmarkStart w:id="52" w:name="_Toc3323"/>
      <w:r>
        <w:rPr>
          <w:rFonts w:hint="eastAsia" w:ascii="黑体" w:hAnsi="黑体" w:eastAsia="黑体"/>
          <w:sz w:val="32"/>
          <w:szCs w:val="32"/>
        </w:rPr>
        <w:t>发展</w:t>
      </w:r>
      <w:r>
        <w:rPr>
          <w:rFonts w:ascii="黑体" w:hAnsi="黑体" w:eastAsia="黑体"/>
          <w:sz w:val="32"/>
          <w:szCs w:val="32"/>
        </w:rPr>
        <w:t>生物科技，助力农业绿色发展</w:t>
      </w:r>
      <w:bookmarkEnd w:id="52"/>
    </w:p>
    <w:p>
      <w:pPr>
        <w:pStyle w:val="28"/>
        <w:numPr>
          <w:ilvl w:val="2"/>
          <w:numId w:val="1"/>
        </w:numPr>
        <w:ind w:firstLine="643" w:firstLineChars="200"/>
        <w:outlineLvl w:val="2"/>
        <w:rPr>
          <w:rFonts w:ascii="楷体" w:hAnsi="楷体" w:eastAsia="楷体"/>
          <w:b/>
          <w:sz w:val="32"/>
          <w:szCs w:val="32"/>
        </w:rPr>
      </w:pPr>
      <w:bookmarkStart w:id="53" w:name="_Toc26267"/>
      <w:r>
        <w:rPr>
          <w:rFonts w:hint="eastAsia" w:ascii="楷体" w:hAnsi="楷体" w:eastAsia="楷体"/>
          <w:b/>
          <w:sz w:val="32"/>
          <w:szCs w:val="32"/>
        </w:rPr>
        <w:t>生物</w:t>
      </w:r>
      <w:r>
        <w:rPr>
          <w:rFonts w:ascii="楷体" w:hAnsi="楷体" w:eastAsia="楷体"/>
          <w:b/>
          <w:sz w:val="32"/>
          <w:szCs w:val="32"/>
        </w:rPr>
        <w:t>科技产业链条</w:t>
      </w:r>
      <w:bookmarkEnd w:id="5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以生物技术赋能农业生产为目标，着重发展包括食品配料、生物菌在内的生物科技产业。以无公害生物饲料研发生产为主，加快龙头企业集聚；依托种养殖产业发展基础，运用发酵工程、酶工程等现代生物技术，以农副产品资源为原料，重点发展生产传统主副食品所需的各类食品添加剂，大力发展复配食品添加剂，创新发展天然营养功能性食品添加剂。建设以“原材料遴选——饲料研发——生产供应——物流运输”为主的生物科技产业链。</w:t>
      </w:r>
    </w:p>
    <w:p>
      <w:pPr>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产业链设计如下：</w:t>
      </w: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6690" cy="2081530"/>
            <wp:effectExtent l="0" t="0" r="10160" b="139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66690" cy="2081530"/>
                    </a:xfrm>
                    <a:prstGeom prst="rect">
                      <a:avLst/>
                    </a:prstGeom>
                    <a:noFill/>
                    <a:ln>
                      <a:noFill/>
                    </a:ln>
                  </pic:spPr>
                </pic:pic>
              </a:graphicData>
            </a:graphic>
          </wp:inline>
        </w:drawing>
      </w:r>
    </w:p>
    <w:p>
      <w:pPr>
        <w:pStyle w:val="28"/>
        <w:numPr>
          <w:ilvl w:val="0"/>
          <w:numId w:val="0"/>
        </w:numPr>
        <w:jc w:val="center"/>
        <w:outlineLvl w:val="2"/>
        <w:rPr>
          <w:rFonts w:ascii="Times New Roman" w:hAnsi="Times New Roman" w:eastAsia="仿宋" w:cs="Times New Roman"/>
          <w:sz w:val="32"/>
          <w:szCs w:val="24"/>
        </w:rPr>
      </w:pPr>
      <w:bookmarkStart w:id="54" w:name="_Toc13845"/>
      <w:r>
        <w:rPr>
          <w:rFonts w:hint="eastAsia" w:ascii="楷体" w:hAnsi="楷体" w:eastAsia="楷体"/>
          <w:b/>
          <w:sz w:val="22"/>
          <w:szCs w:val="32"/>
        </w:rPr>
        <w:t>图9 生物科技产业链</w:t>
      </w:r>
      <w:bookmarkEnd w:id="54"/>
    </w:p>
    <w:p>
      <w:pPr>
        <w:pStyle w:val="28"/>
        <w:outlineLvl w:val="1"/>
        <w:rPr>
          <w:rFonts w:ascii="黑体" w:hAnsi="黑体" w:eastAsia="黑体"/>
          <w:sz w:val="32"/>
          <w:szCs w:val="32"/>
        </w:rPr>
      </w:pPr>
      <w:bookmarkStart w:id="55" w:name="_Toc20171"/>
      <w:r>
        <w:rPr>
          <w:rFonts w:hint="eastAsia" w:ascii="黑体" w:hAnsi="黑体" w:eastAsia="黑体"/>
          <w:sz w:val="32"/>
          <w:szCs w:val="32"/>
        </w:rPr>
        <w:t>推动</w:t>
      </w:r>
      <w:r>
        <w:rPr>
          <w:rFonts w:ascii="黑体" w:hAnsi="黑体" w:eastAsia="黑体"/>
          <w:sz w:val="32"/>
          <w:szCs w:val="32"/>
        </w:rPr>
        <w:t>现代服务业</w:t>
      </w:r>
      <w:r>
        <w:rPr>
          <w:rFonts w:hint="eastAsia" w:ascii="黑体" w:hAnsi="黑体" w:eastAsia="黑体"/>
          <w:sz w:val="32"/>
          <w:szCs w:val="32"/>
        </w:rPr>
        <w:t>同</w:t>
      </w:r>
      <w:r>
        <w:rPr>
          <w:rFonts w:ascii="黑体" w:hAnsi="黑体" w:eastAsia="黑体"/>
          <w:sz w:val="32"/>
          <w:szCs w:val="32"/>
        </w:rPr>
        <w:t>现代农业深度融合</w:t>
      </w:r>
      <w:bookmarkEnd w:id="55"/>
    </w:p>
    <w:p>
      <w:pPr>
        <w:pStyle w:val="28"/>
        <w:numPr>
          <w:ilvl w:val="2"/>
          <w:numId w:val="1"/>
        </w:numPr>
        <w:ind w:firstLine="643" w:firstLineChars="200"/>
        <w:outlineLvl w:val="2"/>
        <w:rPr>
          <w:rFonts w:ascii="楷体" w:hAnsi="楷体" w:eastAsia="楷体"/>
          <w:b/>
          <w:sz w:val="32"/>
          <w:szCs w:val="32"/>
        </w:rPr>
      </w:pPr>
      <w:bookmarkStart w:id="56" w:name="_Toc23211"/>
      <w:r>
        <w:rPr>
          <w:rFonts w:hint="eastAsia" w:ascii="楷体" w:hAnsi="楷体" w:eastAsia="楷体"/>
          <w:b/>
          <w:sz w:val="32"/>
          <w:szCs w:val="32"/>
        </w:rPr>
        <w:t>建设高端农业服务平台</w:t>
      </w:r>
      <w:bookmarkEnd w:id="5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以产品包装和物流运输为基点，利用规划区天然的一二产业优势，以打造优势品牌为基础，建设高科技创新示范区为起点，建设农业科技推广平台，以具体的企业公司和合作社为渠道，以农业订单为抓手，打造农业金融服务平台、商贸交易服务平台，目标为形成农业产业链闭环。同时，建设农业信息服务平台，引导数字企业稳步发展，实现企业蓬勃发展的新局面。</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区产品包装方面从保护商品、便于流通、促进销售和节约费用等方面入手，着力打造规划区独特品牌，同时也是实现内装商品价值和使用价值的重要手段；在物流运输方面应从供应商到生产者对原材料的采购，以及生产者本身在产品制造过程中的运输、保管和信息等各个方面，全面地、综合性地提高经济效益和效率来考虑。未来物流发展以满足消费者的需求为目标，把制造、运输、销售等市场情况统一结合的一种战略措施。</w:t>
      </w:r>
    </w:p>
    <w:p>
      <w:pPr>
        <w:pStyle w:val="28"/>
        <w:numPr>
          <w:ilvl w:val="2"/>
          <w:numId w:val="1"/>
        </w:numPr>
        <w:ind w:firstLine="643" w:firstLineChars="200"/>
        <w:outlineLvl w:val="2"/>
        <w:rPr>
          <w:rFonts w:ascii="楷体" w:hAnsi="楷体" w:eastAsia="楷体"/>
          <w:b/>
          <w:sz w:val="32"/>
          <w:szCs w:val="32"/>
        </w:rPr>
      </w:pPr>
      <w:bookmarkStart w:id="57" w:name="_Toc12975"/>
      <w:r>
        <w:rPr>
          <w:rFonts w:hint="eastAsia" w:ascii="楷体" w:hAnsi="楷体" w:eastAsia="楷体"/>
          <w:b/>
          <w:sz w:val="32"/>
          <w:szCs w:val="32"/>
        </w:rPr>
        <w:t>整合创新资源，转化孵化创新成果</w:t>
      </w:r>
      <w:bookmarkEnd w:id="57"/>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通过引进科研院所、高校，围绕“农业技术创新-成果转化-产业孵化-创新产品”链条，建设发挥农业科技成果集成创新、孵化的产学研联动创新空间。中试基地：通过禽肉制品全自动生产线研发与技术革新、传统冷库智能化改造与管理升级、预制调理禽类肉制品生产设备整合与定位需求设计和禽肉制品加工设备联合创新与设备研发四类举措打造“跨界”创新以及“拳头”名牌产品的创新生产示范区，并培养本土优秀创业人才和技术人才，同时吸纳相关领域发展需求，成为项目与落地的“中转站”。</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研发中心：聘请渤海大学食品学院刘登勇博士及其团队为园区名誉专家顾问，为园区企业开展食品加工新品种研发，并通过园区现代农业展示中心进行成果展示。园区企业积极参与科技创新创业，辽宁安井食品有限公司、辽宁星源食品有限公司由鞍山市科技局认定为“鞍山市农业科技创新示范企业（基地）”。园区和企业为大众创业万众创新提供了平台和支持，开展科技创新创业活动。</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台安肉鸡科技小院：教育部、农业农村部、中国科协将持续加大对科技小院建设的支持力度，充分发挥全国农业专业学位研究生教育指导委员会、中国农村专业技术协会等专家组织作用，适时组织专家就科技小院建设情况进行跟踪指导，对科技小院人才培养成效突出的研究生培养单位，在学科建设和研究生教育教学改革方面给予相应支持。</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通过引进和培育龙头农业企业，形成以企业自主创新为主导的创新空间，建设农企孵化器，提供产业配套服务，孵化新兴农业企业。发挥现有龙头企业（鞍山九股河食品有限公司、鞍山星奥肉禽有限公司、辽宁仁泰食品集团有限公司等）优势品牌号召力，借助打造省级专业技术创新中心和星创天地的契机，重点开发食品深加工相关创新技术。</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建设农产品冷链物流中心。将台安县特色农产品统一收集、冷藏、加工，然后通过冷链物流运送到全国各地进行销售，帮助农户拓宽销路。</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为全面贯彻党的二十大精神，落实习近平总书记在辽宁考察时的讲话精神，规划区坚持把农村产业融合发展作为促进乡村振兴的重要路径，通过创建台安产业链延伸型国家农村产业融合发展示范园的有利契机，以园区为平台，立足本地产业资源优势，由辽宁台安高新农业产业开发区管理委员会和辽宁安井食品有限公司合作共建鞍山市台安县国家农村产业融合发展示范园冷链物流中心建设项目。</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物流中心建设旨在推动台安县国家农村产业融合发展示范园一二三产业融合发展、联农带农、带动农民增收。通过冷藏库、保鲜库的建设，实现提高示范园内龙头企业的冷藏储藏能力和农户生产的农产品的保鲜能力，达到扩大产能、加快农产品品牌孵化的目的；实现集中管理、规范有序、信息通达，达到带动农民增收的目的；通过冷链物流信息交易平台、涉农信息大数据智慧服务中心等数字化平台的建设，实现“数字乡村振兴”，打造数字台安、智慧台安。</w:t>
      </w:r>
    </w:p>
    <w:p>
      <w:pPr>
        <w:pStyle w:val="28"/>
        <w:numPr>
          <w:ilvl w:val="2"/>
          <w:numId w:val="1"/>
        </w:numPr>
        <w:ind w:firstLine="643" w:firstLineChars="200"/>
        <w:outlineLvl w:val="2"/>
        <w:rPr>
          <w:rFonts w:ascii="楷体" w:hAnsi="楷体" w:eastAsia="楷体"/>
          <w:b/>
          <w:sz w:val="32"/>
          <w:szCs w:val="32"/>
        </w:rPr>
      </w:pPr>
      <w:bookmarkStart w:id="58" w:name="_Toc32420"/>
      <w:r>
        <w:rPr>
          <w:rFonts w:hint="eastAsia" w:ascii="楷体" w:hAnsi="楷体" w:eastAsia="楷体"/>
          <w:b/>
          <w:sz w:val="32"/>
          <w:szCs w:val="32"/>
        </w:rPr>
        <w:t>完善联农带农机制，加快推进农业农村现代化</w:t>
      </w:r>
      <w:bookmarkEnd w:id="58"/>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加强企村联建品牌强农、建场组社产业联农、资本下乡投资扶农、扶贫资金股份联农、技术示范模块帮农和党建引领能人带农等六大联农带农模式，在有力推动规划区发展的同时，有效带动周边农民增收。</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联农带农近期目标：到2025年，就业人数达到</w:t>
      </w:r>
      <w:r>
        <w:rPr>
          <w:rFonts w:hint="eastAsia" w:ascii="Times New Roman" w:hAnsi="Times New Roman" w:eastAsia="仿宋" w:cs="Times New Roman"/>
          <w:sz w:val="32"/>
          <w:lang w:val="en-US" w:eastAsia="zh-CN"/>
        </w:rPr>
        <w:t>1.2</w:t>
      </w:r>
      <w:r>
        <w:rPr>
          <w:rFonts w:hint="eastAsia" w:ascii="Times New Roman" w:hAnsi="Times New Roman" w:eastAsia="仿宋" w:cs="Times New Roman"/>
          <w:sz w:val="32"/>
        </w:rPr>
        <w:t>万人，依托龙头企业建设标准化种养基地超过100个，带动农户超过</w:t>
      </w:r>
      <w:r>
        <w:rPr>
          <w:rFonts w:hint="eastAsia" w:ascii="Times New Roman" w:hAnsi="Times New Roman" w:eastAsia="仿宋" w:cs="Times New Roman"/>
          <w:sz w:val="32"/>
          <w:lang w:val="en-US" w:eastAsia="zh-CN"/>
        </w:rPr>
        <w:t>6</w:t>
      </w:r>
      <w:r>
        <w:rPr>
          <w:rFonts w:hint="eastAsia" w:ascii="Times New Roman" w:hAnsi="Times New Roman" w:eastAsia="仿宋" w:cs="Times New Roman"/>
          <w:sz w:val="32"/>
        </w:rPr>
        <w:t>万户，户均增收超过5万元。</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联农带农远期目标：到2035年，就业人数达到</w:t>
      </w:r>
      <w:r>
        <w:rPr>
          <w:rFonts w:hint="eastAsia" w:ascii="Times New Roman" w:hAnsi="Times New Roman" w:eastAsia="仿宋" w:cs="Times New Roman"/>
          <w:sz w:val="32"/>
          <w:lang w:val="en-US" w:eastAsia="zh-CN"/>
        </w:rPr>
        <w:t>3</w:t>
      </w:r>
      <w:r>
        <w:rPr>
          <w:rFonts w:hint="eastAsia" w:ascii="Times New Roman" w:hAnsi="Times New Roman" w:eastAsia="仿宋" w:cs="Times New Roman"/>
          <w:sz w:val="32"/>
        </w:rPr>
        <w:t>万人，依托龙头企业建设标准化种养基地超过150个，带动农户超过</w:t>
      </w:r>
      <w:r>
        <w:rPr>
          <w:rFonts w:hint="eastAsia" w:ascii="Times New Roman" w:hAnsi="Times New Roman" w:eastAsia="仿宋" w:cs="Times New Roman"/>
          <w:sz w:val="32"/>
          <w:lang w:val="en-US" w:eastAsia="zh-CN"/>
        </w:rPr>
        <w:t>10</w:t>
      </w:r>
      <w:r>
        <w:rPr>
          <w:rFonts w:hint="eastAsia" w:ascii="Times New Roman" w:hAnsi="Times New Roman" w:eastAsia="仿宋" w:cs="Times New Roman"/>
          <w:sz w:val="32"/>
        </w:rPr>
        <w:t>万户，户均增收超过7万元。</w:t>
      </w:r>
    </w:p>
    <w:p>
      <w:pPr>
        <w:pStyle w:val="28"/>
        <w:outlineLvl w:val="1"/>
        <w:rPr>
          <w:rFonts w:ascii="黑体" w:hAnsi="黑体" w:eastAsia="黑体"/>
          <w:sz w:val="32"/>
          <w:szCs w:val="32"/>
        </w:rPr>
      </w:pPr>
      <w:bookmarkStart w:id="59" w:name="_Toc2547"/>
      <w:r>
        <w:rPr>
          <w:rFonts w:hint="eastAsia" w:ascii="黑体" w:hAnsi="黑体" w:eastAsia="黑体"/>
          <w:sz w:val="32"/>
          <w:szCs w:val="32"/>
        </w:rPr>
        <w:t>产业</w:t>
      </w:r>
      <w:r>
        <w:rPr>
          <w:rFonts w:ascii="黑体" w:hAnsi="黑体" w:eastAsia="黑体"/>
          <w:sz w:val="32"/>
          <w:szCs w:val="32"/>
        </w:rPr>
        <w:t>功能分区</w:t>
      </w:r>
      <w:bookmarkEnd w:id="5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规划确定“三区</w:t>
      </w:r>
      <w:r>
        <w:rPr>
          <w:rFonts w:hint="eastAsia" w:ascii="Times New Roman" w:hAnsi="Times New Roman" w:eastAsia="仿宋" w:cs="Times New Roman"/>
          <w:sz w:val="32"/>
          <w:lang w:val="en-US" w:eastAsia="zh-CN"/>
        </w:rPr>
        <w:t>五</w:t>
      </w:r>
      <w:r>
        <w:rPr>
          <w:rFonts w:hint="eastAsia" w:ascii="Times New Roman" w:hAnsi="Times New Roman" w:eastAsia="仿宋" w:cs="Times New Roman"/>
          <w:sz w:val="32"/>
        </w:rPr>
        <w:t>园”的产业功能分区。</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其中“三区”分别为依托高新区管委会形成的综合服务区；依托北部居住、供热及污泥处理市政设施形成的配套服务区；依托产学协同致力于食品科研创新（包括白羽肉鸡科技小院）所打造的科创商业区。</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w:t>
      </w:r>
      <w:r>
        <w:rPr>
          <w:rFonts w:hint="eastAsia" w:ascii="Times New Roman" w:hAnsi="Times New Roman" w:eastAsia="仿宋" w:cs="Times New Roman"/>
          <w:sz w:val="32"/>
          <w:lang w:val="en-US" w:eastAsia="zh-CN"/>
        </w:rPr>
        <w:t>五</w:t>
      </w:r>
      <w:r>
        <w:rPr>
          <w:rFonts w:hint="eastAsia" w:ascii="Times New Roman" w:hAnsi="Times New Roman" w:eastAsia="仿宋" w:cs="Times New Roman"/>
          <w:sz w:val="32"/>
        </w:rPr>
        <w:t>园”分别为依托规划区中部现状各产品精深加工企业（九股河、安井、禾丰等）形成的农产品精深加工产业园；以及规划新增的</w:t>
      </w:r>
      <w:r>
        <w:rPr>
          <w:rFonts w:hint="eastAsia" w:ascii="Times New Roman" w:hAnsi="Times New Roman" w:eastAsia="仿宋" w:cs="Times New Roman"/>
          <w:sz w:val="32"/>
          <w:lang w:val="en-US" w:eastAsia="zh-CN"/>
        </w:rPr>
        <w:t>饮品制造产业园、</w:t>
      </w:r>
      <w:r>
        <w:rPr>
          <w:rFonts w:hint="eastAsia" w:ascii="Times New Roman" w:hAnsi="Times New Roman" w:eastAsia="仿宋" w:cs="Times New Roman"/>
          <w:sz w:val="32"/>
        </w:rPr>
        <w:t>预制食品产业园、宠物食品产业园和生物科技产业园。（详见附件3）</w:t>
      </w:r>
    </w:p>
    <w:p>
      <w:pPr>
        <w:spacing w:line="360" w:lineRule="auto"/>
        <w:ind w:firstLine="640" w:firstLineChars="200"/>
        <w:rPr>
          <w:rFonts w:hint="eastAsia" w:ascii="Times New Roman" w:hAnsi="Times New Roman" w:eastAsia="仿宋" w:cs="Times New Roman"/>
          <w:sz w:val="32"/>
        </w:rPr>
      </w:pPr>
    </w:p>
    <w:p>
      <w:pPr>
        <w:tabs>
          <w:tab w:val="left" w:pos="720"/>
        </w:tabs>
        <w:ind w:firstLine="640" w:firstLineChars="200"/>
        <w:rPr>
          <w:rFonts w:ascii="Times New Roman" w:hAnsi="Times New Roman" w:eastAsia="仿宋" w:cs="Times New Roman"/>
          <w:sz w:val="32"/>
          <w:szCs w:val="24"/>
        </w:rPr>
      </w:pPr>
    </w:p>
    <w:p>
      <w:pPr>
        <w:widowControl/>
        <w:jc w:val="left"/>
        <w:rPr>
          <w:rFonts w:ascii="黑体" w:hAnsi="黑体" w:eastAsia="黑体"/>
          <w:sz w:val="44"/>
          <w:szCs w:val="44"/>
        </w:rPr>
      </w:pPr>
      <w:r>
        <w:rPr>
          <w:rFonts w:ascii="黑体" w:hAnsi="黑体" w:eastAsia="黑体"/>
          <w:sz w:val="44"/>
          <w:szCs w:val="44"/>
        </w:rPr>
        <w:br w:type="page"/>
      </w:r>
    </w:p>
    <w:p>
      <w:pPr>
        <w:pStyle w:val="27"/>
        <w:jc w:val="center"/>
        <w:outlineLvl w:val="0"/>
        <w:rPr>
          <w:rFonts w:ascii="黑体" w:hAnsi="黑体" w:eastAsia="黑体"/>
          <w:sz w:val="44"/>
          <w:szCs w:val="44"/>
        </w:rPr>
      </w:pPr>
      <w:bookmarkStart w:id="60" w:name="_Toc6385"/>
      <w:r>
        <w:rPr>
          <w:rFonts w:hint="eastAsia" w:ascii="黑体" w:hAnsi="黑体" w:eastAsia="黑体"/>
          <w:sz w:val="44"/>
          <w:szCs w:val="44"/>
        </w:rPr>
        <w:t>空间</w:t>
      </w:r>
      <w:r>
        <w:rPr>
          <w:rFonts w:ascii="黑体" w:hAnsi="黑体" w:eastAsia="黑体"/>
          <w:sz w:val="44"/>
          <w:szCs w:val="44"/>
        </w:rPr>
        <w:t>布局指引</w:t>
      </w:r>
      <w:bookmarkEnd w:id="60"/>
    </w:p>
    <w:p>
      <w:pPr>
        <w:pStyle w:val="28"/>
        <w:outlineLvl w:val="1"/>
        <w:rPr>
          <w:rFonts w:hint="eastAsia" w:ascii="黑体" w:hAnsi="黑体" w:eastAsia="黑体"/>
          <w:sz w:val="32"/>
          <w:szCs w:val="32"/>
        </w:rPr>
      </w:pPr>
      <w:bookmarkStart w:id="61" w:name="_Toc7658"/>
      <w:r>
        <w:rPr>
          <w:rFonts w:hint="eastAsia" w:ascii="黑体" w:hAnsi="黑体" w:eastAsia="黑体"/>
          <w:sz w:val="32"/>
          <w:szCs w:val="32"/>
          <w:lang w:val="en-US" w:eastAsia="zh-CN"/>
        </w:rPr>
        <w:t>规划范围</w:t>
      </w:r>
      <w:bookmarkEnd w:id="61"/>
    </w:p>
    <w:p>
      <w:pPr>
        <w:bidi w:val="0"/>
        <w:ind w:firstLine="640" w:firstLineChars="200"/>
        <w:rPr>
          <w:rFonts w:hint="eastAsia" w:ascii="楷体" w:hAnsi="楷体" w:eastAsia="楷体"/>
          <w:b/>
          <w:sz w:val="22"/>
          <w:szCs w:val="32"/>
          <w:lang w:val="en-US" w:eastAsia="zh-CN"/>
        </w:rPr>
      </w:pPr>
      <w:r>
        <w:rPr>
          <w:rFonts w:hint="default" w:ascii="黑体" w:hAnsi="黑体" w:eastAsia="黑体"/>
          <w:sz w:val="32"/>
          <w:szCs w:val="32"/>
          <w:lang w:val="en-US" w:eastAsia="zh-CN"/>
        </w:rPr>
        <w:drawing>
          <wp:anchor distT="0" distB="0" distL="114300" distR="114300" simplePos="0" relativeHeight="251659264" behindDoc="0" locked="0" layoutInCell="1" allowOverlap="1">
            <wp:simplePos x="0" y="0"/>
            <wp:positionH relativeFrom="column">
              <wp:posOffset>1896110</wp:posOffset>
            </wp:positionH>
            <wp:positionV relativeFrom="paragraph">
              <wp:posOffset>2012950</wp:posOffset>
            </wp:positionV>
            <wp:extent cx="3385820" cy="4987925"/>
            <wp:effectExtent l="0" t="0" r="5080" b="317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7"/>
                    <a:stretch>
                      <a:fillRect/>
                    </a:stretch>
                  </pic:blipFill>
                  <pic:spPr>
                    <a:xfrm>
                      <a:off x="0" y="0"/>
                      <a:ext cx="3385820" cy="4987925"/>
                    </a:xfrm>
                    <a:prstGeom prst="rect">
                      <a:avLst/>
                    </a:prstGeom>
                  </pic:spPr>
                </pic:pic>
              </a:graphicData>
            </a:graphic>
          </wp:anchor>
        </w:drawing>
      </w:r>
      <w:r>
        <w:rPr>
          <w:rFonts w:hint="eastAsia" w:ascii="仿宋" w:hAnsi="仿宋" w:eastAsia="仿宋" w:cs="仿宋"/>
          <w:sz w:val="32"/>
          <w:szCs w:val="32"/>
        </w:rPr>
        <w:t>台安高新农业产业开发区位于鞍山市台安县城南</w:t>
      </w:r>
      <w:r>
        <w:rPr>
          <w:rFonts w:hint="eastAsia" w:ascii="仿宋" w:hAnsi="仿宋" w:eastAsia="仿宋" w:cs="仿宋"/>
          <w:sz w:val="32"/>
          <w:szCs w:val="32"/>
          <w:lang w:eastAsia="zh-CN"/>
        </w:rPr>
        <w:t>，</w:t>
      </w:r>
      <w:r>
        <w:rPr>
          <w:rFonts w:hint="eastAsia" w:ascii="仿宋" w:hAnsi="仿宋" w:eastAsia="仿宋" w:cs="仿宋"/>
          <w:sz w:val="32"/>
          <w:szCs w:val="32"/>
        </w:rPr>
        <w:t>始建于2007年</w:t>
      </w:r>
      <w:r>
        <w:rPr>
          <w:rFonts w:hint="eastAsia" w:ascii="仿宋" w:hAnsi="仿宋" w:eastAsia="仿宋" w:cs="仿宋"/>
          <w:sz w:val="32"/>
          <w:szCs w:val="32"/>
          <w:lang w:eastAsia="zh-CN"/>
        </w:rPr>
        <w:t>，</w:t>
      </w:r>
      <w:r>
        <w:rPr>
          <w:rFonts w:hint="eastAsia" w:ascii="仿宋" w:hAnsi="仿宋" w:eastAsia="仿宋" w:cs="仿宋"/>
          <w:sz w:val="32"/>
          <w:szCs w:val="32"/>
        </w:rPr>
        <w:t>园区成立的初衷就是为了落实国家主要粮食主产区的主体功能</w:t>
      </w:r>
      <w:r>
        <w:rPr>
          <w:rFonts w:hint="eastAsia" w:ascii="仿宋" w:hAnsi="仿宋" w:eastAsia="仿宋" w:cs="仿宋"/>
          <w:sz w:val="32"/>
          <w:szCs w:val="32"/>
          <w:lang w:eastAsia="zh-CN"/>
        </w:rPr>
        <w:t>，</w:t>
      </w:r>
      <w:r>
        <w:rPr>
          <w:rFonts w:hint="eastAsia" w:ascii="仿宋" w:hAnsi="仿宋" w:eastAsia="仿宋" w:cs="仿宋"/>
          <w:sz w:val="32"/>
          <w:szCs w:val="32"/>
        </w:rPr>
        <w:t>带动台安县农副产品加工产业集聚</w:t>
      </w:r>
      <w:r>
        <w:rPr>
          <w:rFonts w:hint="eastAsia" w:ascii="仿宋" w:hAnsi="仿宋" w:eastAsia="仿宋" w:cs="仿宋"/>
          <w:sz w:val="32"/>
          <w:szCs w:val="32"/>
          <w:lang w:eastAsia="zh-CN"/>
        </w:rPr>
        <w:t>，</w:t>
      </w:r>
      <w:r>
        <w:rPr>
          <w:rFonts w:hint="eastAsia" w:ascii="仿宋" w:hAnsi="仿宋" w:eastAsia="仿宋" w:cs="仿宋"/>
          <w:sz w:val="32"/>
          <w:szCs w:val="32"/>
        </w:rPr>
        <w:t>完善产业链条</w:t>
      </w:r>
      <w:r>
        <w:rPr>
          <w:rFonts w:hint="eastAsia" w:ascii="仿宋" w:hAnsi="仿宋" w:eastAsia="仿宋" w:cs="仿宋"/>
          <w:sz w:val="32"/>
          <w:szCs w:val="32"/>
          <w:lang w:eastAsia="zh-CN"/>
        </w:rPr>
        <w:t>，</w:t>
      </w:r>
      <w:r>
        <w:rPr>
          <w:rFonts w:hint="eastAsia" w:ascii="仿宋" w:hAnsi="仿宋" w:eastAsia="仿宋" w:cs="仿宋"/>
          <w:sz w:val="32"/>
          <w:szCs w:val="32"/>
        </w:rPr>
        <w:t>辐射周边种植养殖基地</w:t>
      </w:r>
      <w:r>
        <w:rPr>
          <w:rFonts w:hint="eastAsia" w:ascii="仿宋" w:hAnsi="仿宋" w:eastAsia="仿宋" w:cs="仿宋"/>
          <w:sz w:val="32"/>
          <w:szCs w:val="32"/>
          <w:lang w:eastAsia="zh-CN"/>
        </w:rPr>
        <w:t>，</w:t>
      </w:r>
      <w:r>
        <w:rPr>
          <w:rFonts w:hint="eastAsia" w:ascii="仿宋" w:hAnsi="仿宋" w:eastAsia="仿宋" w:cs="仿宋"/>
          <w:sz w:val="32"/>
          <w:szCs w:val="32"/>
        </w:rPr>
        <w:t>增加农民收入。园区管辖范围北至台东街道镇南村，南至何谷村与新开河镇区交界处，西至赵家村，东至雷屯村，面积约10平方千米，园区管理飞地位于高力房镇大高力房村，面积约0.49平方千米，总面积约10.49平方千米。</w:t>
      </w:r>
      <w:r>
        <w:rPr>
          <w:rFonts w:hint="eastAsia" w:ascii="Times New Roman" w:hAnsi="Times New Roman" w:eastAsia="仿宋" w:cs="Times New Roman"/>
          <w:sz w:val="32"/>
          <w:szCs w:val="24"/>
        </w:rPr>
        <w:t>本次规划范围按照自然资源部已批复的城镇开发边界3.55平方千米</w:t>
      </w:r>
      <w:r>
        <w:rPr>
          <w:rFonts w:hint="eastAsia" w:ascii="Times New Roman" w:hAnsi="Times New Roman" w:eastAsia="仿宋" w:cs="Times New Roman"/>
          <w:sz w:val="32"/>
          <w:szCs w:val="24"/>
          <w:lang w:eastAsia="zh-CN"/>
        </w:rPr>
        <w:t>。</w:t>
      </w:r>
      <w:r>
        <w:rPr>
          <w:rFonts w:hint="eastAsia" w:ascii="楷体" w:hAnsi="楷体" w:eastAsia="楷体"/>
          <w:b/>
          <w:sz w:val="22"/>
          <w:szCs w:val="32"/>
          <w:lang w:val="en-US" w:eastAsia="zh-CN"/>
        </w:rPr>
        <w:t xml:space="preserve">             </w:t>
      </w:r>
    </w:p>
    <w:p>
      <w:pPr>
        <w:pStyle w:val="28"/>
        <w:numPr>
          <w:ilvl w:val="0"/>
          <w:numId w:val="0"/>
        </w:numPr>
        <w:jc w:val="center"/>
        <w:outlineLvl w:val="2"/>
        <w:rPr>
          <w:rFonts w:hint="eastAsia" w:ascii="楷体" w:hAnsi="楷体" w:eastAsia="楷体"/>
          <w:b/>
          <w:sz w:val="22"/>
          <w:szCs w:val="32"/>
          <w:lang w:val="en-US" w:eastAsia="zh-CN"/>
        </w:rPr>
      </w:pPr>
    </w:p>
    <w:p>
      <w:pPr>
        <w:pStyle w:val="28"/>
        <w:numPr>
          <w:ilvl w:val="0"/>
          <w:numId w:val="0"/>
        </w:numPr>
        <w:jc w:val="center"/>
        <w:outlineLvl w:val="2"/>
        <w:rPr>
          <w:rFonts w:hint="eastAsia" w:ascii="楷体" w:hAnsi="楷体" w:eastAsia="楷体"/>
          <w:b/>
          <w:sz w:val="22"/>
          <w:szCs w:val="32"/>
          <w:lang w:val="en-US" w:eastAsia="zh-CN"/>
        </w:rPr>
      </w:pPr>
      <w:r>
        <w:rPr>
          <w:rFonts w:hint="eastAsia" w:ascii="楷体" w:hAnsi="楷体" w:eastAsia="楷体"/>
          <w:b/>
          <w:sz w:val="22"/>
          <w:szCs w:val="32"/>
          <w:lang w:val="en-US" w:eastAsia="zh-CN"/>
        </w:rPr>
        <w:t xml:space="preserve">                                                             </w:t>
      </w:r>
    </w:p>
    <w:p>
      <w:pPr>
        <w:pStyle w:val="28"/>
        <w:numPr>
          <w:ilvl w:val="0"/>
          <w:numId w:val="0"/>
        </w:numPr>
        <w:jc w:val="center"/>
        <w:outlineLvl w:val="2"/>
        <w:rPr>
          <w:rFonts w:hint="eastAsia" w:ascii="楷体" w:hAnsi="楷体" w:eastAsia="楷体"/>
          <w:b/>
          <w:sz w:val="22"/>
          <w:szCs w:val="32"/>
          <w:lang w:val="en-US" w:eastAsia="zh-CN"/>
        </w:rPr>
      </w:pPr>
    </w:p>
    <w:p>
      <w:pPr>
        <w:pStyle w:val="28"/>
        <w:numPr>
          <w:ilvl w:val="0"/>
          <w:numId w:val="0"/>
        </w:numPr>
        <w:jc w:val="left"/>
        <w:outlineLvl w:val="2"/>
        <w:rPr>
          <w:rFonts w:hint="eastAsia" w:ascii="楷体" w:hAnsi="楷体" w:eastAsia="楷体"/>
          <w:b/>
          <w:sz w:val="22"/>
          <w:szCs w:val="32"/>
        </w:rPr>
      </w:pPr>
      <w:bookmarkStart w:id="62" w:name="_Toc27411"/>
    </w:p>
    <w:p>
      <w:pPr>
        <w:pStyle w:val="28"/>
        <w:numPr>
          <w:ilvl w:val="0"/>
          <w:numId w:val="0"/>
        </w:numPr>
        <w:ind w:firstLine="4638" w:firstLineChars="2100"/>
        <w:jc w:val="left"/>
        <w:outlineLvl w:val="2"/>
        <w:rPr>
          <w:rFonts w:hint="eastAsia" w:ascii="楷体" w:hAnsi="楷体" w:eastAsia="楷体"/>
          <w:b/>
          <w:sz w:val="22"/>
          <w:szCs w:val="32"/>
          <w:lang w:val="en-US" w:eastAsia="zh-CN"/>
        </w:rPr>
      </w:pPr>
      <w:r>
        <w:rPr>
          <w:rFonts w:hint="eastAsia" w:ascii="楷体" w:hAnsi="楷体" w:eastAsia="楷体"/>
          <w:b/>
          <w:sz w:val="22"/>
          <w:szCs w:val="32"/>
        </w:rPr>
        <w:t>图10 规划区</w:t>
      </w:r>
      <w:r>
        <w:rPr>
          <w:rFonts w:hint="eastAsia" w:ascii="楷体" w:hAnsi="楷体" w:eastAsia="楷体"/>
          <w:b/>
          <w:sz w:val="22"/>
          <w:szCs w:val="32"/>
          <w:lang w:val="en-US" w:eastAsia="zh-CN"/>
        </w:rPr>
        <w:t>范围图</w:t>
      </w:r>
      <w:bookmarkEnd w:id="62"/>
    </w:p>
    <w:p>
      <w:pPr>
        <w:pStyle w:val="28"/>
        <w:numPr>
          <w:ilvl w:val="0"/>
          <w:numId w:val="0"/>
        </w:numPr>
        <w:jc w:val="center"/>
        <w:outlineLvl w:val="2"/>
        <w:rPr>
          <w:rFonts w:hint="eastAsia" w:ascii="楷体" w:hAnsi="楷体" w:eastAsia="楷体"/>
          <w:b/>
          <w:sz w:val="22"/>
          <w:szCs w:val="32"/>
          <w:lang w:val="en-US" w:eastAsia="zh-CN"/>
        </w:rPr>
      </w:pPr>
    </w:p>
    <w:p>
      <w:pPr>
        <w:pStyle w:val="28"/>
        <w:numPr>
          <w:ilvl w:val="0"/>
          <w:numId w:val="0"/>
        </w:numPr>
        <w:jc w:val="center"/>
        <w:outlineLvl w:val="2"/>
        <w:rPr>
          <w:rFonts w:hint="eastAsia" w:ascii="楷体" w:hAnsi="楷体" w:eastAsia="楷体"/>
          <w:b/>
          <w:sz w:val="22"/>
          <w:szCs w:val="32"/>
          <w:lang w:val="en-US" w:eastAsia="zh-CN"/>
        </w:rPr>
      </w:pPr>
    </w:p>
    <w:p>
      <w:pPr>
        <w:pStyle w:val="28"/>
        <w:outlineLvl w:val="1"/>
        <w:rPr>
          <w:rFonts w:ascii="黑体" w:hAnsi="黑体" w:eastAsia="黑体"/>
          <w:sz w:val="32"/>
          <w:szCs w:val="32"/>
        </w:rPr>
      </w:pPr>
      <w:bookmarkStart w:id="63" w:name="_Toc22923"/>
      <w:r>
        <w:rPr>
          <w:rFonts w:hint="eastAsia" w:ascii="黑体" w:hAnsi="黑体" w:eastAsia="黑体"/>
          <w:sz w:val="32"/>
          <w:szCs w:val="32"/>
        </w:rPr>
        <w:t>空间</w:t>
      </w:r>
      <w:r>
        <w:rPr>
          <w:rFonts w:ascii="黑体" w:hAnsi="黑体" w:eastAsia="黑体"/>
          <w:sz w:val="32"/>
          <w:szCs w:val="32"/>
        </w:rPr>
        <w:t>布局原则</w:t>
      </w:r>
      <w:bookmarkEnd w:id="6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充分考虑规划区及周边地区发展的近期利益与长远利益结合的需求，保证动态运作的可操作性，提供可持续的发展空间。</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按不同类型企业在开发区中合理布局，保证规划区及周边地区的使用功能及环境要求相协调。</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根据土地价值的级差和区位条件，有重点、分层次、分区域发展不同项目。</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规划便捷的交通联系区域各交通性干道，能方便迅捷地进入开发区内各个小区域货物运输系统。</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同类型工业项目及用地应相对集中，集聚发展，以形成一定的规模效益。</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贯彻合理利用、节约用地的原则，协调好社会、经济、环境三大效益，发挥土地的最大综合效益。</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充分考虑生态环境因素，构建环境良好、生态型循环经济产业园。</w:t>
      </w:r>
    </w:p>
    <w:p>
      <w:pPr>
        <w:pStyle w:val="28"/>
        <w:outlineLvl w:val="1"/>
        <w:rPr>
          <w:rFonts w:ascii="黑体" w:hAnsi="黑体" w:eastAsia="黑体"/>
          <w:sz w:val="32"/>
          <w:szCs w:val="32"/>
        </w:rPr>
      </w:pPr>
      <w:bookmarkStart w:id="64" w:name="_Toc3516"/>
      <w:r>
        <w:rPr>
          <w:rFonts w:hint="eastAsia" w:ascii="黑体" w:hAnsi="黑体" w:eastAsia="黑体"/>
          <w:sz w:val="32"/>
          <w:szCs w:val="32"/>
        </w:rPr>
        <w:t>总体</w:t>
      </w:r>
      <w:r>
        <w:rPr>
          <w:rFonts w:ascii="黑体" w:hAnsi="黑体" w:eastAsia="黑体"/>
          <w:sz w:val="32"/>
          <w:szCs w:val="32"/>
        </w:rPr>
        <w:t>空间结构</w:t>
      </w:r>
      <w:bookmarkEnd w:id="6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规划确定“一轴</w:t>
      </w:r>
      <w:r>
        <w:rPr>
          <w:rFonts w:hint="eastAsia" w:ascii="Times New Roman" w:hAnsi="Times New Roman" w:eastAsia="仿宋" w:cs="Times New Roman"/>
          <w:sz w:val="32"/>
          <w:lang w:val="en-US" w:eastAsia="zh-CN"/>
        </w:rPr>
        <w:t>三</w:t>
      </w:r>
      <w:r>
        <w:rPr>
          <w:rFonts w:hint="eastAsia" w:ascii="Times New Roman" w:hAnsi="Times New Roman" w:eastAsia="仿宋" w:cs="Times New Roman"/>
          <w:sz w:val="32"/>
        </w:rPr>
        <w:t>区”的总体空间结构。其中“一轴”为依托鞍羊线打造鞍山市—台安县主导产业发展轴；“</w:t>
      </w:r>
      <w:r>
        <w:rPr>
          <w:rFonts w:hint="eastAsia" w:ascii="Times New Roman" w:hAnsi="Times New Roman" w:eastAsia="仿宋" w:cs="Times New Roman"/>
          <w:sz w:val="32"/>
          <w:lang w:val="en-US" w:eastAsia="zh-CN"/>
        </w:rPr>
        <w:t>三</w:t>
      </w:r>
      <w:r>
        <w:rPr>
          <w:rFonts w:hint="eastAsia" w:ascii="Times New Roman" w:hAnsi="Times New Roman" w:eastAsia="仿宋" w:cs="Times New Roman"/>
          <w:sz w:val="32"/>
        </w:rPr>
        <w:t>区”分别为</w:t>
      </w:r>
      <w:r>
        <w:rPr>
          <w:rFonts w:hint="eastAsia" w:ascii="Times New Roman" w:hAnsi="Times New Roman" w:eastAsia="仿宋" w:cs="Times New Roman"/>
          <w:sz w:val="32"/>
          <w:lang w:val="en-US" w:eastAsia="zh-CN"/>
        </w:rPr>
        <w:t>中东</w:t>
      </w:r>
      <w:r>
        <w:rPr>
          <w:rFonts w:hint="eastAsia" w:ascii="Times New Roman" w:hAnsi="Times New Roman" w:eastAsia="仿宋" w:cs="Times New Roman"/>
          <w:sz w:val="32"/>
        </w:rPr>
        <w:t>部以高新区管委会为核心的</w:t>
      </w:r>
      <w:r>
        <w:rPr>
          <w:rFonts w:hint="eastAsia" w:ascii="Times New Roman" w:hAnsi="Times New Roman" w:eastAsia="仿宋" w:cs="Times New Roman"/>
          <w:sz w:val="32"/>
          <w:lang w:val="en-US" w:eastAsia="zh-CN"/>
        </w:rPr>
        <w:t>商务展示</w:t>
      </w:r>
      <w:r>
        <w:rPr>
          <w:rFonts w:hint="eastAsia" w:ascii="Times New Roman" w:hAnsi="Times New Roman" w:eastAsia="仿宋" w:cs="Times New Roman"/>
          <w:sz w:val="32"/>
        </w:rPr>
        <w:t>区；北部以居住及市政服务为核心的配套服务区；</w:t>
      </w:r>
      <w:r>
        <w:rPr>
          <w:rFonts w:hint="eastAsia" w:ascii="Times New Roman" w:hAnsi="Times New Roman" w:eastAsia="仿宋" w:cs="Times New Roman"/>
          <w:sz w:val="32"/>
          <w:lang w:val="en-US" w:eastAsia="zh-CN"/>
        </w:rPr>
        <w:t>西南</w:t>
      </w:r>
      <w:r>
        <w:rPr>
          <w:rFonts w:hint="eastAsia" w:ascii="Times New Roman" w:hAnsi="Times New Roman" w:eastAsia="仿宋" w:cs="Times New Roman"/>
          <w:sz w:val="32"/>
        </w:rPr>
        <w:t>部以企业生产加工为核心的产业示范区</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（详见附件2）</w:t>
      </w:r>
    </w:p>
    <w:p>
      <w:pPr>
        <w:pStyle w:val="28"/>
        <w:outlineLvl w:val="1"/>
        <w:rPr>
          <w:rFonts w:ascii="黑体" w:hAnsi="黑体" w:eastAsia="黑体"/>
          <w:sz w:val="32"/>
          <w:szCs w:val="32"/>
        </w:rPr>
      </w:pPr>
      <w:bookmarkStart w:id="65" w:name="_Toc11785"/>
      <w:r>
        <w:rPr>
          <w:rFonts w:hint="eastAsia" w:ascii="黑体" w:hAnsi="黑体" w:eastAsia="黑体"/>
          <w:sz w:val="32"/>
          <w:szCs w:val="32"/>
        </w:rPr>
        <w:t>土地</w:t>
      </w:r>
      <w:r>
        <w:rPr>
          <w:rFonts w:ascii="黑体" w:hAnsi="黑体" w:eastAsia="黑体"/>
          <w:sz w:val="32"/>
          <w:szCs w:val="32"/>
        </w:rPr>
        <w:t>利用规划</w:t>
      </w:r>
      <w:bookmarkEnd w:id="65"/>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至2035年，规划区总面积355公顷，其中建设用地354.14公顷。（详见附件4）</w:t>
      </w:r>
    </w:p>
    <w:p>
      <w:pPr>
        <w:pStyle w:val="28"/>
        <w:numPr>
          <w:ilvl w:val="0"/>
          <w:numId w:val="0"/>
        </w:numPr>
        <w:jc w:val="center"/>
        <w:outlineLvl w:val="2"/>
        <w:rPr>
          <w:rFonts w:ascii="楷体" w:hAnsi="楷体" w:eastAsia="楷体"/>
          <w:b/>
          <w:sz w:val="22"/>
          <w:szCs w:val="32"/>
        </w:rPr>
      </w:pPr>
      <w:bookmarkStart w:id="66" w:name="_Toc9077"/>
      <w:bookmarkStart w:id="67" w:name="_Toc129090605"/>
      <w:r>
        <w:rPr>
          <w:rFonts w:hint="eastAsia" w:ascii="楷体" w:hAnsi="楷体" w:eastAsia="楷体"/>
          <w:b/>
          <w:sz w:val="22"/>
          <w:szCs w:val="32"/>
        </w:rPr>
        <w:t>表</w:t>
      </w:r>
      <w:r>
        <w:rPr>
          <w:rFonts w:ascii="楷体" w:hAnsi="楷体" w:eastAsia="楷体"/>
          <w:b/>
          <w:sz w:val="22"/>
          <w:szCs w:val="32"/>
        </w:rPr>
        <w:t>3</w:t>
      </w:r>
      <w:r>
        <w:rPr>
          <w:rFonts w:hint="eastAsia" w:ascii="楷体" w:hAnsi="楷体" w:eastAsia="楷体"/>
          <w:b/>
          <w:sz w:val="22"/>
          <w:szCs w:val="32"/>
        </w:rPr>
        <w:t>规划土地利用一览表</w:t>
      </w:r>
      <w:bookmarkEnd w:id="66"/>
      <w:bookmarkEnd w:id="67"/>
    </w:p>
    <w:tbl>
      <w:tblPr>
        <w:tblStyle w:val="19"/>
        <w:tblW w:w="5000" w:type="pct"/>
        <w:tblInd w:w="0" w:type="dxa"/>
        <w:tblLayout w:type="autofit"/>
        <w:tblCellMar>
          <w:top w:w="0" w:type="dxa"/>
          <w:left w:w="0" w:type="dxa"/>
          <w:bottom w:w="0" w:type="dxa"/>
          <w:right w:w="0" w:type="dxa"/>
        </w:tblCellMar>
      </w:tblPr>
      <w:tblGrid>
        <w:gridCol w:w="1579"/>
        <w:gridCol w:w="1579"/>
        <w:gridCol w:w="2384"/>
        <w:gridCol w:w="2794"/>
      </w:tblGrid>
      <w:tr>
        <w:tblPrEx>
          <w:tblCellMar>
            <w:top w:w="0" w:type="dxa"/>
            <w:left w:w="0" w:type="dxa"/>
            <w:bottom w:w="0" w:type="dxa"/>
            <w:right w:w="0" w:type="dxa"/>
          </w:tblCellMar>
        </w:tblPrEx>
        <w:trPr>
          <w:trHeight w:val="645"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用地名称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用地面积</w:t>
            </w:r>
            <w:r>
              <w:rPr>
                <w:rFonts w:hint="eastAsia" w:ascii="Times New Roman" w:hAnsi="Times New Roman" w:eastAsia="仿宋" w:cs="Times New Roman"/>
                <w:szCs w:val="21"/>
              </w:rPr>
              <w:t>(hm</w:t>
            </w:r>
            <w:r>
              <w:rPr>
                <w:rFonts w:ascii="Times New Roman" w:hAnsi="Times New Roman" w:eastAsia="仿宋" w:cs="Times New Roman"/>
                <w:szCs w:val="21"/>
              </w:rPr>
              <w:t>²</w:t>
            </w:r>
            <w:r>
              <w:rPr>
                <w:rFonts w:hint="eastAsia" w:ascii="Times New Roman" w:hAnsi="Times New Roman" w:eastAsia="仿宋" w:cs="Times New Roman"/>
                <w:szCs w:val="21"/>
              </w:rPr>
              <w:t>)</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占总建设用地比例</w:t>
            </w:r>
            <w:r>
              <w:rPr>
                <w:rFonts w:hint="eastAsia" w:ascii="Times New Roman" w:hAnsi="Times New Roman" w:eastAsia="仿宋" w:cs="Times New Roman"/>
                <w:szCs w:val="21"/>
              </w:rPr>
              <w:t>(%)</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居住用地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5.36</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1.51%</w:t>
            </w:r>
          </w:p>
        </w:tc>
      </w:tr>
      <w:tr>
        <w:tblPrEx>
          <w:tblCellMar>
            <w:top w:w="0" w:type="dxa"/>
            <w:left w:w="0" w:type="dxa"/>
            <w:bottom w:w="0" w:type="dxa"/>
            <w:right w:w="0" w:type="dxa"/>
          </w:tblCellMar>
        </w:tblPrEx>
        <w:trPr>
          <w:trHeight w:val="645"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公共管理与公共服务设施用地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15.66</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4.41%</w:t>
            </w:r>
          </w:p>
        </w:tc>
      </w:tr>
      <w:tr>
        <w:tblPrEx>
          <w:tblCellMar>
            <w:top w:w="0" w:type="dxa"/>
            <w:left w:w="0" w:type="dxa"/>
            <w:bottom w:w="0" w:type="dxa"/>
            <w:right w:w="0" w:type="dxa"/>
          </w:tblCellMar>
        </w:tblPrEx>
        <w:trPr>
          <w:trHeight w:val="331" w:hRule="atLeast"/>
        </w:trPr>
        <w:tc>
          <w:tcPr>
            <w:tcW w:w="94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其中：</w:t>
            </w:r>
          </w:p>
        </w:tc>
        <w:tc>
          <w:tcPr>
            <w:tcW w:w="9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行政办公用地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1.95</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0.55%</w:t>
            </w:r>
          </w:p>
        </w:tc>
      </w:tr>
      <w:tr>
        <w:tblPrEx>
          <w:tblCellMar>
            <w:top w:w="0" w:type="dxa"/>
            <w:left w:w="0" w:type="dxa"/>
            <w:bottom w:w="0" w:type="dxa"/>
            <w:right w:w="0" w:type="dxa"/>
          </w:tblCellMar>
        </w:tblPrEx>
        <w:trPr>
          <w:trHeight w:val="331" w:hRule="atLeast"/>
        </w:trPr>
        <w:tc>
          <w:tcPr>
            <w:tcW w:w="9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Times New Roman" w:hAnsi="Times New Roman" w:eastAsia="仿宋" w:cs="Times New Roman"/>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文化设施用地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0.56%</w:t>
            </w:r>
          </w:p>
        </w:tc>
      </w:tr>
      <w:tr>
        <w:tblPrEx>
          <w:tblCellMar>
            <w:top w:w="0" w:type="dxa"/>
            <w:left w:w="0" w:type="dxa"/>
            <w:bottom w:w="0" w:type="dxa"/>
            <w:right w:w="0" w:type="dxa"/>
          </w:tblCellMar>
        </w:tblPrEx>
        <w:trPr>
          <w:trHeight w:val="331" w:hRule="atLeast"/>
        </w:trPr>
        <w:tc>
          <w:tcPr>
            <w:tcW w:w="9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Times New Roman" w:hAnsi="Times New Roman" w:eastAsia="仿宋" w:cs="Times New Roman"/>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科研用地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11.71</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3.30%</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商业服务业设施用地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17.50</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4.93%</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工业用地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248.69</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70.05%</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物流仓储用地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0.60</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0.02%</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道路与交通设施用地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45.21</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12.74%</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公用设施用地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9.02</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2.54%</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绿地与广场用地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7.84</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2.21%</w:t>
            </w:r>
          </w:p>
        </w:tc>
      </w:tr>
      <w:tr>
        <w:tblPrEx>
          <w:tblCellMar>
            <w:top w:w="0" w:type="dxa"/>
            <w:left w:w="0" w:type="dxa"/>
            <w:bottom w:w="0" w:type="dxa"/>
            <w:right w:w="0" w:type="dxa"/>
          </w:tblCellMar>
        </w:tblPrEx>
        <w:trPr>
          <w:trHeight w:val="331" w:hRule="atLeast"/>
        </w:trPr>
        <w:tc>
          <w:tcPr>
            <w:tcW w:w="94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其中：</w:t>
            </w:r>
          </w:p>
        </w:tc>
        <w:tc>
          <w:tcPr>
            <w:tcW w:w="9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防护绿地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7.84</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2.21%</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城镇建设用地总计</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354.14</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99.76%</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非建设用地</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1.26</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0.35%</w:t>
            </w:r>
          </w:p>
        </w:tc>
      </w:tr>
      <w:tr>
        <w:tblPrEx>
          <w:tblCellMar>
            <w:top w:w="0" w:type="dxa"/>
            <w:left w:w="0" w:type="dxa"/>
            <w:bottom w:w="0" w:type="dxa"/>
            <w:right w:w="0" w:type="dxa"/>
          </w:tblCellMar>
        </w:tblPrEx>
        <w:trPr>
          <w:trHeight w:val="331" w:hRule="atLeast"/>
        </w:trPr>
        <w:tc>
          <w:tcPr>
            <w:tcW w:w="94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其中：</w:t>
            </w:r>
          </w:p>
        </w:tc>
        <w:tc>
          <w:tcPr>
            <w:tcW w:w="9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水域</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1.26</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0.35%</w:t>
            </w:r>
          </w:p>
        </w:tc>
      </w:tr>
      <w:tr>
        <w:tblPrEx>
          <w:tblCellMar>
            <w:top w:w="0" w:type="dxa"/>
            <w:left w:w="0" w:type="dxa"/>
            <w:bottom w:w="0" w:type="dxa"/>
            <w:right w:w="0" w:type="dxa"/>
          </w:tblCellMar>
        </w:tblPrEx>
        <w:trPr>
          <w:trHeight w:val="331" w:hRule="atLeast"/>
        </w:trPr>
        <w:tc>
          <w:tcPr>
            <w:tcW w:w="1894"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总计</w:t>
            </w:r>
          </w:p>
        </w:tc>
        <w:tc>
          <w:tcPr>
            <w:tcW w:w="143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355</w:t>
            </w:r>
          </w:p>
        </w:tc>
        <w:tc>
          <w:tcPr>
            <w:tcW w:w="167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100.00%</w:t>
            </w:r>
          </w:p>
        </w:tc>
      </w:tr>
    </w:tbl>
    <w:p>
      <w:pPr>
        <w:pStyle w:val="28"/>
        <w:numPr>
          <w:ilvl w:val="2"/>
          <w:numId w:val="1"/>
        </w:numPr>
        <w:ind w:firstLine="643" w:firstLineChars="200"/>
        <w:outlineLvl w:val="2"/>
        <w:rPr>
          <w:rFonts w:ascii="楷体" w:hAnsi="楷体" w:eastAsia="楷体"/>
          <w:b/>
          <w:sz w:val="32"/>
          <w:szCs w:val="32"/>
        </w:rPr>
      </w:pPr>
      <w:bookmarkStart w:id="68" w:name="_Toc22884"/>
      <w:bookmarkStart w:id="69" w:name="_Hlk4350606"/>
      <w:bookmarkStart w:id="70" w:name="_Toc4363937"/>
      <w:bookmarkStart w:id="71" w:name="_Toc5020535"/>
      <w:bookmarkStart w:id="72" w:name="_Toc5023931"/>
      <w:r>
        <w:rPr>
          <w:rFonts w:hint="eastAsia" w:ascii="楷体" w:hAnsi="楷体" w:eastAsia="楷体"/>
          <w:b/>
          <w:sz w:val="32"/>
          <w:szCs w:val="32"/>
        </w:rPr>
        <w:t>公共管理与公共服务设施用地</w:t>
      </w:r>
      <w:bookmarkEnd w:id="68"/>
      <w:bookmarkEnd w:id="69"/>
      <w:bookmarkEnd w:id="70"/>
      <w:bookmarkEnd w:id="71"/>
      <w:bookmarkEnd w:id="72"/>
      <w:r>
        <w:rPr>
          <w:rFonts w:hint="eastAsia" w:ascii="楷体" w:hAnsi="楷体" w:eastAsia="楷体"/>
          <w:b/>
          <w:sz w:val="32"/>
          <w:szCs w:val="32"/>
        </w:rPr>
        <w:t xml:space="preserve"> </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规划公共管理与公共服务设施用地24.5公顷，占总建设用地的6.9%。</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1.行政办公用地</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规划保留现状园区管委会用地，规划行政办公用地面积2.03公顷。</w:t>
      </w:r>
    </w:p>
    <w:p>
      <w:pPr>
        <w:spacing w:line="360" w:lineRule="auto"/>
        <w:ind w:firstLine="640" w:firstLineChars="200"/>
        <w:rPr>
          <w:rFonts w:hint="eastAsia" w:ascii="Times New Roman" w:hAnsi="Times New Roman" w:eastAsia="仿宋" w:cs="Times New Roman"/>
          <w:sz w:val="32"/>
        </w:rPr>
      </w:pPr>
      <w:bookmarkStart w:id="73" w:name="_Toc4363938"/>
      <w:bookmarkStart w:id="74" w:name="_Toc5023932"/>
      <w:bookmarkStart w:id="75" w:name="_Toc5020536"/>
      <w:bookmarkStart w:id="76" w:name="_Toc197849066"/>
      <w:bookmarkStart w:id="77" w:name="_Toc197856759"/>
      <w:r>
        <w:rPr>
          <w:rFonts w:hint="eastAsia" w:ascii="Times New Roman" w:hAnsi="Times New Roman" w:eastAsia="仿宋" w:cs="Times New Roman"/>
          <w:sz w:val="32"/>
        </w:rPr>
        <w:t>2.文化设施用地</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位于规划区现有科技展示中心星创天地，规划建设用地面积2.01公顷，规划将其建设成为园区的科技展示中心。</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3.科研用地</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规划新建科研园区位于规划区东部，用地面积20.46公顷。</w:t>
      </w:r>
    </w:p>
    <w:p>
      <w:pPr>
        <w:pStyle w:val="28"/>
        <w:numPr>
          <w:ilvl w:val="2"/>
          <w:numId w:val="1"/>
        </w:numPr>
        <w:ind w:firstLine="643" w:firstLineChars="200"/>
        <w:outlineLvl w:val="2"/>
        <w:rPr>
          <w:rFonts w:ascii="楷体" w:hAnsi="楷体" w:eastAsia="楷体"/>
          <w:b/>
          <w:sz w:val="32"/>
          <w:szCs w:val="32"/>
        </w:rPr>
      </w:pPr>
      <w:bookmarkStart w:id="78" w:name="_Toc26992"/>
      <w:r>
        <w:rPr>
          <w:rFonts w:hint="eastAsia" w:ascii="楷体" w:hAnsi="楷体" w:eastAsia="楷体"/>
          <w:b/>
          <w:sz w:val="32"/>
          <w:szCs w:val="32"/>
        </w:rPr>
        <w:t>商业服务业设施用地</w:t>
      </w:r>
      <w:bookmarkEnd w:id="73"/>
      <w:bookmarkEnd w:id="74"/>
      <w:bookmarkEnd w:id="75"/>
      <w:bookmarkEnd w:id="78"/>
    </w:p>
    <w:p>
      <w:pPr>
        <w:tabs>
          <w:tab w:val="left" w:pos="720"/>
        </w:tabs>
        <w:ind w:firstLine="640" w:firstLineChars="200"/>
        <w:rPr>
          <w:rFonts w:ascii="Times New Roman" w:hAnsi="Times New Roman" w:eastAsia="仿宋" w:cs="Times New Roman"/>
          <w:sz w:val="32"/>
          <w:szCs w:val="24"/>
        </w:rPr>
      </w:pPr>
      <w:bookmarkStart w:id="79" w:name="_Toc4363939"/>
      <w:bookmarkStart w:id="80" w:name="_Toc5020537"/>
      <w:bookmarkStart w:id="81" w:name="_Toc5023933"/>
      <w:r>
        <w:rPr>
          <w:rFonts w:hint="eastAsia" w:ascii="Times New Roman" w:hAnsi="Times New Roman" w:eastAsia="仿宋" w:cs="Times New Roman"/>
          <w:sz w:val="32"/>
          <w:szCs w:val="24"/>
        </w:rPr>
        <w:t>规划在规划区北部布置一定的商业用地，核心功能包括商务办公楼、服务中心、餐饮中心、宾馆等，使其成为园区生产性服务配套中心。规划商业服务业设施用地面积</w:t>
      </w:r>
      <w:r>
        <w:rPr>
          <w:rFonts w:ascii="Times New Roman" w:hAnsi="Times New Roman" w:eastAsia="仿宋" w:cs="Times New Roman"/>
          <w:sz w:val="32"/>
          <w:szCs w:val="24"/>
        </w:rPr>
        <w:t>20.63</w:t>
      </w:r>
      <w:r>
        <w:rPr>
          <w:rFonts w:hint="eastAsia" w:ascii="Times New Roman" w:hAnsi="Times New Roman" w:eastAsia="仿宋" w:cs="Times New Roman"/>
          <w:sz w:val="32"/>
          <w:szCs w:val="24"/>
        </w:rPr>
        <w:t>公顷，占总用地面积的</w:t>
      </w:r>
      <w:r>
        <w:rPr>
          <w:rFonts w:ascii="Times New Roman" w:hAnsi="Times New Roman" w:eastAsia="仿宋" w:cs="Times New Roman"/>
          <w:sz w:val="32"/>
          <w:szCs w:val="24"/>
        </w:rPr>
        <w:t>5.81</w:t>
      </w:r>
      <w:r>
        <w:rPr>
          <w:rFonts w:hint="eastAsia" w:ascii="Times New Roman" w:hAnsi="Times New Roman" w:eastAsia="仿宋" w:cs="Times New Roman"/>
          <w:sz w:val="32"/>
          <w:szCs w:val="24"/>
        </w:rPr>
        <w:t>%。</w:t>
      </w:r>
    </w:p>
    <w:bookmarkEnd w:id="79"/>
    <w:bookmarkEnd w:id="80"/>
    <w:bookmarkEnd w:id="81"/>
    <w:p>
      <w:pPr>
        <w:pStyle w:val="28"/>
        <w:numPr>
          <w:ilvl w:val="2"/>
          <w:numId w:val="1"/>
        </w:numPr>
        <w:ind w:firstLine="643" w:firstLineChars="200"/>
        <w:outlineLvl w:val="2"/>
        <w:rPr>
          <w:rFonts w:ascii="楷体" w:hAnsi="楷体" w:eastAsia="楷体"/>
          <w:b/>
          <w:sz w:val="32"/>
          <w:szCs w:val="32"/>
        </w:rPr>
      </w:pPr>
      <w:bookmarkStart w:id="82" w:name="_Toc4363940"/>
      <w:bookmarkStart w:id="83" w:name="_Toc1649"/>
      <w:bookmarkStart w:id="84" w:name="_Toc5020538"/>
      <w:bookmarkStart w:id="85" w:name="_Toc5023934"/>
      <w:r>
        <w:rPr>
          <w:rFonts w:hint="eastAsia" w:ascii="楷体" w:hAnsi="楷体" w:eastAsia="楷体"/>
          <w:b/>
          <w:sz w:val="32"/>
          <w:szCs w:val="32"/>
        </w:rPr>
        <w:t>工业用地</w:t>
      </w:r>
      <w:bookmarkEnd w:id="82"/>
      <w:bookmarkEnd w:id="83"/>
      <w:bookmarkEnd w:id="84"/>
      <w:bookmarkEnd w:id="85"/>
    </w:p>
    <w:bookmarkEnd w:id="76"/>
    <w:bookmarkEnd w:id="77"/>
    <w:p>
      <w:pPr>
        <w:tabs>
          <w:tab w:val="left" w:pos="720"/>
        </w:tabs>
        <w:ind w:firstLine="640" w:firstLineChars="200"/>
        <w:rPr>
          <w:rFonts w:ascii="Times New Roman" w:hAnsi="Times New Roman" w:eastAsia="仿宋" w:cs="Times New Roman"/>
          <w:sz w:val="32"/>
          <w:szCs w:val="24"/>
        </w:rPr>
      </w:pPr>
      <w:bookmarkStart w:id="86" w:name="_Hlk12226417"/>
      <w:bookmarkStart w:id="87" w:name="_Toc4363941"/>
      <w:bookmarkStart w:id="88" w:name="_Toc5020539"/>
      <w:bookmarkStart w:id="89" w:name="_Toc5023935"/>
      <w:bookmarkStart w:id="90" w:name="_Toc375474637"/>
      <w:bookmarkStart w:id="91" w:name="_Toc27495"/>
      <w:bookmarkStart w:id="92" w:name="_Toc366438879"/>
      <w:r>
        <w:rPr>
          <w:rFonts w:hint="eastAsia" w:ascii="Times New Roman" w:hAnsi="Times New Roman" w:eastAsia="仿宋" w:cs="Times New Roman"/>
          <w:sz w:val="32"/>
          <w:szCs w:val="24"/>
        </w:rPr>
        <w:t>规划工业用地总面积为248.69公顷，占总用地面积的70.05％。</w:t>
      </w:r>
    </w:p>
    <w:bookmarkEnd w:id="86"/>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规划区及周边地区内除现状已经建成的工业企业外，规划工业用地主要以一类</w:t>
      </w:r>
      <w:r>
        <w:rPr>
          <w:rFonts w:hint="eastAsia" w:ascii="Times New Roman" w:hAnsi="Times New Roman" w:eastAsia="仿宋" w:cs="Times New Roman"/>
          <w:sz w:val="32"/>
          <w:szCs w:val="24"/>
          <w:lang w:val="en-US" w:eastAsia="zh-CN"/>
        </w:rPr>
        <w:t>/二类</w:t>
      </w:r>
      <w:r>
        <w:rPr>
          <w:rFonts w:hint="eastAsia" w:ascii="Times New Roman" w:hAnsi="Times New Roman" w:eastAsia="仿宋" w:cs="Times New Roman"/>
          <w:sz w:val="32"/>
          <w:szCs w:val="24"/>
        </w:rPr>
        <w:t>工业为主</w:t>
      </w:r>
      <w:r>
        <w:rPr>
          <w:rFonts w:ascii="Times New Roman" w:hAnsi="Times New Roman" w:eastAsia="仿宋" w:cs="Times New Roman"/>
          <w:sz w:val="32"/>
          <w:szCs w:val="24"/>
        </w:rPr>
        <w:t>。</w:t>
      </w:r>
    </w:p>
    <w:p>
      <w:pPr>
        <w:pStyle w:val="28"/>
        <w:numPr>
          <w:ilvl w:val="2"/>
          <w:numId w:val="1"/>
        </w:numPr>
        <w:ind w:firstLine="643" w:firstLineChars="200"/>
        <w:outlineLvl w:val="2"/>
        <w:rPr>
          <w:rFonts w:ascii="楷体" w:hAnsi="楷体" w:eastAsia="楷体"/>
          <w:b/>
          <w:sz w:val="32"/>
          <w:szCs w:val="32"/>
        </w:rPr>
      </w:pPr>
      <w:bookmarkStart w:id="93" w:name="_Toc24559"/>
      <w:r>
        <w:rPr>
          <w:rFonts w:hint="eastAsia" w:ascii="楷体" w:hAnsi="楷体" w:eastAsia="楷体"/>
          <w:b/>
          <w:sz w:val="32"/>
          <w:szCs w:val="32"/>
        </w:rPr>
        <w:t>仓储物流</w:t>
      </w:r>
      <w:r>
        <w:rPr>
          <w:rFonts w:ascii="楷体" w:hAnsi="楷体" w:eastAsia="楷体"/>
          <w:b/>
          <w:sz w:val="32"/>
          <w:szCs w:val="32"/>
        </w:rPr>
        <w:t>用地</w:t>
      </w:r>
      <w:bookmarkEnd w:id="93"/>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保留</w:t>
      </w:r>
      <w:r>
        <w:rPr>
          <w:rFonts w:ascii="Times New Roman" w:hAnsi="Times New Roman" w:eastAsia="仿宋" w:cs="Times New Roman"/>
          <w:sz w:val="32"/>
          <w:szCs w:val="24"/>
        </w:rPr>
        <w:t>规划区</w:t>
      </w:r>
      <w:r>
        <w:rPr>
          <w:rFonts w:hint="eastAsia" w:ascii="Times New Roman" w:hAnsi="Times New Roman" w:eastAsia="仿宋" w:cs="Times New Roman"/>
          <w:sz w:val="32"/>
          <w:szCs w:val="24"/>
        </w:rPr>
        <w:t>鞍羊线东侧现状</w:t>
      </w:r>
      <w:r>
        <w:rPr>
          <w:rFonts w:ascii="Times New Roman" w:hAnsi="Times New Roman" w:eastAsia="仿宋" w:cs="Times New Roman"/>
          <w:sz w:val="32"/>
          <w:szCs w:val="24"/>
        </w:rPr>
        <w:t>物流</w:t>
      </w:r>
      <w:r>
        <w:rPr>
          <w:rFonts w:hint="eastAsia" w:ascii="Times New Roman" w:hAnsi="Times New Roman" w:eastAsia="仿宋" w:cs="Times New Roman"/>
          <w:sz w:val="32"/>
          <w:szCs w:val="24"/>
        </w:rPr>
        <w:t>用地</w:t>
      </w:r>
      <w:r>
        <w:rPr>
          <w:rFonts w:ascii="Times New Roman" w:hAnsi="Times New Roman" w:eastAsia="仿宋" w:cs="Times New Roman"/>
          <w:sz w:val="32"/>
          <w:szCs w:val="24"/>
        </w:rPr>
        <w:t>，</w:t>
      </w:r>
      <w:r>
        <w:rPr>
          <w:rFonts w:hint="eastAsia" w:ascii="Times New Roman" w:hAnsi="Times New Roman" w:eastAsia="仿宋" w:cs="Times New Roman"/>
          <w:sz w:val="32"/>
          <w:szCs w:val="24"/>
        </w:rPr>
        <w:t>规划</w:t>
      </w:r>
      <w:r>
        <w:rPr>
          <w:rFonts w:ascii="Times New Roman" w:hAnsi="Times New Roman" w:eastAsia="仿宋" w:cs="Times New Roman"/>
          <w:sz w:val="32"/>
          <w:szCs w:val="24"/>
        </w:rPr>
        <w:t>仓储物流用地总面积为</w:t>
      </w:r>
      <w:r>
        <w:rPr>
          <w:rFonts w:hint="eastAsia" w:ascii="Times New Roman" w:hAnsi="Times New Roman" w:eastAsia="仿宋" w:cs="Times New Roman"/>
          <w:sz w:val="32"/>
          <w:szCs w:val="24"/>
        </w:rPr>
        <w:t>0.60公顷</w:t>
      </w:r>
      <w:r>
        <w:rPr>
          <w:rFonts w:ascii="Times New Roman" w:hAnsi="Times New Roman" w:eastAsia="仿宋" w:cs="Times New Roman"/>
          <w:sz w:val="32"/>
          <w:szCs w:val="24"/>
        </w:rPr>
        <w:t>，</w:t>
      </w:r>
      <w:r>
        <w:rPr>
          <w:rFonts w:hint="eastAsia" w:ascii="Times New Roman" w:hAnsi="Times New Roman" w:eastAsia="仿宋" w:cs="Times New Roman"/>
          <w:sz w:val="32"/>
          <w:szCs w:val="24"/>
        </w:rPr>
        <w:t>占</w:t>
      </w:r>
      <w:r>
        <w:rPr>
          <w:rFonts w:ascii="Times New Roman" w:hAnsi="Times New Roman" w:eastAsia="仿宋" w:cs="Times New Roman"/>
          <w:sz w:val="32"/>
          <w:szCs w:val="24"/>
        </w:rPr>
        <w:t>总用地面积</w:t>
      </w:r>
      <w:r>
        <w:rPr>
          <w:rFonts w:hint="eastAsia" w:ascii="Times New Roman" w:hAnsi="Times New Roman" w:eastAsia="仿宋" w:cs="Times New Roman"/>
          <w:sz w:val="32"/>
          <w:szCs w:val="24"/>
        </w:rPr>
        <w:t>的0.02%。</w:t>
      </w:r>
    </w:p>
    <w:p>
      <w:pPr>
        <w:pStyle w:val="28"/>
        <w:numPr>
          <w:ilvl w:val="2"/>
          <w:numId w:val="1"/>
        </w:numPr>
        <w:ind w:firstLine="643" w:firstLineChars="200"/>
        <w:outlineLvl w:val="2"/>
        <w:rPr>
          <w:rFonts w:ascii="楷体" w:hAnsi="楷体" w:eastAsia="楷体"/>
          <w:b/>
          <w:sz w:val="32"/>
          <w:szCs w:val="32"/>
        </w:rPr>
      </w:pPr>
      <w:bookmarkStart w:id="94" w:name="_Toc14883"/>
      <w:r>
        <w:rPr>
          <w:rFonts w:hint="eastAsia" w:ascii="楷体" w:hAnsi="楷体" w:eastAsia="楷体"/>
          <w:b/>
          <w:sz w:val="32"/>
          <w:szCs w:val="32"/>
        </w:rPr>
        <w:t>道路与交通</w:t>
      </w:r>
      <w:r>
        <w:rPr>
          <w:rFonts w:ascii="楷体" w:hAnsi="楷体" w:eastAsia="楷体"/>
          <w:b/>
          <w:sz w:val="32"/>
          <w:szCs w:val="32"/>
        </w:rPr>
        <w:t>设施用地</w:t>
      </w:r>
      <w:bookmarkEnd w:id="94"/>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规划道路与交通</w:t>
      </w:r>
      <w:r>
        <w:rPr>
          <w:rFonts w:ascii="Times New Roman" w:hAnsi="Times New Roman" w:eastAsia="仿宋" w:cs="Times New Roman"/>
          <w:sz w:val="32"/>
          <w:szCs w:val="24"/>
        </w:rPr>
        <w:t>设施</w:t>
      </w:r>
      <w:r>
        <w:rPr>
          <w:rFonts w:hint="eastAsia" w:ascii="Times New Roman" w:hAnsi="Times New Roman" w:eastAsia="仿宋" w:cs="Times New Roman"/>
          <w:sz w:val="32"/>
          <w:szCs w:val="24"/>
        </w:rPr>
        <w:t>用地总面积为</w:t>
      </w:r>
      <w:r>
        <w:rPr>
          <w:rFonts w:ascii="Times New Roman" w:hAnsi="Times New Roman" w:eastAsia="仿宋" w:cs="Times New Roman"/>
          <w:sz w:val="32"/>
          <w:szCs w:val="24"/>
        </w:rPr>
        <w:t>54.47</w:t>
      </w:r>
      <w:r>
        <w:rPr>
          <w:rFonts w:hint="eastAsia" w:ascii="Times New Roman" w:hAnsi="Times New Roman" w:eastAsia="仿宋" w:cs="Times New Roman"/>
          <w:sz w:val="32"/>
          <w:szCs w:val="24"/>
        </w:rPr>
        <w:t>公顷，占总用地面积的</w:t>
      </w:r>
      <w:r>
        <w:rPr>
          <w:rFonts w:ascii="Times New Roman" w:hAnsi="Times New Roman" w:eastAsia="仿宋" w:cs="Times New Roman"/>
          <w:sz w:val="32"/>
          <w:szCs w:val="24"/>
        </w:rPr>
        <w:t>15.34</w:t>
      </w:r>
      <w:r>
        <w:rPr>
          <w:rFonts w:hint="eastAsia" w:ascii="Times New Roman" w:hAnsi="Times New Roman" w:eastAsia="仿宋" w:cs="Times New Roman"/>
          <w:sz w:val="32"/>
          <w:szCs w:val="24"/>
        </w:rPr>
        <w:t>％。主要为外环路</w:t>
      </w:r>
      <w:r>
        <w:rPr>
          <w:rFonts w:ascii="Times New Roman" w:hAnsi="Times New Roman" w:eastAsia="仿宋" w:cs="Times New Roman"/>
          <w:sz w:val="32"/>
          <w:szCs w:val="24"/>
        </w:rPr>
        <w:t>、管屯路、高新一路等城市道路。</w:t>
      </w:r>
    </w:p>
    <w:p>
      <w:pPr>
        <w:pStyle w:val="28"/>
        <w:numPr>
          <w:ilvl w:val="2"/>
          <w:numId w:val="1"/>
        </w:numPr>
        <w:ind w:firstLine="643" w:firstLineChars="200"/>
        <w:outlineLvl w:val="2"/>
        <w:rPr>
          <w:rFonts w:ascii="楷体" w:hAnsi="楷体" w:eastAsia="楷体"/>
          <w:b/>
          <w:sz w:val="32"/>
          <w:szCs w:val="32"/>
        </w:rPr>
      </w:pPr>
      <w:bookmarkStart w:id="95" w:name="_Toc20201"/>
      <w:r>
        <w:rPr>
          <w:rFonts w:hint="eastAsia" w:ascii="楷体" w:hAnsi="楷体" w:eastAsia="楷体"/>
          <w:b/>
          <w:sz w:val="32"/>
          <w:szCs w:val="32"/>
        </w:rPr>
        <w:t>公用设施用地</w:t>
      </w:r>
      <w:bookmarkEnd w:id="87"/>
      <w:bookmarkEnd w:id="88"/>
      <w:bookmarkEnd w:id="89"/>
      <w:bookmarkEnd w:id="95"/>
    </w:p>
    <w:p>
      <w:pPr>
        <w:tabs>
          <w:tab w:val="left" w:pos="720"/>
        </w:tabs>
        <w:ind w:firstLine="640" w:firstLineChars="200"/>
        <w:rPr>
          <w:rFonts w:ascii="Times New Roman" w:hAnsi="Times New Roman" w:eastAsia="仿宋" w:cs="Times New Roman"/>
          <w:sz w:val="32"/>
          <w:szCs w:val="24"/>
        </w:rPr>
      </w:pPr>
      <w:bookmarkStart w:id="96" w:name="_Toc5020540"/>
      <w:bookmarkStart w:id="97" w:name="_Toc5023936"/>
      <w:bookmarkStart w:id="98" w:name="_Toc4363942"/>
      <w:r>
        <w:rPr>
          <w:rFonts w:hint="eastAsia" w:ascii="Times New Roman" w:hAnsi="Times New Roman" w:eastAsia="仿宋" w:cs="Times New Roman"/>
          <w:sz w:val="32"/>
          <w:szCs w:val="24"/>
        </w:rPr>
        <w:t>规划公用设施用地面积</w:t>
      </w:r>
      <w:r>
        <w:rPr>
          <w:rFonts w:ascii="Times New Roman" w:hAnsi="Times New Roman" w:eastAsia="仿宋" w:cs="Times New Roman"/>
          <w:sz w:val="32"/>
          <w:szCs w:val="24"/>
        </w:rPr>
        <w:t>12.06</w:t>
      </w:r>
      <w:r>
        <w:rPr>
          <w:rFonts w:hint="eastAsia" w:ascii="Times New Roman" w:hAnsi="Times New Roman" w:eastAsia="仿宋" w:cs="Times New Roman"/>
          <w:sz w:val="32"/>
          <w:szCs w:val="24"/>
        </w:rPr>
        <w:t>公顷，占总建设用地的</w:t>
      </w:r>
      <w:r>
        <w:rPr>
          <w:rFonts w:ascii="Times New Roman" w:hAnsi="Times New Roman" w:eastAsia="仿宋" w:cs="Times New Roman"/>
          <w:sz w:val="32"/>
          <w:szCs w:val="24"/>
        </w:rPr>
        <w:t>3.4</w:t>
      </w:r>
      <w:r>
        <w:rPr>
          <w:rFonts w:hint="eastAsia" w:ascii="Times New Roman" w:hAnsi="Times New Roman" w:eastAsia="仿宋" w:cs="Times New Roman"/>
          <w:sz w:val="32"/>
          <w:szCs w:val="24"/>
        </w:rPr>
        <w:t>%。包括热源厂、调峰</w:t>
      </w:r>
      <w:r>
        <w:rPr>
          <w:rFonts w:ascii="Times New Roman" w:hAnsi="Times New Roman" w:eastAsia="仿宋" w:cs="Times New Roman"/>
          <w:sz w:val="32"/>
          <w:szCs w:val="24"/>
        </w:rPr>
        <w:t>锅炉房、</w:t>
      </w:r>
      <w:r>
        <w:rPr>
          <w:rFonts w:hint="eastAsia" w:ascii="Times New Roman" w:hAnsi="Times New Roman" w:eastAsia="仿宋" w:cs="Times New Roman"/>
          <w:sz w:val="32"/>
          <w:szCs w:val="24"/>
        </w:rPr>
        <w:t>污水处理厂、污泥处理设施、变电所、消防站及环卫等设施。</w:t>
      </w:r>
    </w:p>
    <w:p>
      <w:pPr>
        <w:pStyle w:val="28"/>
        <w:numPr>
          <w:ilvl w:val="2"/>
          <w:numId w:val="1"/>
        </w:numPr>
        <w:ind w:firstLine="643" w:firstLineChars="200"/>
        <w:outlineLvl w:val="2"/>
        <w:rPr>
          <w:rFonts w:ascii="楷体" w:hAnsi="楷体" w:eastAsia="楷体"/>
          <w:b/>
          <w:sz w:val="32"/>
          <w:szCs w:val="32"/>
        </w:rPr>
      </w:pPr>
      <w:bookmarkStart w:id="99" w:name="_Toc24608"/>
      <w:r>
        <w:rPr>
          <w:rFonts w:hint="eastAsia" w:ascii="楷体" w:hAnsi="楷体" w:eastAsia="楷体"/>
          <w:b/>
          <w:sz w:val="32"/>
          <w:szCs w:val="32"/>
        </w:rPr>
        <w:t>绿地与广场用地</w:t>
      </w:r>
      <w:bookmarkEnd w:id="90"/>
      <w:bookmarkEnd w:id="91"/>
      <w:bookmarkEnd w:id="92"/>
      <w:bookmarkEnd w:id="96"/>
      <w:bookmarkEnd w:id="97"/>
      <w:bookmarkEnd w:id="98"/>
      <w:bookmarkEnd w:id="99"/>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规划绿地与广场用地总用地面积为</w:t>
      </w:r>
      <w:r>
        <w:rPr>
          <w:rFonts w:ascii="Times New Roman" w:hAnsi="Times New Roman" w:eastAsia="仿宋" w:cs="Times New Roman"/>
          <w:sz w:val="32"/>
          <w:szCs w:val="24"/>
        </w:rPr>
        <w:t>12.86</w:t>
      </w:r>
      <w:r>
        <w:rPr>
          <w:rFonts w:hint="eastAsia" w:ascii="Times New Roman" w:hAnsi="Times New Roman" w:eastAsia="仿宋" w:cs="Times New Roman"/>
          <w:sz w:val="32"/>
          <w:szCs w:val="24"/>
        </w:rPr>
        <w:t>公顷，占建设用地</w:t>
      </w:r>
      <w:r>
        <w:rPr>
          <w:rFonts w:ascii="Times New Roman" w:hAnsi="Times New Roman" w:eastAsia="仿宋" w:cs="Times New Roman"/>
          <w:sz w:val="32"/>
          <w:szCs w:val="24"/>
        </w:rPr>
        <w:t>3.62</w:t>
      </w:r>
      <w:r>
        <w:rPr>
          <w:rFonts w:hint="eastAsia" w:ascii="Times New Roman" w:hAnsi="Times New Roman" w:eastAsia="仿宋" w:cs="Times New Roman"/>
          <w:sz w:val="32"/>
          <w:szCs w:val="24"/>
        </w:rPr>
        <w:t>%。</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规划公园绿地面积</w:t>
      </w:r>
      <w:r>
        <w:rPr>
          <w:rFonts w:ascii="Times New Roman" w:hAnsi="Times New Roman" w:eastAsia="仿宋" w:cs="Times New Roman"/>
          <w:sz w:val="32"/>
          <w:szCs w:val="24"/>
        </w:rPr>
        <w:t>6.46</w:t>
      </w:r>
      <w:r>
        <w:rPr>
          <w:rFonts w:hint="eastAsia" w:ascii="Times New Roman" w:hAnsi="Times New Roman" w:eastAsia="仿宋" w:cs="Times New Roman"/>
          <w:sz w:val="32"/>
          <w:szCs w:val="24"/>
        </w:rPr>
        <w:t>公顷，主要分布在调峰锅炉房</w:t>
      </w:r>
      <w:r>
        <w:rPr>
          <w:rFonts w:ascii="Times New Roman" w:hAnsi="Times New Roman" w:eastAsia="仿宋" w:cs="Times New Roman"/>
          <w:sz w:val="32"/>
          <w:szCs w:val="24"/>
        </w:rPr>
        <w:t>南侧</w:t>
      </w:r>
      <w:r>
        <w:rPr>
          <w:rFonts w:hint="eastAsia" w:ascii="Times New Roman" w:hAnsi="Times New Roman" w:eastAsia="仿宋" w:cs="Times New Roman"/>
          <w:sz w:val="32"/>
          <w:szCs w:val="24"/>
        </w:rPr>
        <w:t>；规划防护绿地面积</w:t>
      </w:r>
      <w:r>
        <w:rPr>
          <w:rFonts w:ascii="Times New Roman" w:hAnsi="Times New Roman" w:eastAsia="仿宋" w:cs="Times New Roman"/>
          <w:sz w:val="32"/>
          <w:szCs w:val="24"/>
        </w:rPr>
        <w:t>6.4</w:t>
      </w:r>
      <w:r>
        <w:rPr>
          <w:rFonts w:hint="eastAsia" w:ascii="Times New Roman" w:hAnsi="Times New Roman" w:eastAsia="仿宋" w:cs="Times New Roman"/>
          <w:sz w:val="32"/>
          <w:szCs w:val="24"/>
        </w:rPr>
        <w:t>公顷。按照国家电力部门相关技术规定，</w:t>
      </w:r>
      <w:bookmarkStart w:id="100" w:name="_Hlk12226606"/>
      <w:r>
        <w:rPr>
          <w:rFonts w:hint="eastAsia" w:ascii="Times New Roman" w:hAnsi="Times New Roman" w:eastAsia="仿宋" w:cs="Times New Roman"/>
          <w:sz w:val="32"/>
          <w:szCs w:val="24"/>
        </w:rPr>
        <w:t>根据不同等级的高压电缆，预留3</w:t>
      </w:r>
      <w:r>
        <w:rPr>
          <w:rFonts w:ascii="Times New Roman" w:hAnsi="Times New Roman" w:eastAsia="仿宋" w:cs="Times New Roman"/>
          <w:sz w:val="32"/>
          <w:szCs w:val="24"/>
        </w:rPr>
        <w:t>0</w:t>
      </w:r>
      <w:r>
        <w:rPr>
          <w:rFonts w:hint="eastAsia" w:ascii="Times New Roman" w:hAnsi="Times New Roman" w:eastAsia="仿宋" w:cs="Times New Roman"/>
          <w:sz w:val="32"/>
          <w:szCs w:val="24"/>
        </w:rPr>
        <w:t>米宽的高压走廊；</w:t>
      </w:r>
      <w:bookmarkEnd w:id="100"/>
      <w:r>
        <w:rPr>
          <w:rFonts w:hint="eastAsia" w:ascii="Times New Roman" w:hAnsi="Times New Roman" w:eastAsia="仿宋" w:cs="Times New Roman"/>
          <w:sz w:val="32"/>
          <w:szCs w:val="24"/>
        </w:rPr>
        <w:t>沿鞍羊线两侧各预留</w:t>
      </w:r>
      <w:r>
        <w:rPr>
          <w:rFonts w:ascii="Times New Roman" w:hAnsi="Times New Roman" w:eastAsia="仿宋" w:cs="Times New Roman"/>
          <w:sz w:val="32"/>
          <w:szCs w:val="24"/>
        </w:rPr>
        <w:t>6</w:t>
      </w:r>
      <w:r>
        <w:rPr>
          <w:rFonts w:hint="eastAsia" w:ascii="Times New Roman" w:hAnsi="Times New Roman" w:eastAsia="仿宋" w:cs="Times New Roman"/>
          <w:sz w:val="32"/>
          <w:szCs w:val="24"/>
        </w:rPr>
        <w:t xml:space="preserve">米宽绿带。 </w:t>
      </w:r>
    </w:p>
    <w:p>
      <w:pPr>
        <w:pStyle w:val="28"/>
        <w:outlineLvl w:val="1"/>
        <w:rPr>
          <w:rFonts w:ascii="黑体" w:hAnsi="黑体" w:eastAsia="黑体"/>
          <w:sz w:val="32"/>
          <w:szCs w:val="32"/>
        </w:rPr>
      </w:pPr>
      <w:bookmarkStart w:id="101" w:name="_Toc20693"/>
      <w:r>
        <w:rPr>
          <w:rFonts w:hint="eastAsia" w:ascii="黑体" w:hAnsi="黑体" w:eastAsia="黑体"/>
          <w:sz w:val="32"/>
          <w:szCs w:val="32"/>
        </w:rPr>
        <w:t>园区远景发展产业与空间设想（详见附件6）</w:t>
      </w:r>
      <w:bookmarkEnd w:id="101"/>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依据工业用地亩均产值22万元推测实现规划区总收入</w:t>
      </w:r>
      <w:r>
        <w:rPr>
          <w:rFonts w:hint="eastAsia" w:ascii="Times New Roman" w:hAnsi="Times New Roman" w:eastAsia="仿宋" w:cs="Times New Roman"/>
          <w:sz w:val="32"/>
          <w:szCs w:val="24"/>
          <w:lang w:val="en-US" w:eastAsia="zh-CN"/>
        </w:rPr>
        <w:t>300</w:t>
      </w:r>
      <w:r>
        <w:rPr>
          <w:rFonts w:hint="eastAsia" w:ascii="Times New Roman" w:hAnsi="Times New Roman" w:eastAsia="仿宋" w:cs="Times New Roman"/>
          <w:sz w:val="32"/>
          <w:szCs w:val="24"/>
        </w:rPr>
        <w:t>亿元的预期目标最少需480公顷建设用地，因此考虑规划区未来发展目标与方向，远景展望规划区可以突破城镇开发边界，南北片区集中连片发展。</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将规划区分为近期、远期、远景展望三类时序用以开发建设。其中，近期建设范围为规划区南部依托现状已建成部分向西南扩展，总面积为305.19公顷；远期建设范围为规划区北部且位于城镇开发边界范围内区域，总面积为49.83公顷；远景展望建设范围为统筹考虑规划区未来发展，将南北两片区集中连片发展，总面积为</w:t>
      </w:r>
      <w:r>
        <w:rPr>
          <w:rFonts w:hint="eastAsia" w:ascii="Times New Roman" w:hAnsi="Times New Roman" w:eastAsia="仿宋" w:cs="Times New Roman"/>
          <w:sz w:val="32"/>
          <w:lang w:val="en-US" w:eastAsia="zh-CN"/>
        </w:rPr>
        <w:t>128.6</w:t>
      </w:r>
      <w:r>
        <w:rPr>
          <w:rFonts w:hint="eastAsia" w:ascii="Times New Roman" w:hAnsi="Times New Roman" w:eastAsia="仿宋" w:cs="Times New Roman"/>
          <w:sz w:val="32"/>
        </w:rPr>
        <w:t>公顷。</w:t>
      </w:r>
    </w:p>
    <w:p>
      <w:pPr>
        <w:pStyle w:val="27"/>
        <w:jc w:val="center"/>
        <w:outlineLvl w:val="0"/>
        <w:rPr>
          <w:rFonts w:ascii="黑体" w:hAnsi="黑体" w:eastAsia="黑体"/>
          <w:sz w:val="44"/>
          <w:szCs w:val="44"/>
        </w:rPr>
      </w:pPr>
      <w:bookmarkStart w:id="102" w:name="_Toc6365"/>
      <w:r>
        <w:rPr>
          <w:rFonts w:hint="eastAsia" w:ascii="黑体" w:hAnsi="黑体" w:eastAsia="黑体"/>
          <w:sz w:val="44"/>
          <w:szCs w:val="44"/>
        </w:rPr>
        <w:t>支撑</w:t>
      </w:r>
      <w:r>
        <w:rPr>
          <w:rFonts w:ascii="黑体" w:hAnsi="黑体" w:eastAsia="黑体"/>
          <w:sz w:val="44"/>
          <w:szCs w:val="44"/>
        </w:rPr>
        <w:t>体系规划</w:t>
      </w:r>
      <w:bookmarkEnd w:id="102"/>
    </w:p>
    <w:p>
      <w:pPr>
        <w:pStyle w:val="28"/>
        <w:outlineLvl w:val="1"/>
        <w:rPr>
          <w:rFonts w:ascii="黑体" w:hAnsi="黑体" w:eastAsia="黑体"/>
          <w:sz w:val="32"/>
          <w:szCs w:val="32"/>
        </w:rPr>
      </w:pPr>
      <w:bookmarkStart w:id="103" w:name="_Toc7358"/>
      <w:r>
        <w:rPr>
          <w:rFonts w:hint="eastAsia" w:ascii="黑体" w:hAnsi="黑体" w:eastAsia="黑体"/>
          <w:sz w:val="32"/>
          <w:szCs w:val="32"/>
        </w:rPr>
        <w:t>道路</w:t>
      </w:r>
      <w:r>
        <w:rPr>
          <w:rFonts w:ascii="黑体" w:hAnsi="黑体" w:eastAsia="黑体"/>
          <w:sz w:val="32"/>
          <w:szCs w:val="32"/>
        </w:rPr>
        <w:t>交通规划</w:t>
      </w:r>
      <w:bookmarkEnd w:id="10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规划形成“</w:t>
      </w:r>
      <w:r>
        <w:rPr>
          <w:rFonts w:hint="eastAsia" w:ascii="Times New Roman" w:hAnsi="Times New Roman" w:eastAsia="仿宋" w:cs="Times New Roman"/>
          <w:sz w:val="32"/>
          <w:lang w:val="en-US" w:eastAsia="zh-CN"/>
        </w:rPr>
        <w:t>一环</w:t>
      </w:r>
      <w:r>
        <w:rPr>
          <w:rFonts w:hint="eastAsia" w:ascii="Times New Roman" w:hAnsi="Times New Roman" w:eastAsia="仿宋" w:cs="Times New Roman"/>
          <w:sz w:val="32"/>
        </w:rPr>
        <w:t>两横</w:t>
      </w:r>
      <w:r>
        <w:rPr>
          <w:rFonts w:hint="eastAsia" w:ascii="Times New Roman" w:hAnsi="Times New Roman" w:eastAsia="仿宋" w:cs="Times New Roman"/>
          <w:sz w:val="32"/>
          <w:lang w:val="en-US" w:eastAsia="zh-CN"/>
        </w:rPr>
        <w:t>两</w:t>
      </w:r>
      <w:r>
        <w:rPr>
          <w:rFonts w:hint="eastAsia" w:ascii="Times New Roman" w:hAnsi="Times New Roman" w:eastAsia="仿宋" w:cs="Times New Roman"/>
          <w:sz w:val="32"/>
        </w:rPr>
        <w:t>纵”的骨架路网体系。</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lang w:val="en-US" w:eastAsia="zh-CN"/>
        </w:rPr>
        <w:t>一环</w:t>
      </w:r>
      <w:r>
        <w:rPr>
          <w:rFonts w:hint="eastAsia" w:ascii="Times New Roman" w:hAnsi="Times New Roman" w:eastAsia="仿宋" w:cs="Times New Roman"/>
          <w:sz w:val="32"/>
          <w:lang w:eastAsia="zh-CN"/>
        </w:rPr>
        <w:t>”为规划区西部环路至鞍羊线环线；</w:t>
      </w:r>
      <w:r>
        <w:rPr>
          <w:rFonts w:hint="eastAsia" w:ascii="Times New Roman" w:hAnsi="Times New Roman" w:eastAsia="仿宋" w:cs="Times New Roman"/>
          <w:sz w:val="32"/>
        </w:rPr>
        <w:t>“两横”分比为高新二路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红线宽度均为38米</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和管屯路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红线宽度均为</w:t>
      </w:r>
      <w:r>
        <w:rPr>
          <w:rFonts w:hint="eastAsia" w:ascii="Times New Roman" w:hAnsi="Times New Roman" w:eastAsia="仿宋" w:cs="Times New Roman"/>
          <w:sz w:val="32"/>
          <w:lang w:val="en-US" w:eastAsia="zh-CN"/>
        </w:rPr>
        <w:t>45</w:t>
      </w:r>
      <w:r>
        <w:rPr>
          <w:rFonts w:hint="eastAsia" w:ascii="Times New Roman" w:hAnsi="Times New Roman" w:eastAsia="仿宋" w:cs="Times New Roman"/>
          <w:sz w:val="32"/>
        </w:rPr>
        <w:t>米</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w:t>
      </w:r>
      <w:r>
        <w:rPr>
          <w:rFonts w:hint="eastAsia" w:ascii="Times New Roman" w:hAnsi="Times New Roman" w:eastAsia="仿宋" w:cs="Times New Roman"/>
          <w:sz w:val="32"/>
          <w:lang w:val="en-US" w:eastAsia="zh-CN"/>
        </w:rPr>
        <w:t>两</w:t>
      </w:r>
      <w:r>
        <w:rPr>
          <w:rFonts w:hint="eastAsia" w:ascii="Times New Roman" w:hAnsi="Times New Roman" w:eastAsia="仿宋" w:cs="Times New Roman"/>
          <w:sz w:val="32"/>
        </w:rPr>
        <w:t>纵”分别为科技三街（红线宽度为26米）和科技五街（红线宽度为36米）；支路分别为高新一路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高新三路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高新四路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新五路</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科技一街、科技二街</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科技四街</w:t>
      </w:r>
      <w:r>
        <w:rPr>
          <w:rFonts w:hint="eastAsia" w:ascii="Times New Roman" w:hAnsi="Times New Roman" w:eastAsia="仿宋" w:cs="Times New Roman"/>
          <w:sz w:val="32"/>
          <w:lang w:eastAsia="zh-CN"/>
        </w:rPr>
        <w:t>。</w:t>
      </w:r>
      <w:r>
        <w:rPr>
          <w:rFonts w:hint="eastAsia" w:ascii="Times New Roman" w:hAnsi="Times New Roman" w:eastAsia="仿宋" w:cs="Times New Roman"/>
          <w:sz w:val="32"/>
        </w:rPr>
        <w:t>（详见附件7）</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结合规划区道路实际使用情况及服务对象，在区域内创新采用人非共板的道路形式，提升土地使用效率，为周边产业园区道路建设起到引领示范作用。</w:t>
      </w:r>
    </w:p>
    <w:p>
      <w:pPr>
        <w:pStyle w:val="28"/>
        <w:outlineLvl w:val="1"/>
        <w:rPr>
          <w:rFonts w:ascii="黑体" w:hAnsi="黑体" w:eastAsia="黑体"/>
          <w:sz w:val="32"/>
          <w:szCs w:val="32"/>
        </w:rPr>
      </w:pPr>
      <w:bookmarkStart w:id="104" w:name="_Toc15842"/>
      <w:r>
        <w:rPr>
          <w:rFonts w:hint="eastAsia" w:ascii="黑体" w:hAnsi="黑体" w:eastAsia="黑体"/>
          <w:sz w:val="32"/>
          <w:szCs w:val="32"/>
        </w:rPr>
        <w:t>公共</w:t>
      </w:r>
      <w:r>
        <w:rPr>
          <w:rFonts w:ascii="黑体" w:hAnsi="黑体" w:eastAsia="黑体"/>
          <w:sz w:val="32"/>
          <w:szCs w:val="32"/>
        </w:rPr>
        <w:t>服务</w:t>
      </w:r>
      <w:r>
        <w:rPr>
          <w:rFonts w:hint="eastAsia" w:ascii="黑体" w:hAnsi="黑体" w:eastAsia="黑体"/>
          <w:sz w:val="32"/>
          <w:szCs w:val="32"/>
        </w:rPr>
        <w:t>设施</w:t>
      </w:r>
      <w:r>
        <w:rPr>
          <w:rFonts w:ascii="黑体" w:hAnsi="黑体" w:eastAsia="黑体"/>
          <w:sz w:val="32"/>
          <w:szCs w:val="32"/>
        </w:rPr>
        <w:t>规划</w:t>
      </w:r>
      <w:bookmarkEnd w:id="10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建立“适应交往、交流展示和共享”的公共服务设施体系。</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规划区范围内共设置三处公共服务设施、五处商业设施。</w:t>
      </w:r>
    </w:p>
    <w:p>
      <w:pPr>
        <w:spacing w:line="360" w:lineRule="auto"/>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rPr>
        <w:t>其中：公共服务设施三处共计24.5公顷，占总用地8.03%，一处为农业高新技术区管委会新址，总用地面积2.03公顷；</w:t>
      </w:r>
      <w:r>
        <w:rPr>
          <w:rFonts w:hint="eastAsia" w:ascii="Times New Roman" w:hAnsi="Times New Roman" w:eastAsia="仿宋" w:cs="Times New Roman"/>
          <w:sz w:val="32"/>
          <w:szCs w:val="24"/>
        </w:rPr>
        <w:t>一处为科技展示中心星创天地，总用地面积2.01公顷；余下一处为科研园区。商业服务业设施五处共计20.63公顷，占总用地5.81%。（详见附件8）</w:t>
      </w:r>
    </w:p>
    <w:p>
      <w:pPr>
        <w:pStyle w:val="28"/>
        <w:outlineLvl w:val="1"/>
        <w:rPr>
          <w:rFonts w:ascii="黑体" w:hAnsi="黑体" w:eastAsia="黑体"/>
          <w:sz w:val="32"/>
          <w:szCs w:val="32"/>
        </w:rPr>
      </w:pPr>
      <w:bookmarkStart w:id="105" w:name="_Toc21008"/>
      <w:r>
        <w:rPr>
          <w:rFonts w:hint="eastAsia" w:ascii="黑体" w:hAnsi="黑体" w:eastAsia="黑体"/>
          <w:sz w:val="32"/>
          <w:szCs w:val="32"/>
        </w:rPr>
        <w:t>市政</w:t>
      </w:r>
      <w:r>
        <w:rPr>
          <w:rFonts w:ascii="黑体" w:hAnsi="黑体" w:eastAsia="黑体"/>
          <w:sz w:val="32"/>
          <w:szCs w:val="32"/>
        </w:rPr>
        <w:t>基础设施规划</w:t>
      </w:r>
      <w:bookmarkEnd w:id="105"/>
    </w:p>
    <w:p>
      <w:pPr>
        <w:pStyle w:val="28"/>
        <w:numPr>
          <w:ilvl w:val="2"/>
          <w:numId w:val="1"/>
        </w:numPr>
        <w:ind w:firstLine="643" w:firstLineChars="200"/>
        <w:outlineLvl w:val="2"/>
        <w:rPr>
          <w:rFonts w:ascii="楷体" w:hAnsi="楷体" w:eastAsia="楷体"/>
          <w:b/>
          <w:sz w:val="32"/>
          <w:szCs w:val="32"/>
        </w:rPr>
      </w:pPr>
      <w:bookmarkStart w:id="106" w:name="_Toc29924"/>
      <w:r>
        <w:rPr>
          <w:rFonts w:hint="eastAsia" w:ascii="楷体" w:hAnsi="楷体" w:eastAsia="楷体"/>
          <w:b/>
          <w:sz w:val="32"/>
          <w:szCs w:val="32"/>
        </w:rPr>
        <w:t>供水规划</w:t>
      </w:r>
      <w:r>
        <w:rPr>
          <w:rFonts w:hint="eastAsia" w:ascii="楷体" w:hAnsi="楷体" w:eastAsia="楷体"/>
          <w:bCs/>
          <w:sz w:val="32"/>
          <w:szCs w:val="32"/>
        </w:rPr>
        <w:t>（详见附件9）</w:t>
      </w:r>
      <w:bookmarkEnd w:id="10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至2035年，根据用地预测规划区需水量</w:t>
      </w:r>
      <w:r>
        <w:rPr>
          <w:rFonts w:hint="eastAsia" w:ascii="Times New Roman" w:hAnsi="Times New Roman" w:eastAsia="仿宋" w:cs="Times New Roman"/>
          <w:sz w:val="32"/>
          <w:lang w:val="en-US" w:eastAsia="zh-CN"/>
        </w:rPr>
        <w:t>2.5</w:t>
      </w:r>
      <w:r>
        <w:rPr>
          <w:rFonts w:hint="eastAsia" w:ascii="Times New Roman" w:hAnsi="Times New Roman" w:eastAsia="仿宋" w:cs="Times New Roman"/>
          <w:sz w:val="32"/>
        </w:rPr>
        <w:t>万立方米/日，供水普及率为100%。规划区供水来源为台安县城区水厂，供水能力</w:t>
      </w:r>
      <w:r>
        <w:rPr>
          <w:rFonts w:hint="eastAsia" w:ascii="Times New Roman" w:hAnsi="Times New Roman" w:eastAsia="仿宋" w:cs="Times New Roman"/>
          <w:sz w:val="32"/>
          <w:lang w:val="en-US" w:eastAsia="zh-CN"/>
        </w:rPr>
        <w:t>5</w:t>
      </w:r>
      <w:r>
        <w:rPr>
          <w:rFonts w:hint="eastAsia" w:ascii="Times New Roman" w:hAnsi="Times New Roman" w:eastAsia="仿宋" w:cs="Times New Roman"/>
          <w:sz w:val="32"/>
        </w:rPr>
        <w:t>万立方米/日，满足规划区供水需求，沿管屯路、高新一路、科技三街、高新四路等主要道路新设给水管道。</w:t>
      </w:r>
    </w:p>
    <w:p>
      <w:pPr>
        <w:pStyle w:val="28"/>
        <w:numPr>
          <w:ilvl w:val="2"/>
          <w:numId w:val="1"/>
        </w:numPr>
        <w:ind w:firstLine="643" w:firstLineChars="200"/>
        <w:outlineLvl w:val="2"/>
        <w:rPr>
          <w:rFonts w:ascii="楷体" w:hAnsi="楷体" w:eastAsia="楷体"/>
          <w:b/>
          <w:sz w:val="32"/>
          <w:szCs w:val="32"/>
        </w:rPr>
      </w:pPr>
      <w:bookmarkStart w:id="107" w:name="_Toc23490"/>
      <w:r>
        <w:rPr>
          <w:rFonts w:hint="eastAsia" w:ascii="楷体" w:hAnsi="楷体" w:eastAsia="楷体"/>
          <w:b/>
          <w:sz w:val="32"/>
          <w:szCs w:val="32"/>
        </w:rPr>
        <w:t>污水规划</w:t>
      </w:r>
      <w:r>
        <w:rPr>
          <w:rFonts w:hint="eastAsia" w:ascii="楷体" w:hAnsi="楷体" w:eastAsia="楷体"/>
          <w:bCs/>
          <w:sz w:val="32"/>
          <w:szCs w:val="32"/>
        </w:rPr>
        <w:t>（详见附件10）</w:t>
      </w:r>
      <w:bookmarkEnd w:id="107"/>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至2035年规划区污水处理率为100%。根据用地预测规划区污水量</w:t>
      </w:r>
      <w:r>
        <w:rPr>
          <w:rFonts w:hint="eastAsia" w:ascii="Times New Roman" w:hAnsi="Times New Roman" w:eastAsia="仿宋" w:cs="Times New Roman"/>
          <w:sz w:val="32"/>
          <w:lang w:val="en-US" w:eastAsia="zh-CN"/>
        </w:rPr>
        <w:t>2</w:t>
      </w:r>
      <w:r>
        <w:rPr>
          <w:rFonts w:hint="eastAsia" w:ascii="Times New Roman" w:hAnsi="Times New Roman" w:eastAsia="仿宋" w:cs="Times New Roman"/>
          <w:sz w:val="32"/>
        </w:rPr>
        <w:t>万立方米/日，经由市政管道通过园区西南部污水处理厂统一处理，处理能力：3万吨/日。北部新建污泥处理设施1处，承担规划区内排水任务。雨水通过市政管道就近排放到小柳河。</w:t>
      </w:r>
    </w:p>
    <w:p>
      <w:pPr>
        <w:pStyle w:val="28"/>
        <w:numPr>
          <w:ilvl w:val="2"/>
          <w:numId w:val="1"/>
        </w:numPr>
        <w:ind w:firstLine="643" w:firstLineChars="200"/>
        <w:outlineLvl w:val="2"/>
        <w:rPr>
          <w:rFonts w:ascii="楷体" w:hAnsi="楷体" w:eastAsia="楷体"/>
          <w:b/>
          <w:sz w:val="32"/>
          <w:szCs w:val="32"/>
        </w:rPr>
      </w:pPr>
      <w:bookmarkStart w:id="108" w:name="_Toc12488"/>
      <w:r>
        <w:rPr>
          <w:rFonts w:hint="eastAsia" w:ascii="楷体" w:hAnsi="楷体" w:eastAsia="楷体"/>
          <w:b/>
          <w:sz w:val="32"/>
          <w:szCs w:val="32"/>
        </w:rPr>
        <w:t>供电规划</w:t>
      </w:r>
      <w:r>
        <w:rPr>
          <w:rFonts w:hint="eastAsia" w:ascii="楷体" w:hAnsi="楷体" w:eastAsia="楷体"/>
          <w:bCs/>
          <w:sz w:val="32"/>
          <w:szCs w:val="32"/>
        </w:rPr>
        <w:t>（详见附件11）</w:t>
      </w:r>
      <w:bookmarkEnd w:id="108"/>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至2035年规划区保留并扩建现状66千伏何岗变电站，扩建后主变容量为3×50兆伏安，经测算用电量为24.68MW，</w:t>
      </w:r>
      <w:r>
        <w:rPr>
          <w:rFonts w:hint="eastAsia" w:ascii="Times New Roman" w:hAnsi="Times New Roman" w:eastAsia="仿宋" w:cs="Times New Roman"/>
          <w:sz w:val="32"/>
          <w:lang w:val="en-US" w:eastAsia="zh-CN"/>
        </w:rPr>
        <w:t>年用电量为5亿千瓦时，</w:t>
      </w:r>
      <w:r>
        <w:rPr>
          <w:rFonts w:hint="eastAsia" w:ascii="Times New Roman" w:hAnsi="Times New Roman" w:eastAsia="仿宋" w:cs="Times New Roman"/>
          <w:sz w:val="32"/>
        </w:rPr>
        <w:t>沿规划区内主要道路敷设66kV和10kV输电线路，确保园区的供电稳定。</w:t>
      </w:r>
    </w:p>
    <w:p>
      <w:pPr>
        <w:pStyle w:val="28"/>
        <w:numPr>
          <w:ilvl w:val="2"/>
          <w:numId w:val="1"/>
        </w:numPr>
        <w:ind w:firstLine="643" w:firstLineChars="200"/>
        <w:outlineLvl w:val="2"/>
        <w:rPr>
          <w:rFonts w:ascii="楷体" w:hAnsi="楷体" w:eastAsia="楷体"/>
          <w:b/>
          <w:sz w:val="32"/>
          <w:szCs w:val="32"/>
        </w:rPr>
      </w:pPr>
      <w:bookmarkStart w:id="109" w:name="_Toc28099"/>
      <w:r>
        <w:rPr>
          <w:rFonts w:hint="eastAsia" w:ascii="楷体" w:hAnsi="楷体" w:eastAsia="楷体"/>
          <w:b/>
          <w:sz w:val="32"/>
          <w:szCs w:val="32"/>
        </w:rPr>
        <w:t>燃气规划</w:t>
      </w:r>
      <w:r>
        <w:rPr>
          <w:rFonts w:hint="eastAsia" w:ascii="楷体" w:hAnsi="楷体" w:eastAsia="楷体"/>
          <w:bCs/>
          <w:sz w:val="32"/>
          <w:szCs w:val="32"/>
        </w:rPr>
        <w:t>（详见附件12）</w:t>
      </w:r>
      <w:bookmarkEnd w:id="109"/>
    </w:p>
    <w:p>
      <w:pPr>
        <w:spacing w:line="360" w:lineRule="auto"/>
        <w:ind w:firstLine="640" w:firstLineChars="200"/>
        <w:rPr>
          <w:rFonts w:hint="eastAsia" w:ascii="Times New Roman" w:hAnsi="Times New Roman" w:eastAsia="仿宋" w:cs="Times New Roman"/>
          <w:color w:val="auto"/>
          <w:sz w:val="32"/>
        </w:rPr>
      </w:pPr>
      <w:r>
        <w:rPr>
          <w:rFonts w:hint="eastAsia" w:ascii="Times New Roman" w:hAnsi="Times New Roman" w:eastAsia="仿宋" w:cs="Times New Roman"/>
          <w:color w:val="auto"/>
          <w:sz w:val="32"/>
        </w:rPr>
        <w:t>至2035年规划区燃气需求量为1359.24万Nm³，气源规划确定气源为天然气，近期可通过瓶组等方式实现点式供气，远期以中压管道形式向园区集中供气，气源为规划区内的奥德燃气站，沿科技二街、高新四路等主要道路敷设中压管网。</w:t>
      </w:r>
    </w:p>
    <w:p>
      <w:pPr>
        <w:pStyle w:val="28"/>
        <w:numPr>
          <w:ilvl w:val="2"/>
          <w:numId w:val="1"/>
        </w:numPr>
        <w:ind w:firstLine="643" w:firstLineChars="200"/>
        <w:outlineLvl w:val="2"/>
        <w:rPr>
          <w:rFonts w:ascii="楷体" w:hAnsi="楷体" w:eastAsia="楷体"/>
          <w:b/>
          <w:sz w:val="32"/>
          <w:szCs w:val="32"/>
        </w:rPr>
      </w:pPr>
      <w:bookmarkStart w:id="110" w:name="_Toc14304"/>
      <w:r>
        <w:rPr>
          <w:rFonts w:hint="eastAsia" w:ascii="楷体" w:hAnsi="楷体" w:eastAsia="楷体"/>
          <w:b/>
          <w:sz w:val="32"/>
          <w:szCs w:val="32"/>
        </w:rPr>
        <w:t>供热规划</w:t>
      </w:r>
      <w:r>
        <w:rPr>
          <w:rFonts w:hint="eastAsia" w:ascii="楷体" w:hAnsi="楷体" w:eastAsia="楷体"/>
          <w:bCs/>
          <w:sz w:val="32"/>
          <w:szCs w:val="32"/>
        </w:rPr>
        <w:t>（详见附件13）</w:t>
      </w:r>
      <w:bookmarkEnd w:id="110"/>
    </w:p>
    <w:p>
      <w:pPr>
        <w:spacing w:line="360" w:lineRule="auto"/>
        <w:ind w:firstLine="640" w:firstLineChars="200"/>
        <w:rPr>
          <w:rFonts w:hint="eastAsia" w:ascii="Times New Roman" w:hAnsi="Times New Roman" w:eastAsia="仿宋" w:cs="Times New Roman"/>
          <w:color w:val="auto"/>
          <w:sz w:val="32"/>
          <w:lang w:eastAsia="zh-CN"/>
        </w:rPr>
      </w:pPr>
      <w:r>
        <w:rPr>
          <w:rFonts w:hint="eastAsia" w:ascii="Times New Roman" w:hAnsi="Times New Roman" w:eastAsia="仿宋" w:cs="Times New Roman"/>
          <w:color w:val="auto"/>
          <w:sz w:val="32"/>
        </w:rPr>
        <w:t>至2035年，规划区总热负荷约为300MWh，结合规划区及周边地区近远期的开发强度，确定近期主热源为生物质热源站，即在园区内建设70 MWh生物质锅炉进行供汽、供热，中远期扩建生物质热源站达到300MWh热负荷需求。同时建议园区内采用生物质、天然气等清洁能源作为供汽、供暖燃料，蒸汽热力管网由高新二路进入园区，沿科技街向南敷设，供应沿途及周边企业用汽、用暖。</w:t>
      </w:r>
    </w:p>
    <w:p>
      <w:pPr>
        <w:pStyle w:val="28"/>
        <w:numPr>
          <w:ilvl w:val="2"/>
          <w:numId w:val="1"/>
        </w:numPr>
        <w:ind w:firstLine="643" w:firstLineChars="200"/>
        <w:outlineLvl w:val="2"/>
        <w:rPr>
          <w:rFonts w:ascii="楷体" w:hAnsi="楷体" w:eastAsia="楷体"/>
          <w:b/>
          <w:sz w:val="32"/>
          <w:szCs w:val="32"/>
        </w:rPr>
      </w:pPr>
      <w:bookmarkStart w:id="111" w:name="_Toc30417"/>
      <w:r>
        <w:rPr>
          <w:rFonts w:hint="eastAsia" w:ascii="楷体" w:hAnsi="楷体" w:eastAsia="楷体"/>
          <w:b/>
          <w:sz w:val="32"/>
          <w:szCs w:val="32"/>
        </w:rPr>
        <w:t>环卫规划</w:t>
      </w:r>
      <w:r>
        <w:rPr>
          <w:rFonts w:hint="eastAsia" w:ascii="楷体" w:hAnsi="楷体" w:eastAsia="楷体"/>
          <w:bCs/>
          <w:sz w:val="32"/>
          <w:szCs w:val="32"/>
        </w:rPr>
        <w:t>（详见附件14）</w:t>
      </w:r>
      <w:bookmarkEnd w:id="111"/>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本次规划公共厕所按1座/平方公里的标准设置,共设置3座。</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公厕建设标准：主、次干道及人流较大的道路不低于二类标准；其它街道和区域公厕不低于三类标准。</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公厕粪便严禁排入雨水管、河道或水沟内，须排入城市污水管道。</w:t>
      </w:r>
    </w:p>
    <w:p>
      <w:pPr>
        <w:pStyle w:val="28"/>
        <w:numPr>
          <w:ilvl w:val="2"/>
          <w:numId w:val="1"/>
        </w:numPr>
        <w:ind w:firstLine="643" w:firstLineChars="200"/>
        <w:outlineLvl w:val="2"/>
        <w:rPr>
          <w:rFonts w:ascii="楷体" w:hAnsi="楷体" w:eastAsia="楷体"/>
          <w:b/>
          <w:sz w:val="32"/>
          <w:szCs w:val="32"/>
        </w:rPr>
      </w:pPr>
      <w:bookmarkStart w:id="112" w:name="_Toc16598"/>
      <w:r>
        <w:rPr>
          <w:rFonts w:hint="eastAsia" w:ascii="楷体" w:hAnsi="楷体" w:eastAsia="楷体"/>
          <w:b/>
          <w:sz w:val="32"/>
          <w:szCs w:val="32"/>
        </w:rPr>
        <w:t>消防规划</w:t>
      </w:r>
      <w:r>
        <w:rPr>
          <w:rFonts w:hint="eastAsia" w:ascii="楷体" w:hAnsi="楷体" w:eastAsia="楷体"/>
          <w:bCs/>
          <w:sz w:val="32"/>
          <w:szCs w:val="32"/>
        </w:rPr>
        <w:t>（详见附件14）</w:t>
      </w:r>
      <w:bookmarkEnd w:id="112"/>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将规划区内现状的标准消防站提升为特勤消防站，同时在开发区新建1处标准型普通消防站，消防责任分区面积4-7平方公里。</w:t>
      </w:r>
    </w:p>
    <w:p>
      <w:pPr>
        <w:pStyle w:val="28"/>
        <w:numPr>
          <w:ilvl w:val="2"/>
          <w:numId w:val="1"/>
        </w:numPr>
        <w:ind w:firstLine="643" w:firstLineChars="200"/>
        <w:outlineLvl w:val="2"/>
        <w:rPr>
          <w:rFonts w:ascii="楷体" w:hAnsi="楷体" w:eastAsia="楷体"/>
          <w:b/>
          <w:sz w:val="32"/>
          <w:szCs w:val="32"/>
        </w:rPr>
      </w:pPr>
      <w:bookmarkStart w:id="113" w:name="_Toc29230"/>
      <w:r>
        <w:rPr>
          <w:rFonts w:hint="eastAsia" w:ascii="楷体" w:hAnsi="楷体" w:eastAsia="楷体"/>
          <w:b/>
          <w:sz w:val="32"/>
          <w:szCs w:val="32"/>
        </w:rPr>
        <w:t>抗震规划</w:t>
      </w:r>
      <w:bookmarkEnd w:id="113"/>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台安县城市设防标准为地震动峰值加速度 0.10g，地震动反应谱特征周期 0.35S。规划区抗震设防烈度为Ⅶ度 。</w:t>
      </w:r>
    </w:p>
    <w:p>
      <w:pPr>
        <w:tabs>
          <w:tab w:val="left" w:pos="720"/>
        </w:tabs>
        <w:ind w:firstLine="640" w:firstLineChars="200"/>
        <w:rPr>
          <w:rFonts w:ascii="Times New Roman" w:hAnsi="Times New Roman" w:eastAsia="仿宋" w:cs="Times New Roman"/>
          <w:sz w:val="32"/>
          <w:szCs w:val="24"/>
        </w:rPr>
      </w:pPr>
    </w:p>
    <w:p>
      <w:pPr>
        <w:widowControl/>
        <w:jc w:val="left"/>
        <w:rPr>
          <w:rFonts w:ascii="黑体" w:hAnsi="黑体" w:eastAsia="黑体"/>
          <w:sz w:val="44"/>
          <w:szCs w:val="44"/>
        </w:rPr>
      </w:pPr>
      <w:r>
        <w:rPr>
          <w:rFonts w:ascii="黑体" w:hAnsi="黑体" w:eastAsia="黑体"/>
          <w:sz w:val="44"/>
          <w:szCs w:val="44"/>
        </w:rPr>
        <w:br w:type="page"/>
      </w:r>
    </w:p>
    <w:p>
      <w:pPr>
        <w:pStyle w:val="27"/>
        <w:jc w:val="center"/>
        <w:outlineLvl w:val="0"/>
        <w:rPr>
          <w:rFonts w:ascii="黑体" w:hAnsi="黑体" w:eastAsia="黑体"/>
          <w:sz w:val="44"/>
          <w:szCs w:val="44"/>
        </w:rPr>
      </w:pPr>
      <w:bookmarkStart w:id="114" w:name="_Toc1057"/>
      <w:r>
        <w:rPr>
          <w:rFonts w:hint="eastAsia" w:ascii="黑体" w:hAnsi="黑体" w:eastAsia="黑体"/>
          <w:sz w:val="44"/>
          <w:szCs w:val="44"/>
        </w:rPr>
        <w:t>重点</w:t>
      </w:r>
      <w:r>
        <w:rPr>
          <w:rFonts w:ascii="黑体" w:hAnsi="黑体" w:eastAsia="黑体"/>
          <w:sz w:val="44"/>
          <w:szCs w:val="44"/>
        </w:rPr>
        <w:t>项目策划</w:t>
      </w:r>
      <w:bookmarkEnd w:id="114"/>
    </w:p>
    <w:p>
      <w:pPr>
        <w:pStyle w:val="28"/>
        <w:outlineLvl w:val="1"/>
        <w:rPr>
          <w:rFonts w:ascii="黑体" w:hAnsi="黑体" w:eastAsia="黑体"/>
          <w:sz w:val="32"/>
          <w:szCs w:val="32"/>
        </w:rPr>
      </w:pPr>
      <w:bookmarkStart w:id="115" w:name="_Toc8137"/>
      <w:r>
        <w:rPr>
          <w:rFonts w:hint="eastAsia" w:ascii="黑体" w:hAnsi="黑体" w:eastAsia="黑体"/>
          <w:sz w:val="32"/>
          <w:szCs w:val="32"/>
        </w:rPr>
        <w:t>重点</w:t>
      </w:r>
      <w:r>
        <w:rPr>
          <w:rFonts w:ascii="黑体" w:hAnsi="黑体" w:eastAsia="黑体"/>
          <w:sz w:val="32"/>
          <w:szCs w:val="32"/>
        </w:rPr>
        <w:t>项目策划</w:t>
      </w:r>
      <w:bookmarkEnd w:id="115"/>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至2035年，规划确定农产品加工技术研发中心、科技小院、科研创新中心、农产品质量安全监测中心、创新创业基地、孵化实训基地、物流配套区、现代农业科学技术培训中心、现代农业科技成果展示中心和配套基础设施等十大项重点项目。详见下表。</w:t>
      </w:r>
    </w:p>
    <w:p>
      <w:pPr>
        <w:pStyle w:val="28"/>
        <w:numPr>
          <w:ilvl w:val="0"/>
          <w:numId w:val="0"/>
        </w:numPr>
        <w:jc w:val="center"/>
        <w:outlineLvl w:val="2"/>
        <w:rPr>
          <w:rFonts w:ascii="楷体" w:hAnsi="楷体" w:eastAsia="楷体"/>
          <w:b/>
          <w:sz w:val="32"/>
          <w:szCs w:val="32"/>
        </w:rPr>
      </w:pPr>
      <w:bookmarkStart w:id="116" w:name="_Toc129090606"/>
      <w:bookmarkStart w:id="117" w:name="_Toc19964"/>
      <w:r>
        <w:rPr>
          <w:rFonts w:hint="eastAsia" w:ascii="楷体" w:hAnsi="楷体" w:eastAsia="楷体"/>
          <w:b/>
          <w:sz w:val="22"/>
          <w:szCs w:val="32"/>
        </w:rPr>
        <w:t>表</w:t>
      </w:r>
      <w:r>
        <w:rPr>
          <w:rFonts w:ascii="楷体" w:hAnsi="楷体" w:eastAsia="楷体"/>
          <w:b/>
          <w:sz w:val="22"/>
          <w:szCs w:val="32"/>
        </w:rPr>
        <w:t>4</w:t>
      </w:r>
      <w:r>
        <w:rPr>
          <w:rFonts w:hint="eastAsia" w:ascii="楷体" w:hAnsi="楷体" w:eastAsia="楷体"/>
          <w:b/>
          <w:sz w:val="22"/>
          <w:szCs w:val="32"/>
        </w:rPr>
        <w:t>重点</w:t>
      </w:r>
      <w:r>
        <w:rPr>
          <w:rFonts w:ascii="楷体" w:hAnsi="楷体" w:eastAsia="楷体"/>
          <w:b/>
          <w:sz w:val="22"/>
          <w:szCs w:val="32"/>
        </w:rPr>
        <w:t>项目策划表</w:t>
      </w:r>
      <w:bookmarkEnd w:id="116"/>
      <w:bookmarkEnd w:id="117"/>
    </w:p>
    <w:tbl>
      <w:tblPr>
        <w:tblStyle w:val="19"/>
        <w:tblW w:w="5000" w:type="pct"/>
        <w:tblInd w:w="0" w:type="dxa"/>
        <w:tblLayout w:type="autofit"/>
        <w:tblCellMar>
          <w:top w:w="0" w:type="dxa"/>
          <w:left w:w="0" w:type="dxa"/>
          <w:bottom w:w="0" w:type="dxa"/>
          <w:right w:w="0" w:type="dxa"/>
        </w:tblCellMar>
      </w:tblPr>
      <w:tblGrid>
        <w:gridCol w:w="1562"/>
        <w:gridCol w:w="4960"/>
        <w:gridCol w:w="1092"/>
        <w:gridCol w:w="720"/>
      </w:tblGrid>
      <w:tr>
        <w:tblPrEx>
          <w:tblCellMar>
            <w:top w:w="0" w:type="dxa"/>
            <w:left w:w="0" w:type="dxa"/>
            <w:bottom w:w="0" w:type="dxa"/>
            <w:right w:w="0" w:type="dxa"/>
          </w:tblCellMar>
        </w:tblPrEx>
        <w:trPr>
          <w:trHeight w:val="283"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重点项目名称</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主要内容</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预选址位置</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面积（ha）</w:t>
            </w:r>
          </w:p>
        </w:tc>
      </w:tr>
      <w:tr>
        <w:tblPrEx>
          <w:tblCellMar>
            <w:top w:w="0" w:type="dxa"/>
            <w:left w:w="0" w:type="dxa"/>
            <w:bottom w:w="0" w:type="dxa"/>
            <w:right w:w="0" w:type="dxa"/>
          </w:tblCellMar>
        </w:tblPrEx>
        <w:trPr>
          <w:trHeight w:val="617" w:hRule="atLeast"/>
        </w:trPr>
        <w:tc>
          <w:tcPr>
            <w:tcW w:w="937" w:type="pct"/>
            <w:vMerge w:val="restar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农产品加工技术研发中心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依托鞍山九股河食品有限公司、鞍山星奥肉禽有限公司、辽宁仁泰食品集团有限公司等龙头企业建设肉禽制品关键技术公共研发平台（产业技术创新联盟）；</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科创商业区东侧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4</w:t>
            </w:r>
          </w:p>
        </w:tc>
      </w:tr>
      <w:tr>
        <w:tblPrEx>
          <w:tblCellMar>
            <w:top w:w="0" w:type="dxa"/>
            <w:left w:w="0" w:type="dxa"/>
            <w:bottom w:w="0" w:type="dxa"/>
            <w:right w:w="0" w:type="dxa"/>
          </w:tblCellMar>
        </w:tblPrEx>
        <w:trPr>
          <w:trHeight w:val="750" w:hRule="atLeast"/>
        </w:trPr>
        <w:tc>
          <w:tcPr>
            <w:tcW w:w="9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imes New Roman" w:hAnsi="Times New Roman" w:eastAsia="仿宋" w:cs="Times New Roman"/>
                <w:szCs w:val="21"/>
              </w:rPr>
            </w:p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围绕农产品加工制造关键技术、农产品加工制造技术设备、农产品安全关键技术等在内的“全链条一体化”开展技术创新，突出“高”、“新”特征，强化高新技术应用，使产业链向中高端延伸，形成现代农业发展和经济增长的新业态。</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w:t>
            </w:r>
          </w:p>
        </w:tc>
      </w:tr>
      <w:tr>
        <w:tblPrEx>
          <w:tblCellMar>
            <w:top w:w="0" w:type="dxa"/>
            <w:left w:w="0" w:type="dxa"/>
            <w:bottom w:w="0" w:type="dxa"/>
            <w:right w:w="0" w:type="dxa"/>
          </w:tblCellMar>
        </w:tblPrEx>
        <w:trPr>
          <w:trHeight w:val="75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科技小院</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把农业农村领域高层次应用型人才培养摆在学校工作的重要位置，巩固政府、社会组织、企业、大学、科研机构协同合作的政产学研一体化人才培养模式，加强组织协调和条件建设，建设台辽宁安肉鸡科技小院。</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rPr>
                <w:rFonts w:ascii="Times New Roman" w:hAnsi="Times New Roman" w:eastAsia="仿宋" w:cs="Times New Roman"/>
                <w:szCs w:val="21"/>
              </w:rPr>
            </w:pPr>
            <w:r>
              <w:rPr>
                <w:rFonts w:hint="eastAsia" w:ascii="Times New Roman" w:hAnsi="Times New Roman" w:eastAsia="仿宋" w:cs="Times New Roman"/>
                <w:szCs w:val="21"/>
              </w:rPr>
              <w:t>2</w:t>
            </w:r>
          </w:p>
        </w:tc>
      </w:tr>
      <w:tr>
        <w:tblPrEx>
          <w:tblCellMar>
            <w:top w:w="0" w:type="dxa"/>
            <w:left w:w="0" w:type="dxa"/>
            <w:bottom w:w="0" w:type="dxa"/>
            <w:right w:w="0" w:type="dxa"/>
          </w:tblCellMar>
        </w:tblPrEx>
        <w:trPr>
          <w:trHeight w:val="436" w:hRule="atLeast"/>
        </w:trPr>
        <w:tc>
          <w:tcPr>
            <w:tcW w:w="937" w:type="pct"/>
            <w:vMerge w:val="restar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科研创新中心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速冻鱼糜制品研发中心</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2.5</w:t>
            </w:r>
          </w:p>
        </w:tc>
      </w:tr>
      <w:tr>
        <w:tblPrEx>
          <w:tblCellMar>
            <w:top w:w="0" w:type="dxa"/>
            <w:left w:w="0" w:type="dxa"/>
            <w:bottom w:w="0" w:type="dxa"/>
            <w:right w:w="0" w:type="dxa"/>
          </w:tblCellMar>
        </w:tblPrEx>
        <w:trPr>
          <w:trHeight w:val="436" w:hRule="atLeast"/>
        </w:trPr>
        <w:tc>
          <w:tcPr>
            <w:tcW w:w="9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imes New Roman" w:hAnsi="Times New Roman" w:eastAsia="仿宋" w:cs="Times New Roman"/>
                <w:szCs w:val="21"/>
              </w:rPr>
            </w:p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蛋清、蛋黄高温瞬间分离研发中心</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1.4</w:t>
            </w:r>
          </w:p>
        </w:tc>
      </w:tr>
      <w:tr>
        <w:tblPrEx>
          <w:tblCellMar>
            <w:top w:w="0" w:type="dxa"/>
            <w:left w:w="0" w:type="dxa"/>
            <w:bottom w:w="0" w:type="dxa"/>
            <w:right w:w="0" w:type="dxa"/>
          </w:tblCellMar>
        </w:tblPrEx>
        <w:trPr>
          <w:trHeight w:val="436" w:hRule="atLeast"/>
        </w:trPr>
        <w:tc>
          <w:tcPr>
            <w:tcW w:w="9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Times New Roman" w:hAnsi="Times New Roman" w:eastAsia="仿宋" w:cs="Times New Roman"/>
                <w:szCs w:val="21"/>
              </w:rPr>
            </w:p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辽宁省肉类工程技术研究中心</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w:t>
            </w:r>
          </w:p>
        </w:tc>
      </w:tr>
      <w:tr>
        <w:tblPrEx>
          <w:tblCellMar>
            <w:top w:w="0" w:type="dxa"/>
            <w:left w:w="0" w:type="dxa"/>
            <w:bottom w:w="0" w:type="dxa"/>
            <w:right w:w="0" w:type="dxa"/>
          </w:tblCellMar>
        </w:tblPrEx>
        <w:trPr>
          <w:trHeight w:val="729"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农产品质量安全检测中心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采用国内外先进 检测检验技术和方法，打造具有 CMA（实验室资质认定）和 CATL（农产品检测机构考核认定） “双认定”的农产品检测中心，为当地农产品提供质检、化验、分析、认证等服务。</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w:t>
            </w:r>
          </w:p>
        </w:tc>
      </w:tr>
      <w:tr>
        <w:tblPrEx>
          <w:tblCellMar>
            <w:top w:w="0" w:type="dxa"/>
            <w:left w:w="0" w:type="dxa"/>
            <w:bottom w:w="0" w:type="dxa"/>
            <w:right w:w="0" w:type="dxa"/>
          </w:tblCellMar>
        </w:tblPrEx>
        <w:trPr>
          <w:trHeight w:val="926"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创新创业基地</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针对职业农民、返乡农民、大学生、退伍军人等群体，围绕现代农业、农业科技 服务业和“互联网+农业”，从项目立项、资金帮扶、社会保障方面出台“套餐式”支持政策，同时提供“技术+政策+信息”咨询服务，创新农村双创保障，打造农业特色鲜明的双创示范基地。</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管屯路与鞍羊线交叉口</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r>
      <w:tr>
        <w:tblPrEx>
          <w:tblCellMar>
            <w:top w:w="0" w:type="dxa"/>
            <w:left w:w="0" w:type="dxa"/>
            <w:bottom w:w="0" w:type="dxa"/>
            <w:right w:w="0" w:type="dxa"/>
          </w:tblCellMar>
        </w:tblPrEx>
        <w:trPr>
          <w:trHeight w:val="617"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 xml:space="preserve">孵化实训基地 </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针对科技型中小微企业，提供办公物理空间和基础设施，提供长期性、系统性的 服务支持。同时与高校科研院所合作，推动“产学研用” 一体化发展，促进科技成果转化，并作为农科专业学生的实训基地。</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管屯路南侧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r>
      <w:tr>
        <w:tblPrEx>
          <w:tblCellMar>
            <w:top w:w="0" w:type="dxa"/>
            <w:left w:w="0" w:type="dxa"/>
            <w:bottom w:w="0" w:type="dxa"/>
            <w:right w:w="0" w:type="dxa"/>
          </w:tblCellMar>
        </w:tblPrEx>
        <w:trPr>
          <w:trHeight w:val="617"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冷链物流中心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针对市场需求承担独立运输服务，主要由各种功能和载重级别的运输车辆、装载 工具和停车场组成，为核心区产品上下游仓储交易提供配送服务，保障核心区整体效益的实现。</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规划区南侧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32.24</w:t>
            </w:r>
          </w:p>
        </w:tc>
      </w:tr>
      <w:tr>
        <w:tblPrEx>
          <w:tblCellMar>
            <w:top w:w="0" w:type="dxa"/>
            <w:left w:w="0" w:type="dxa"/>
            <w:bottom w:w="0" w:type="dxa"/>
            <w:right w:w="0" w:type="dxa"/>
          </w:tblCellMar>
        </w:tblPrEx>
        <w:trPr>
          <w:trHeight w:val="729"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现代农业科学技术培训中心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培训大楼一座，用以开展农业实用人才培训、农业经营管理人才培训、农业技术推广人员培训等</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星创天地区域内</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w:t>
            </w:r>
          </w:p>
        </w:tc>
      </w:tr>
      <w:tr>
        <w:tblPrEx>
          <w:tblCellMar>
            <w:top w:w="0" w:type="dxa"/>
            <w:left w:w="0" w:type="dxa"/>
            <w:bottom w:w="0" w:type="dxa"/>
            <w:right w:w="0" w:type="dxa"/>
          </w:tblCellMar>
        </w:tblPrEx>
        <w:trPr>
          <w:trHeight w:val="729"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现代农业科技成果展示中心</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用于本地优质农产品资源展览展示、推介，外地优质农产品资源引进示范、推广及农产品展销交易</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星创天地区域内</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r>
      <w:tr>
        <w:tblPrEx>
          <w:tblCellMar>
            <w:top w:w="0" w:type="dxa"/>
            <w:left w:w="0" w:type="dxa"/>
            <w:bottom w:w="0" w:type="dxa"/>
            <w:right w:w="0" w:type="dxa"/>
          </w:tblCellMar>
        </w:tblPrEx>
        <w:trPr>
          <w:trHeight w:val="454" w:hRule="atLeast"/>
        </w:trPr>
        <w:tc>
          <w:tcPr>
            <w:tcW w:w="937" w:type="pct"/>
            <w:vMerge w:val="restar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配套基础设施</w:t>
            </w: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加快600亩储备土地手续办理工作，实施道路及管网工程建设</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r>
      <w:tr>
        <w:tblPrEx>
          <w:tblCellMar>
            <w:top w:w="0" w:type="dxa"/>
            <w:left w:w="0" w:type="dxa"/>
            <w:bottom w:w="0" w:type="dxa"/>
            <w:right w:w="0" w:type="dxa"/>
          </w:tblCellMar>
        </w:tblPrEx>
        <w:trPr>
          <w:trHeight w:val="345" w:hRule="atLeast"/>
        </w:trPr>
        <w:tc>
          <w:tcPr>
            <w:tcW w:w="937" w:type="pct"/>
            <w:vMerge w:val="continue"/>
            <w:tcBorders>
              <w:left w:val="single" w:color="000000" w:sz="4" w:space="0"/>
              <w:bottom w:val="single" w:color="000000" w:sz="4" w:space="0"/>
              <w:right w:val="single" w:color="000000" w:sz="4" w:space="0"/>
            </w:tcBorders>
            <w:shd w:val="clear" w:color="auto" w:fill="auto"/>
            <w:vAlign w:val="center"/>
          </w:tc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实施污水处理厂提标改造工程，日处理污水能力达到5万吨，出水指标达到辽宁省一级A标准</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r>
      <w:tr>
        <w:tblPrEx>
          <w:tblCellMar>
            <w:top w:w="0" w:type="dxa"/>
            <w:left w:w="0" w:type="dxa"/>
            <w:bottom w:w="0" w:type="dxa"/>
            <w:right w:w="0" w:type="dxa"/>
          </w:tblCellMar>
        </w:tblPrEx>
        <w:trPr>
          <w:trHeight w:val="345" w:hRule="atLeast"/>
        </w:trPr>
        <w:tc>
          <w:tcPr>
            <w:tcW w:w="937" w:type="pct"/>
            <w:vMerge w:val="continue"/>
            <w:tcBorders>
              <w:left w:val="single" w:color="000000" w:sz="4" w:space="0"/>
              <w:bottom w:val="single" w:color="000000" w:sz="4" w:space="0"/>
              <w:right w:val="single" w:color="000000" w:sz="4" w:space="0"/>
            </w:tcBorders>
            <w:shd w:val="clear" w:color="auto" w:fill="auto"/>
            <w:vAlign w:val="center"/>
          </w:tc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建设供热站，铺设管线1.2万米</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高新一路北侧</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r>
      <w:tr>
        <w:tblPrEx>
          <w:tblCellMar>
            <w:top w:w="0" w:type="dxa"/>
            <w:left w:w="0" w:type="dxa"/>
            <w:bottom w:w="0" w:type="dxa"/>
            <w:right w:w="0" w:type="dxa"/>
          </w:tblCellMar>
        </w:tblPrEx>
        <w:trPr>
          <w:trHeight w:val="351" w:hRule="atLeast"/>
        </w:trPr>
        <w:tc>
          <w:tcPr>
            <w:tcW w:w="937" w:type="pct"/>
            <w:vMerge w:val="continue"/>
            <w:tcBorders>
              <w:left w:val="single" w:color="000000" w:sz="4" w:space="0"/>
              <w:bottom w:val="single" w:color="000000" w:sz="4" w:space="0"/>
              <w:right w:val="single" w:color="000000" w:sz="4" w:space="0"/>
            </w:tcBorders>
            <w:shd w:val="clear" w:color="auto" w:fill="auto"/>
            <w:vAlign w:val="center"/>
          </w:tcPr>
          <w:p/>
        </w:tc>
        <w:tc>
          <w:tcPr>
            <w:tcW w:w="2976"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建设蒸汽系统，铺设管线6500米</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4" w:type="dxa"/>
              <w:left w:w="14" w:type="dxa"/>
              <w:bottom w:w="0" w:type="dxa"/>
              <w:right w:w="14"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w:t>
            </w:r>
          </w:p>
        </w:tc>
      </w:tr>
    </w:tbl>
    <w:p>
      <w:pPr>
        <w:pStyle w:val="28"/>
        <w:numPr>
          <w:ilvl w:val="2"/>
          <w:numId w:val="1"/>
        </w:numPr>
        <w:ind w:firstLine="643" w:firstLineChars="200"/>
        <w:outlineLvl w:val="2"/>
        <w:rPr>
          <w:rFonts w:ascii="楷体" w:hAnsi="楷体" w:eastAsia="楷体"/>
          <w:b/>
          <w:sz w:val="32"/>
          <w:szCs w:val="32"/>
        </w:rPr>
      </w:pPr>
      <w:bookmarkStart w:id="118" w:name="_Toc7890"/>
      <w:r>
        <w:rPr>
          <w:rFonts w:hint="eastAsia" w:ascii="楷体" w:hAnsi="楷体" w:eastAsia="楷体"/>
          <w:b/>
          <w:sz w:val="32"/>
          <w:szCs w:val="32"/>
        </w:rPr>
        <w:t>农产品加工技术研发中心</w:t>
      </w:r>
      <w:bookmarkEnd w:id="118"/>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依托鞍山九股河食品有限公司等龙头企业建设肉禽制品关键技术公共研发平台（产业技术创新联盟）；围绕农产品加工制造关键技术、农产品加工制造技术设备、农产品安全关键技术等在内的“全链条一体化”开展技术创新，突出“高”、“新”特征，强化高新技术应用，使产业链向中高端延伸，形成现代农业发展和经济增长的新业态。</w:t>
      </w:r>
    </w:p>
    <w:p>
      <w:pPr>
        <w:pStyle w:val="28"/>
        <w:numPr>
          <w:ilvl w:val="2"/>
          <w:numId w:val="1"/>
        </w:numPr>
        <w:ind w:firstLine="643" w:firstLineChars="200"/>
        <w:outlineLvl w:val="2"/>
        <w:rPr>
          <w:rFonts w:ascii="楷体" w:hAnsi="楷体" w:eastAsia="楷体"/>
          <w:b/>
          <w:sz w:val="32"/>
          <w:szCs w:val="32"/>
        </w:rPr>
      </w:pPr>
      <w:bookmarkStart w:id="119" w:name="_Toc15667"/>
      <w:r>
        <w:rPr>
          <w:rFonts w:hint="eastAsia" w:ascii="楷体" w:hAnsi="楷体" w:eastAsia="楷体"/>
          <w:b/>
          <w:sz w:val="32"/>
          <w:szCs w:val="32"/>
        </w:rPr>
        <w:t>科技</w:t>
      </w:r>
      <w:r>
        <w:rPr>
          <w:rFonts w:ascii="楷体" w:hAnsi="楷体" w:eastAsia="楷体"/>
          <w:b/>
          <w:sz w:val="32"/>
          <w:szCs w:val="32"/>
        </w:rPr>
        <w:t>小院</w:t>
      </w:r>
      <w:bookmarkEnd w:id="11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把农业农村领域高层次应用型人才培养摆在学校工作的重要位置，巩固政府、社会组织、企业、大学、科研机构协同合作的政产学研一体化人才培养模式，加强组织协调和条件建设，建设台辽宁安肉鸡科技小院。</w:t>
      </w:r>
    </w:p>
    <w:p>
      <w:pPr>
        <w:pStyle w:val="28"/>
        <w:numPr>
          <w:ilvl w:val="2"/>
          <w:numId w:val="1"/>
        </w:numPr>
        <w:ind w:firstLine="643" w:firstLineChars="200"/>
        <w:outlineLvl w:val="2"/>
        <w:rPr>
          <w:rFonts w:ascii="楷体" w:hAnsi="楷体" w:eastAsia="楷体"/>
          <w:b/>
          <w:sz w:val="32"/>
          <w:szCs w:val="32"/>
        </w:rPr>
      </w:pPr>
      <w:bookmarkStart w:id="120" w:name="_Toc1494"/>
      <w:r>
        <w:rPr>
          <w:rFonts w:ascii="楷体" w:hAnsi="楷体" w:eastAsia="楷体"/>
          <w:b/>
          <w:sz w:val="32"/>
          <w:szCs w:val="32"/>
        </w:rPr>
        <w:t>科研创新中心</w:t>
      </w:r>
      <w:bookmarkEnd w:id="120"/>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包括联合江南大学与园区内辽宁安井食品有限公司进行速冻鱼糜制品研发合作，与辽宁禾丰蛋业有限公司进行蛋清、蛋黄高温瞬间分离研发合作；联合渤海大学与园区内禾丰集团旗下的鞍山九股河食品有限公司进行肉品加工研发合作。</w:t>
      </w:r>
    </w:p>
    <w:p>
      <w:pPr>
        <w:pStyle w:val="28"/>
        <w:numPr>
          <w:ilvl w:val="2"/>
          <w:numId w:val="1"/>
        </w:numPr>
        <w:ind w:firstLine="643" w:firstLineChars="200"/>
        <w:outlineLvl w:val="2"/>
        <w:rPr>
          <w:rFonts w:ascii="楷体" w:hAnsi="楷体" w:eastAsia="楷体"/>
          <w:b/>
          <w:sz w:val="32"/>
          <w:szCs w:val="32"/>
        </w:rPr>
      </w:pPr>
      <w:bookmarkStart w:id="121" w:name="_Toc32072"/>
      <w:r>
        <w:rPr>
          <w:rFonts w:ascii="楷体" w:hAnsi="楷体" w:eastAsia="楷体"/>
          <w:b/>
          <w:sz w:val="32"/>
          <w:szCs w:val="32"/>
        </w:rPr>
        <w:t>农产品质量安全监测中心</w:t>
      </w:r>
      <w:bookmarkEnd w:id="121"/>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采用国内外先进 检测检验技术和方法，打造具有 CMA（实验室资质认定）和 CATL（农产品检测机构考核认定） “双认定”的农产品检测中心，为当地农产品提供质检、化验、分析、认证等服务。</w:t>
      </w:r>
    </w:p>
    <w:p>
      <w:pPr>
        <w:pStyle w:val="28"/>
        <w:numPr>
          <w:ilvl w:val="2"/>
          <w:numId w:val="1"/>
        </w:numPr>
        <w:ind w:firstLine="643" w:firstLineChars="200"/>
        <w:outlineLvl w:val="2"/>
        <w:rPr>
          <w:rFonts w:ascii="楷体" w:hAnsi="楷体" w:eastAsia="楷体"/>
          <w:b/>
          <w:sz w:val="32"/>
          <w:szCs w:val="32"/>
        </w:rPr>
      </w:pPr>
      <w:bookmarkStart w:id="122" w:name="_Toc11477"/>
      <w:r>
        <w:rPr>
          <w:rFonts w:ascii="楷体" w:hAnsi="楷体" w:eastAsia="楷体"/>
          <w:b/>
          <w:sz w:val="32"/>
          <w:szCs w:val="32"/>
        </w:rPr>
        <w:t>创新创业基地</w:t>
      </w:r>
      <w:bookmarkEnd w:id="122"/>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针对职业农民、返乡农民、大学生、退伍军人等群体，围绕现代农业、农业科技 服务业和“互联网+农业”，从项目立项、资金帮扶、社会保障方面出台“套餐式”支持政策，同时提供“技术+政策+信息”咨询服务，创新农村双创保障，打造农业特色鲜明的双创示范基地。</w:t>
      </w:r>
    </w:p>
    <w:p>
      <w:pPr>
        <w:pStyle w:val="28"/>
        <w:numPr>
          <w:ilvl w:val="2"/>
          <w:numId w:val="1"/>
        </w:numPr>
        <w:ind w:firstLine="643" w:firstLineChars="200"/>
        <w:outlineLvl w:val="2"/>
        <w:rPr>
          <w:rFonts w:ascii="楷体" w:hAnsi="楷体" w:eastAsia="楷体"/>
          <w:b/>
          <w:sz w:val="32"/>
          <w:szCs w:val="32"/>
        </w:rPr>
      </w:pPr>
      <w:bookmarkStart w:id="123" w:name="_Toc32435"/>
      <w:r>
        <w:rPr>
          <w:rFonts w:ascii="楷体" w:hAnsi="楷体" w:eastAsia="楷体"/>
          <w:b/>
          <w:sz w:val="32"/>
          <w:szCs w:val="32"/>
        </w:rPr>
        <w:t>孵化实训基地</w:t>
      </w:r>
      <w:bookmarkEnd w:id="12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针对科技型中小微企业，提供办公物理空间和基础设施，提供长期性、系统性的 服务支持。同时与高校科研院所合作，推动“产学研用” 一体化发展，促进科技成果转化，并作为农科专业学生的实训基地。</w:t>
      </w:r>
    </w:p>
    <w:p>
      <w:pPr>
        <w:pStyle w:val="28"/>
        <w:numPr>
          <w:ilvl w:val="2"/>
          <w:numId w:val="1"/>
        </w:numPr>
        <w:ind w:firstLine="643" w:firstLineChars="200"/>
        <w:outlineLvl w:val="2"/>
        <w:rPr>
          <w:rFonts w:ascii="楷体" w:hAnsi="楷体" w:eastAsia="楷体"/>
          <w:b/>
          <w:sz w:val="32"/>
          <w:szCs w:val="32"/>
        </w:rPr>
      </w:pPr>
      <w:bookmarkStart w:id="124" w:name="_Toc16627"/>
      <w:r>
        <w:rPr>
          <w:rFonts w:ascii="楷体" w:hAnsi="楷体" w:eastAsia="楷体"/>
          <w:b/>
          <w:sz w:val="32"/>
          <w:szCs w:val="32"/>
        </w:rPr>
        <w:t>冷链物流中心</w:t>
      </w:r>
      <w:bookmarkEnd w:id="12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针对市场需求承担独立运输服务，主要由各种功能和载重级别的运输车辆、装载 工具和停车场组成，为核心区产品上下游仓储交易提供配送服务，保障核心区整体效益的实现。</w:t>
      </w:r>
    </w:p>
    <w:p>
      <w:pPr>
        <w:pStyle w:val="28"/>
        <w:numPr>
          <w:ilvl w:val="2"/>
          <w:numId w:val="1"/>
        </w:numPr>
        <w:ind w:firstLine="643" w:firstLineChars="200"/>
        <w:outlineLvl w:val="2"/>
        <w:rPr>
          <w:rFonts w:ascii="楷体" w:hAnsi="楷体" w:eastAsia="楷体"/>
          <w:b/>
          <w:sz w:val="32"/>
          <w:szCs w:val="32"/>
        </w:rPr>
      </w:pPr>
      <w:bookmarkStart w:id="125" w:name="_Toc1625"/>
      <w:r>
        <w:rPr>
          <w:rFonts w:ascii="楷体" w:hAnsi="楷体" w:eastAsia="楷体"/>
          <w:b/>
          <w:sz w:val="32"/>
          <w:szCs w:val="32"/>
        </w:rPr>
        <w:t>现代农业</w:t>
      </w:r>
      <w:r>
        <w:rPr>
          <w:rFonts w:hint="eastAsia" w:ascii="楷体" w:hAnsi="楷体" w:eastAsia="楷体"/>
          <w:b/>
          <w:sz w:val="32"/>
          <w:szCs w:val="32"/>
        </w:rPr>
        <w:t>科学</w:t>
      </w:r>
      <w:r>
        <w:rPr>
          <w:rFonts w:ascii="楷体" w:hAnsi="楷体" w:eastAsia="楷体"/>
          <w:b/>
          <w:sz w:val="32"/>
          <w:szCs w:val="32"/>
        </w:rPr>
        <w:t>技术培训中心</w:t>
      </w:r>
      <w:bookmarkEnd w:id="125"/>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rPr>
        <w:t>规划在北部新建培训大楼一座，用以开展农业实用人才培训、农业经营管理人才培训、农业技术推广人员培训等。</w:t>
      </w:r>
    </w:p>
    <w:p>
      <w:pPr>
        <w:pStyle w:val="28"/>
        <w:numPr>
          <w:ilvl w:val="2"/>
          <w:numId w:val="1"/>
        </w:numPr>
        <w:ind w:firstLine="643" w:firstLineChars="200"/>
        <w:outlineLvl w:val="2"/>
        <w:rPr>
          <w:rFonts w:ascii="楷体" w:hAnsi="楷体" w:eastAsia="楷体"/>
          <w:b/>
          <w:sz w:val="32"/>
          <w:szCs w:val="32"/>
        </w:rPr>
      </w:pPr>
      <w:bookmarkStart w:id="126" w:name="_Toc13993"/>
      <w:r>
        <w:rPr>
          <w:rFonts w:ascii="楷体" w:hAnsi="楷体" w:eastAsia="楷体"/>
          <w:b/>
          <w:sz w:val="32"/>
          <w:szCs w:val="32"/>
        </w:rPr>
        <w:t>现代农业科技成果展示中心</w:t>
      </w:r>
      <w:bookmarkEnd w:id="126"/>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规划在管委会南侧新建科技展示中心用于本地优质农产品资源展览展示、推介，外地优质农产品资源引进示范、推广及农产品展销交易。</w:t>
      </w:r>
    </w:p>
    <w:p>
      <w:pPr>
        <w:pStyle w:val="28"/>
        <w:numPr>
          <w:ilvl w:val="2"/>
          <w:numId w:val="1"/>
        </w:numPr>
        <w:ind w:firstLine="643" w:firstLineChars="200"/>
        <w:outlineLvl w:val="2"/>
        <w:rPr>
          <w:rFonts w:ascii="楷体" w:hAnsi="楷体" w:eastAsia="楷体"/>
          <w:b/>
          <w:sz w:val="32"/>
          <w:szCs w:val="32"/>
        </w:rPr>
      </w:pPr>
      <w:bookmarkStart w:id="127" w:name="_Toc30050"/>
      <w:r>
        <w:rPr>
          <w:rFonts w:ascii="楷体" w:hAnsi="楷体" w:eastAsia="楷体"/>
          <w:b/>
          <w:sz w:val="32"/>
          <w:szCs w:val="32"/>
        </w:rPr>
        <w:t>配套基础设施</w:t>
      </w:r>
      <w:bookmarkEnd w:id="127"/>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主要包括加快规划区范围内600亩储备土地手续办理工作，实施道路及管网工程建设、实施污水处理厂提标改造工程，日处理污水能力达到5万吨，出水指标达到辽宁省一级A标准、建设供热站，铺设管线1.2万米、建设蒸汽系统，铺设管线6500米。</w:t>
      </w:r>
    </w:p>
    <w:p>
      <w:pPr>
        <w:pStyle w:val="28"/>
        <w:outlineLvl w:val="1"/>
        <w:rPr>
          <w:rFonts w:ascii="黑体" w:hAnsi="黑体" w:eastAsia="黑体"/>
          <w:sz w:val="32"/>
          <w:szCs w:val="32"/>
        </w:rPr>
      </w:pPr>
      <w:bookmarkStart w:id="128" w:name="_Toc5805"/>
      <w:r>
        <w:rPr>
          <w:rFonts w:hint="eastAsia" w:ascii="黑体" w:hAnsi="黑体" w:eastAsia="黑体"/>
          <w:sz w:val="32"/>
          <w:szCs w:val="32"/>
        </w:rPr>
        <w:t>招商</w:t>
      </w:r>
      <w:r>
        <w:rPr>
          <w:rFonts w:ascii="黑体" w:hAnsi="黑体" w:eastAsia="黑体"/>
          <w:sz w:val="32"/>
          <w:szCs w:val="32"/>
        </w:rPr>
        <w:t>企业推荐</w:t>
      </w:r>
      <w:bookmarkEnd w:id="128"/>
    </w:p>
    <w:p>
      <w:pPr>
        <w:pStyle w:val="28"/>
        <w:numPr>
          <w:ilvl w:val="2"/>
          <w:numId w:val="1"/>
        </w:numPr>
        <w:ind w:firstLine="643" w:firstLineChars="200"/>
        <w:outlineLvl w:val="2"/>
        <w:rPr>
          <w:rFonts w:ascii="楷体" w:hAnsi="楷体" w:eastAsia="楷体"/>
          <w:b/>
          <w:sz w:val="32"/>
          <w:szCs w:val="32"/>
        </w:rPr>
      </w:pPr>
      <w:bookmarkStart w:id="129" w:name="_Toc29975"/>
      <w:r>
        <w:rPr>
          <w:rFonts w:hint="eastAsia" w:ascii="楷体" w:hAnsi="楷体" w:eastAsia="楷体"/>
          <w:b/>
          <w:sz w:val="32"/>
          <w:szCs w:val="32"/>
        </w:rPr>
        <w:t>入园企业要求</w:t>
      </w:r>
      <w:bookmarkEnd w:id="12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高新农业产业开发区及周边地区应依据安全禁限控名录从产业发展方向、土地集约利用、环境保护三个方面对入园企业提出强制性要求、筛选，以保证高新农业产业开发区及周边地区的可持续发展。详见下表。</w:t>
      </w:r>
    </w:p>
    <w:p>
      <w:pPr>
        <w:pStyle w:val="28"/>
        <w:numPr>
          <w:ilvl w:val="0"/>
          <w:numId w:val="0"/>
        </w:numPr>
        <w:jc w:val="center"/>
        <w:outlineLvl w:val="2"/>
        <w:rPr>
          <w:rFonts w:ascii="楷体" w:hAnsi="楷体" w:eastAsia="楷体"/>
          <w:b/>
          <w:sz w:val="22"/>
          <w:szCs w:val="32"/>
        </w:rPr>
      </w:pPr>
      <w:bookmarkStart w:id="130" w:name="_Toc17129"/>
      <w:bookmarkStart w:id="131" w:name="_Toc129090607"/>
      <w:r>
        <w:rPr>
          <w:rFonts w:hint="eastAsia" w:ascii="楷体" w:hAnsi="楷体" w:eastAsia="楷体"/>
          <w:b/>
          <w:sz w:val="22"/>
          <w:szCs w:val="32"/>
        </w:rPr>
        <w:t>表</w:t>
      </w:r>
      <w:r>
        <w:rPr>
          <w:rFonts w:ascii="楷体" w:hAnsi="楷体" w:eastAsia="楷体"/>
          <w:b/>
          <w:sz w:val="22"/>
          <w:szCs w:val="32"/>
        </w:rPr>
        <w:t>5</w:t>
      </w:r>
      <w:r>
        <w:rPr>
          <w:rFonts w:hint="eastAsia" w:ascii="楷体" w:hAnsi="楷体" w:eastAsia="楷体"/>
          <w:b/>
          <w:sz w:val="22"/>
          <w:szCs w:val="32"/>
        </w:rPr>
        <w:t>安全禁限控名录</w:t>
      </w:r>
      <w:bookmarkEnd w:id="130"/>
      <w:bookmarkEnd w:id="131"/>
    </w:p>
    <w:tbl>
      <w:tblPr>
        <w:tblStyle w:val="19"/>
        <w:tblW w:w="5000" w:type="pct"/>
        <w:tblInd w:w="0" w:type="dxa"/>
        <w:shd w:val="clear" w:color="auto" w:fill="FFFFFF" w:themeFill="background1"/>
        <w:tblLayout w:type="autofit"/>
        <w:tblCellMar>
          <w:top w:w="0" w:type="dxa"/>
          <w:left w:w="0" w:type="dxa"/>
          <w:bottom w:w="0" w:type="dxa"/>
          <w:right w:w="0" w:type="dxa"/>
        </w:tblCellMar>
      </w:tblPr>
      <w:tblGrid>
        <w:gridCol w:w="605"/>
        <w:gridCol w:w="719"/>
        <w:gridCol w:w="822"/>
        <w:gridCol w:w="6170"/>
      </w:tblGrid>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产业类型</w:t>
            </w:r>
          </w:p>
        </w:tc>
        <w:tc>
          <w:tcPr>
            <w:tcW w:w="49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准入类型</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产业名称</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农林业</w:t>
            </w: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鼓励类</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农产品及农作物种子基地建设</w:t>
            </w:r>
          </w:p>
        </w:tc>
      </w:tr>
      <w:tr>
        <w:tblPrEx>
          <w:tblCellMar>
            <w:top w:w="0" w:type="dxa"/>
            <w:left w:w="0" w:type="dxa"/>
            <w:bottom w:w="0" w:type="dxa"/>
            <w:right w:w="0" w:type="dxa"/>
          </w:tblCellMar>
        </w:tblPrEx>
        <w:trPr>
          <w:trHeight w:val="35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蔬菜、瓜果、花卉设施栽培（含无土栽培）先进技术开发与应用，优质、高产、高效标准化栽培技术开发与应用</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畜禽标准化规模养殖技术开发与应用</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重大病虫害及动物疫病防治</w:t>
            </w:r>
          </w:p>
        </w:tc>
      </w:tr>
      <w:tr>
        <w:tblPrEx>
          <w:shd w:val="clear" w:color="auto" w:fill="FFFFFF" w:themeFill="background1"/>
          <w:tblCellMar>
            <w:top w:w="0" w:type="dxa"/>
            <w:left w:w="0" w:type="dxa"/>
            <w:bottom w:w="0" w:type="dxa"/>
            <w:right w:w="0" w:type="dxa"/>
          </w:tblCellMar>
        </w:tblPrEx>
        <w:trPr>
          <w:trHeight w:val="50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动植物（含野生）优良品种选育、繁育、保种和开发；生物育种；种子（种苗）生产、加工、包装、检验、鉴定技术和仓储、运输设备的开发与应用</w:t>
            </w:r>
          </w:p>
        </w:tc>
      </w:tr>
      <w:tr>
        <w:tblPrEx>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6</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生态种（养）技术开发与应用</w:t>
            </w:r>
          </w:p>
        </w:tc>
      </w:tr>
      <w:tr>
        <w:tblPrEx>
          <w:shd w:val="clear" w:color="auto" w:fill="FFFFFF" w:themeFill="background1"/>
          <w:tblCellMar>
            <w:top w:w="0" w:type="dxa"/>
            <w:left w:w="0" w:type="dxa"/>
            <w:bottom w:w="0" w:type="dxa"/>
            <w:right w:w="0" w:type="dxa"/>
          </w:tblCellMar>
        </w:tblPrEx>
        <w:trPr>
          <w:trHeight w:val="50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7</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获得绿色食品生产资料标志的饲料、饲料添加剂、肥料、农药、兽药等优质安全环保农业投入品及绿色食品生产允许使用的食品添加剂开发</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8</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农业生物技术开发与应用</w:t>
            </w:r>
          </w:p>
        </w:tc>
      </w:tr>
      <w:tr>
        <w:tblPrEx>
          <w:shd w:val="clear" w:color="auto" w:fill="FFFFFF" w:themeFill="background1"/>
          <w:tblCellMar>
            <w:top w:w="0" w:type="dxa"/>
            <w:left w:w="0" w:type="dxa"/>
            <w:bottom w:w="0" w:type="dxa"/>
            <w:right w:w="0" w:type="dxa"/>
          </w:tblCellMar>
        </w:tblPrEx>
        <w:trPr>
          <w:trHeight w:val="35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9</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农作物秸秆综合利用（秸秆肥料化利用，秸秆饲料化利用，秸秆能源化利用，秸秆基料化利用，秸秆原料化利用等）</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10</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农牧渔产品无公害、绿色生产技术开发与应用</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11</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农林牧渔产品储运、保鲜、加工与综合利用</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农业生产数字化改造和智慧农业工程</w:t>
            </w:r>
          </w:p>
        </w:tc>
      </w:tr>
      <w:tr>
        <w:tblPrEx>
          <w:shd w:val="clear" w:color="auto" w:fill="FFFFFF" w:themeFill="background1"/>
          <w:tblCellMar>
            <w:top w:w="0" w:type="dxa"/>
            <w:left w:w="0" w:type="dxa"/>
            <w:bottom w:w="0" w:type="dxa"/>
            <w:right w:w="0" w:type="dxa"/>
          </w:tblCellMar>
        </w:tblPrEx>
        <w:trPr>
          <w:trHeight w:val="35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畜禽养殖废弃物处理和资源化利用（畜禽粪污肥料化、能源化、基料化和垫料化利用，病死畜禽无害化处理）</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限制类</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不符合生态养殖要求的湖泊、水库投饵网箱养殖</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不利于生态环境保护的开荒性农业开发项目</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16</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不符合国家规划及产业政策的粮食转化乙醇、食用植物油料转化生物燃料项目</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17</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破坏林地、湿地、草地的开发项目</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18</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淘汰类</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农村传统老式炉灶炕</w:t>
            </w:r>
          </w:p>
        </w:tc>
      </w:tr>
      <w:tr>
        <w:tblPrEx>
          <w:shd w:val="clear" w:color="auto" w:fill="FFFFFF" w:themeFill="background1"/>
          <w:tblCellMar>
            <w:top w:w="0" w:type="dxa"/>
            <w:left w:w="0" w:type="dxa"/>
            <w:bottom w:w="0" w:type="dxa"/>
            <w:right w:w="0" w:type="dxa"/>
          </w:tblCellMar>
        </w:tblPrEx>
        <w:trPr>
          <w:trHeight w:val="35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19</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不符合国家现行城市生活垃圾、医疗废物和工业废物焚烧相关污染控制标准、工程技术标准以及设备标准的小型焚烧炉</w:t>
            </w:r>
          </w:p>
        </w:tc>
      </w:tr>
      <w:tr>
        <w:tblPrEx>
          <w:shd w:val="clear" w:color="auto" w:fill="FFFFFF" w:themeFill="background1"/>
          <w:tblCellMar>
            <w:top w:w="0" w:type="dxa"/>
            <w:left w:w="0" w:type="dxa"/>
            <w:bottom w:w="0" w:type="dxa"/>
            <w:right w:w="0" w:type="dxa"/>
          </w:tblCellMar>
        </w:tblPrEx>
        <w:trPr>
          <w:trHeight w:val="747"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20</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21</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轻工业</w:t>
            </w: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鼓励类</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天然食品添加剂、天然香料新技术开发与生产</w:t>
            </w:r>
          </w:p>
        </w:tc>
      </w:tr>
      <w:tr>
        <w:tblPrEx>
          <w:shd w:val="clear" w:color="auto" w:fill="FFFFFF" w:themeFill="background1"/>
          <w:tblCellMar>
            <w:top w:w="0" w:type="dxa"/>
            <w:left w:w="0" w:type="dxa"/>
            <w:bottom w:w="0" w:type="dxa"/>
            <w:right w:w="0" w:type="dxa"/>
          </w:tblCellMar>
        </w:tblPrEx>
        <w:trPr>
          <w:trHeight w:val="584"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营养健康型大米、小麦粉（食品专用米、发芽糙米、留胚米、食品专用粉、全麦粉及营养强化产品等）及制品的开发生产；传统主食工业化生产；杂粮加工专用设备开发与生产；粮油加工副产物（稻壳、米糠、麸皮、胚芽、饼粕等）综合利用关键技术开发应用</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畜禽骨、血、羽毛及内脏等副产物综合利用与无害化处理</w:t>
            </w:r>
          </w:p>
        </w:tc>
      </w:tr>
      <w:tr>
        <w:tblPrEx>
          <w:shd w:val="clear" w:color="auto" w:fill="FFFFFF" w:themeFill="background1"/>
          <w:tblCellMar>
            <w:top w:w="0" w:type="dxa"/>
            <w:left w:w="0" w:type="dxa"/>
            <w:bottom w:w="0" w:type="dxa"/>
            <w:right w:w="0" w:type="dxa"/>
          </w:tblCellMar>
        </w:tblPrEx>
        <w:trPr>
          <w:trHeight w:val="3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先进的食品生产设备研发与制造；食品质量与安全监测（检测）仪器、设备的研发与生产</w:t>
            </w:r>
          </w:p>
        </w:tc>
      </w:tr>
      <w:tr>
        <w:tblPrEx>
          <w:tblCellMar>
            <w:top w:w="0" w:type="dxa"/>
            <w:left w:w="0" w:type="dxa"/>
            <w:bottom w:w="0" w:type="dxa"/>
            <w:right w:w="0" w:type="dxa"/>
          </w:tblCellMar>
        </w:tblPrEx>
        <w:trPr>
          <w:trHeight w:val="62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限制类</w:t>
            </w:r>
          </w:p>
        </w:tc>
        <w:tc>
          <w:tcPr>
            <w:tcW w:w="3710"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糖精等化学合成甜味剂生产线</w:t>
            </w:r>
          </w:p>
        </w:tc>
      </w:tr>
      <w:tr>
        <w:tblPrEx>
          <w:shd w:val="clear" w:color="auto" w:fill="FFFFFF" w:themeFill="background1"/>
          <w:tblCellMar>
            <w:top w:w="0" w:type="dxa"/>
            <w:left w:w="0" w:type="dxa"/>
            <w:bottom w:w="0" w:type="dxa"/>
            <w:right w:w="0" w:type="dxa"/>
          </w:tblCellMar>
        </w:tblPrEx>
        <w:trPr>
          <w:trHeight w:val="253"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r>
      <w:tr>
        <w:tblPrEx>
          <w:tblCellMar>
            <w:top w:w="0" w:type="dxa"/>
            <w:left w:w="0" w:type="dxa"/>
            <w:bottom w:w="0" w:type="dxa"/>
            <w:right w:w="0" w:type="dxa"/>
          </w:tblCellMar>
        </w:tblPrEx>
        <w:trPr>
          <w:trHeight w:val="500"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26</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年屠宰生猪 15 万头及以下、肉牛 1 万头及以下、肉羊 15万只及以下、活禽 1000 万只及以下的屠宰建设项目</w:t>
            </w:r>
          </w:p>
        </w:tc>
      </w:tr>
      <w:tr>
        <w:tblPrEx>
          <w:shd w:val="clear" w:color="auto" w:fill="FFFFFF" w:themeFill="background1"/>
          <w:tblCellMar>
            <w:top w:w="0" w:type="dxa"/>
            <w:left w:w="0" w:type="dxa"/>
            <w:bottom w:w="0" w:type="dxa"/>
            <w:right w:w="0" w:type="dxa"/>
          </w:tblCellMar>
        </w:tblPrEx>
        <w:trPr>
          <w:trHeight w:val="291"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27</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淘汰类</w:t>
            </w: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不符合国家现行城市生活垃圾、医疗废物和工业废物焚烧相关污染控制标准、工程技术标准以及设备标准的小型焚烧炉</w:t>
            </w:r>
          </w:p>
        </w:tc>
      </w:tr>
      <w:tr>
        <w:tblPrEx>
          <w:shd w:val="clear" w:color="auto" w:fill="FFFFFF" w:themeFill="background1"/>
          <w:tblCellMar>
            <w:top w:w="0" w:type="dxa"/>
            <w:left w:w="0" w:type="dxa"/>
            <w:bottom w:w="0" w:type="dxa"/>
            <w:right w:w="0" w:type="dxa"/>
          </w:tblCellMar>
        </w:tblPrEx>
        <w:trPr>
          <w:trHeight w:val="747" w:hRule="atLeast"/>
        </w:trPr>
        <w:tc>
          <w:tcPr>
            <w:tcW w:w="364"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28</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371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5" w:type="dxa"/>
              <w:left w:w="5" w:type="dxa"/>
              <w:bottom w:w="0" w:type="dxa"/>
              <w:right w:w="5"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tc>
      </w:tr>
    </w:tbl>
    <w:p>
      <w:pPr>
        <w:pStyle w:val="28"/>
        <w:numPr>
          <w:ilvl w:val="2"/>
          <w:numId w:val="1"/>
        </w:numPr>
        <w:ind w:firstLine="643" w:firstLineChars="200"/>
        <w:outlineLvl w:val="2"/>
        <w:rPr>
          <w:rFonts w:ascii="楷体" w:hAnsi="楷体" w:eastAsia="楷体"/>
          <w:b/>
          <w:sz w:val="32"/>
          <w:szCs w:val="32"/>
        </w:rPr>
      </w:pPr>
      <w:bookmarkStart w:id="132" w:name="_Toc20088"/>
      <w:r>
        <w:rPr>
          <w:rFonts w:hint="eastAsia" w:ascii="楷体" w:hAnsi="楷体" w:eastAsia="楷体"/>
          <w:b/>
          <w:sz w:val="32"/>
          <w:szCs w:val="32"/>
        </w:rPr>
        <w:t>产业发展方向</w:t>
      </w:r>
      <w:bookmarkEnd w:id="132"/>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园区近期重点以食品加工、农产品深加工等为主，入园企业应符合上述产业链条，或者是上下游企业，以促进整个园区的共同发展。</w:t>
      </w:r>
    </w:p>
    <w:p>
      <w:pPr>
        <w:pStyle w:val="28"/>
        <w:numPr>
          <w:ilvl w:val="2"/>
          <w:numId w:val="1"/>
        </w:numPr>
        <w:ind w:firstLine="643" w:firstLineChars="200"/>
        <w:outlineLvl w:val="2"/>
        <w:rPr>
          <w:rFonts w:ascii="楷体" w:hAnsi="楷体" w:eastAsia="楷体"/>
          <w:b/>
          <w:sz w:val="32"/>
          <w:szCs w:val="32"/>
        </w:rPr>
      </w:pPr>
      <w:bookmarkStart w:id="133" w:name="_Toc31786"/>
      <w:r>
        <w:rPr>
          <w:rFonts w:hint="eastAsia" w:ascii="楷体" w:hAnsi="楷体" w:eastAsia="楷体"/>
          <w:b/>
          <w:sz w:val="32"/>
          <w:szCs w:val="32"/>
        </w:rPr>
        <w:t>环境保护</w:t>
      </w:r>
      <w:bookmarkEnd w:id="13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高新农业产业开发区及周边地区的资源消耗总量、环境污染程度是确定其大小的重要参数。园区入园企业应该严格符合园区制定的环境卫生规范、建立生态环保的农业高新技术产业园。</w:t>
      </w:r>
    </w:p>
    <w:p>
      <w:pPr>
        <w:pStyle w:val="28"/>
        <w:numPr>
          <w:ilvl w:val="2"/>
          <w:numId w:val="1"/>
        </w:numPr>
        <w:ind w:firstLine="643" w:firstLineChars="200"/>
        <w:outlineLvl w:val="2"/>
        <w:rPr>
          <w:rFonts w:ascii="楷体" w:hAnsi="楷体" w:eastAsia="楷体"/>
          <w:b/>
          <w:sz w:val="32"/>
          <w:szCs w:val="32"/>
        </w:rPr>
      </w:pPr>
      <w:bookmarkStart w:id="134" w:name="_Toc13217"/>
      <w:r>
        <w:rPr>
          <w:rFonts w:hint="eastAsia" w:ascii="楷体" w:hAnsi="楷体" w:eastAsia="楷体"/>
          <w:b/>
          <w:sz w:val="32"/>
          <w:szCs w:val="32"/>
        </w:rPr>
        <w:t>招商</w:t>
      </w:r>
      <w:r>
        <w:rPr>
          <w:rFonts w:ascii="楷体" w:hAnsi="楷体" w:eastAsia="楷体"/>
          <w:b/>
          <w:sz w:val="32"/>
          <w:szCs w:val="32"/>
        </w:rPr>
        <w:t>企业推荐</w:t>
      </w:r>
      <w:bookmarkEnd w:id="134"/>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食品深加工企业招商对象以辽宁唐源诚品食品加工有限公司、凤祥食品、双汇集团、雨润集团、福建圣农控股集团有限公司为主；农业衍生品加工企业招商对象以中化化肥控股有限公司、史丹利化肥股份有限公司、新洋丰农业科技股份有限公司等为主；冷链运输企业招商对象以辽宁省富凯达物流有限公司、北京物通时空网络科技开发有限公司、鞍山市佳葆物流运输有限公司、鞍山市金壮运输有限公司、辽宁省富凯达物流有限公司等为主；生物科技产业招商对象以中国生物技术股份有限公司、沈阳思诺达生物科技有限公司、中科赛尔（辽宁）生物科技有限公司、鞍山龙晟生物能源科技有限公司、沈阳唐氏生物科技有限公司等为主。详见下表。</w:t>
      </w:r>
    </w:p>
    <w:p>
      <w:pPr>
        <w:pStyle w:val="28"/>
        <w:numPr>
          <w:ilvl w:val="0"/>
          <w:numId w:val="0"/>
        </w:numPr>
        <w:jc w:val="center"/>
        <w:outlineLvl w:val="2"/>
        <w:rPr>
          <w:rFonts w:ascii="楷体" w:hAnsi="楷体" w:eastAsia="楷体"/>
          <w:b/>
          <w:sz w:val="22"/>
          <w:szCs w:val="32"/>
        </w:rPr>
      </w:pPr>
      <w:bookmarkStart w:id="135" w:name="_Toc129090608"/>
      <w:bookmarkStart w:id="136" w:name="_Toc30339"/>
      <w:r>
        <w:rPr>
          <w:rFonts w:hint="eastAsia" w:ascii="楷体" w:hAnsi="楷体" w:eastAsia="楷体"/>
          <w:b/>
          <w:sz w:val="22"/>
          <w:szCs w:val="32"/>
        </w:rPr>
        <w:t>表</w:t>
      </w:r>
      <w:r>
        <w:rPr>
          <w:rFonts w:ascii="楷体" w:hAnsi="楷体" w:eastAsia="楷体"/>
          <w:b/>
          <w:sz w:val="22"/>
          <w:szCs w:val="32"/>
        </w:rPr>
        <w:t>6</w:t>
      </w:r>
      <w:r>
        <w:rPr>
          <w:rFonts w:hint="eastAsia" w:ascii="楷体" w:hAnsi="楷体" w:eastAsia="楷体"/>
          <w:b/>
          <w:sz w:val="22"/>
          <w:szCs w:val="32"/>
        </w:rPr>
        <w:t xml:space="preserve"> </w:t>
      </w:r>
      <w:r>
        <w:rPr>
          <w:rFonts w:ascii="楷体" w:hAnsi="楷体" w:eastAsia="楷体"/>
          <w:b/>
          <w:sz w:val="22"/>
          <w:szCs w:val="32"/>
        </w:rPr>
        <w:t>招商企业推荐表</w:t>
      </w:r>
      <w:bookmarkEnd w:id="135"/>
      <w:bookmarkEnd w:id="136"/>
    </w:p>
    <w:tbl>
      <w:tblPr>
        <w:tblStyle w:val="19"/>
        <w:tblW w:w="5000" w:type="pct"/>
        <w:tblInd w:w="0" w:type="dxa"/>
        <w:shd w:val="clear" w:color="auto" w:fill="FFFFFF" w:themeFill="background1"/>
        <w:tblLayout w:type="autofit"/>
        <w:tblCellMar>
          <w:top w:w="0" w:type="dxa"/>
          <w:left w:w="0" w:type="dxa"/>
          <w:bottom w:w="0" w:type="dxa"/>
          <w:right w:w="0" w:type="dxa"/>
        </w:tblCellMar>
      </w:tblPr>
      <w:tblGrid>
        <w:gridCol w:w="583"/>
        <w:gridCol w:w="3992"/>
        <w:gridCol w:w="3755"/>
      </w:tblGrid>
      <w:tr>
        <w:tblPrEx>
          <w:tblCellMar>
            <w:top w:w="0" w:type="dxa"/>
            <w:left w:w="0" w:type="dxa"/>
            <w:bottom w:w="0" w:type="dxa"/>
            <w:right w:w="0" w:type="dxa"/>
          </w:tblCellMar>
        </w:tblPrEx>
        <w:trPr>
          <w:trHeight w:val="46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序号</w:t>
            </w:r>
          </w:p>
        </w:tc>
        <w:tc>
          <w:tcPr>
            <w:tcW w:w="2396"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产业类型</w:t>
            </w: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企业名称</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w:t>
            </w:r>
          </w:p>
        </w:tc>
        <w:tc>
          <w:tcPr>
            <w:tcW w:w="23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食品深加工</w:t>
            </w: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福建圣农控股集团有限公司</w:t>
            </w:r>
          </w:p>
        </w:tc>
      </w:tr>
      <w:tr>
        <w:tblPrEx>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2</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凤祥食品</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3</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双汇集团</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4</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雨润集团</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5</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辽宁唐源诚品食品加工有限公司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6</w:t>
            </w:r>
          </w:p>
        </w:tc>
        <w:tc>
          <w:tcPr>
            <w:tcW w:w="23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农业衍生品加工</w:t>
            </w: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中化化肥控股有限公司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7</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史丹利化肥股份有限公司</w:t>
            </w:r>
          </w:p>
        </w:tc>
      </w:tr>
      <w:tr>
        <w:tblPrEx>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8</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新洋丰农业科技股份有限公司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9</w:t>
            </w:r>
          </w:p>
        </w:tc>
        <w:tc>
          <w:tcPr>
            <w:tcW w:w="23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冷链运输</w:t>
            </w: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辽宁省富凯达物流有限公司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10</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北京物通时空网络科技开发有限公司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11</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鞍山市佳葆物流运输有限公司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12</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鞍山市金壮运输有限公司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13</w:t>
            </w:r>
          </w:p>
        </w:tc>
        <w:tc>
          <w:tcPr>
            <w:tcW w:w="239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生物科技</w:t>
            </w: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中国生物技术股份有限公司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14</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沈阳思诺达生物科技有限公司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中科赛尔（辽宁）生物科技有限公司</w:t>
            </w:r>
          </w:p>
        </w:tc>
      </w:tr>
      <w:tr>
        <w:tblPrEx>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16</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鞍山龙晟生物能源科技有限公司</w:t>
            </w:r>
          </w:p>
        </w:tc>
      </w:tr>
      <w:tr>
        <w:tblPrEx>
          <w:shd w:val="clear" w:color="auto" w:fill="FFFFFF" w:themeFill="background1"/>
          <w:tblCellMar>
            <w:top w:w="0" w:type="dxa"/>
            <w:left w:w="0" w:type="dxa"/>
            <w:bottom w:w="0" w:type="dxa"/>
            <w:right w:w="0" w:type="dxa"/>
          </w:tblCellMar>
        </w:tblPrEx>
        <w:trPr>
          <w:trHeight w:val="51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17</w:t>
            </w:r>
          </w:p>
        </w:tc>
        <w:tc>
          <w:tcPr>
            <w:tcW w:w="239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Times New Roman" w:hAnsi="Times New Roman" w:eastAsia="仿宋" w:cs="Times New Roman"/>
                <w:szCs w:val="21"/>
              </w:rPr>
            </w:pPr>
          </w:p>
        </w:tc>
        <w:tc>
          <w:tcPr>
            <w:tcW w:w="225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bottom w:w="0" w:type="dxa"/>
              <w:right w:w="12" w:type="dxa"/>
            </w:tcMar>
            <w:vAlign w:val="center"/>
          </w:tcPr>
          <w:p>
            <w:pPr>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rPr>
              <w:t>沈阳唐氏生物科技有限公司</w:t>
            </w:r>
          </w:p>
        </w:tc>
      </w:tr>
    </w:tbl>
    <w:p>
      <w:pPr>
        <w:tabs>
          <w:tab w:val="left" w:pos="720"/>
        </w:tabs>
        <w:ind w:firstLine="640" w:firstLineChars="200"/>
        <w:rPr>
          <w:rFonts w:ascii="Times New Roman" w:hAnsi="Times New Roman" w:eastAsia="仿宋" w:cs="Times New Roman"/>
          <w:sz w:val="32"/>
        </w:rPr>
      </w:pPr>
    </w:p>
    <w:p>
      <w:pPr>
        <w:tabs>
          <w:tab w:val="left" w:pos="720"/>
        </w:tabs>
        <w:ind w:firstLine="640" w:firstLineChars="200"/>
        <w:rPr>
          <w:rFonts w:ascii="Times New Roman" w:hAnsi="Times New Roman" w:eastAsia="仿宋" w:cs="Times New Roman"/>
          <w:sz w:val="32"/>
        </w:rPr>
      </w:pPr>
    </w:p>
    <w:p>
      <w:pPr>
        <w:pStyle w:val="27"/>
        <w:jc w:val="center"/>
        <w:outlineLvl w:val="0"/>
        <w:rPr>
          <w:rFonts w:ascii="黑体" w:hAnsi="黑体" w:eastAsia="黑体"/>
          <w:sz w:val="44"/>
          <w:szCs w:val="44"/>
        </w:rPr>
      </w:pPr>
      <w:r>
        <w:rPr>
          <w:rFonts w:ascii="黑体" w:hAnsi="黑体" w:eastAsia="黑体"/>
          <w:sz w:val="44"/>
          <w:szCs w:val="44"/>
        </w:rPr>
        <w:br w:type="page"/>
      </w:r>
      <w:bookmarkStart w:id="137" w:name="_Toc12603"/>
      <w:r>
        <w:rPr>
          <w:rFonts w:hint="eastAsia" w:ascii="黑体" w:hAnsi="黑体" w:eastAsia="黑体"/>
          <w:sz w:val="44"/>
          <w:szCs w:val="44"/>
        </w:rPr>
        <w:t>规划</w:t>
      </w:r>
      <w:r>
        <w:rPr>
          <w:rFonts w:ascii="黑体" w:hAnsi="黑体" w:eastAsia="黑体"/>
          <w:sz w:val="44"/>
          <w:szCs w:val="44"/>
        </w:rPr>
        <w:t>保障措施</w:t>
      </w:r>
      <w:bookmarkEnd w:id="137"/>
    </w:p>
    <w:p>
      <w:pPr>
        <w:pStyle w:val="28"/>
        <w:outlineLvl w:val="1"/>
        <w:rPr>
          <w:rFonts w:ascii="黑体" w:hAnsi="黑体" w:eastAsia="黑体"/>
          <w:sz w:val="32"/>
          <w:szCs w:val="32"/>
        </w:rPr>
      </w:pPr>
      <w:bookmarkStart w:id="138" w:name="_Toc31083"/>
      <w:r>
        <w:rPr>
          <w:rFonts w:hint="eastAsia" w:ascii="黑体" w:hAnsi="黑体" w:eastAsia="黑体"/>
          <w:sz w:val="32"/>
          <w:szCs w:val="32"/>
        </w:rPr>
        <w:t>完善政策</w:t>
      </w:r>
      <w:r>
        <w:rPr>
          <w:rFonts w:ascii="黑体" w:hAnsi="黑体" w:eastAsia="黑体"/>
          <w:sz w:val="32"/>
          <w:szCs w:val="32"/>
        </w:rPr>
        <w:t>支持机制</w:t>
      </w:r>
      <w:bookmarkEnd w:id="138"/>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构建全方位政策体系。通过市级科技计划和相关产业发展资金，积极支持园区入住企业开展生产创新工作，重点支持产业化项目实施、重点新产品培育、公共服务平台建设等。积极落实支持创新生产企业发展的税收优惠政策和品牌创建激励政策。支持符合条件的产业项目在土地、电力等要素指标上优先保障。建立生产企业发展快速响应机制，增强政策针对性和执行力。实施动态评估和评价制度，更好地满足产业发展的动态化和个性化政策需求。严格落实责任制，健全考核体系，注重创新实效，确保开发区内产业发展目标顺利实现。</w:t>
      </w:r>
    </w:p>
    <w:p>
      <w:pPr>
        <w:pStyle w:val="28"/>
        <w:outlineLvl w:val="1"/>
        <w:rPr>
          <w:rFonts w:ascii="黑体" w:hAnsi="黑体" w:eastAsia="黑体"/>
          <w:sz w:val="32"/>
          <w:szCs w:val="32"/>
        </w:rPr>
      </w:pPr>
      <w:bookmarkStart w:id="139" w:name="_Toc28807"/>
      <w:r>
        <w:rPr>
          <w:rFonts w:hint="eastAsia" w:ascii="黑体" w:hAnsi="黑体" w:eastAsia="黑体"/>
          <w:sz w:val="32"/>
          <w:szCs w:val="32"/>
        </w:rPr>
        <w:t>创新</w:t>
      </w:r>
      <w:r>
        <w:rPr>
          <w:rFonts w:ascii="黑体" w:hAnsi="黑体" w:eastAsia="黑体"/>
          <w:sz w:val="32"/>
          <w:szCs w:val="32"/>
        </w:rPr>
        <w:t>财政投入机制</w:t>
      </w:r>
      <w:bookmarkEnd w:id="139"/>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坚持和完善政府投入为引导、企业投入为主体、社会力量积极参与的多元化产业发展投入机制。改革优化开发区内企业管理模式，建立财政科技投入保障机制。改善融资环境，通过股权投资、风险补偿等方式，将适宜股权投资的财政产业发展类专项资金由无偿补助改为股权投入；引导推动社会资本进入中小企业信用担保平台，帮助中小企业解决融资贵、融资难等问题。探索财政经费管理新模式，不断提高财政经费使用绩效。</w:t>
      </w:r>
    </w:p>
    <w:p>
      <w:pPr>
        <w:pStyle w:val="28"/>
        <w:outlineLvl w:val="1"/>
        <w:rPr>
          <w:rFonts w:ascii="黑体" w:hAnsi="黑体" w:eastAsia="黑体"/>
          <w:sz w:val="32"/>
          <w:szCs w:val="32"/>
        </w:rPr>
      </w:pPr>
      <w:bookmarkStart w:id="140" w:name="_Toc12828"/>
      <w:r>
        <w:rPr>
          <w:rFonts w:hint="eastAsia" w:ascii="黑体" w:hAnsi="黑体" w:eastAsia="黑体"/>
          <w:sz w:val="32"/>
          <w:szCs w:val="32"/>
        </w:rPr>
        <w:t>大力</w:t>
      </w:r>
      <w:r>
        <w:rPr>
          <w:rFonts w:ascii="黑体" w:hAnsi="黑体" w:eastAsia="黑体"/>
          <w:sz w:val="32"/>
          <w:szCs w:val="32"/>
        </w:rPr>
        <w:t>推进农业创新平台建设</w:t>
      </w:r>
      <w:bookmarkEnd w:id="140"/>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深入推进“互联网+农业”，扩大农业物联网示范应用，逐步对大田作物、畜禽养殖、渔业生产等进行数字化改造。加强数字企业建设，推进重要农产品全产业链大数据工作，依托“互联网+”推动公共服务向周边延伸。</w:t>
      </w:r>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培育创业创新载体，加快科技成果转化，实施农业科技示范企业（基地）认定。建设以农业龙头企业和大型企业集团为核心的农业技术创新体系。加快农业领域5G技术的应用步伐，建设现代农业融合化、智能化、信息化、网络化支持体系。推动农产品加工企业联盟和科技成果转化平台建设。</w:t>
      </w:r>
    </w:p>
    <w:p>
      <w:pPr>
        <w:pStyle w:val="28"/>
        <w:outlineLvl w:val="1"/>
        <w:rPr>
          <w:rFonts w:ascii="黑体" w:hAnsi="黑体" w:eastAsia="黑体"/>
          <w:sz w:val="32"/>
          <w:szCs w:val="32"/>
        </w:rPr>
      </w:pPr>
      <w:bookmarkStart w:id="141" w:name="_Toc30415"/>
      <w:r>
        <w:rPr>
          <w:rFonts w:hint="eastAsia" w:ascii="黑体" w:hAnsi="黑体" w:eastAsia="黑体"/>
          <w:sz w:val="32"/>
          <w:szCs w:val="32"/>
        </w:rPr>
        <w:t>完善健全企业退出机制与体系</w:t>
      </w:r>
      <w:bookmarkEnd w:id="141"/>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拟明确建立企业破产工作协调机制，探索市场主体简易注销程序，促进市场“新陈代谢”，市场主体退出制度的完善，一方面为市场主体新的投资选择创造了更多便利，另一方面也能引导其改变已经落后或是缺乏市场竞争能力的经营方式。为确保落后产能和僵尸企业退出市场，要创新执行方式，完善工作机制。企业退出的具体方式主要包括关闭、停业、合并、转产等四种方式，要按照“尊重规律、分业施策、多管齐下、标本兼治”的原则，以“消化一批、转移一批、整合一批、淘汰一批”来清理僵尸企业，解决产能过剩问题。近期需清退以嘉鲜饰品为代表的停工企业。</w:t>
      </w:r>
    </w:p>
    <w:p>
      <w:pPr>
        <w:tabs>
          <w:tab w:val="left" w:pos="720"/>
        </w:tabs>
        <w:ind w:firstLine="640" w:firstLineChars="200"/>
        <w:rPr>
          <w:rFonts w:ascii="Times New Roman" w:hAnsi="Times New Roman" w:eastAsia="仿宋" w:cs="Times New Roman"/>
          <w:sz w:val="32"/>
          <w:szCs w:val="24"/>
        </w:rPr>
      </w:pPr>
    </w:p>
    <w:p>
      <w:pPr>
        <w:tabs>
          <w:tab w:val="left" w:pos="720"/>
        </w:tabs>
        <w:ind w:firstLine="420" w:firstLineChars="200"/>
        <w:rPr>
          <w:rFonts w:ascii="Times New Roman" w:hAnsi="Times New Roman" w:eastAsia="仿宋" w:cs="Times New Roman"/>
          <w:sz w:val="32"/>
          <w:szCs w:val="24"/>
        </w:rPr>
      </w:pPr>
      <w:r>
        <w:drawing>
          <wp:inline distT="0" distB="0" distL="114300" distR="114300">
            <wp:extent cx="5269230" cy="2974340"/>
            <wp:effectExtent l="0" t="0" r="762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269230" cy="2974340"/>
                    </a:xfrm>
                    <a:prstGeom prst="rect">
                      <a:avLst/>
                    </a:prstGeom>
                    <a:noFill/>
                    <a:ln>
                      <a:noFill/>
                    </a:ln>
                  </pic:spPr>
                </pic:pic>
              </a:graphicData>
            </a:graphic>
          </wp:inline>
        </w:drawing>
      </w:r>
    </w:p>
    <w:p>
      <w:pPr>
        <w:pStyle w:val="28"/>
        <w:numPr>
          <w:ilvl w:val="0"/>
          <w:numId w:val="0"/>
        </w:numPr>
        <w:jc w:val="center"/>
        <w:outlineLvl w:val="2"/>
        <w:rPr>
          <w:rFonts w:ascii="楷体" w:hAnsi="楷体" w:eastAsia="楷体"/>
          <w:b/>
          <w:sz w:val="22"/>
          <w:szCs w:val="32"/>
        </w:rPr>
      </w:pPr>
      <w:bookmarkStart w:id="142" w:name="_Toc20942"/>
      <w:r>
        <w:rPr>
          <w:rFonts w:hint="eastAsia" w:ascii="楷体" w:hAnsi="楷体" w:eastAsia="楷体"/>
          <w:b/>
          <w:sz w:val="22"/>
          <w:szCs w:val="32"/>
        </w:rPr>
        <w:t>图11 企业退出机制流程</w:t>
      </w:r>
      <w:bookmarkEnd w:id="142"/>
    </w:p>
    <w:p>
      <w:pPr>
        <w:pStyle w:val="28"/>
        <w:outlineLvl w:val="1"/>
        <w:rPr>
          <w:rFonts w:ascii="黑体" w:hAnsi="黑体" w:eastAsia="黑体"/>
          <w:sz w:val="32"/>
          <w:szCs w:val="32"/>
        </w:rPr>
      </w:pPr>
      <w:bookmarkStart w:id="143" w:name="_Toc13626"/>
      <w:r>
        <w:rPr>
          <w:rFonts w:hint="eastAsia" w:ascii="黑体" w:hAnsi="黑体" w:eastAsia="黑体"/>
          <w:sz w:val="32"/>
          <w:szCs w:val="32"/>
        </w:rPr>
        <w:t>有效</w:t>
      </w:r>
      <w:r>
        <w:rPr>
          <w:rFonts w:ascii="黑体" w:hAnsi="黑体" w:eastAsia="黑体"/>
          <w:sz w:val="32"/>
          <w:szCs w:val="32"/>
        </w:rPr>
        <w:t>保障人才供给</w:t>
      </w:r>
      <w:bookmarkEnd w:id="143"/>
    </w:p>
    <w:p>
      <w:pPr>
        <w:spacing w:line="360" w:lineRule="auto"/>
        <w:ind w:firstLine="640" w:firstLineChars="200"/>
        <w:rPr>
          <w:rFonts w:hint="eastAsia" w:ascii="Times New Roman" w:hAnsi="Times New Roman" w:eastAsia="仿宋" w:cs="Times New Roman"/>
          <w:sz w:val="32"/>
        </w:rPr>
      </w:pPr>
      <w:r>
        <w:rPr>
          <w:rFonts w:hint="eastAsia" w:ascii="Times New Roman" w:hAnsi="Times New Roman" w:eastAsia="仿宋" w:cs="Times New Roman"/>
          <w:sz w:val="32"/>
        </w:rPr>
        <w:t>培养各类养殖、加工专业人才，实施新型职业农民培育工程，培育学法用法示范企业，继续实施乡村人才振兴战略，着重创新激励机制，促进人才城乡双交流，吸引、留住农业人才。建立中科院、农科院等科研部门专家与开发区内企业对接平台，充分发挥科技支撑作用。</w:t>
      </w: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ind w:firstLine="640" w:firstLineChars="200"/>
        <w:rPr>
          <w:rFonts w:ascii="Times New Roman" w:hAnsi="Times New Roman" w:eastAsia="仿宋" w:cs="Times New Roman"/>
          <w:sz w:val="32"/>
          <w:szCs w:val="24"/>
        </w:rPr>
      </w:pPr>
    </w:p>
    <w:p>
      <w:pPr>
        <w:tabs>
          <w:tab w:val="left" w:pos="720"/>
        </w:tabs>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t>附件目录</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附件1：台安高新农业产业开发区规划范围图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附件2：台安高新农业产业开发区总体空间结构图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附件3：台安高新农业产业开发区产业功能分区图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附件4：台安高新农业产业开发区土地利用规划图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附件5：台安高新农业产业开发区分区开发时序图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附件6：台安高新农业产业开发区土地利用规划远景图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附件7：台安高新农业产业开发区道路交通规划图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附件8：台安高新农业产业开发区公服设施规划图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附件9：台安高新农业产业开发区给水系统规划图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附件10：台安高新农业产业开发区污水系统规划图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附件11：台安高新农业产业开发区电力系统规划图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附件12：台安高新农业产业开发区供热系统规划图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附件13：台安高新农业产业开发区燃气系统规划图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附件14：台安高新农业产业开发区环卫系统与防灾减灾工程规划图</w:t>
      </w:r>
    </w:p>
    <w:p>
      <w:pPr>
        <w:tabs>
          <w:tab w:val="left" w:pos="720"/>
        </w:tabs>
        <w:ind w:firstLine="640" w:firstLineChars="200"/>
        <w:rPr>
          <w:rFonts w:ascii="Times New Roman" w:hAnsi="Times New Roman" w:eastAsia="仿宋" w:cs="Times New Roman"/>
          <w:sz w:val="32"/>
          <w:szCs w:val="24"/>
        </w:rPr>
      </w:pPr>
      <w:r>
        <w:rPr>
          <w:rFonts w:hint="eastAsia" w:ascii="Times New Roman" w:hAnsi="Times New Roman" w:eastAsia="仿宋" w:cs="Times New Roman"/>
          <w:sz w:val="32"/>
          <w:szCs w:val="24"/>
        </w:rPr>
        <w:t>附件15：辽宁台安高新农业产业开发区批复文件</w:t>
      </w:r>
    </w:p>
    <w:p>
      <w:pPr>
        <w:tabs>
          <w:tab w:val="left" w:pos="720"/>
        </w:tabs>
        <w:ind w:firstLine="640" w:firstLineChars="200"/>
        <w:rPr>
          <w:rFonts w:hint="eastAsia" w:ascii="Times New Roman" w:hAnsi="Times New Roman" w:eastAsia="仿宋" w:cs="Times New Roman"/>
          <w:sz w:val="32"/>
          <w:szCs w:val="24"/>
        </w:rPr>
      </w:pPr>
      <w:r>
        <w:rPr>
          <w:rFonts w:hint="eastAsia" w:ascii="Times New Roman" w:hAnsi="Times New Roman" w:eastAsia="仿宋" w:cs="Times New Roman"/>
          <w:sz w:val="32"/>
          <w:szCs w:val="24"/>
        </w:rPr>
        <w:t>附件16：专家评审论证意见</w:t>
      </w:r>
    </w:p>
    <w:p>
      <w:pPr>
        <w:tabs>
          <w:tab w:val="left" w:pos="720"/>
        </w:tabs>
        <w:ind w:firstLine="640" w:firstLineChars="200"/>
        <w:rPr>
          <w:rFonts w:hint="default" w:ascii="Times New Roman" w:hAnsi="Times New Roman" w:eastAsia="仿宋" w:cs="Times New Roman"/>
          <w:sz w:val="32"/>
          <w:szCs w:val="24"/>
          <w:lang w:val="en-US" w:eastAsia="zh-CN"/>
        </w:rPr>
      </w:pPr>
      <w:r>
        <w:rPr>
          <w:rFonts w:hint="eastAsia" w:ascii="Times New Roman" w:hAnsi="Times New Roman" w:eastAsia="仿宋" w:cs="Times New Roman"/>
          <w:sz w:val="32"/>
          <w:szCs w:val="24"/>
          <w:lang w:val="en-US" w:eastAsia="zh-CN"/>
        </w:rPr>
        <w:t>附件17：开发区现状企业名录</w:t>
      </w:r>
    </w:p>
    <w:p>
      <w:pPr>
        <w:jc w:val="left"/>
        <w:rPr>
          <w:rFonts w:hint="eastAsia" w:ascii="Times New Roman" w:hAnsi="Times New Roman" w:eastAsia="仿宋" w:cs="Times New Roman"/>
          <w:sz w:val="32"/>
          <w:szCs w:val="24"/>
          <w:lang w:eastAsia="zh-CN"/>
        </w:rPr>
      </w:pPr>
    </w:p>
    <w:p>
      <w:pPr>
        <w:jc w:val="left"/>
        <w:rPr>
          <w:rFonts w:hint="eastAsia" w:ascii="Times New Roman" w:hAnsi="Times New Roman" w:eastAsia="仿宋" w:cs="Times New Roman"/>
          <w:sz w:val="32"/>
          <w:szCs w:val="24"/>
          <w:lang w:eastAsia="zh-CN"/>
        </w:rPr>
      </w:pPr>
    </w:p>
    <w:p>
      <w:pPr>
        <w:jc w:val="left"/>
        <w:rPr>
          <w:rFonts w:hint="default" w:ascii="Times New Roman" w:hAnsi="Times New Roman" w:eastAsia="仿宋" w:cs="Times New Roman"/>
          <w:sz w:val="32"/>
          <w:szCs w:val="24"/>
          <w:lang w:val="en-US" w:eastAsia="zh-CN"/>
        </w:rPr>
      </w:pPr>
    </w:p>
    <w:p>
      <w:pPr>
        <w:jc w:val="left"/>
        <w:rPr>
          <w:rFonts w:hint="eastAsia" w:ascii="Times New Roman" w:hAnsi="Times New Roman" w:eastAsia="仿宋" w:cs="Times New Roman"/>
          <w:sz w:val="32"/>
          <w:szCs w:val="24"/>
          <w:lang w:eastAsia="zh-CN"/>
        </w:rPr>
      </w:pPr>
      <w:r>
        <w:rPr>
          <w:rFonts w:hint="eastAsia" w:ascii="Times New Roman" w:hAnsi="Times New Roman" w:eastAsia="仿宋" w:cs="Times New Roman"/>
          <w:sz w:val="32"/>
          <w:szCs w:val="24"/>
          <w:lang w:val="en-US" w:eastAsia="zh-CN"/>
        </w:rPr>
        <w:t>附件1：</w:t>
      </w:r>
    </w:p>
    <w:p>
      <w:pPr>
        <w:jc w:val="left"/>
        <w:rPr>
          <w:rFonts w:hint="eastAsia" w:ascii="Times New Roman" w:hAnsi="Times New Roman" w:eastAsia="仿宋" w:cs="Times New Roman"/>
          <w:sz w:val="32"/>
          <w:szCs w:val="24"/>
          <w:lang w:eastAsia="zh-CN"/>
        </w:rPr>
      </w:pPr>
      <w:r>
        <w:rPr>
          <w:rFonts w:hint="default" w:ascii="黑体" w:hAnsi="黑体" w:eastAsia="黑体"/>
          <w:sz w:val="32"/>
          <w:szCs w:val="32"/>
          <w:lang w:val="en-US" w:eastAsia="zh-CN"/>
        </w:rPr>
        <w:drawing>
          <wp:anchor distT="0" distB="0" distL="114300" distR="114300" simplePos="0" relativeHeight="251661312" behindDoc="0" locked="0" layoutInCell="1" allowOverlap="1">
            <wp:simplePos x="0" y="0"/>
            <wp:positionH relativeFrom="column">
              <wp:posOffset>95885</wp:posOffset>
            </wp:positionH>
            <wp:positionV relativeFrom="paragraph">
              <wp:posOffset>982345</wp:posOffset>
            </wp:positionV>
            <wp:extent cx="5134610" cy="6486525"/>
            <wp:effectExtent l="0" t="0" r="8890" b="9525"/>
            <wp:wrapNone/>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7"/>
                    <a:srcRect t="5278" r="1134"/>
                    <a:stretch>
                      <a:fillRect/>
                    </a:stretch>
                  </pic:blipFill>
                  <pic:spPr>
                    <a:xfrm>
                      <a:off x="0" y="0"/>
                      <a:ext cx="5134610" cy="6486525"/>
                    </a:xfrm>
                    <a:prstGeom prst="rect">
                      <a:avLst/>
                    </a:prstGeom>
                  </pic:spPr>
                </pic:pic>
              </a:graphicData>
            </a:graphic>
          </wp:anchor>
        </w:drawing>
      </w:r>
      <w:r>
        <w:rPr>
          <w:rFonts w:hint="eastAsia" w:ascii="Times New Roman" w:hAnsi="Times New Roman" w:eastAsia="仿宋" w:cs="Times New Roman"/>
          <w:sz w:val="32"/>
          <w:szCs w:val="24"/>
          <w:lang w:eastAsia="zh-CN"/>
        </w:rPr>
        <w:drawing>
          <wp:inline distT="0" distB="0" distL="114300" distR="114300">
            <wp:extent cx="5380355" cy="7609205"/>
            <wp:effectExtent l="0" t="0" r="10795" b="10795"/>
            <wp:docPr id="32" name="图片 32" descr="01-规划范围图"/>
            <wp:cNvGraphicFramePr/>
            <a:graphic xmlns:a="http://schemas.openxmlformats.org/drawingml/2006/main">
              <a:graphicData uri="http://schemas.openxmlformats.org/drawingml/2006/picture">
                <pic:pic xmlns:pic="http://schemas.openxmlformats.org/drawingml/2006/picture">
                  <pic:nvPicPr>
                    <pic:cNvPr id="32" name="图片 32" descr="01-规划范围图"/>
                    <pic:cNvPicPr/>
                  </pic:nvPicPr>
                  <pic:blipFill>
                    <a:blip r:embed="rId19"/>
                    <a:stretch>
                      <a:fillRect/>
                    </a:stretch>
                  </pic:blipFill>
                  <pic:spPr>
                    <a:xfrm>
                      <a:off x="0" y="0"/>
                      <a:ext cx="5380355" cy="7609205"/>
                    </a:xfrm>
                    <a:prstGeom prst="rect">
                      <a:avLst/>
                    </a:prstGeom>
                  </pic:spPr>
                </pic:pic>
              </a:graphicData>
            </a:graphic>
          </wp:inline>
        </w:drawing>
      </w:r>
    </w:p>
    <w:p>
      <w:pPr>
        <w:jc w:val="center"/>
        <w:rPr>
          <w:rFonts w:hint="eastAsia" w:ascii="Times New Roman" w:hAnsi="Times New Roman" w:eastAsia="仿宋" w:cs="Times New Roman"/>
          <w:sz w:val="32"/>
          <w:szCs w:val="24"/>
        </w:rPr>
      </w:pP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附件2：</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330190" cy="7534275"/>
            <wp:effectExtent l="0" t="0" r="3810" b="9525"/>
            <wp:docPr id="34" name="图片 34" descr="02-总体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2-总体空间结构图"/>
                    <pic:cNvPicPr>
                      <a:picLocks noChangeAspect="1"/>
                    </pic:cNvPicPr>
                  </pic:nvPicPr>
                  <pic:blipFill>
                    <a:blip r:embed="rId20"/>
                    <a:stretch>
                      <a:fillRect/>
                    </a:stretch>
                  </pic:blipFill>
                  <pic:spPr>
                    <a:xfrm>
                      <a:off x="0" y="0"/>
                      <a:ext cx="5330190" cy="7534275"/>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附件3：</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411470" cy="7649210"/>
            <wp:effectExtent l="0" t="0" r="17780" b="8890"/>
            <wp:docPr id="35" name="图片 35" descr="03-产业功能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3-产业功能分区图"/>
                    <pic:cNvPicPr>
                      <a:picLocks noChangeAspect="1"/>
                    </pic:cNvPicPr>
                  </pic:nvPicPr>
                  <pic:blipFill>
                    <a:blip r:embed="rId21"/>
                    <a:stretch>
                      <a:fillRect/>
                    </a:stretch>
                  </pic:blipFill>
                  <pic:spPr>
                    <a:xfrm>
                      <a:off x="0" y="0"/>
                      <a:ext cx="5411470" cy="764921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附件4：</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36" name="图片 36" descr="04-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4-土地利用规划图"/>
                    <pic:cNvPicPr>
                      <a:picLocks noChangeAspect="1"/>
                    </pic:cNvPicPr>
                  </pic:nvPicPr>
                  <pic:blipFill>
                    <a:blip r:embed="rId22"/>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附件5：</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37" name="图片 37" descr="05-分区开发时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5-分区开发时序图"/>
                    <pic:cNvPicPr>
                      <a:picLocks noChangeAspect="1"/>
                    </pic:cNvPicPr>
                  </pic:nvPicPr>
                  <pic:blipFill>
                    <a:blip r:embed="rId23"/>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附件6：</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39" name="图片 39" descr="06-土地利用规划远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6-土地利用规划远景图"/>
                    <pic:cNvPicPr>
                      <a:picLocks noChangeAspect="1"/>
                    </pic:cNvPicPr>
                  </pic:nvPicPr>
                  <pic:blipFill>
                    <a:blip r:embed="rId24"/>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附件7：</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1" name="图片 41" descr="07-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7-道路交通规划图"/>
                    <pic:cNvPicPr>
                      <a:picLocks noChangeAspect="1"/>
                    </pic:cNvPicPr>
                  </pic:nvPicPr>
                  <pic:blipFill>
                    <a:blip r:embed="rId25"/>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附件8：</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2" name="图片 42" descr="08-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8-公共服务设施规划图"/>
                    <pic:cNvPicPr>
                      <a:picLocks noChangeAspect="1"/>
                    </pic:cNvPicPr>
                  </pic:nvPicPr>
                  <pic:blipFill>
                    <a:blip r:embed="rId26"/>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附件9：</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3" name="图片 43" descr="09-给水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9-给水系统规划图"/>
                    <pic:cNvPicPr>
                      <a:picLocks noChangeAspect="1"/>
                    </pic:cNvPicPr>
                  </pic:nvPicPr>
                  <pic:blipFill>
                    <a:blip r:embed="rId27"/>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附件10：</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4" name="图片 44" descr="10-污水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0-污水系统规划图"/>
                    <pic:cNvPicPr>
                      <a:picLocks noChangeAspect="1"/>
                    </pic:cNvPicPr>
                  </pic:nvPicPr>
                  <pic:blipFill>
                    <a:blip r:embed="rId28"/>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附件11：</w:t>
      </w:r>
    </w:p>
    <w:p>
      <w:pPr>
        <w:jc w:val="center"/>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5" name="图片 45" descr="11-电力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电力系统规划图"/>
                    <pic:cNvPicPr>
                      <a:picLocks noChangeAspect="1"/>
                    </pic:cNvPicPr>
                  </pic:nvPicPr>
                  <pic:blipFill>
                    <a:blip r:embed="rId29"/>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rPr>
      </w:pPr>
      <w:r>
        <w:rPr>
          <w:rFonts w:hint="eastAsia" w:ascii="Times New Roman" w:hAnsi="Times New Roman" w:eastAsia="仿宋" w:cs="Times New Roman"/>
          <w:sz w:val="32"/>
          <w:szCs w:val="24"/>
          <w:lang w:val="en-US" w:eastAsia="zh-CN"/>
        </w:rPr>
        <w:t>附件12：</w:t>
      </w:r>
    </w:p>
    <w:p>
      <w:pPr>
        <w:jc w:val="both"/>
        <w:rPr>
          <w:rFonts w:ascii="Times New Roman" w:hAnsi="Times New Roman" w:eastAsia="仿宋" w:cs="Times New Roman"/>
          <w:sz w:val="32"/>
          <w:szCs w:val="24"/>
        </w:rPr>
      </w:pPr>
      <w:r>
        <w:rPr>
          <w:rFonts w:hint="eastAsia" w:ascii="Times New Roman" w:hAnsi="Times New Roman" w:eastAsia="仿宋" w:cs="Times New Roman"/>
          <w:sz w:val="32"/>
          <w:szCs w:val="24"/>
        </w:rPr>
        <w:drawing>
          <wp:inline distT="0" distB="0" distL="114300" distR="114300">
            <wp:extent cx="5268595" cy="7447280"/>
            <wp:effectExtent l="0" t="0" r="8255" b="1270"/>
            <wp:docPr id="46" name="图片 46" descr="12-供热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2-供热工程规划图"/>
                    <pic:cNvPicPr>
                      <a:picLocks noChangeAspect="1"/>
                    </pic:cNvPicPr>
                  </pic:nvPicPr>
                  <pic:blipFill>
                    <a:blip r:embed="rId30"/>
                    <a:stretch>
                      <a:fillRect/>
                    </a:stretch>
                  </pic:blipFill>
                  <pic:spPr>
                    <a:xfrm>
                      <a:off x="0" y="0"/>
                      <a:ext cx="5268595" cy="7447280"/>
                    </a:xfrm>
                    <a:prstGeom prst="rect">
                      <a:avLst/>
                    </a:prstGeom>
                  </pic:spPr>
                </pic:pic>
              </a:graphicData>
            </a:graphic>
          </wp:inline>
        </w:drawing>
      </w:r>
      <w:r>
        <w:rPr>
          <w:rFonts w:hint="eastAsia" w:ascii="Times New Roman" w:hAnsi="Times New Roman" w:eastAsia="仿宋" w:cs="Times New Roman"/>
          <w:sz w:val="32"/>
          <w:szCs w:val="24"/>
        </w:rPr>
        <w:br w:type="page"/>
      </w:r>
    </w:p>
    <w:p>
      <w:pPr>
        <w:jc w:val="left"/>
        <w:rPr>
          <w:rFonts w:hint="eastAsia" w:ascii="Times New Roman" w:hAnsi="Times New Roman" w:eastAsia="仿宋" w:cs="Times New Roman"/>
          <w:sz w:val="32"/>
          <w:szCs w:val="24"/>
          <w:lang w:eastAsia="zh-CN"/>
        </w:rPr>
      </w:pPr>
      <w:r>
        <w:rPr>
          <w:rFonts w:hint="eastAsia" w:ascii="Times New Roman" w:hAnsi="Times New Roman" w:eastAsia="仿宋" w:cs="Times New Roman"/>
          <w:sz w:val="32"/>
          <w:szCs w:val="24"/>
          <w:lang w:val="en-US" w:eastAsia="zh-CN"/>
        </w:rPr>
        <w:t>附件13：</w:t>
      </w:r>
    </w:p>
    <w:p>
      <w:pPr>
        <w:jc w:val="center"/>
        <w:rPr>
          <w:rFonts w:hint="eastAsia" w:ascii="Times New Roman" w:hAnsi="Times New Roman" w:eastAsia="仿宋" w:cs="Times New Roman"/>
          <w:sz w:val="32"/>
          <w:szCs w:val="24"/>
          <w:lang w:eastAsia="zh-CN"/>
        </w:rPr>
      </w:pPr>
      <w:r>
        <w:rPr>
          <w:rFonts w:hint="eastAsia" w:ascii="Times New Roman" w:hAnsi="Times New Roman" w:eastAsia="仿宋" w:cs="Times New Roman"/>
          <w:sz w:val="32"/>
          <w:szCs w:val="24"/>
          <w:lang w:eastAsia="zh-CN"/>
        </w:rPr>
        <w:drawing>
          <wp:inline distT="0" distB="0" distL="114300" distR="114300">
            <wp:extent cx="5268595" cy="7447280"/>
            <wp:effectExtent l="0" t="0" r="8255" b="1270"/>
            <wp:docPr id="47" name="图片 47" descr="13-燃气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3-燃气工程规划图"/>
                    <pic:cNvPicPr>
                      <a:picLocks noChangeAspect="1"/>
                    </pic:cNvPicPr>
                  </pic:nvPicPr>
                  <pic:blipFill>
                    <a:blip r:embed="rId31"/>
                    <a:stretch>
                      <a:fillRect/>
                    </a:stretch>
                  </pic:blipFill>
                  <pic:spPr>
                    <a:xfrm>
                      <a:off x="0" y="0"/>
                      <a:ext cx="5268595" cy="7447280"/>
                    </a:xfrm>
                    <a:prstGeom prst="rect">
                      <a:avLst/>
                    </a:prstGeom>
                  </pic:spPr>
                </pic:pic>
              </a:graphicData>
            </a:graphic>
          </wp:inline>
        </w:drawing>
      </w:r>
    </w:p>
    <w:p/>
    <w:p/>
    <w:p/>
    <w:p/>
    <w:p>
      <w:pPr>
        <w:jc w:val="left"/>
        <w:rPr>
          <w:rFonts w:hint="eastAsia" w:eastAsiaTheme="minorEastAsia"/>
          <w:lang w:eastAsia="zh-CN"/>
        </w:rPr>
      </w:pPr>
      <w:r>
        <w:rPr>
          <w:rFonts w:hint="eastAsia" w:ascii="Times New Roman" w:hAnsi="Times New Roman" w:eastAsia="仿宋" w:cs="Times New Roman"/>
          <w:sz w:val="32"/>
          <w:szCs w:val="24"/>
          <w:lang w:val="en-US" w:eastAsia="zh-CN"/>
        </w:rPr>
        <w:t>附件14：</w:t>
      </w:r>
    </w:p>
    <w:p>
      <w:pPr>
        <w:jc w:val="center"/>
        <w:rPr>
          <w:rFonts w:hint="eastAsia" w:eastAsiaTheme="minorEastAsia"/>
          <w:lang w:eastAsia="zh-CN"/>
        </w:rPr>
      </w:pPr>
      <w:r>
        <w:rPr>
          <w:rFonts w:hint="eastAsia" w:eastAsiaTheme="minorEastAsia"/>
          <w:lang w:eastAsia="zh-CN"/>
        </w:rPr>
        <w:drawing>
          <wp:inline distT="0" distB="0" distL="114300" distR="114300">
            <wp:extent cx="5268595" cy="7447280"/>
            <wp:effectExtent l="0" t="0" r="8255" b="1270"/>
            <wp:docPr id="48" name="图片 48" descr="14-环卫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4-环卫工程规划图"/>
                    <pic:cNvPicPr>
                      <a:picLocks noChangeAspect="1"/>
                    </pic:cNvPicPr>
                  </pic:nvPicPr>
                  <pic:blipFill>
                    <a:blip r:embed="rId32"/>
                    <a:stretch>
                      <a:fillRect/>
                    </a:stretch>
                  </pic:blipFill>
                  <pic:spPr>
                    <a:xfrm>
                      <a:off x="0" y="0"/>
                      <a:ext cx="5268595" cy="7447280"/>
                    </a:xfrm>
                    <a:prstGeom prst="rect">
                      <a:avLst/>
                    </a:prstGeom>
                  </pic:spPr>
                </pic:pic>
              </a:graphicData>
            </a:graphic>
          </wp:inline>
        </w:drawing>
      </w:r>
    </w:p>
    <w:p/>
    <w:p/>
    <w:p/>
    <w:p/>
    <w:p>
      <w:pPr>
        <w:jc w:val="left"/>
        <w:rPr>
          <w:rFonts w:hint="eastAsia" w:eastAsiaTheme="minorEastAsia"/>
          <w:lang w:eastAsia="zh-CN"/>
        </w:rPr>
      </w:pPr>
      <w:r>
        <w:rPr>
          <w:rFonts w:hint="eastAsia" w:ascii="Times New Roman" w:hAnsi="Times New Roman" w:eastAsia="仿宋" w:cs="Times New Roman"/>
          <w:sz w:val="32"/>
          <w:szCs w:val="24"/>
          <w:lang w:val="en-US" w:eastAsia="zh-CN"/>
        </w:rPr>
        <w:t>附件15：</w:t>
      </w:r>
    </w:p>
    <w:p/>
    <w:p>
      <w:r>
        <w:drawing>
          <wp:inline distT="0" distB="0" distL="114300" distR="114300">
            <wp:extent cx="5372735" cy="7515225"/>
            <wp:effectExtent l="0" t="0" r="18415"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3"/>
                    <a:srcRect r="49988"/>
                    <a:stretch>
                      <a:fillRect/>
                    </a:stretch>
                  </pic:blipFill>
                  <pic:spPr>
                    <a:xfrm>
                      <a:off x="0" y="0"/>
                      <a:ext cx="5372735" cy="7515225"/>
                    </a:xfrm>
                    <a:prstGeom prst="rect">
                      <a:avLst/>
                    </a:prstGeom>
                  </pic:spPr>
                </pic:pic>
              </a:graphicData>
            </a:graphic>
          </wp:inline>
        </w:drawing>
      </w:r>
    </w:p>
    <w:p/>
    <w:p/>
    <w:p/>
    <w:p>
      <w:pPr>
        <w:rPr>
          <w:rFonts w:ascii="Times New Roman" w:hAnsi="Times New Roman" w:eastAsia="仿宋" w:cs="Times New Roman"/>
          <w:sz w:val="32"/>
          <w:szCs w:val="24"/>
        </w:rPr>
      </w:pPr>
      <w:r>
        <w:drawing>
          <wp:inline distT="0" distB="0" distL="114300" distR="114300">
            <wp:extent cx="5391785" cy="7515225"/>
            <wp:effectExtent l="0" t="0" r="18415"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3"/>
                    <a:srcRect l="50006" r="-195"/>
                    <a:stretch>
                      <a:fillRect/>
                    </a:stretch>
                  </pic:blipFill>
                  <pic:spPr>
                    <a:xfrm>
                      <a:off x="0" y="0"/>
                      <a:ext cx="5391785" cy="7515225"/>
                    </a:xfrm>
                    <a:prstGeom prst="rect">
                      <a:avLst/>
                    </a:prstGeom>
                  </pic:spPr>
                </pic:pic>
              </a:graphicData>
            </a:graphic>
          </wp:inline>
        </w:drawing>
      </w:r>
    </w:p>
    <w:p/>
    <w:p/>
    <w:p/>
    <w:p/>
    <w:p/>
    <w:p/>
    <w:p>
      <w:pPr>
        <w:jc w:val="left"/>
      </w:pPr>
      <w:r>
        <w:rPr>
          <w:rFonts w:hint="eastAsia" w:ascii="Times New Roman" w:hAnsi="Times New Roman" w:eastAsia="仿宋" w:cs="Times New Roman"/>
          <w:sz w:val="32"/>
          <w:szCs w:val="24"/>
          <w:lang w:val="en-US" w:eastAsia="zh-CN"/>
        </w:rPr>
        <w:t>附件16：</w:t>
      </w:r>
    </w:p>
    <w:p>
      <w:pPr>
        <w:jc w:val="center"/>
      </w:pPr>
      <w:r>
        <w:drawing>
          <wp:inline distT="0" distB="0" distL="114300" distR="114300">
            <wp:extent cx="4690745" cy="7733030"/>
            <wp:effectExtent l="0" t="0" r="14605"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4"/>
                    <a:stretch>
                      <a:fillRect/>
                    </a:stretch>
                  </pic:blipFill>
                  <pic:spPr>
                    <a:xfrm>
                      <a:off x="0" y="0"/>
                      <a:ext cx="4690745" cy="7733030"/>
                    </a:xfrm>
                    <a:prstGeom prst="rect">
                      <a:avLst/>
                    </a:prstGeom>
                    <a:noFill/>
                    <a:ln>
                      <a:noFill/>
                    </a:ln>
                  </pic:spPr>
                </pic:pic>
              </a:graphicData>
            </a:graphic>
          </wp:inline>
        </w:drawing>
      </w:r>
    </w:p>
    <w:p>
      <w:pPr>
        <w:jc w:val="center"/>
      </w:pPr>
    </w:p>
    <w:p>
      <w:pPr>
        <w:jc w:val="cente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06"/>
        <w:gridCol w:w="4826"/>
        <w:gridCol w:w="1416"/>
        <w:gridCol w:w="1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5000" w:type="pct"/>
            <w:gridSpan w:val="4"/>
            <w:tcBorders>
              <w:top w:val="nil"/>
              <w:left w:val="nil"/>
              <w:bottom w:val="nil"/>
              <w:right w:val="nil"/>
            </w:tcBorders>
            <w:shd w:val="clear"/>
            <w:noWrap/>
            <w:vAlign w:val="center"/>
          </w:tcPr>
          <w:p>
            <w:pPr>
              <w:keepNext w:val="0"/>
              <w:keepLines w:val="0"/>
              <w:widowControl/>
              <w:suppressLineNumbers w:val="0"/>
              <w:jc w:val="both"/>
              <w:textAlignment w:val="center"/>
              <w:rPr>
                <w:rFonts w:hint="eastAsia" w:ascii="Times New Roman" w:hAnsi="Times New Roman" w:eastAsia="仿宋" w:cs="Times New Roman"/>
                <w:sz w:val="32"/>
                <w:szCs w:val="24"/>
                <w:lang w:val="en-US" w:eastAsia="zh-CN"/>
              </w:rPr>
            </w:pPr>
            <w:r>
              <w:rPr>
                <w:rFonts w:hint="eastAsia" w:ascii="Times New Roman" w:hAnsi="Times New Roman" w:eastAsia="仿宋" w:cs="Times New Roman"/>
                <w:sz w:val="32"/>
                <w:szCs w:val="24"/>
                <w:lang w:val="en-US" w:eastAsia="zh-CN"/>
              </w:rPr>
              <w:t xml:space="preserve">附件17：      </w:t>
            </w: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000000"/>
                <w:sz w:val="36"/>
                <w:szCs w:val="36"/>
                <w:u w:val="none"/>
                <w:lang w:val="en-US"/>
              </w:rPr>
            </w:pPr>
            <w:bookmarkStart w:id="144" w:name="_GoBack"/>
            <w:bookmarkEnd w:id="144"/>
            <w:r>
              <w:rPr>
                <w:rFonts w:hint="eastAsia" w:ascii="方正小标宋简体" w:hAnsi="方正小标宋简体" w:eastAsia="方正小标宋简体" w:cs="方正小标宋简体"/>
                <w:i w:val="0"/>
                <w:iCs w:val="0"/>
                <w:color w:val="000000"/>
                <w:kern w:val="0"/>
                <w:sz w:val="36"/>
                <w:szCs w:val="36"/>
                <w:u w:val="none"/>
                <w:bdr w:val="none" w:color="auto" w:sz="0" w:space="0"/>
                <w:lang w:val="en-US" w:eastAsia="zh-CN" w:bidi="ar"/>
              </w:rPr>
              <w:t>开发区现状企业名录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序</w:t>
            </w:r>
            <w:r>
              <w:rPr>
                <w:rFonts w:hint="eastAsia" w:ascii="黑体" w:hAnsi="宋体" w:eastAsia="黑体" w:cs="黑体"/>
                <w:i w:val="0"/>
                <w:iCs w:val="0"/>
                <w:color w:val="000000"/>
                <w:kern w:val="0"/>
                <w:sz w:val="28"/>
                <w:szCs w:val="28"/>
                <w:u w:val="none"/>
                <w:bdr w:val="none" w:color="auto" w:sz="0" w:space="0"/>
                <w:lang w:val="en-US" w:eastAsia="zh-CN" w:bidi="ar"/>
              </w:rPr>
              <w:br w:type="textWrapping"/>
            </w:r>
            <w:r>
              <w:rPr>
                <w:rFonts w:hint="eastAsia" w:ascii="黑体" w:hAnsi="宋体" w:eastAsia="黑体" w:cs="黑体"/>
                <w:i w:val="0"/>
                <w:iCs w:val="0"/>
                <w:color w:val="000000"/>
                <w:kern w:val="0"/>
                <w:sz w:val="28"/>
                <w:szCs w:val="28"/>
                <w:u w:val="none"/>
                <w:bdr w:val="none" w:color="auto" w:sz="0" w:space="0"/>
                <w:lang w:val="en-US" w:eastAsia="zh-CN" w:bidi="ar"/>
              </w:rPr>
              <w:t>号</w:t>
            </w:r>
          </w:p>
        </w:tc>
        <w:tc>
          <w:tcPr>
            <w:tcW w:w="2844"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注册企业名称</w:t>
            </w:r>
          </w:p>
        </w:tc>
        <w:tc>
          <w:tcPr>
            <w:tcW w:w="794"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注册</w:t>
            </w:r>
            <w:r>
              <w:rPr>
                <w:rFonts w:hint="eastAsia" w:ascii="黑体" w:hAnsi="宋体" w:eastAsia="黑体" w:cs="黑体"/>
                <w:i w:val="0"/>
                <w:iCs w:val="0"/>
                <w:color w:val="000000"/>
                <w:kern w:val="0"/>
                <w:sz w:val="28"/>
                <w:szCs w:val="28"/>
                <w:u w:val="none"/>
                <w:bdr w:val="none" w:color="auto" w:sz="0" w:space="0"/>
                <w:lang w:val="en-US" w:eastAsia="zh-CN" w:bidi="ar"/>
              </w:rPr>
              <w:br w:type="textWrapping"/>
            </w:r>
            <w:r>
              <w:rPr>
                <w:rFonts w:hint="eastAsia" w:ascii="黑体" w:hAnsi="宋体" w:eastAsia="黑体" w:cs="黑体"/>
                <w:i w:val="0"/>
                <w:iCs w:val="0"/>
                <w:color w:val="000000"/>
                <w:kern w:val="0"/>
                <w:sz w:val="28"/>
                <w:szCs w:val="28"/>
                <w:u w:val="none"/>
                <w:bdr w:val="none" w:color="auto" w:sz="0" w:space="0"/>
                <w:lang w:val="en-US" w:eastAsia="zh-CN" w:bidi="ar"/>
              </w:rPr>
              <w:t>时间</w:t>
            </w:r>
          </w:p>
        </w:tc>
        <w:tc>
          <w:tcPr>
            <w:tcW w:w="1051"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行业</w:t>
            </w:r>
            <w:r>
              <w:rPr>
                <w:rFonts w:hint="eastAsia" w:ascii="黑体" w:hAnsi="宋体" w:eastAsia="黑体" w:cs="黑体"/>
                <w:i w:val="0"/>
                <w:iCs w:val="0"/>
                <w:color w:val="000000"/>
                <w:kern w:val="0"/>
                <w:sz w:val="28"/>
                <w:szCs w:val="28"/>
                <w:u w:val="none"/>
                <w:bdr w:val="none" w:color="auto" w:sz="0" w:space="0"/>
                <w:lang w:val="en-US" w:eastAsia="zh-CN" w:bidi="ar"/>
              </w:rPr>
              <w:br w:type="textWrapping"/>
            </w:r>
            <w:r>
              <w:rPr>
                <w:rFonts w:hint="eastAsia" w:ascii="黑体" w:hAnsi="宋体" w:eastAsia="黑体" w:cs="黑体"/>
                <w:i w:val="0"/>
                <w:iCs w:val="0"/>
                <w:color w:val="000000"/>
                <w:kern w:val="0"/>
                <w:sz w:val="28"/>
                <w:szCs w:val="28"/>
                <w:u w:val="none"/>
                <w:bdr w:val="none" w:color="auto" w:sz="0" w:space="0"/>
                <w:lang w:val="en-US" w:eastAsia="zh-CN" w:bidi="ar"/>
              </w:rPr>
              <w:t>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0"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c>
          <w:tcPr>
            <w:tcW w:w="284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2"/>
                <w:szCs w:val="22"/>
                <w:u w:val="none"/>
              </w:rPr>
            </w:pPr>
          </w:p>
        </w:tc>
        <w:tc>
          <w:tcPr>
            <w:tcW w:w="7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c>
          <w:tcPr>
            <w:tcW w:w="1051"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c>
          <w:tcPr>
            <w:tcW w:w="284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2"/>
                <w:szCs w:val="22"/>
                <w:u w:val="none"/>
              </w:rPr>
            </w:pPr>
          </w:p>
        </w:tc>
        <w:tc>
          <w:tcPr>
            <w:tcW w:w="7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c>
          <w:tcPr>
            <w:tcW w:w="1051"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辽宁安井食品有限公司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2013/07/23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鞍山市九股河食品有限责任公司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2010/08/31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鞍山元首食品有限公司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2012/11/13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辽宁禾丰蛋业有限公司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2021/04/23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鞍山丰盛食品有限公司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2017/05/12</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台安农开区污水处理有限公司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2018/10/23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园区管理服务业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鞍山星奥肉禽有限公司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2012/11/08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辽宁星源食品有限公司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2014/05/29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辽宁裕丰生物科技有限公司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2019/06/17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沈阳中达建筑工程有限公司台安分公司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2020/10/27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辽宁省誉达电气科技有限公司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2023/06/20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台安丰九牧业有限公司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2016/09/07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畜牧业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辽宁奥辉建设工程有限公司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2022/07/06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鞍山天润发物资有限公司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2019/01/15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批发零售业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鞍山德达食品有限公司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2018/07/06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台安县鑫安源包装有限公司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2013/03/07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纸制品制造业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辽宁好味道食品有限公司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2012/06/07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辽宁祥和食品有限公司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2011/05/25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辽宁隆瑞塑料包装有限公司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2012/07/17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塑料制品制造业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鞍山安润食品有限公司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2020/11/24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辽宁北晟食品有限公司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2020/12/25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台安博联运输有限公司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2016/06/13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道路运输业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台安路畅商务有限公司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2018/03/26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道路运输业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台安通航运输有限公司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2019/10/16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道路运输业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辽宁新镒建设工程有限公司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2020/06/04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辽宁德源商贸有限公司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2021/01/08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台安鑫顺运输有限公司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2019/03/15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道路运输业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辽宁星河食品有限公司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2021/1/4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辽宁好兄弟食品有限公司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2012/06/06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台安汇君生物质能源有限公司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2019/04/11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辽宁三品食品调味有限公司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2020/11/17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辽宁圣然食品有限公司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202/6/28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辽宁润茜天天一泉水业有限公司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2014/07/21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水生产和供应业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辽宁美汁果园饮品有限公司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2018/6/22</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饮料制造业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辽宁鑫华科技发展有限公司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2010/6/24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鞍山同泰食品有限责任公司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2019/1/24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餐饮业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台安奥德燃气有限公司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2005/5/9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燃气供应业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辽宁星河物流有限公司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2015/4/15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道路运输业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台安农开区建设发展集团有限公司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2019/1/4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园区管理服务业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台安农开区人力资源服务有限公司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2015/10/9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园区管理服务业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台安农开区物业管理服务有限公司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2023/3/16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园区管理服务业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台安农开区招商有限公司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2023/3/16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园区管理服务业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台安惠民市政工程有限公司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2020/5/6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辽宁申鸿环保科技有限公司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2020/2/24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鞍山百德工程有限公司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2020/11/19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辽宁泓昌海运有限公司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2018/1/30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台安佳屹化工有限公司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2018/3/19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辽宁新嘉鲜食品有限公司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2019/12/23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鞍山嘉利商贸有限公司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2019/11/29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鞍山依兰索娅水业有限公司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2017/6/21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睡生产和供应业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台安新玉安食品有限公司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2021/6/16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贝托尼新材料（辽宁）有限公司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2021/11/30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欣钰（鞍山）农业科学研究和试验发展有限公司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2021/11/16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教育培训业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欣钰职业技能培训学校</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2022/2/28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教育培训业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鞍山鹍鹏工艺品有限公司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2022/7/18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鞍山盛世发煤炭有限公司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2022/7/27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辽宁正泽科技集团有限公司台安分公司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2022/8/8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辽宁嘉翼工程项目管理有限公司台安分公司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2022/8/19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鞍山大盘国际贸易有限公司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2023/1/10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批发业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台安华联运输有限公司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2017/4/18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辽宁隆通物流有限公司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2023/2/17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台安景程运输有限公司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2022/11/30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辽宁众兴项目管理有限责任公司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2023/4/27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辽宁安九动物营养食品有限公司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2023/6/6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农副产品加工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沈阳北帜农业设计院有限公司台安分公司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2023/4/4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辽宁鑫盛食品有限公司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2022/9/7</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辽宁农清水务有限公司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2023/8/3</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辽宁御风节能新能源有限公司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2023/8/11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69</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台安皓业运输有限公司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2019/5/24</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70</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辽宁康博士制药有限公司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1999/2/5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医药制造业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71</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鞍山智邦化工有限公司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2000/9/1</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医药制造业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72</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鞍山金典生物工程有限公司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2003/11/10</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医药制造业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73</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辽宁嘉顺时代医药发展有限公司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2014/11/26</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医药制造业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74</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洲际速联供应链（辽宁）有限公司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2023/4/18</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75</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大连正和建筑设计有限公司鞍山分公司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2023/4/25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76</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鞍山树茂建筑工程有限公司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2023/1/5</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09"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77</w:t>
            </w:r>
          </w:p>
        </w:tc>
        <w:tc>
          <w:tcPr>
            <w:tcW w:w="28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鞍山鑫吉信通信技术服务有限公司</w:t>
            </w:r>
          </w:p>
        </w:tc>
        <w:tc>
          <w:tcPr>
            <w:tcW w:w="7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2023/1/9</w:t>
            </w:r>
          </w:p>
        </w:tc>
        <w:tc>
          <w:tcPr>
            <w:tcW w:w="105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信息技术服务业</w:t>
            </w:r>
          </w:p>
        </w:tc>
      </w:tr>
    </w:tbl>
    <w:p>
      <w:pPr>
        <w:jc w:val="both"/>
      </w:pPr>
    </w:p>
    <w:sectPr>
      <w:footerReference r:id="rId5" w:type="firs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039E23-0D40-4AD7-8395-8AD669656E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CE08ADF0-9456-47B9-9D12-220E614D7F25}"/>
  </w:font>
  <w:font w:name="仿宋">
    <w:panose1 w:val="02010609060101010101"/>
    <w:charset w:val="86"/>
    <w:family w:val="modern"/>
    <w:pitch w:val="default"/>
    <w:sig w:usb0="800002BF" w:usb1="38CF7CFA" w:usb2="00000016" w:usb3="00000000" w:csb0="00040001" w:csb1="00000000"/>
    <w:embedRegular r:id="rId3" w:fontKey="{2E8B2817-3376-4919-966E-B73CACD4D558}"/>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4" w:fontKey="{D9193425-BB96-4FF7-B865-48B136514487}"/>
  </w:font>
  <w:font w:name="楷体">
    <w:panose1 w:val="02010609060101010101"/>
    <w:charset w:val="86"/>
    <w:family w:val="modern"/>
    <w:pitch w:val="default"/>
    <w:sig w:usb0="800002BF" w:usb1="38CF7CFA" w:usb2="00000016" w:usb3="00000000" w:csb0="00040001" w:csb1="00000000"/>
    <w:embedRegular r:id="rId5" w:fontKey="{D1D91E1D-2FFD-4C75-BF17-D1C685786CC9}"/>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0645385"/>
                          </w:sdtPr>
                          <w:sdtContent>
                            <w:p>
                              <w:pPr>
                                <w:pStyle w:val="10"/>
                                <w:jc w:val="right"/>
                              </w:pPr>
                              <w:r>
                                <w:fldChar w:fldCharType="begin"/>
                              </w:r>
                              <w:r>
                                <w:instrText xml:space="preserve">PAGE   \* MERGEFORMAT</w:instrText>
                              </w:r>
                              <w:r>
                                <w:fldChar w:fldCharType="separate"/>
                              </w:r>
                              <w:r>
                                <w:rPr>
                                  <w:lang w:val="zh-CN"/>
                                </w:rPr>
                                <w:t>74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1140645385"/>
                    </w:sdtPr>
                    <w:sdtContent>
                      <w:p>
                        <w:pPr>
                          <w:pStyle w:val="10"/>
                          <w:jc w:val="right"/>
                        </w:pPr>
                        <w:r>
                          <w:fldChar w:fldCharType="begin"/>
                        </w:r>
                        <w:r>
                          <w:instrText xml:space="preserve">PAGE   \* MERGEFORMAT</w:instrText>
                        </w:r>
                        <w:r>
                          <w:fldChar w:fldCharType="separate"/>
                        </w:r>
                        <w:r>
                          <w:rPr>
                            <w:lang w:val="zh-CN"/>
                          </w:rPr>
                          <w:t>74</w:t>
                        </w:r>
                        <w:r>
                          <w:fldChar w:fldCharType="end"/>
                        </w:r>
                      </w:p>
                    </w:sdtContent>
                  </w:sdt>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15"/>
        <w:szCs w:val="15"/>
      </w:rPr>
    </w:pPr>
    <w:r>
      <w:rPr>
        <w:rFonts w:hint="eastAsia" w:ascii="宋体" w:hAnsi="宋体" w:eastAsia="宋体" w:cs="Times New Roman"/>
        <w:kern w:val="0"/>
        <w:sz w:val="15"/>
        <w:szCs w:val="15"/>
      </w:rPr>
      <w:t>辽宁</w:t>
    </w:r>
    <w:r>
      <w:rPr>
        <w:rFonts w:ascii="宋体" w:hAnsi="宋体" w:eastAsia="宋体" w:cs="Times New Roman"/>
        <w:kern w:val="0"/>
        <w:sz w:val="15"/>
        <w:szCs w:val="15"/>
      </w:rPr>
      <w:t>台安高新农业产业开发区产业发展与空间提升规划</w:t>
    </w:r>
    <w:r>
      <w:rPr>
        <w:rFonts w:hint="eastAsia" w:ascii="宋体" w:hAnsi="宋体" w:eastAsia="宋体" w:cs="Times New Roman"/>
        <w:kern w:val="0"/>
        <w:sz w:val="15"/>
        <w:szCs w:val="15"/>
      </w:rPr>
      <w:t>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8258A6"/>
    <w:multiLevelType w:val="multilevel"/>
    <w:tmpl w:val="158258A6"/>
    <w:lvl w:ilvl="0" w:tentative="0">
      <w:start w:val="1"/>
      <w:numFmt w:val="decimal"/>
      <w:lvlText w:val="（%1）"/>
      <w:lvlJc w:val="left"/>
      <w:pPr>
        <w:ind w:left="1060" w:hanging="4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34D34FCA"/>
    <w:multiLevelType w:val="multilevel"/>
    <w:tmpl w:val="34D34FCA"/>
    <w:lvl w:ilvl="0" w:tentative="0">
      <w:start w:val="1"/>
      <w:numFmt w:val="decimal"/>
      <w:pStyle w:val="27"/>
      <w:lvlText w:val="第%1章"/>
      <w:lvlJc w:val="left"/>
      <w:pPr>
        <w:ind w:left="0" w:firstLine="0"/>
      </w:pPr>
      <w:rPr>
        <w:rFonts w:hint="eastAsia"/>
      </w:rPr>
    </w:lvl>
    <w:lvl w:ilvl="1" w:tentative="0">
      <w:start w:val="1"/>
      <w:numFmt w:val="decimal"/>
      <w:pStyle w:val="28"/>
      <w:lvlText w:val="%1.%2"/>
      <w:lvlJc w:val="left"/>
      <w:pPr>
        <w:ind w:left="0" w:firstLine="0"/>
      </w:pPr>
      <w:rPr>
        <w:rFonts w:hint="eastAsia"/>
      </w:rPr>
    </w:lvl>
    <w:lvl w:ilvl="2" w:tentative="0">
      <w:start w:val="1"/>
      <w:numFmt w:val="decimal"/>
      <w:lvlText w:val="%1.%2.%3"/>
      <w:lvlJc w:val="left"/>
      <w:pPr>
        <w:ind w:left="0" w:firstLine="0"/>
      </w:pPr>
      <w:rPr>
        <w:rFonts w:hint="eastAsia"/>
        <w:lang w:val="en-US"/>
      </w:rPr>
    </w:lvl>
    <w:lvl w:ilvl="3" w:tentative="0">
      <w:start w:val="1"/>
      <w:numFmt w:val="chineseCountingThousand"/>
      <w:lvlText w:val="（%4）"/>
      <w:lvlJc w:val="left"/>
      <w:pPr>
        <w:ind w:left="0" w:firstLine="0"/>
      </w:pPr>
      <w:rPr>
        <w:rFonts w:hint="eastAsia"/>
      </w:rPr>
    </w:lvl>
    <w:lvl w:ilvl="4" w:tentative="0">
      <w:start w:val="1"/>
      <w:numFmt w:val="decimal"/>
      <w:lvlText w:val="（%5）"/>
      <w:lvlJc w:val="left"/>
      <w:pPr>
        <w:ind w:left="0" w:firstLine="0"/>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41337065"/>
    <w:multiLevelType w:val="multilevel"/>
    <w:tmpl w:val="41337065"/>
    <w:lvl w:ilvl="0" w:tentative="0">
      <w:start w:val="1"/>
      <w:numFmt w:val="decimal"/>
      <w:lvlText w:val="%1."/>
      <w:lvlJc w:val="left"/>
      <w:pPr>
        <w:tabs>
          <w:tab w:val="left" w:pos="505"/>
        </w:tabs>
        <w:ind w:left="448" w:hanging="563"/>
      </w:pPr>
      <w:rPr>
        <w:rFonts w:hint="eastAsia" w:eastAsia="黑体"/>
        <w:b/>
        <w:i w:val="0"/>
        <w:sz w:val="32"/>
        <w:szCs w:val="32"/>
      </w:rPr>
    </w:lvl>
    <w:lvl w:ilvl="1" w:tentative="0">
      <w:start w:val="0"/>
      <w:numFmt w:val="decimal"/>
      <w:pStyle w:val="35"/>
      <w:isLgl/>
      <w:lvlText w:val="%2"/>
      <w:lvlJc w:val="left"/>
      <w:pPr>
        <w:tabs>
          <w:tab w:val="left" w:pos="0"/>
        </w:tabs>
        <w:ind w:left="0" w:firstLine="0"/>
      </w:pPr>
      <w:rPr>
        <w:rFonts w:hint="eastAsia" w:ascii="黑体" w:eastAsia="黑体"/>
        <w:b/>
        <w:i w:val="0"/>
      </w:rPr>
    </w:lvl>
    <w:lvl w:ilvl="2" w:tentative="0">
      <w:start w:val="1"/>
      <w:numFmt w:val="decimal"/>
      <w:lvlText w:val="%2.%3"/>
      <w:lvlJc w:val="left"/>
      <w:pPr>
        <w:tabs>
          <w:tab w:val="left" w:pos="680"/>
        </w:tabs>
        <w:ind w:left="1357" w:hanging="709"/>
      </w:pPr>
      <w:rPr>
        <w:rFonts w:hint="default" w:ascii="Arial" w:hAnsi="Arial" w:eastAsia="宋体"/>
        <w:b/>
        <w:i w:val="0"/>
        <w:sz w:val="24"/>
        <w:szCs w:val="24"/>
      </w:rPr>
    </w:lvl>
    <w:lvl w:ilvl="3" w:tentative="0">
      <w:start w:val="1"/>
      <w:numFmt w:val="decimal"/>
      <w:suff w:val="space"/>
      <w:lvlText w:val="%2.%3.%4."/>
      <w:lvlJc w:val="left"/>
      <w:pPr>
        <w:ind w:left="3639" w:hanging="851"/>
      </w:pPr>
      <w:rPr>
        <w:rFonts w:hint="eastAsia" w:ascii="宋体" w:hAnsi="Arial" w:eastAsia="宋体"/>
        <w:b/>
        <w:i w:val="0"/>
        <w:sz w:val="24"/>
        <w:szCs w:val="24"/>
      </w:rPr>
    </w:lvl>
    <w:lvl w:ilvl="4" w:tentative="0">
      <w:start w:val="1"/>
      <w:numFmt w:val="decimal"/>
      <w:suff w:val="space"/>
      <w:lvlText w:val="（%5）"/>
      <w:lvlJc w:val="left"/>
      <w:pPr>
        <w:ind w:left="-26" w:firstLine="567"/>
      </w:pPr>
      <w:rPr>
        <w:rFonts w:hint="eastAsia"/>
      </w:rPr>
    </w:lvl>
    <w:lvl w:ilvl="5" w:tentative="0">
      <w:start w:val="1"/>
      <w:numFmt w:val="decimal"/>
      <w:lvlText w:val="%6%1"/>
      <w:lvlJc w:val="left"/>
      <w:pPr>
        <w:tabs>
          <w:tab w:val="left" w:pos="1019"/>
        </w:tabs>
        <w:ind w:left="1019" w:hanging="1134"/>
      </w:pPr>
      <w:rPr>
        <w:rFonts w:hint="eastAsia"/>
      </w:rPr>
    </w:lvl>
    <w:lvl w:ilvl="6" w:tentative="0">
      <w:start w:val="1"/>
      <w:numFmt w:val="decimal"/>
      <w:lvlText w:val="%7%1"/>
      <w:lvlJc w:val="left"/>
      <w:pPr>
        <w:tabs>
          <w:tab w:val="left" w:pos="1161"/>
        </w:tabs>
        <w:ind w:left="1161" w:hanging="1276"/>
      </w:pPr>
      <w:rPr>
        <w:rFonts w:hint="eastAsia"/>
      </w:rPr>
    </w:lvl>
    <w:lvl w:ilvl="7" w:tentative="0">
      <w:start w:val="1"/>
      <w:numFmt w:val="decimal"/>
      <w:lvlText w:val="%1"/>
      <w:lvlJc w:val="left"/>
      <w:pPr>
        <w:tabs>
          <w:tab w:val="left" w:pos="1303"/>
        </w:tabs>
        <w:ind w:left="1303" w:hanging="1418"/>
      </w:pPr>
      <w:rPr>
        <w:rFonts w:hint="eastAsia"/>
      </w:rPr>
    </w:lvl>
    <w:lvl w:ilvl="8" w:tentative="0">
      <w:start w:val="1"/>
      <w:numFmt w:val="decimal"/>
      <w:lvlText w:val="%9%1"/>
      <w:lvlJc w:val="left"/>
      <w:pPr>
        <w:tabs>
          <w:tab w:val="left" w:pos="1444"/>
        </w:tabs>
        <w:ind w:left="1444" w:hanging="1559"/>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kYWNmNzBhYzk3MDkzMDczOTQxZmJiZGY0MmMyMjQifQ=="/>
  </w:docVars>
  <w:rsids>
    <w:rsidRoot w:val="00333CED"/>
    <w:rsid w:val="00000BC7"/>
    <w:rsid w:val="00014D5A"/>
    <w:rsid w:val="00045B43"/>
    <w:rsid w:val="00085653"/>
    <w:rsid w:val="000B11FB"/>
    <w:rsid w:val="000C78BA"/>
    <w:rsid w:val="000E3D64"/>
    <w:rsid w:val="00114735"/>
    <w:rsid w:val="001407F2"/>
    <w:rsid w:val="00147D2D"/>
    <w:rsid w:val="00184036"/>
    <w:rsid w:val="001924F7"/>
    <w:rsid w:val="001B0F0D"/>
    <w:rsid w:val="001C1B05"/>
    <w:rsid w:val="001D2108"/>
    <w:rsid w:val="001D3B4C"/>
    <w:rsid w:val="00216AE9"/>
    <w:rsid w:val="00234FF4"/>
    <w:rsid w:val="00254B3A"/>
    <w:rsid w:val="00255D36"/>
    <w:rsid w:val="002605D3"/>
    <w:rsid w:val="0026480F"/>
    <w:rsid w:val="00276517"/>
    <w:rsid w:val="00295F5F"/>
    <w:rsid w:val="0029652E"/>
    <w:rsid w:val="002A49BB"/>
    <w:rsid w:val="002B6793"/>
    <w:rsid w:val="002D57B6"/>
    <w:rsid w:val="00333CED"/>
    <w:rsid w:val="00334B06"/>
    <w:rsid w:val="00336598"/>
    <w:rsid w:val="00362B9A"/>
    <w:rsid w:val="00382BCD"/>
    <w:rsid w:val="00385A92"/>
    <w:rsid w:val="003873C9"/>
    <w:rsid w:val="003938A9"/>
    <w:rsid w:val="003A657B"/>
    <w:rsid w:val="003D3732"/>
    <w:rsid w:val="003D7D1D"/>
    <w:rsid w:val="0044362A"/>
    <w:rsid w:val="00461641"/>
    <w:rsid w:val="00465C79"/>
    <w:rsid w:val="00486B41"/>
    <w:rsid w:val="00495FCD"/>
    <w:rsid w:val="00594AEB"/>
    <w:rsid w:val="005B5138"/>
    <w:rsid w:val="005D6D57"/>
    <w:rsid w:val="006042BC"/>
    <w:rsid w:val="006055E9"/>
    <w:rsid w:val="00614A8F"/>
    <w:rsid w:val="0062521D"/>
    <w:rsid w:val="00631404"/>
    <w:rsid w:val="0065551E"/>
    <w:rsid w:val="00687726"/>
    <w:rsid w:val="00687F26"/>
    <w:rsid w:val="006A248F"/>
    <w:rsid w:val="006B7AE2"/>
    <w:rsid w:val="00741002"/>
    <w:rsid w:val="007776F9"/>
    <w:rsid w:val="007D4F15"/>
    <w:rsid w:val="007F03F2"/>
    <w:rsid w:val="007F2E98"/>
    <w:rsid w:val="007F512A"/>
    <w:rsid w:val="0081150C"/>
    <w:rsid w:val="00811FE8"/>
    <w:rsid w:val="008202AC"/>
    <w:rsid w:val="00867E76"/>
    <w:rsid w:val="00871271"/>
    <w:rsid w:val="00872BFC"/>
    <w:rsid w:val="00883FBF"/>
    <w:rsid w:val="00891A4E"/>
    <w:rsid w:val="008B3E34"/>
    <w:rsid w:val="008C55D7"/>
    <w:rsid w:val="008C66A8"/>
    <w:rsid w:val="009256C7"/>
    <w:rsid w:val="00934BA1"/>
    <w:rsid w:val="009535E2"/>
    <w:rsid w:val="00970613"/>
    <w:rsid w:val="00984CDE"/>
    <w:rsid w:val="00994B4B"/>
    <w:rsid w:val="00A26A20"/>
    <w:rsid w:val="00A447E6"/>
    <w:rsid w:val="00A55C24"/>
    <w:rsid w:val="00A619D5"/>
    <w:rsid w:val="00A61C07"/>
    <w:rsid w:val="00A74E86"/>
    <w:rsid w:val="00A777B3"/>
    <w:rsid w:val="00A83A9C"/>
    <w:rsid w:val="00AD7E20"/>
    <w:rsid w:val="00AE4206"/>
    <w:rsid w:val="00B05C34"/>
    <w:rsid w:val="00B062E2"/>
    <w:rsid w:val="00B34101"/>
    <w:rsid w:val="00B519C7"/>
    <w:rsid w:val="00B81F13"/>
    <w:rsid w:val="00BC037B"/>
    <w:rsid w:val="00BD340A"/>
    <w:rsid w:val="00BF7EE7"/>
    <w:rsid w:val="00C001A1"/>
    <w:rsid w:val="00C47D2C"/>
    <w:rsid w:val="00C558E8"/>
    <w:rsid w:val="00C600A0"/>
    <w:rsid w:val="00C80094"/>
    <w:rsid w:val="00C82942"/>
    <w:rsid w:val="00C83858"/>
    <w:rsid w:val="00C9764D"/>
    <w:rsid w:val="00CD4630"/>
    <w:rsid w:val="00D21F27"/>
    <w:rsid w:val="00D87F7B"/>
    <w:rsid w:val="00D967DA"/>
    <w:rsid w:val="00E06B00"/>
    <w:rsid w:val="00E13C59"/>
    <w:rsid w:val="00E219BF"/>
    <w:rsid w:val="00EA701E"/>
    <w:rsid w:val="00EB35BB"/>
    <w:rsid w:val="00EC5505"/>
    <w:rsid w:val="00ED6117"/>
    <w:rsid w:val="00EE2393"/>
    <w:rsid w:val="00EF41C0"/>
    <w:rsid w:val="00F23F3A"/>
    <w:rsid w:val="00F27AB0"/>
    <w:rsid w:val="00F40381"/>
    <w:rsid w:val="00F56EBA"/>
    <w:rsid w:val="00F62737"/>
    <w:rsid w:val="00F71F10"/>
    <w:rsid w:val="00F90229"/>
    <w:rsid w:val="00FA5C12"/>
    <w:rsid w:val="00FA7FEE"/>
    <w:rsid w:val="00FC5C39"/>
    <w:rsid w:val="04D640E8"/>
    <w:rsid w:val="04F3493C"/>
    <w:rsid w:val="15B411DE"/>
    <w:rsid w:val="272E53CD"/>
    <w:rsid w:val="27806CA5"/>
    <w:rsid w:val="2BCE36C7"/>
    <w:rsid w:val="2CFE6156"/>
    <w:rsid w:val="30957633"/>
    <w:rsid w:val="33786A18"/>
    <w:rsid w:val="3BF92F0D"/>
    <w:rsid w:val="48657D3A"/>
    <w:rsid w:val="49E836F5"/>
    <w:rsid w:val="4A313208"/>
    <w:rsid w:val="4B75056F"/>
    <w:rsid w:val="4BD96E37"/>
    <w:rsid w:val="4CE10A44"/>
    <w:rsid w:val="4DBD4F44"/>
    <w:rsid w:val="4F1957BA"/>
    <w:rsid w:val="50B53944"/>
    <w:rsid w:val="53804579"/>
    <w:rsid w:val="540D1C52"/>
    <w:rsid w:val="5584622A"/>
    <w:rsid w:val="5FA213BB"/>
    <w:rsid w:val="60342220"/>
    <w:rsid w:val="62A33292"/>
    <w:rsid w:val="6A5E0A23"/>
    <w:rsid w:val="6C276CBC"/>
    <w:rsid w:val="71BC7007"/>
    <w:rsid w:val="739F6935"/>
    <w:rsid w:val="79EC7197"/>
    <w:rsid w:val="7A1F5AB4"/>
    <w:rsid w:val="7A55532C"/>
    <w:rsid w:val="7C346BC6"/>
    <w:rsid w:val="7CBF5C64"/>
    <w:rsid w:val="7E747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autoRedefine/>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29"/>
    <w:autoRedefine/>
    <w:qFormat/>
    <w:uiPriority w:val="0"/>
    <w:pPr>
      <w:keepNext/>
      <w:keepLines/>
      <w:spacing w:line="360" w:lineRule="auto"/>
      <w:ind w:firstLine="1040" w:firstLineChars="200"/>
      <w:jc w:val="left"/>
      <w:outlineLvl w:val="2"/>
    </w:pPr>
    <w:rPr>
      <w:rFonts w:ascii="Times New Roman" w:hAnsi="Times New Roman" w:eastAsia="仿宋" w:cs="Times New Roman"/>
      <w:b/>
      <w:sz w:val="32"/>
      <w:szCs w:val="24"/>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4">
    <w:name w:val="toc 7"/>
    <w:basedOn w:val="1"/>
    <w:next w:val="1"/>
    <w:autoRedefine/>
    <w:unhideWhenUsed/>
    <w:qFormat/>
    <w:uiPriority w:val="39"/>
    <w:pPr>
      <w:ind w:left="2520" w:leftChars="1200"/>
    </w:pPr>
  </w:style>
  <w:style w:type="paragraph" w:styleId="5">
    <w:name w:val="Body Text"/>
    <w:basedOn w:val="1"/>
    <w:link w:val="32"/>
    <w:autoRedefine/>
    <w:semiHidden/>
    <w:unhideWhenUsed/>
    <w:qFormat/>
    <w:uiPriority w:val="99"/>
    <w:pPr>
      <w:spacing w:after="120"/>
    </w:pPr>
  </w:style>
  <w:style w:type="paragraph" w:styleId="6">
    <w:name w:val="toc 5"/>
    <w:basedOn w:val="1"/>
    <w:next w:val="1"/>
    <w:autoRedefine/>
    <w:unhideWhenUsed/>
    <w:qFormat/>
    <w:uiPriority w:val="39"/>
    <w:pPr>
      <w:ind w:left="1680" w:leftChars="800"/>
    </w:pPr>
  </w:style>
  <w:style w:type="paragraph" w:styleId="7">
    <w:name w:val="toc 3"/>
    <w:basedOn w:val="1"/>
    <w:next w:val="1"/>
    <w:autoRedefine/>
    <w:unhideWhenUsed/>
    <w:qFormat/>
    <w:uiPriority w:val="39"/>
    <w:pPr>
      <w:ind w:left="840" w:leftChars="400"/>
    </w:pPr>
  </w:style>
  <w:style w:type="paragraph" w:styleId="8">
    <w:name w:val="toc 8"/>
    <w:basedOn w:val="1"/>
    <w:next w:val="1"/>
    <w:autoRedefine/>
    <w:unhideWhenUsed/>
    <w:qFormat/>
    <w:uiPriority w:val="39"/>
    <w:pPr>
      <w:ind w:left="2940" w:leftChars="1400"/>
    </w:pPr>
  </w:style>
  <w:style w:type="paragraph" w:styleId="9">
    <w:name w:val="Balloon Text"/>
    <w:basedOn w:val="1"/>
    <w:link w:val="37"/>
    <w:autoRedefine/>
    <w:semiHidden/>
    <w:unhideWhenUsed/>
    <w:qFormat/>
    <w:uiPriority w:val="99"/>
    <w:rPr>
      <w:sz w:val="18"/>
      <w:szCs w:val="18"/>
    </w:rPr>
  </w:style>
  <w:style w:type="paragraph" w:styleId="10">
    <w:name w:val="footer"/>
    <w:basedOn w:val="1"/>
    <w:link w:val="26"/>
    <w:autoRedefine/>
    <w:unhideWhenUsed/>
    <w:qFormat/>
    <w:uiPriority w:val="99"/>
    <w:pPr>
      <w:tabs>
        <w:tab w:val="center" w:pos="4153"/>
        <w:tab w:val="right" w:pos="8306"/>
      </w:tabs>
      <w:snapToGrid w:val="0"/>
      <w:jc w:val="left"/>
    </w:pPr>
    <w:rPr>
      <w:sz w:val="18"/>
      <w:szCs w:val="18"/>
    </w:rPr>
  </w:style>
  <w:style w:type="paragraph" w:styleId="11">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4"/>
    <w:basedOn w:val="1"/>
    <w:next w:val="1"/>
    <w:autoRedefine/>
    <w:unhideWhenUsed/>
    <w:qFormat/>
    <w:uiPriority w:val="39"/>
    <w:pPr>
      <w:ind w:left="1260" w:leftChars="600"/>
    </w:pPr>
  </w:style>
  <w:style w:type="paragraph" w:styleId="14">
    <w:name w:val="toc 6"/>
    <w:basedOn w:val="1"/>
    <w:next w:val="1"/>
    <w:autoRedefine/>
    <w:unhideWhenUsed/>
    <w:qFormat/>
    <w:uiPriority w:val="39"/>
    <w:pPr>
      <w:ind w:left="2100" w:leftChars="1000"/>
    </w:pPr>
  </w:style>
  <w:style w:type="paragraph" w:styleId="15">
    <w:name w:val="toc 2"/>
    <w:basedOn w:val="1"/>
    <w:next w:val="1"/>
    <w:autoRedefine/>
    <w:unhideWhenUsed/>
    <w:qFormat/>
    <w:uiPriority w:val="39"/>
    <w:pPr>
      <w:ind w:left="420" w:leftChars="200"/>
    </w:pPr>
  </w:style>
  <w:style w:type="paragraph" w:styleId="16">
    <w:name w:val="toc 9"/>
    <w:basedOn w:val="1"/>
    <w:next w:val="1"/>
    <w:autoRedefine/>
    <w:unhideWhenUsed/>
    <w:qFormat/>
    <w:uiPriority w:val="39"/>
    <w:pPr>
      <w:ind w:left="3360" w:leftChars="1600"/>
    </w:pPr>
  </w:style>
  <w:style w:type="paragraph" w:styleId="17">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Body Text First Indent"/>
    <w:basedOn w:val="5"/>
    <w:link w:val="34"/>
    <w:autoRedefine/>
    <w:qFormat/>
    <w:uiPriority w:val="0"/>
    <w:pPr>
      <w:ind w:firstLine="420" w:firstLineChars="100"/>
    </w:pPr>
    <w:rPr>
      <w:rFonts w:ascii="Times New Roman" w:hAnsi="Times New Roman" w:eastAsia="宋体" w:cs="Times New Roman"/>
      <w:sz w:val="28"/>
      <w:szCs w:val="24"/>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22"/>
    <w:rPr>
      <w:b/>
      <w:bCs/>
    </w:rPr>
  </w:style>
  <w:style w:type="character" w:styleId="23">
    <w:name w:val="Emphasis"/>
    <w:basedOn w:val="21"/>
    <w:autoRedefine/>
    <w:qFormat/>
    <w:uiPriority w:val="20"/>
    <w:rPr>
      <w:i/>
      <w:iCs/>
    </w:rPr>
  </w:style>
  <w:style w:type="character" w:styleId="24">
    <w:name w:val="Hyperlink"/>
    <w:basedOn w:val="21"/>
    <w:autoRedefine/>
    <w:unhideWhenUsed/>
    <w:qFormat/>
    <w:uiPriority w:val="99"/>
    <w:rPr>
      <w:color w:val="0000FF"/>
      <w:u w:val="single"/>
    </w:rPr>
  </w:style>
  <w:style w:type="character" w:customStyle="1" w:styleId="25">
    <w:name w:val="页眉 Char"/>
    <w:basedOn w:val="21"/>
    <w:link w:val="11"/>
    <w:autoRedefine/>
    <w:qFormat/>
    <w:uiPriority w:val="99"/>
    <w:rPr>
      <w:sz w:val="18"/>
      <w:szCs w:val="18"/>
    </w:rPr>
  </w:style>
  <w:style w:type="character" w:customStyle="1" w:styleId="26">
    <w:name w:val="页脚 Char"/>
    <w:basedOn w:val="21"/>
    <w:link w:val="10"/>
    <w:autoRedefine/>
    <w:qFormat/>
    <w:uiPriority w:val="99"/>
    <w:rPr>
      <w:sz w:val="18"/>
      <w:szCs w:val="18"/>
    </w:rPr>
  </w:style>
  <w:style w:type="paragraph" w:customStyle="1" w:styleId="27">
    <w:name w:val="tj说明书-标题1"/>
    <w:basedOn w:val="1"/>
    <w:autoRedefine/>
    <w:qFormat/>
    <w:uiPriority w:val="0"/>
    <w:pPr>
      <w:numPr>
        <w:ilvl w:val="0"/>
        <w:numId w:val="1"/>
      </w:numPr>
    </w:pPr>
  </w:style>
  <w:style w:type="paragraph" w:customStyle="1" w:styleId="28">
    <w:name w:val="tj说明书-标题2"/>
    <w:basedOn w:val="1"/>
    <w:autoRedefine/>
    <w:qFormat/>
    <w:uiPriority w:val="0"/>
    <w:pPr>
      <w:numPr>
        <w:ilvl w:val="1"/>
        <w:numId w:val="1"/>
      </w:numPr>
    </w:pPr>
  </w:style>
  <w:style w:type="character" w:customStyle="1" w:styleId="29">
    <w:name w:val="标题 3 Char"/>
    <w:basedOn w:val="21"/>
    <w:link w:val="3"/>
    <w:autoRedefine/>
    <w:qFormat/>
    <w:uiPriority w:val="0"/>
    <w:rPr>
      <w:rFonts w:ascii="Times New Roman" w:hAnsi="Times New Roman" w:eastAsia="仿宋" w:cs="Times New Roman"/>
      <w:b/>
      <w:sz w:val="32"/>
      <w:szCs w:val="24"/>
    </w:rPr>
  </w:style>
  <w:style w:type="character" w:customStyle="1" w:styleId="30">
    <w:name w:val="标题 1 Char"/>
    <w:basedOn w:val="21"/>
    <w:link w:val="2"/>
    <w:autoRedefine/>
    <w:qFormat/>
    <w:uiPriority w:val="9"/>
    <w:rPr>
      <w:b/>
      <w:bCs/>
      <w:kern w:val="44"/>
      <w:sz w:val="44"/>
      <w:szCs w:val="44"/>
    </w:rPr>
  </w:style>
  <w:style w:type="paragraph" w:styleId="31">
    <w:name w:val="List Paragraph"/>
    <w:basedOn w:val="1"/>
    <w:autoRedefine/>
    <w:qFormat/>
    <w:uiPriority w:val="0"/>
    <w:pPr>
      <w:ind w:firstLine="420" w:firstLineChars="200"/>
    </w:pPr>
  </w:style>
  <w:style w:type="character" w:customStyle="1" w:styleId="32">
    <w:name w:val="正文文本 Char"/>
    <w:basedOn w:val="21"/>
    <w:link w:val="5"/>
    <w:autoRedefine/>
    <w:semiHidden/>
    <w:qFormat/>
    <w:uiPriority w:val="99"/>
  </w:style>
  <w:style w:type="character" w:customStyle="1" w:styleId="33">
    <w:name w:val="正文首行缩进 Char"/>
    <w:basedOn w:val="32"/>
    <w:autoRedefine/>
    <w:semiHidden/>
    <w:qFormat/>
    <w:uiPriority w:val="99"/>
  </w:style>
  <w:style w:type="character" w:customStyle="1" w:styleId="34">
    <w:name w:val="正文首行缩进 Char1"/>
    <w:basedOn w:val="21"/>
    <w:link w:val="18"/>
    <w:autoRedefine/>
    <w:qFormat/>
    <w:uiPriority w:val="0"/>
    <w:rPr>
      <w:rFonts w:ascii="Times New Roman" w:hAnsi="Times New Roman" w:eastAsia="宋体" w:cs="Times New Roman"/>
      <w:sz w:val="28"/>
      <w:szCs w:val="24"/>
    </w:rPr>
  </w:style>
  <w:style w:type="paragraph" w:customStyle="1" w:styleId="35">
    <w:name w:val="nilo_标题1"/>
    <w:basedOn w:val="1"/>
    <w:autoRedefine/>
    <w:qFormat/>
    <w:uiPriority w:val="0"/>
    <w:pPr>
      <w:numPr>
        <w:ilvl w:val="1"/>
        <w:numId w:val="2"/>
      </w:numPr>
      <w:adjustRightInd w:val="0"/>
      <w:jc w:val="left"/>
    </w:pPr>
    <w:rPr>
      <w:rFonts w:ascii="Times New Roman" w:hAnsi="Times New Roman" w:eastAsia="黑体" w:cs="Times New Roman"/>
      <w:b/>
      <w:sz w:val="28"/>
      <w:szCs w:val="28"/>
    </w:rPr>
  </w:style>
  <w:style w:type="paragraph" w:customStyle="1" w:styleId="36">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7">
    <w:name w:val="批注框文本 Char"/>
    <w:basedOn w:val="21"/>
    <w:link w:val="9"/>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D424A4-47C7-42F6-B33E-DE67D9901AC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76</Pages>
  <Words>21265</Words>
  <Characters>22635</Characters>
  <Lines>204</Lines>
  <Paragraphs>57</Paragraphs>
  <TotalTime>26</TotalTime>
  <ScaleCrop>false</ScaleCrop>
  <LinksUpToDate>false</LinksUpToDate>
  <CharactersWithSpaces>24166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2023-03-05T09:17:00Z</dcterms:created>
  <dc:creator>Administrator</dc:creator>
  <cp:lastModifiedBy>胡大明</cp:lastModifiedBy>
  <dcterms:modified xsi:type="dcterms:W3CDTF">2024-06-03T02:06:29Z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D90FC26C408B4E4090D3505DA8F16789_13</vt:lpwstr>
  </property>
</Properties>
</file>