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87B7A">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14:paraId="692B28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华文中宋" w:hAnsi="华文中宋" w:eastAsia="华文中宋" w:cs="黑体"/>
          <w:b/>
          <w:sz w:val="44"/>
          <w:szCs w:val="44"/>
        </w:rPr>
      </w:pPr>
      <w:r>
        <w:rPr>
          <w:rFonts w:ascii="华文中宋" w:hAnsi="华文中宋" w:eastAsia="华文中宋" w:cs="黑体"/>
          <w:b/>
          <w:sz w:val="44"/>
          <w:szCs w:val="44"/>
        </w:rPr>
        <mc:AlternateContent>
          <mc:Choice Requires="wps">
            <w:drawing>
              <wp:anchor distT="0" distB="0" distL="114300" distR="114300" simplePos="0" relativeHeight="251659264" behindDoc="0" locked="0" layoutInCell="0" allowOverlap="1">
                <wp:simplePos x="0" y="0"/>
                <wp:positionH relativeFrom="column">
                  <wp:posOffset>-28575</wp:posOffset>
                </wp:positionH>
                <wp:positionV relativeFrom="paragraph">
                  <wp:posOffset>57150</wp:posOffset>
                </wp:positionV>
                <wp:extent cx="5600700" cy="0"/>
                <wp:effectExtent l="0" t="19050" r="0" b="19050"/>
                <wp:wrapNone/>
                <wp:docPr id="23" name="直接连接符 23"/>
                <wp:cNvGraphicFramePr/>
                <a:graphic xmlns:a="http://schemas.openxmlformats.org/drawingml/2006/main">
                  <a:graphicData uri="http://schemas.microsoft.com/office/word/2010/wordprocessingShape">
                    <wps:wsp>
                      <wps:cNvCnPr/>
                      <wps:spPr>
                        <a:xfrm flipV="1">
                          <a:off x="0" y="0"/>
                          <a:ext cx="5600700" cy="0"/>
                        </a:xfrm>
                        <a:prstGeom prst="line">
                          <a:avLst/>
                        </a:prstGeom>
                        <a:ln w="38100" cap="flat" cmpd="dbl">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flip:y;margin-left:-2.25pt;margin-top:4.5pt;height:0pt;width:441pt;z-index:251659264;mso-width-relative:page;mso-height-relative:page;" filled="f" stroked="t" coordsize="21600,21600" o:allowincell="f" o:gfxdata="UEsDBAoAAAAAAIdO4kAAAAAAAAAAAAAAAAAEAAAAZHJzL1BLAwQUAAAACACHTuJA9mPReNEAAAAG&#10;AQAADwAAAGRycy9kb3ducmV2LnhtbE2Py07DMBBF90j8gzVI7Fq7VaElxKkQgu4JldhO42kcET+I&#10;nab8PQMbujy6V3fOlNuz68WJhtQFr2ExVyDIN8F0vtWwf3+dbUCkjN5gHzxp+KYE2+r6qsTChMm/&#10;0anOreARnwrUYHOOhZSpseQwzUMkz9kxDA4z49BKM+DE466XS6XupcPO8wWLkZ4tNZ/16DQs49Nu&#10;CuOLjTXmj71Ux93qS2p9e7NQjyAynfN/GX71WR0qdjqE0Zskeg2z1R03NTzwRxxv1mvmwx/LqpSX&#10;+tUPUEsDBBQAAAAIAIdO4kB+48hqBgIAAAkEAAAOAAAAZHJzL2Uyb0RvYy54bWytU0uOEzEQ3SNx&#10;B8t70p2MGEatdGYxYdggiMRnX/Gn25J/sp10cgkugMQOVizZcxuGY1B290TDsMmCXlhlV/lVvdfP&#10;y+uD0WQvQlTOtnQ+qykRljmubNfSD+9vn11REhNYDtpZ0dKjiPR69fTJcvCNWLjeaS4CQRAbm8G3&#10;tE/JN1UVWS8MxJnzwmJSumAg4TZ0FQ8wILrR1aKuL6vBBe6DYyJGPF2PSTohhnMAnZSKibVjOyNs&#10;GlGD0JCQUuyVj3RVppVSsPRWyigS0S1Fpqms2ATjbV6r1RKaLoDvFZtGgHNGeMTJgLLY9AS1hgRk&#10;F9Q/UEax4KKTacacqUYiRRFkMa8fafOuBy8KF5Q6+pPo8f/Bsjf7TSCKt3RxQYkFg3/87vOPX5++&#10;/v75Bde7798IZlCmwccGq2/sJky76Dchcz7IYIjUyn9EPxUVkBc5FJGPJ5HFIRGGh88v6/pFjfqz&#10;+1w1QmQoH2J6JZwhOWipVjbzhwb2r2PCtlh6X5KPtSVDSy+u5gUP0I0SXYDQxiMjvtXlcnRa8Vul&#10;db4SQ7e90YHsITuifJkdAv9VlrusIfZjXUmNXgluZzlegKYXwF9aTtLRo2gWHwvN0xjBKdEC31aO&#10;SmUCpc+pxCG0zdCiOHeinIUfpc7R1vEj/rGdD6rrUaJ5mT5n0CGFx+TmbMGHe4wfvuD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Zj0XjRAAAABgEAAA8AAAAAAAAAAQAgAAAAIgAAAGRycy9kb3du&#10;cmV2LnhtbFBLAQIUABQAAAAIAIdO4kB+48hqBgIAAAkEAAAOAAAAAAAAAAEAIAAAACABAABkcnMv&#10;ZTJvRG9jLnhtbFBLBQYAAAAABgAGAFkBAACYBQ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44"/>
          <w:szCs w:val="44"/>
        </w:rPr>
        <w:t>行政处罚决定书</w:t>
      </w:r>
    </w:p>
    <w:p w14:paraId="496AFE94">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ascii="仿宋_GB2312" w:hAnsi="仿宋" w:eastAsia="仿宋_GB2312" w:cs="Calibri"/>
          <w:sz w:val="24"/>
          <w:szCs w:val="21"/>
        </w:rPr>
      </w:pPr>
      <w:r>
        <w:rPr>
          <w:rFonts w:hint="eastAsia" w:ascii="仿宋_GB2312" w:hAnsi="仿宋" w:eastAsia="仿宋_GB2312" w:cs="Calibri"/>
          <w:sz w:val="24"/>
          <w:szCs w:val="21"/>
        </w:rPr>
        <w:t>（</w:t>
      </w:r>
      <w:r>
        <w:rPr>
          <w:rFonts w:hint="eastAsia" w:ascii="仿宋_GB2312" w:hAnsi="仿宋" w:eastAsia="仿宋_GB2312" w:cs="Calibri"/>
          <w:sz w:val="24"/>
          <w:szCs w:val="21"/>
          <w:lang w:eastAsia="zh-CN"/>
        </w:rPr>
        <w:t>台</w:t>
      </w:r>
      <w:r>
        <w:rPr>
          <w:rFonts w:hint="eastAsia" w:ascii="仿宋_GB2312" w:hAnsi="仿宋" w:eastAsia="仿宋_GB2312" w:cs="Calibri"/>
          <w:sz w:val="24"/>
          <w:szCs w:val="21"/>
        </w:rPr>
        <w:t xml:space="preserve"> ）应急罚</w:t>
      </w:r>
      <w:r>
        <w:rPr>
          <w:rFonts w:hint="eastAsia" w:ascii="仿宋_GB2312" w:hAnsi="仿宋" w:eastAsia="仿宋_GB2312" w:cs="Calibri"/>
          <w:sz w:val="24"/>
          <w:szCs w:val="24"/>
        </w:rPr>
        <w:t>〔</w:t>
      </w:r>
      <w:r>
        <w:rPr>
          <w:rFonts w:hint="eastAsia" w:ascii="仿宋_GB2312" w:hAnsi="仿宋" w:eastAsia="仿宋_GB2312" w:cs="Calibri"/>
          <w:sz w:val="24"/>
          <w:szCs w:val="24"/>
          <w:lang w:eastAsia="zh-CN"/>
        </w:rPr>
        <w:t>202</w:t>
      </w:r>
      <w:r>
        <w:rPr>
          <w:rFonts w:hint="eastAsia" w:ascii="仿宋_GB2312" w:hAnsi="仿宋" w:eastAsia="仿宋_GB2312" w:cs="Calibri"/>
          <w:sz w:val="24"/>
          <w:szCs w:val="24"/>
          <w:lang w:val="en-US" w:eastAsia="zh-CN"/>
        </w:rPr>
        <w:t>4</w:t>
      </w:r>
      <w:r>
        <w:rPr>
          <w:rFonts w:hint="eastAsia" w:ascii="仿宋_GB2312" w:hAnsi="仿宋" w:eastAsia="仿宋_GB2312" w:cs="Calibri"/>
          <w:sz w:val="24"/>
          <w:szCs w:val="24"/>
        </w:rPr>
        <w:t>〕</w:t>
      </w:r>
      <w:r>
        <w:rPr>
          <w:rFonts w:hint="eastAsia" w:ascii="仿宋_GB2312" w:hAnsi="仿宋" w:eastAsia="仿宋_GB2312" w:cs="宋体"/>
          <w:color w:val="121212"/>
          <w:kern w:val="0"/>
          <w:sz w:val="24"/>
          <w:szCs w:val="21"/>
          <w:lang w:val="en-US" w:eastAsia="zh-CN"/>
        </w:rPr>
        <w:t>危化003</w:t>
      </w:r>
      <w:r>
        <w:rPr>
          <w:rFonts w:hint="eastAsia" w:ascii="仿宋_GB2312" w:hAnsi="仿宋" w:eastAsia="仿宋_GB2312" w:cs="Calibri"/>
          <w:sz w:val="24"/>
          <w:szCs w:val="21"/>
        </w:rPr>
        <w:t>号</w:t>
      </w:r>
    </w:p>
    <w:p w14:paraId="0E2F4CD8">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 w:eastAsia="仿宋_GB2312" w:cs="Calibri"/>
          <w:sz w:val="24"/>
          <w:szCs w:val="21"/>
          <w:u w:val="single"/>
          <w:lang w:val="en-US" w:eastAsia="zh-CN"/>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none"/>
          <w:lang w:val="en-US" w:eastAsia="zh-CN"/>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3FEB8766">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u w:val="single"/>
        </w:rPr>
        <w:t xml:space="preserve"> </w:t>
      </w:r>
    </w:p>
    <w:p w14:paraId="246579E7">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default" w:ascii="仿宋_GB2312" w:hAnsi="仿宋" w:eastAsia="仿宋_GB2312" w:cs="Calibri"/>
          <w:sz w:val="24"/>
          <w:szCs w:val="21"/>
          <w:u w:val="single"/>
          <w:lang w:val="en-US" w:eastAsia="zh-CN"/>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                    </w:t>
      </w:r>
    </w:p>
    <w:p w14:paraId="23A6F42A">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_GB2312" w:hAnsi="仿宋" w:eastAsia="仿宋_GB2312" w:cs="Calibri"/>
          <w:sz w:val="24"/>
          <w:szCs w:val="21"/>
          <w:u w:val="single"/>
        </w:rPr>
      </w:pPr>
      <w:r>
        <w:rPr>
          <w:rFonts w:hint="eastAsia" w:ascii="仿宋_GB2312" w:hAnsi="仿宋" w:eastAsia="仿宋_GB2312" w:cs="Calibri"/>
          <w:sz w:val="24"/>
          <w:szCs w:val="21"/>
        </w:rPr>
        <w:t>被处罚单位：</w:t>
      </w:r>
      <w:r>
        <w:rPr>
          <w:rFonts w:hint="eastAsia" w:ascii="仿宋_GB2312" w:hAnsi="仿宋" w:eastAsia="仿宋_GB2312" w:cs="Calibri"/>
          <w:kern w:val="0"/>
          <w:sz w:val="24"/>
          <w:szCs w:val="24"/>
          <w:u w:val="single"/>
          <w:lang w:val="en-US" w:eastAsia="zh-CN"/>
        </w:rPr>
        <w:t xml:space="preserve">台安县新台镇农机服务站 </w:t>
      </w:r>
      <w:r>
        <w:rPr>
          <w:rFonts w:hint="eastAsia" w:ascii="仿宋_GB2312" w:hAnsi="仿宋" w:eastAsia="仿宋_GB2312" w:cs="Calibri"/>
          <w:sz w:val="24"/>
          <w:szCs w:val="21"/>
        </w:rPr>
        <w:t>地址：</w:t>
      </w:r>
      <w:r>
        <w:rPr>
          <w:rFonts w:hint="eastAsia" w:ascii="仿宋_GB2312" w:hAnsi="仿宋" w:eastAsia="仿宋_GB2312" w:cs="Calibri"/>
          <w:sz w:val="24"/>
          <w:szCs w:val="21"/>
          <w:u w:val="single"/>
        </w:rPr>
        <w:t xml:space="preserve"> </w:t>
      </w:r>
      <w:r>
        <w:rPr>
          <w:rFonts w:hint="eastAsia" w:ascii="仿宋_GB2312" w:hAnsi="仿宋_GB2312" w:eastAsia="仿宋_GB2312" w:cs="仿宋_GB2312"/>
          <w:bCs/>
          <w:sz w:val="24"/>
          <w:szCs w:val="21"/>
          <w:u w:val="single"/>
          <w:lang w:val="en-US" w:eastAsia="zh-CN"/>
        </w:rPr>
        <w:t xml:space="preserve">台安县新台镇 </w:t>
      </w:r>
      <w:r>
        <w:rPr>
          <w:rFonts w:hint="eastAsia" w:ascii="仿宋_GB2312" w:hAnsi="仿宋_GB2312" w:eastAsia="仿宋_GB2312" w:cs="仿宋_GB2312"/>
          <w:sz w:val="24"/>
          <w:szCs w:val="24"/>
          <w:u w:val="single"/>
          <w:lang w:val="en-US" w:eastAsia="zh-CN"/>
        </w:rPr>
        <w:t xml:space="preserve"> </w:t>
      </w:r>
      <w:r>
        <w:rPr>
          <w:rFonts w:hint="eastAsia" w:ascii="仿宋_GB2312" w:hAnsi="仿宋" w:eastAsia="仿宋_GB2312" w:cs="Calibri"/>
          <w:sz w:val="24"/>
          <w:szCs w:val="21"/>
        </w:rPr>
        <w:t>邮政编码：</w:t>
      </w:r>
      <w:r>
        <w:rPr>
          <w:rFonts w:hint="eastAsia" w:ascii="仿宋_GB2312" w:hAnsi="仿宋" w:eastAsia="仿宋_GB2312" w:cs="宋体"/>
          <w:color w:val="121212"/>
          <w:kern w:val="0"/>
          <w:sz w:val="24"/>
          <w:szCs w:val="21"/>
          <w:u w:val="single"/>
          <w:lang w:val="en-US" w:eastAsia="zh-CN"/>
        </w:rPr>
        <w:t>114100</w:t>
      </w:r>
    </w:p>
    <w:p w14:paraId="06C90833">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仿宋_GB2312" w:hAnsi="仿宋" w:eastAsia="仿宋_GB2312" w:cs="Calibri"/>
          <w:sz w:val="24"/>
          <w:szCs w:val="21"/>
          <w:u w:val="single"/>
        </w:rPr>
      </w:pPr>
      <w:r>
        <w:rPr>
          <w:rFonts w:hint="eastAsia" w:ascii="仿宋_GB2312" w:hAnsi="仿宋" w:eastAsia="仿宋_GB2312" w:cs="Calibri"/>
          <w:sz w:val="24"/>
          <w:szCs w:val="21"/>
        </w:rPr>
        <w:t>法定代表人（负责人）：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聂金龙</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val="en-US" w:eastAsia="zh-CN"/>
        </w:rPr>
        <w:t xml:space="preserve">站长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r>
        <w:rPr>
          <w:rFonts w:hint="eastAsia" w:ascii="仿宋_GB2312" w:hAnsi="仿宋" w:eastAsia="仿宋_GB2312" w:cs="Calibri"/>
          <w:kern w:val="0"/>
          <w:sz w:val="24"/>
          <w:szCs w:val="24"/>
          <w:u w:val="single"/>
          <w:lang w:val="en-US" w:eastAsia="zh-CN"/>
        </w:rPr>
        <w:t>13464994588</w:t>
      </w:r>
      <w:r>
        <w:rPr>
          <w:rFonts w:hint="eastAsia" w:ascii="仿宋_GB2312" w:hAnsi="仿宋" w:eastAsia="仿宋_GB2312" w:cs="Calibri"/>
          <w:sz w:val="24"/>
          <w:szCs w:val="21"/>
          <w:u w:val="single"/>
        </w:rPr>
        <w:t xml:space="preserve">  </w:t>
      </w:r>
    </w:p>
    <w:p w14:paraId="1EC33B4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仿宋_GB2312" w:hAnsi="仿宋" w:eastAsia="仿宋_GB2312" w:cs="Calibri"/>
          <w:sz w:val="24"/>
          <w:szCs w:val="21"/>
          <w:u w:val="single"/>
        </w:rPr>
      </w:pPr>
      <w:r>
        <w:rPr>
          <w:rFonts w:hint="eastAsia" w:ascii="仿宋_GB2312" w:hAnsi="仿宋" w:eastAsia="仿宋_GB2312" w:cs="Calibri"/>
          <w:sz w:val="24"/>
          <w:szCs w:val="21"/>
        </w:rPr>
        <w:t>违法事实及证据：</w:t>
      </w:r>
      <w:r>
        <w:rPr>
          <w:rFonts w:hint="eastAsia" w:ascii="仿宋_GB2312" w:hAnsi="仿宋" w:eastAsia="仿宋_GB2312" w:cs="Calibri"/>
          <w:sz w:val="24"/>
          <w:szCs w:val="24"/>
          <w:u w:val="none"/>
          <w:lang w:val="en-US" w:eastAsia="zh-CN"/>
        </w:rPr>
        <w:t>2</w:t>
      </w:r>
      <w:r>
        <w:rPr>
          <w:rFonts w:hint="eastAsia" w:ascii="仿宋_GB2312" w:hAnsi="仿宋" w:eastAsia="仿宋_GB2312" w:cs="Calibri"/>
          <w:sz w:val="24"/>
          <w:szCs w:val="24"/>
          <w:u w:val="single"/>
          <w:lang w:val="en-US" w:eastAsia="zh-CN"/>
        </w:rPr>
        <w:t>024年10月21日我局危化科执法人员对</w:t>
      </w:r>
      <w:r>
        <w:rPr>
          <w:rFonts w:hint="eastAsia" w:ascii="仿宋_GB2312" w:hAnsi="仿宋" w:eastAsia="仿宋_GB2312" w:cs="Calibri"/>
          <w:kern w:val="0"/>
          <w:sz w:val="24"/>
          <w:szCs w:val="24"/>
          <w:u w:val="single"/>
          <w:lang w:val="en-US" w:eastAsia="zh-CN"/>
        </w:rPr>
        <w:t>台安县新台镇农机服务站</w:t>
      </w:r>
      <w:r>
        <w:rPr>
          <w:rFonts w:hint="eastAsia" w:ascii="仿宋_GB2312" w:hAnsi="仿宋" w:eastAsia="仿宋_GB2312" w:cs="Calibri"/>
          <w:sz w:val="24"/>
          <w:szCs w:val="24"/>
          <w:u w:val="single"/>
          <w:lang w:val="en-US" w:eastAsia="zh-CN"/>
        </w:rPr>
        <w:t>进行执法检查，检查时发现该单位未为从业人员提供符合国家标准或者行业标准的劳动防护用品，现场一名加油员（李金艳）未穿戴防静电裤子及防静电鞋。</w:t>
      </w:r>
      <w:r>
        <w:rPr>
          <w:rFonts w:hint="eastAsia" w:ascii="仿宋_GB2312" w:hAnsi="仿宋_GB2312" w:eastAsia="仿宋_GB2312" w:cs="仿宋_GB2312"/>
          <w:color w:val="000000"/>
          <w:kern w:val="0"/>
          <w:sz w:val="24"/>
          <w:szCs w:val="24"/>
          <w:u w:val="single"/>
          <w:lang w:val="en-US" w:eastAsia="zh-CN"/>
        </w:rPr>
        <w:t>证据有：现场检查记录、询问笔录、现场照片。</w:t>
      </w:r>
      <w:r>
        <w:rPr>
          <w:rFonts w:hint="eastAsia" w:ascii="仿宋_GB2312" w:hAnsi="仿宋" w:eastAsia="仿宋_GB2312" w:cs="Calibri"/>
          <w:sz w:val="24"/>
          <w:szCs w:val="21"/>
          <w:u w:val="single"/>
        </w:rPr>
        <w:t>（</w:t>
      </w:r>
      <w:r>
        <w:rPr>
          <w:rFonts w:hint="eastAsia" w:ascii="仿宋_GB2312" w:hAnsi="仿宋" w:eastAsia="仿宋_GB2312" w:cs="Calibri"/>
          <w:sz w:val="24"/>
          <w:szCs w:val="21"/>
        </w:rPr>
        <w:t>此栏不够，可另附页）</w:t>
      </w:r>
    </w:p>
    <w:p w14:paraId="4FFE942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outlineLvl w:val="9"/>
        <w:rPr>
          <w:rFonts w:ascii="仿宋_GB2312" w:hAnsi="仿宋" w:eastAsia="仿宋_GB2312" w:cs="Calibri"/>
          <w:color w:val="000000"/>
          <w:sz w:val="24"/>
          <w:szCs w:val="21"/>
        </w:rPr>
      </w:pPr>
      <w:r>
        <w:rPr>
          <w:rFonts w:hint="eastAsia" w:ascii="仿宋_GB2312" w:hAnsi="仿宋" w:eastAsia="仿宋_GB2312" w:cs="Calibri"/>
          <w:color w:val="000000"/>
          <w:sz w:val="24"/>
          <w:szCs w:val="21"/>
        </w:rPr>
        <w:t>以上事实违反了</w:t>
      </w:r>
      <w:r>
        <w:rPr>
          <w:rFonts w:hint="eastAsia" w:ascii="仿宋_GB2312" w:hAnsi="仿宋" w:eastAsia="仿宋_GB2312" w:cs="仿宋"/>
          <w:sz w:val="24"/>
          <w:szCs w:val="24"/>
          <w:u w:val="single"/>
          <w:lang w:val="en-US" w:eastAsia="zh-CN"/>
        </w:rPr>
        <w:t xml:space="preserve"> </w:t>
      </w:r>
      <w:r>
        <w:rPr>
          <w:rFonts w:hint="eastAsia" w:ascii="仿宋_GB2312" w:hAnsi="仿宋" w:eastAsia="仿宋_GB2312" w:cs="Calibri"/>
          <w:sz w:val="24"/>
          <w:szCs w:val="24"/>
          <w:u w:val="single"/>
          <w:lang w:val="en-US" w:eastAsia="zh-CN"/>
        </w:rPr>
        <w:t>《中华人民共和国安全生产法》第四十五条</w:t>
      </w:r>
      <w:r>
        <w:rPr>
          <w:rFonts w:hint="eastAsia" w:ascii="仿宋_GB2312" w:hAnsi="仿宋" w:eastAsia="仿宋_GB2312" w:cs="仿宋"/>
          <w:i w:val="0"/>
          <w:iCs w:val="0"/>
          <w:sz w:val="24"/>
          <w:szCs w:val="24"/>
          <w:u w:val="none"/>
          <w:lang w:eastAsia="zh-CN"/>
        </w:rPr>
        <w:t>的</w:t>
      </w:r>
      <w:r>
        <w:rPr>
          <w:rFonts w:hint="eastAsia" w:ascii="仿宋_GB2312" w:hAnsi="仿宋_GB2312" w:eastAsia="仿宋_GB2312" w:cs="仿宋_GB2312"/>
          <w:color w:val="000000"/>
          <w:kern w:val="0"/>
          <w:sz w:val="24"/>
          <w:szCs w:val="24"/>
          <w:highlight w:val="none"/>
          <w:u w:val="none"/>
          <w:lang w:eastAsia="zh-CN"/>
        </w:rPr>
        <w:t>规定，</w:t>
      </w:r>
      <w:r>
        <w:rPr>
          <w:rFonts w:hint="eastAsia" w:ascii="仿宋_GB2312" w:hAnsi="仿宋" w:eastAsia="仿宋_GB2312" w:cs="仿宋"/>
          <w:sz w:val="24"/>
          <w:szCs w:val="24"/>
        </w:rPr>
        <w:t>依据</w:t>
      </w:r>
      <w:r>
        <w:rPr>
          <w:rFonts w:hint="eastAsia" w:ascii="仿宋_GB2312" w:hAnsi="仿宋" w:eastAsia="仿宋_GB2312" w:cs="Calibri"/>
          <w:sz w:val="24"/>
          <w:szCs w:val="24"/>
          <w:u w:val="single"/>
          <w:lang w:val="en-US" w:eastAsia="zh-CN"/>
        </w:rPr>
        <w:t>《中华人民共和国安全生产法》第九十九条第（五）项和《鞍山市应急管理局安全生产行政处罚自由裁量指导标准（试行）》第二十二条</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的规定</w:t>
      </w:r>
      <w:r>
        <w:rPr>
          <w:rFonts w:hint="eastAsia" w:ascii="仿宋_GB2312" w:hAnsi="仿宋" w:eastAsia="仿宋_GB2312" w:cs="Calibri"/>
          <w:color w:val="000000"/>
          <w:sz w:val="24"/>
          <w:szCs w:val="21"/>
        </w:rPr>
        <w:t>，决定给予</w:t>
      </w:r>
      <w:r>
        <w:rPr>
          <w:rFonts w:hint="eastAsia" w:ascii="仿宋_GB2312" w:hAnsi="仿宋" w:eastAsia="仿宋_GB2312" w:cs="Calibri"/>
          <w:kern w:val="0"/>
          <w:sz w:val="24"/>
          <w:szCs w:val="24"/>
          <w:u w:val="single"/>
          <w:lang w:val="en-US" w:eastAsia="zh-CN"/>
        </w:rPr>
        <w:t>台安县新台镇农机服务站</w:t>
      </w:r>
      <w:r>
        <w:rPr>
          <w:rFonts w:hint="eastAsia" w:ascii="仿宋_GB2312" w:hAnsi="仿宋" w:eastAsia="仿宋_GB2312" w:cs="宋体"/>
          <w:color w:val="000000"/>
          <w:kern w:val="0"/>
          <w:sz w:val="24"/>
          <w:szCs w:val="21"/>
          <w:u w:val="single"/>
        </w:rPr>
        <w:t>人民币</w:t>
      </w:r>
      <w:r>
        <w:rPr>
          <w:rFonts w:hint="eastAsia" w:ascii="仿宋_GB2312" w:hAnsi="仿宋" w:eastAsia="仿宋_GB2312" w:cs="宋体"/>
          <w:color w:val="000000"/>
          <w:kern w:val="0"/>
          <w:sz w:val="24"/>
          <w:szCs w:val="21"/>
          <w:u w:val="single"/>
          <w:lang w:val="en-US" w:eastAsia="zh-CN"/>
        </w:rPr>
        <w:t>6000元（陆仟圆）罚款</w:t>
      </w:r>
      <w:r>
        <w:rPr>
          <w:rFonts w:hint="eastAsia" w:ascii="仿宋_GB2312" w:hAnsi="仿宋" w:eastAsia="仿宋_GB2312" w:cs="宋体"/>
          <w:color w:val="000000"/>
          <w:kern w:val="0"/>
          <w:sz w:val="24"/>
          <w:szCs w:val="21"/>
          <w:u w:val="none"/>
        </w:rPr>
        <w:t>的</w:t>
      </w:r>
      <w:r>
        <w:rPr>
          <w:rFonts w:hint="eastAsia" w:ascii="仿宋_GB2312" w:hAnsi="仿宋" w:eastAsia="仿宋_GB2312" w:cs="Calibri"/>
          <w:color w:val="000000"/>
          <w:sz w:val="24"/>
          <w:szCs w:val="21"/>
          <w:u w:val="none"/>
        </w:rPr>
        <w:t>行政</w:t>
      </w:r>
      <w:r>
        <w:rPr>
          <w:rFonts w:hint="eastAsia" w:ascii="仿宋_GB2312" w:hAnsi="仿宋" w:eastAsia="仿宋_GB2312" w:cs="Calibri"/>
          <w:color w:val="000000"/>
          <w:sz w:val="24"/>
          <w:szCs w:val="21"/>
        </w:rPr>
        <w:t>处罚。</w:t>
      </w:r>
    </w:p>
    <w:p w14:paraId="3AF307D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ascii="仿宋_GB2312" w:hAnsi="仿宋" w:eastAsia="仿宋_GB2312" w:cs="Calibri"/>
          <w:sz w:val="24"/>
          <w:szCs w:val="21"/>
        </w:rPr>
      </w:pPr>
      <w:r>
        <w:rPr>
          <w:rFonts w:hint="eastAsia" w:ascii="仿宋_GB2312" w:hAnsi="仿宋" w:eastAsia="仿宋_GB2312" w:cs="Calibri"/>
          <w:color w:val="000000"/>
          <w:sz w:val="24"/>
          <w:szCs w:val="21"/>
        </w:rPr>
        <w:t>处以罚款的，罚款自收到本决定书之日起15日内</w:t>
      </w:r>
      <w:r>
        <w:rPr>
          <w:rFonts w:hint="eastAsia" w:ascii="仿宋_GB2312" w:hAnsi="仿宋" w:eastAsia="仿宋_GB2312" w:cs="Calibri"/>
          <w:sz w:val="24"/>
          <w:szCs w:val="21"/>
        </w:rPr>
        <w:t>缴至</w:t>
      </w:r>
      <w:r>
        <w:rPr>
          <w:rFonts w:hint="eastAsia" w:ascii="仿宋_GB2312" w:hAnsi="仿宋" w:eastAsia="仿宋_GB2312" w:cs="Calibri"/>
          <w:sz w:val="24"/>
          <w:szCs w:val="21"/>
          <w:u w:val="single"/>
          <w:lang w:eastAsia="zh-CN"/>
        </w:rPr>
        <w:t>台安县应急管理局办公室，孙红秋主任，电话：</w:t>
      </w:r>
      <w:r>
        <w:rPr>
          <w:rFonts w:hint="eastAsia" w:ascii="仿宋_GB2312" w:hAnsi="仿宋" w:eastAsia="仿宋_GB2312" w:cs="Calibri"/>
          <w:sz w:val="24"/>
          <w:szCs w:val="21"/>
          <w:u w:val="single"/>
          <w:lang w:val="en-US" w:eastAsia="zh-CN"/>
        </w:rPr>
        <w:t>0412-4890415，来时请携带提供：1、缴款单位（个人）账户；2、缴款单位（个人）开户行；3、手机号码；统一社会信用代码（企业为营业执照副本，机关事业单位为法人证书）。</w:t>
      </w:r>
      <w:r>
        <w:rPr>
          <w:rFonts w:hint="eastAsia" w:ascii="仿宋_GB2312" w:hAnsi="仿宋_GB2312" w:eastAsia="仿宋_GB2312" w:cs="仿宋_GB2312"/>
          <w:color w:val="000000"/>
          <w:kern w:val="0"/>
          <w:sz w:val="24"/>
          <w:szCs w:val="24"/>
          <w:u w:val="single"/>
          <w:lang w:eastAsia="zh-CN"/>
        </w:rPr>
        <w:t xml:space="preserve"> </w:t>
      </w:r>
      <w:r>
        <w:rPr>
          <w:rFonts w:hint="eastAsia" w:ascii="仿宋_GB2312" w:hAnsi="仿宋" w:eastAsia="仿宋_GB2312" w:cs="Calibri"/>
          <w:sz w:val="24"/>
          <w:szCs w:val="21"/>
        </w:rPr>
        <w:t>到期不缴本机关有权每日按罚款数额的3%加处罚款。</w:t>
      </w:r>
    </w:p>
    <w:p w14:paraId="762E71BC">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_GB2312" w:hAnsi="仿宋" w:eastAsia="仿宋_GB2312" w:cs="Calibri"/>
          <w:sz w:val="24"/>
          <w:szCs w:val="21"/>
        </w:rPr>
      </w:pPr>
      <w:r>
        <w:rPr>
          <w:rFonts w:hint="eastAsia" w:ascii="仿宋_GB2312" w:hAnsi="仿宋" w:eastAsia="仿宋_GB2312" w:cs="Calibri"/>
          <w:sz w:val="24"/>
          <w:szCs w:val="21"/>
        </w:rPr>
        <w:t>如果不服本处罚决定，可以依法在60日内向</w:t>
      </w:r>
      <w:r>
        <w:rPr>
          <w:rFonts w:hint="eastAsia" w:ascii="仿宋_GB2312" w:hAnsi="仿宋" w:eastAsia="仿宋_GB2312" w:cs="Calibri"/>
          <w:color w:val="000000"/>
          <w:sz w:val="24"/>
          <w:szCs w:val="21"/>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宋体"/>
          <w:color w:val="121212"/>
          <w:kern w:val="0"/>
          <w:sz w:val="24"/>
          <w:szCs w:val="21"/>
          <w:u w:val="single"/>
          <w:lang w:eastAsia="zh-CN"/>
        </w:rPr>
        <w:t>台安县</w:t>
      </w:r>
      <w:r>
        <w:rPr>
          <w:rFonts w:hint="eastAsia" w:ascii="仿宋_GB2312" w:hAnsi="仿宋" w:eastAsia="仿宋_GB2312" w:cs="Calibri"/>
          <w:color w:val="000000"/>
          <w:sz w:val="24"/>
          <w:szCs w:val="21"/>
        </w:rPr>
        <w:t>人民政府或者</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u w:val="single"/>
          <w:lang w:eastAsia="zh-CN"/>
        </w:rPr>
        <w:t>鞍山市</w:t>
      </w:r>
      <w:r>
        <w:rPr>
          <w:rFonts w:hint="eastAsia" w:ascii="仿宋_GB2312" w:hAnsi="仿宋" w:eastAsia="仿宋_GB2312" w:cs="宋体"/>
          <w:color w:val="121212"/>
          <w:kern w:val="0"/>
          <w:sz w:val="24"/>
          <w:szCs w:val="21"/>
          <w:u w:val="single"/>
        </w:rPr>
        <w:t>应急管理</w:t>
      </w:r>
      <w:r>
        <w:rPr>
          <w:rFonts w:hint="eastAsia" w:ascii="仿宋_GB2312" w:hAnsi="仿宋" w:eastAsia="仿宋_GB2312" w:cs="宋体"/>
          <w:color w:val="121212"/>
          <w:kern w:val="0"/>
          <w:sz w:val="24"/>
          <w:szCs w:val="21"/>
          <w:u w:val="single"/>
          <w:lang w:eastAsia="zh-CN"/>
        </w:rPr>
        <w:t>局</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申请行政复议，或者在6个月内依法向</w:t>
      </w:r>
      <w:r>
        <w:rPr>
          <w:rFonts w:hint="eastAsia" w:ascii="仿宋_GB2312" w:hAnsi="仿宋" w:eastAsia="仿宋_GB2312" w:cs="宋体"/>
          <w:color w:val="121212"/>
          <w:kern w:val="0"/>
          <w:sz w:val="24"/>
          <w:szCs w:val="21"/>
          <w:u w:val="single"/>
          <w:lang w:eastAsia="zh-CN"/>
        </w:rPr>
        <w:t>海城市</w:t>
      </w:r>
      <w:r>
        <w:rPr>
          <w:rFonts w:hint="eastAsia" w:ascii="仿宋_GB2312" w:hAnsi="仿宋" w:eastAsia="仿宋_GB2312" w:cs="Calibri"/>
          <w:sz w:val="24"/>
          <w:szCs w:val="21"/>
        </w:rPr>
        <w:t xml:space="preserve">人民法院提起行政诉讼，但本决定不停止执行，法律另有规定的除外。逾期不申请行政复议、不提起行政诉讼又不履行的，本机关将依法申请人民法院强制执行或者依照有关规定强制执行。 </w:t>
      </w:r>
    </w:p>
    <w:p w14:paraId="79948DA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9"/>
        <w:rPr>
          <w:rFonts w:hint="eastAsia" w:ascii="仿宋_GB2312" w:hAnsi="仿宋" w:eastAsia="仿宋_GB2312" w:cs="Calibri"/>
          <w:sz w:val="24"/>
          <w:szCs w:val="21"/>
        </w:rPr>
      </w:pPr>
      <w:r>
        <w:rPr>
          <w:rFonts w:hint="eastAsia" w:ascii="仿宋_GB2312" w:hAnsi="仿宋" w:eastAsia="仿宋_GB2312" w:cs="Calibri"/>
          <w:sz w:val="24"/>
          <w:szCs w:val="21"/>
        </w:rPr>
        <w:t xml:space="preserve"> </w:t>
      </w:r>
    </w:p>
    <w:p w14:paraId="5E8E45E4">
      <w:pPr>
        <w:keepNext w:val="0"/>
        <w:keepLines w:val="0"/>
        <w:pageBreakBefore w:val="0"/>
        <w:widowControl w:val="0"/>
        <w:kinsoku/>
        <w:wordWrap/>
        <w:overflowPunct/>
        <w:topLinePunct w:val="0"/>
        <w:autoSpaceDE/>
        <w:autoSpaceDN/>
        <w:bidi w:val="0"/>
        <w:adjustRightInd/>
        <w:snapToGrid/>
        <w:spacing w:line="440" w:lineRule="exact"/>
        <w:ind w:firstLine="5280" w:firstLineChars="2200"/>
        <w:textAlignment w:val="auto"/>
        <w:outlineLvl w:val="9"/>
        <w:rPr>
          <w:rFonts w:hint="eastAsia" w:ascii="仿宋_GB2312" w:hAnsi="仿宋" w:eastAsia="仿宋_GB2312" w:cs="Calibri"/>
          <w:sz w:val="24"/>
          <w:szCs w:val="21"/>
        </w:rPr>
      </w:pPr>
      <w:r>
        <w:rPr>
          <w:rFonts w:hint="eastAsia" w:ascii="仿宋_GB2312" w:hAnsi="仿宋" w:eastAsia="仿宋_GB2312" w:cs="Calibri"/>
          <w:sz w:val="24"/>
          <w:szCs w:val="21"/>
        </w:rPr>
        <w:t xml:space="preserve"> </w:t>
      </w:r>
    </w:p>
    <w:p w14:paraId="1E0552E2">
      <w:pPr>
        <w:keepNext w:val="0"/>
        <w:keepLines w:val="0"/>
        <w:pageBreakBefore w:val="0"/>
        <w:widowControl w:val="0"/>
        <w:kinsoku/>
        <w:wordWrap/>
        <w:overflowPunct/>
        <w:topLinePunct w:val="0"/>
        <w:autoSpaceDE/>
        <w:autoSpaceDN/>
        <w:bidi w:val="0"/>
        <w:adjustRightInd/>
        <w:snapToGrid/>
        <w:spacing w:line="440" w:lineRule="exact"/>
        <w:ind w:firstLine="5280" w:firstLineChars="2200"/>
        <w:textAlignment w:val="auto"/>
        <w:outlineLvl w:val="9"/>
        <w:rPr>
          <w:rFonts w:hint="eastAsia" w:ascii="仿宋_GB2312" w:hAnsi="仿宋" w:eastAsia="仿宋_GB2312" w:cs="Calibri"/>
          <w:sz w:val="24"/>
          <w:szCs w:val="21"/>
        </w:rPr>
      </w:pPr>
      <w:r>
        <w:rPr>
          <w:rFonts w:hint="eastAsia" w:ascii="仿宋_GB2312" w:hAnsi="仿宋" w:eastAsia="仿宋_GB2312" w:cs="Calibri"/>
          <w:sz w:val="24"/>
          <w:szCs w:val="21"/>
        </w:rPr>
        <w:t xml:space="preserve"> </w:t>
      </w:r>
      <w:r>
        <w:rPr>
          <w:rFonts w:hint="eastAsia" w:ascii="仿宋_GB2312" w:hAnsi="仿宋" w:eastAsia="仿宋_GB2312" w:cs="Calibri"/>
          <w:sz w:val="24"/>
          <w:szCs w:val="21"/>
          <w:lang w:eastAsia="zh-CN"/>
        </w:rPr>
        <w:t>台安县</w:t>
      </w:r>
      <w:r>
        <w:rPr>
          <w:rFonts w:hint="eastAsia" w:ascii="仿宋_GB2312" w:hAnsi="仿宋" w:eastAsia="仿宋_GB2312" w:cs="Calibri"/>
          <w:sz w:val="24"/>
          <w:szCs w:val="21"/>
        </w:rPr>
        <w:t>应急管理局（印章）</w:t>
      </w:r>
      <w:r>
        <w:rPr>
          <w:rFonts w:hint="eastAsia" w:ascii="仿宋_GB2312" w:hAnsi="仿宋" w:eastAsia="仿宋_GB2312" w:cs="Calibri"/>
          <w:sz w:val="24"/>
          <w:szCs w:val="21"/>
          <w:lang w:val="en-US" w:eastAsia="zh-CN"/>
        </w:rPr>
        <w:t xml:space="preserve">                    </w:t>
      </w:r>
      <w:r>
        <w:rPr>
          <w:rFonts w:hint="eastAsia" w:ascii="仿宋_GB2312" w:hAnsi="仿宋" w:eastAsia="仿宋_GB2312" w:cs="Calibri"/>
          <w:sz w:val="24"/>
          <w:szCs w:val="21"/>
        </w:rPr>
        <w:t xml:space="preserve">                     </w:t>
      </w:r>
    </w:p>
    <w:p w14:paraId="2442835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center"/>
        <w:textAlignment w:val="auto"/>
      </w:pPr>
      <w:r>
        <w:rPr>
          <w:rFonts w:hint="eastAsia" w:ascii="仿宋_GB2312" w:hAnsi="仿宋" w:eastAsia="仿宋_GB2312" w:cs="Calibri"/>
          <w:sz w:val="24"/>
          <w:szCs w:val="21"/>
          <w:lang w:val="en-US" w:eastAsia="zh-CN"/>
        </w:rPr>
        <w:t xml:space="preserve">                                  2024</w:t>
      </w:r>
      <w:r>
        <w:rPr>
          <w:rFonts w:hint="eastAsia" w:ascii="仿宋_GB2312" w:hAnsi="仿宋" w:eastAsia="仿宋_GB2312" w:cs="Calibri"/>
          <w:sz w:val="24"/>
          <w:szCs w:val="21"/>
        </w:rPr>
        <w:t>年</w:t>
      </w:r>
      <w:r>
        <w:rPr>
          <w:rFonts w:hint="eastAsia" w:ascii="仿宋_GB2312" w:hAnsi="仿宋" w:eastAsia="仿宋_GB2312" w:cs="Calibri"/>
          <w:sz w:val="24"/>
          <w:szCs w:val="21"/>
          <w:lang w:val="en-US" w:eastAsia="zh-CN"/>
        </w:rPr>
        <w:t>10</w:t>
      </w:r>
      <w:r>
        <w:rPr>
          <w:rFonts w:hint="eastAsia" w:ascii="仿宋_GB2312" w:hAnsi="仿宋" w:eastAsia="仿宋_GB2312" w:cs="Calibri"/>
          <w:sz w:val="24"/>
          <w:szCs w:val="21"/>
        </w:rPr>
        <w:t>月</w:t>
      </w:r>
      <w:r>
        <w:rPr>
          <w:rFonts w:hint="eastAsia" w:ascii="仿宋_GB2312" w:hAnsi="仿宋" w:eastAsia="仿宋_GB2312" w:cs="Calibri"/>
          <w:sz w:val="24"/>
          <w:szCs w:val="21"/>
          <w:lang w:val="en-US" w:eastAsia="zh-CN"/>
        </w:rPr>
        <w:t>30</w:t>
      </w:r>
      <w:r>
        <w:rPr>
          <w:rFonts w:hint="eastAsia" w:ascii="仿宋_GB2312" w:hAnsi="仿宋" w:eastAsia="仿宋_GB2312" w:cs="宋体"/>
          <w:color w:val="121212"/>
          <w:kern w:val="0"/>
          <w:sz w:val="24"/>
          <w:szCs w:val="21"/>
        </w:rPr>
        <w:t>日</w:t>
      </w:r>
    </w:p>
    <w:p w14:paraId="1016FD3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仿宋_GB2312"/>
          <w:lang w:eastAsia="zh-CN"/>
        </w:rPr>
        <w:sectPr>
          <w:pgSz w:w="11906" w:h="16838"/>
          <w:pgMar w:top="1417" w:right="1587" w:bottom="1474" w:left="1587" w:header="851" w:footer="992" w:gutter="0"/>
          <w:pgNumType w:start="1"/>
          <w:cols w:space="0" w:num="1"/>
          <w:rtlGutter w:val="0"/>
          <w:docGrid w:type="lines" w:linePitch="312" w:charSpace="0"/>
        </w:sectPr>
      </w:pPr>
      <w:bookmarkStart w:id="0" w:name="_GoBack"/>
      <w:r>
        <w:rPr>
          <w:rFonts w:ascii="仿宋_GB2312" w:hAnsi="Calibri" w:eastAsia="仿宋_GB2312" w:cs="Calibri"/>
          <w:sz w:val="24"/>
          <w:szCs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-2540</wp:posOffset>
                </wp:positionV>
                <wp:extent cx="548640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0pt;margin-top:-0.2pt;height:0pt;width:432pt;z-index:251660288;mso-width-relative:page;mso-height-relative:page;" filled="f" stroked="t" coordsize="21600,21600" o:gfxdata="UEsDBAoAAAAAAIdO4kAAAAAAAAAAAAAAAAAEAAAAZHJzL1BLAwQUAAAACACHTuJACXtgT9EAAAAE&#10;AQAADwAAAGRycy9kb3ducmV2LnhtbE2PQU+DQBCF7yb+h82YeGuXGmyQsjSxiZfexEY9TtkpENlZ&#10;wm5p+feOXvT48ibf+6bYXl2vJhpD59nAapmAIq697bgxcHh7WWSgQkS22HsmAzMF2Ja3NwXm1l/4&#10;laYqNkogHHI00MY45FqHuiWHYekHYulOfnQYJY6NtiNeBO56/ZAka+2wY1locaBdS/VXdXZCefzI&#10;nveYHea5rz6f0t37fmJnzP3dKtmAinSNf8fwoy/qUIrT0Z/ZBtUbkEeigUUKSspsnUo+/mZdFvq/&#10;fPkNUEsDBBQAAAAIAIdO4kDka2zf/wEAAP0DAAAOAAAAZHJzL2Uyb0RvYy54bWytU81uEzEQviPx&#10;DpbvZDdRW5VVNj00lAuCSsADTGxv1pL/5HGyyUvwAkjc4MSRO29D+xiMvWko5ZIDe/COPTPfzPd5&#10;PL/aWcO2KqL2ruXTSc2ZcsJL7dYt//jh5sUlZ5jASTDeqZbvFfKrxfNn8yE0auZ7b6SKjEAcNkNo&#10;eZ9SaKoKRa8s4MQH5cjZ+Wgh0TauKxlhIHRrqlldX1SDjzJELxQinS5HJz8gxlMAfddpoZZebKxy&#10;aUSNykAiStjrgHxRuu06JdK7rkOVmGk5MU1lpSJkr/JaLebQrCOEXotDC3BKC084WdCOih6hlpCA&#10;baL+B8pqET36Lk2Et9VIpChCLKb1E23e9xBU4UJSYziKjv8PVrzd3kamZctnnDmwdOF3n3/8+vT1&#10;/ucXWu++f2OzLNIQsKHYa3cbDzsMtzEz3nXR5j9xYbsi7P4orNolJujw/Ozy4qwmzcWDr/qTGCKm&#10;18pblo2WG+0yZ2hg+wYTFaPQh5B8bBwbaG5f1ucZD2gCO7p5Mm0gFujWJRm90fJGG5NTMK5X1yay&#10;LeQpKF/mRMB/heUqS8B+jCuucT6i3zhJCdD0CuQrJ1naB1LK0QPhuRurJGdG0XvKVolMoM0pkdSE&#10;cRlalWk9UM5yjwJna+Xlnm5pE6Je9yTRtHSfPTQVhcdhgvPYPd6T/fjVL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XtgT9EAAAAEAQAADwAAAAAAAAABACAAAAAiAAAAZHJzL2Rvd25yZXYueG1s&#10;UEsBAhQAFAAAAAgAh07iQORrbN//AQAA/QMAAA4AAAAAAAAAAQAgAAAAIAEAAGRycy9lMm9Eb2Mu&#10;eG1sUEsFBgAAAAAGAAYAWQEAAJEFAAAAAA==&#10;">
                <v:fill on="f" focussize="0,0"/>
                <v:stroke weight="1.5pt" color="#000000" joinstyle="round"/>
                <v:imagedata o:title=""/>
                <o:lock v:ext="edit" aspectratio="f"/>
              </v:line>
            </w:pict>
          </mc:Fallback>
        </mc:AlternateContent>
      </w:r>
      <w:bookmarkEnd w:id="0"/>
      <w:r>
        <w:rPr>
          <w:rFonts w:hint="eastAsia" w:ascii="仿宋_GB2312" w:hAnsi="仿宋" w:eastAsia="仿宋_GB2312" w:cs="Calibri"/>
          <w:sz w:val="24"/>
          <w:szCs w:val="24"/>
        </w:rPr>
        <w:t>本文书一式两份：一份由应急管理部门备案，一份交被处罚人（单位</w:t>
      </w:r>
      <w:r>
        <w:rPr>
          <w:rFonts w:hint="eastAsia" w:ascii="仿宋_GB2312" w:hAnsi="仿宋" w:eastAsia="仿宋_GB2312" w:cs="Calibri"/>
          <w:sz w:val="24"/>
          <w:szCs w:val="24"/>
          <w:lang w:eastAsia="zh-CN"/>
        </w:rPr>
        <w:t>）</w:t>
      </w:r>
    </w:p>
    <w:p w14:paraId="4CFC09D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0C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2024-12-05T06:27:01Z</dcterms:created>
  <dc:creator>Administrator</dc:creator>
  <cp:lastModifiedBy>冯聪</cp:lastModifiedBy>
  <dcterms:modified xsi:type="dcterms:W3CDTF">2024-12-05T06:27:24Z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2E1DB3EE71EC45859DDC9016C307510E_12</vt:lpwstr>
  </property>
</Properties>
</file>