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60960</wp:posOffset>
                </wp:positionH>
                <wp:positionV relativeFrom="paragraph">
                  <wp:posOffset>372745</wp:posOffset>
                </wp:positionV>
                <wp:extent cx="5219700" cy="9525"/>
                <wp:effectExtent l="0" t="19050" r="0" b="28575"/>
                <wp:wrapNone/>
                <wp:docPr id="38" name="直接连接符 38"/>
                <wp:cNvGraphicFramePr/>
                <a:graphic xmlns:a="http://schemas.openxmlformats.org/drawingml/2006/main">
                  <a:graphicData uri="http://schemas.microsoft.com/office/word/2010/wordprocessingShape">
                    <wps:wsp>
                      <wps:cNvCnPr/>
                      <wps:spPr>
                        <a:xfrm>
                          <a:off x="0" y="0"/>
                          <a:ext cx="5219700" cy="9525"/>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4.8pt;margin-top:29.35pt;height:0.75pt;width:411pt;z-index:251659264;mso-width-relative:page;mso-height-relative:page;" filled="f" stroked="t" coordsize="21600,21600" o:allowincell="f" o:gfxdata="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A6IWNUAAAAHAQAADwAAAAAAAAABACAAAAAiAAAAZHJzL2Rvd25yZXYueG1s&#10;UEsBAhQAFAAAAAgAh07iQAzhrnv7AQAA9AMAAA4AAAAAAAAAAQAgAAAAJAEAAGRycy9lMm9Eb2Mu&#10;eG1sUEsFBgAAAAAGAAYAWQEAAJE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安全生产行政执法文书</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华文中宋" w:hAnsi="华文中宋" w:eastAsia="华文中宋" w:cs="黑体"/>
          <w:b/>
          <w:sz w:val="44"/>
          <w:szCs w:val="44"/>
        </w:rPr>
      </w:pP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台</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2024</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执法一科</w:t>
      </w:r>
      <w:r>
        <w:rPr>
          <w:rFonts w:hint="eastAsia" w:ascii="仿宋_GB2312" w:hAnsi="仿宋" w:eastAsia="仿宋_GB2312" w:cs="Calibri"/>
          <w:sz w:val="24"/>
          <w:szCs w:val="24"/>
          <w:lang w:val="en-US" w:eastAsia="zh-CN"/>
        </w:rPr>
        <w:t>001</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身份证号：</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仿宋_GB2312" w:hAnsi="仿宋" w:eastAsia="仿宋_GB2312" w:cs="Calibri"/>
          <w:sz w:val="24"/>
          <w:szCs w:val="21"/>
          <w:lang w:val="en-US" w:eastAsia="zh-CN"/>
        </w:rPr>
      </w:pP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r>
        <w:rPr>
          <w:rFonts w:hint="eastAsia" w:ascii="仿宋_GB2312" w:hAnsi="仿宋" w:eastAsia="仿宋_GB2312" w:cs="Calibri"/>
          <w:kern w:val="0"/>
          <w:sz w:val="24"/>
          <w:szCs w:val="24"/>
          <w:u w:val="single"/>
          <w:lang w:eastAsia="zh-CN"/>
        </w:rPr>
        <w:t>长空日铸（辽宁）喷砂设备有限公司</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台安县工业园区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114100</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lang w:val="en-US" w:eastAsia="zh-CN"/>
        </w:rPr>
        <w:t xml:space="preserve"> 何丹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lang w:val="en-US" w:eastAsia="zh-CN"/>
        </w:rPr>
        <w:t xml:space="preserve"> 法定代表人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宋体"/>
          <w:color w:val="121212"/>
          <w:kern w:val="0"/>
          <w:sz w:val="24"/>
          <w:szCs w:val="21"/>
          <w:u w:val="single"/>
          <w:lang w:val="en-US" w:eastAsia="zh-CN"/>
        </w:rPr>
        <w:t xml:space="preserve">13911006449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lang w:val="en-US" w:eastAsia="zh-CN"/>
        </w:rPr>
        <w:t>2024年10月11日14:30分，县应急局执法一科对</w:t>
      </w:r>
      <w:bookmarkStart w:id="0" w:name="OLE_LINK9"/>
      <w:r>
        <w:rPr>
          <w:rFonts w:hint="eastAsia" w:ascii="仿宋_GB2312" w:hAnsi="仿宋" w:eastAsia="仿宋_GB2312" w:cs="仿宋"/>
          <w:sz w:val="24"/>
          <w:szCs w:val="24"/>
          <w:u w:val="single"/>
          <w:lang w:val="en-US" w:eastAsia="zh-CN"/>
        </w:rPr>
        <w:t>长空日铸（辽宁）喷砂设备有限公司进行检查时发现该公司</w:t>
      </w:r>
      <w:bookmarkEnd w:id="0"/>
      <w:r>
        <w:rPr>
          <w:rFonts w:hint="eastAsia" w:ascii="仿宋_GB2312" w:hAnsi="仿宋" w:eastAsia="仿宋_GB2312" w:cs="仿宋"/>
          <w:sz w:val="24"/>
          <w:szCs w:val="24"/>
          <w:u w:val="single"/>
          <w:lang w:val="en-US" w:eastAsia="zh-CN"/>
        </w:rPr>
        <w:t>一楼车间内醒目位置处未设置佩戴安全帽的明显警示标志。</w:t>
      </w:r>
      <w:bookmarkStart w:id="1" w:name="OLE_LINK11"/>
      <w:bookmarkStart w:id="2" w:name="OLE_LINK16"/>
      <w:r>
        <w:rPr>
          <w:rFonts w:hint="eastAsia" w:ascii="仿宋_GB2312" w:hAnsi="仿宋" w:eastAsia="仿宋_GB2312" w:cs="仿宋"/>
          <w:sz w:val="24"/>
          <w:szCs w:val="24"/>
          <w:u w:val="single"/>
          <w:lang w:val="en-US" w:eastAsia="zh-CN"/>
        </w:rPr>
        <w:t>证据一：</w:t>
      </w:r>
      <w:bookmarkEnd w:id="1"/>
      <w:r>
        <w:rPr>
          <w:rFonts w:hint="eastAsia" w:ascii="仿宋_GB2312" w:hAnsi="仿宋" w:eastAsia="仿宋_GB2312" w:cs="仿宋"/>
          <w:sz w:val="24"/>
          <w:szCs w:val="24"/>
          <w:u w:val="single"/>
          <w:lang w:val="en-US" w:eastAsia="zh-CN"/>
        </w:rPr>
        <w:t>《责令限期整改指令书》（（台）应急责改[2024]076）号；证据二：现场照片；证据三：何丹、徐禹鑫2人询问笔录；证明长空日铸（辽宁）喷砂设备有限公司未在有较大风险因素的生产经营场所设置明显的安全警示标志</w:t>
      </w:r>
      <w:bookmarkEnd w:id="2"/>
      <w:r>
        <w:rPr>
          <w:rFonts w:hint="eastAsia" w:ascii="仿宋_GB2312" w:hAnsi="仿宋" w:eastAsia="仿宋_GB2312" w:cs="仿宋"/>
          <w:color w:val="auto"/>
          <w:sz w:val="24"/>
          <w:szCs w:val="24"/>
          <w:u w:val="single"/>
          <w:lang w:val="en-US" w:eastAsia="zh-CN"/>
        </w:rPr>
        <w:t>。</w:t>
      </w:r>
      <w:r>
        <w:rPr>
          <w:rFonts w:hint="eastAsia" w:ascii="仿宋_GB2312" w:hAnsi="仿宋" w:eastAsia="仿宋_GB2312" w:cs="仿宋"/>
          <w:color w:val="auto"/>
          <w:sz w:val="24"/>
          <w:szCs w:val="24"/>
          <w:u w:val="single"/>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Calibri"/>
          <w:sz w:val="24"/>
          <w:szCs w:val="24"/>
        </w:rPr>
        <w:t>（此栏不够，可另附页）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sz w:val="24"/>
          <w:szCs w:val="24"/>
          <w:u w:val="single"/>
          <w:lang w:eastAsia="zh-CN"/>
        </w:rPr>
        <w:t>《中华人民共和国安全生产法》第三十五条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的规定，依据 </w:t>
      </w:r>
      <w:r>
        <w:rPr>
          <w:rFonts w:hint="eastAsia" w:ascii="仿宋_GB2312" w:hAnsi="仿宋" w:eastAsia="仿宋_GB2312" w:cs="仿宋"/>
          <w:sz w:val="24"/>
          <w:szCs w:val="24"/>
        </w:rPr>
        <w:t>依据</w:t>
      </w:r>
      <w:r>
        <w:rPr>
          <w:rFonts w:hint="eastAsia" w:ascii="仿宋_GB2312" w:hAnsi="仿宋" w:eastAsia="仿宋_GB2312" w:cs="仿宋"/>
          <w:sz w:val="24"/>
          <w:szCs w:val="24"/>
          <w:u w:val="single"/>
          <w:lang w:eastAsia="zh-CN"/>
        </w:rPr>
        <w:t>《中华人民共和国安全生产法》第九十九条</w:t>
      </w:r>
      <w:r>
        <w:rPr>
          <w:rFonts w:hint="eastAsia" w:ascii="仿宋_GB2312" w:hAnsi="仿宋" w:eastAsia="仿宋_GB2312" w:cs="仿宋"/>
          <w:sz w:val="24"/>
          <w:szCs w:val="24"/>
          <w:u w:val="single"/>
          <w:lang w:val="en-US" w:eastAsia="zh-CN"/>
        </w:rPr>
        <w:t>第（一）项和《鞍山市应急管理局安全生产行政处罚自由裁量指导标准（试行）》第十八条</w:t>
      </w:r>
      <w:r>
        <w:rPr>
          <w:rFonts w:hint="eastAsia" w:ascii="仿宋_GB2312" w:hAnsi="仿宋" w:eastAsia="仿宋_GB2312" w:cs="仿宋"/>
          <w:sz w:val="24"/>
          <w:szCs w:val="24"/>
          <w:u w:val="none"/>
        </w:rPr>
        <w:t>的</w:t>
      </w:r>
      <w:r>
        <w:rPr>
          <w:rFonts w:hint="eastAsia" w:ascii="仿宋_GB2312" w:hAnsi="仿宋" w:eastAsia="仿宋_GB2312" w:cs="Calibri"/>
          <w:sz w:val="24"/>
          <w:szCs w:val="24"/>
        </w:rPr>
        <w:t>规定，决定给予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人民币</w:t>
      </w:r>
      <w:r>
        <w:rPr>
          <w:rFonts w:hint="eastAsia" w:ascii="仿宋_GB2312" w:hAnsi="仿宋" w:eastAsia="仿宋_GB2312" w:cs="仿宋"/>
          <w:sz w:val="24"/>
          <w:szCs w:val="24"/>
          <w:u w:val="single"/>
          <w:lang w:val="en-US" w:eastAsia="zh-CN"/>
        </w:rPr>
        <w:t>1.5</w:t>
      </w:r>
      <w:r>
        <w:rPr>
          <w:rFonts w:hint="eastAsia" w:ascii="仿宋_GB2312" w:hAnsi="仿宋" w:eastAsia="仿宋_GB2312" w:cs="仿宋"/>
          <w:sz w:val="24"/>
          <w:szCs w:val="24"/>
          <w:u w:val="single"/>
          <w:lang w:eastAsia="zh-CN"/>
        </w:rPr>
        <w:t>万元（壹万伍仟圆）</w:t>
      </w:r>
      <w:r>
        <w:rPr>
          <w:rFonts w:hint="eastAsia" w:ascii="仿宋_GB2312" w:hAnsi="仿宋" w:eastAsia="仿宋_GB2312" w:cs="仿宋"/>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的行政处罚。</w:t>
      </w:r>
      <w:bookmarkStart w:id="3" w:name="_GoBack"/>
      <w:bookmarkEnd w:id="3"/>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w:t>
      </w:r>
      <w:r>
        <w:rPr>
          <w:rFonts w:hint="eastAsia" w:ascii="仿宋_GB2312" w:hAnsi="仿宋" w:eastAsia="仿宋_GB2312" w:cs="Calibri"/>
          <w:sz w:val="24"/>
          <w:szCs w:val="24"/>
          <w:lang w:eastAsia="zh-CN"/>
        </w:rPr>
        <w:t>到</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台安县应急管理局办公室（</w:t>
      </w:r>
      <w:r>
        <w:rPr>
          <w:rFonts w:hint="eastAsia" w:ascii="仿宋_GB2312" w:hAnsi="仿宋" w:eastAsia="仿宋_GB2312" w:cs="Calibri"/>
          <w:sz w:val="24"/>
          <w:szCs w:val="24"/>
          <w:u w:val="single"/>
          <w:lang w:val="en-US" w:eastAsia="zh-CN"/>
        </w:rPr>
        <w:t>206房间，孙红秋主任，电话0412-4890415</w:t>
      </w:r>
      <w:r>
        <w:rPr>
          <w:rFonts w:hint="eastAsia" w:ascii="仿宋_GB2312" w:hAnsi="仿宋" w:eastAsia="仿宋_GB2312" w:cs="Calibri"/>
          <w:sz w:val="24"/>
          <w:szCs w:val="24"/>
          <w:u w:val="single"/>
          <w:lang w:eastAsia="zh-CN"/>
        </w:rPr>
        <w:t>）办理缴罚款手续，来时请携带缴款单位（个人）账号：</w:t>
      </w:r>
      <w:r>
        <w:rPr>
          <w:rFonts w:hint="eastAsia" w:ascii="仿宋_GB2312" w:hAnsi="仿宋" w:eastAsia="仿宋_GB2312" w:cs="Calibri"/>
          <w:sz w:val="24"/>
          <w:szCs w:val="24"/>
          <w:u w:val="single"/>
          <w:lang w:val="en-US" w:eastAsia="zh-CN"/>
        </w:rPr>
        <w:t>2</w:t>
      </w:r>
      <w:r>
        <w:rPr>
          <w:rFonts w:hint="eastAsia" w:ascii="仿宋_GB2312" w:hAnsi="仿宋" w:eastAsia="仿宋_GB2312" w:cs="Calibri"/>
          <w:sz w:val="24"/>
          <w:szCs w:val="24"/>
          <w:u w:val="single"/>
          <w:lang w:eastAsia="zh-CN"/>
        </w:rPr>
        <w:t>、缴款单位（个人）开户行：</w:t>
      </w:r>
      <w:r>
        <w:rPr>
          <w:rFonts w:hint="eastAsia" w:ascii="仿宋_GB2312" w:hAnsi="仿宋" w:eastAsia="仿宋_GB2312" w:cs="Calibri"/>
          <w:sz w:val="24"/>
          <w:szCs w:val="24"/>
          <w:u w:val="single"/>
          <w:lang w:val="en-US" w:eastAsia="zh-CN"/>
        </w:rPr>
        <w:t>3、手机号码：4、统一社会信用代码（企业为营业执照副本，机关事业单位为法人证书）</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color w:val="000000"/>
          <w:sz w:val="24"/>
          <w:szCs w:val="24"/>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台安县</w:t>
      </w:r>
      <w:r>
        <w:rPr>
          <w:rFonts w:hint="eastAsia" w:ascii="仿宋_GB2312" w:hAnsi="仿宋" w:eastAsia="仿宋_GB2312" w:cs="Calibri"/>
          <w:sz w:val="24"/>
          <w:szCs w:val="24"/>
          <w:u w:val="single"/>
        </w:rPr>
        <w:t xml:space="preserve"> </w:t>
      </w:r>
      <w:r>
        <w:rPr>
          <w:rFonts w:hint="eastAsia" w:ascii="仿宋_GB2312" w:hAnsi="仿宋" w:eastAsia="仿宋_GB2312" w:cs="Calibri"/>
          <w:color w:val="000000"/>
          <w:sz w:val="24"/>
          <w:szCs w:val="24"/>
        </w:rPr>
        <w:t xml:space="preserve"> 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海城市</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人民法院提起行政诉讼，但本决定不停止执行，法律另有规定的除外。逾期不申请行政复议、不提起行政诉讼又不履行的，本机关将依法申请人民法院强制执行或者依照有关规定强制执行。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312" w:lineRule="auto"/>
        <w:ind w:firstLine="4320" w:firstLineChars="18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应急管理部门（印章）</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2024</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10</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22</w:t>
      </w:r>
      <w:r>
        <w:rPr>
          <w:rFonts w:hint="eastAsia" w:ascii="仿宋_GB2312" w:hAnsi="仿宋" w:eastAsia="仿宋_GB2312" w:cs="Calibri"/>
          <w:sz w:val="24"/>
          <w:szCs w:val="24"/>
        </w:rPr>
        <w:t>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jc w:val="left"/>
        <w:textAlignment w:val="auto"/>
        <w:rPr>
          <w:rFonts w:ascii="仿宋_GB2312" w:hAnsi="仿宋" w:eastAsia="仿宋_GB2312" w:cs="Calibri"/>
          <w:sz w:val="24"/>
          <w:szCs w:val="24"/>
        </w:rPr>
      </w:pPr>
      <w:r>
        <w:rPr>
          <w:rFonts w:ascii="仿宋_GB2312" w:hAnsi="Calibri"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13335</wp:posOffset>
                </wp:positionV>
                <wp:extent cx="5267325" cy="0"/>
                <wp:effectExtent l="0" t="9525" r="9525" b="9525"/>
                <wp:wrapNone/>
                <wp:docPr id="39" name="直接连接符 39"/>
                <wp:cNvGraphicFramePr/>
                <a:graphic xmlns:a="http://schemas.openxmlformats.org/drawingml/2006/main">
                  <a:graphicData uri="http://schemas.microsoft.com/office/word/2010/wordprocessingShape">
                    <wps:wsp>
                      <wps:cNvCnPr/>
                      <wps:spPr>
                        <a:xfrm>
                          <a:off x="0" y="0"/>
                          <a:ext cx="5267325"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45pt;margin-top:1.05pt;height:0pt;width:414.75pt;z-index:251660288;mso-width-relative:page;mso-height-relative:page;" filled="f" stroked="t" coordsize="21600,21600" o:gfxdata="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1FzKS0gAAAAUBAAAPAAAAAAAAAAEAIAAAACIAAABkcnMvZG93bnJldi54bWxQ&#10;SwECFAAUAAAACACHTuJAu2ENuv0BAADxAwAADgAAAAAAAAABACAAAAAhAQAAZHJzL2Uyb0RvYy54&#10;bWxQSwUGAAAAAAYABgBZAQAAkAU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191" w:right="1803" w:bottom="1191"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ZmRiZDk5MmY1NDg5MGIyNjc5ZmRkZDRjMDk5N2MifQ=="/>
  </w:docVars>
  <w:rsids>
    <w:rsidRoot w:val="00C03A3F"/>
    <w:rsid w:val="00C03A3F"/>
    <w:rsid w:val="0EBD2BAB"/>
    <w:rsid w:val="10550E3A"/>
    <w:rsid w:val="12C578EC"/>
    <w:rsid w:val="1F8606C0"/>
    <w:rsid w:val="23382A0A"/>
    <w:rsid w:val="24094F5B"/>
    <w:rsid w:val="258E73D0"/>
    <w:rsid w:val="299B524F"/>
    <w:rsid w:val="2EE817B0"/>
    <w:rsid w:val="43101F41"/>
    <w:rsid w:val="457C180D"/>
    <w:rsid w:val="46CE5E71"/>
    <w:rsid w:val="47A71EFF"/>
    <w:rsid w:val="6C55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2023-10-24T00:32:00Z</dcterms:created>
  <dc:creator>Damon"</dc:creator>
  <cp:lastModifiedBy>Administrator</cp:lastModifiedBy>
  <cp:lastPrinted>2024-10-21T02:52:00Z</cp:lastPrinted>
  <dcterms:modified xsi:type="dcterms:W3CDTF">2024-10-22T01:48:56Z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D76DB49DDF034FAE9D8826215A33449D_13</vt:lpwstr>
  </property>
</Properties>
</file>